
<file path=[Content_Types].xml><?xml version="1.0" encoding="utf-8"?>
<Types xmlns="http://schemas.openxmlformats.org/package/2006/content-types">
  <Default Extension="xml" ContentType="application/xml"/>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43A38704">
      <w:pPr>
        <w:pStyle w:val="2"/>
        <w:ind w:firstLine="400"/>
        <w:rPr>
          <w:color w:val="auto"/>
          <w:sz w:val="20"/>
          <w:szCs w:val="20"/>
          <w:highlight w:val="none"/>
        </w:rPr>
      </w:pPr>
      <w:bookmarkStart w:id="0" w:name="_Toc300834926"/>
      <w:bookmarkStart w:id="1" w:name="_Toc106997939"/>
      <w:bookmarkStart w:id="2" w:name="_Toc152042286"/>
      <w:bookmarkStart w:id="3" w:name="_Toc247527532"/>
      <w:bookmarkStart w:id="4" w:name="_Toc144974478"/>
      <w:r>
        <w:rPr>
          <w:rFonts w:hint="eastAsia"/>
          <w:color w:val="auto"/>
          <w:sz w:val="20"/>
          <w:szCs w:val="20"/>
          <w:highlight w:val="none"/>
        </w:rPr>
        <w:t xml:space="preserve"> </w:t>
      </w:r>
    </w:p>
    <w:p w14:paraId="7E2F6EE9">
      <w:pPr>
        <w:spacing w:line="360" w:lineRule="auto"/>
        <w:ind w:left="-2" w:leftChars="-1" w:right="98" w:firstLine="1"/>
        <w:rPr>
          <w:rFonts w:ascii="Arial" w:hAnsi="Arial" w:cs="Arial"/>
          <w:color w:val="auto"/>
          <w:sz w:val="36"/>
          <w:highlight w:val="none"/>
        </w:rPr>
      </w:pPr>
      <w:bookmarkStart w:id="1004" w:name="_GoBack"/>
      <w:bookmarkEnd w:id="1004"/>
    </w:p>
    <w:p w14:paraId="0BACC6F5">
      <w:pPr>
        <w:spacing w:line="400" w:lineRule="exact"/>
        <w:rPr>
          <w:color w:val="auto"/>
          <w:highlight w:val="none"/>
        </w:rPr>
      </w:pPr>
    </w:p>
    <w:p w14:paraId="34E16A1F">
      <w:pPr>
        <w:spacing w:line="400" w:lineRule="exact"/>
        <w:rPr>
          <w:color w:val="auto"/>
          <w:highlight w:val="none"/>
        </w:rPr>
      </w:pPr>
    </w:p>
    <w:p w14:paraId="0C73C9F6">
      <w:pPr>
        <w:spacing w:line="400" w:lineRule="exact"/>
        <w:rPr>
          <w:color w:val="auto"/>
          <w:highlight w:val="none"/>
        </w:rPr>
      </w:pPr>
    </w:p>
    <w:p w14:paraId="53229ACE">
      <w:pPr>
        <w:ind w:left="0" w:leftChars="0" w:firstLine="0" w:firstLineChars="0"/>
        <w:jc w:val="center"/>
        <w:rPr>
          <w:rFonts w:hint="default" w:eastAsia="黑体"/>
          <w:color w:val="auto"/>
          <w:sz w:val="44"/>
          <w:szCs w:val="44"/>
          <w:highlight w:val="none"/>
          <w:lang w:val="en-US"/>
        </w:rPr>
      </w:pPr>
      <w:r>
        <w:rPr>
          <w:rFonts w:hint="default" w:eastAsia="黑体"/>
          <w:color w:val="auto"/>
          <w:sz w:val="44"/>
          <w:szCs w:val="44"/>
          <w:highlight w:val="none"/>
          <w:lang w:val="en-US"/>
        </w:rPr>
        <w:t>营口市汇信资源循环利用(集团)有限公司新建营口市老边区污水处理厂项目工程设计采购施工及运营总承包（EPC+O）</w:t>
      </w:r>
    </w:p>
    <w:p w14:paraId="4A9350E9">
      <w:pPr>
        <w:jc w:val="both"/>
        <w:rPr>
          <w:rFonts w:hint="eastAsia" w:eastAsia="黑体"/>
          <w:color w:val="auto"/>
          <w:sz w:val="28"/>
          <w:highlight w:val="none"/>
        </w:rPr>
      </w:pPr>
    </w:p>
    <w:p w14:paraId="347C8490">
      <w:pPr>
        <w:jc w:val="center"/>
        <w:rPr>
          <w:rFonts w:hint="default" w:eastAsia="黑体"/>
          <w:color w:val="auto"/>
          <w:sz w:val="28"/>
          <w:highlight w:val="none"/>
          <w:lang w:val="en-US" w:eastAsia="zh-CN"/>
        </w:rPr>
      </w:pPr>
      <w:r>
        <w:rPr>
          <w:rFonts w:hint="eastAsia" w:eastAsia="黑体"/>
          <w:color w:val="auto"/>
          <w:sz w:val="28"/>
          <w:highlight w:val="none"/>
        </w:rPr>
        <w:t>项目编号：</w:t>
      </w:r>
      <w:r>
        <w:rPr>
          <w:rFonts w:hint="eastAsia" w:eastAsia="黑体"/>
          <w:color w:val="auto"/>
          <w:sz w:val="28"/>
          <w:highlight w:val="none"/>
          <w:lang w:val="en-US" w:eastAsia="zh-CN"/>
        </w:rPr>
        <w:t>LNGX-2501036</w:t>
      </w:r>
    </w:p>
    <w:p w14:paraId="28DD2F46">
      <w:pPr>
        <w:jc w:val="center"/>
        <w:rPr>
          <w:rFonts w:hint="eastAsia" w:eastAsia="黑体"/>
          <w:color w:val="auto"/>
          <w:sz w:val="28"/>
          <w:highlight w:val="none"/>
          <w:u w:val="single"/>
        </w:rPr>
      </w:pPr>
    </w:p>
    <w:p w14:paraId="5B6EC2A2">
      <w:pPr>
        <w:rPr>
          <w:color w:val="auto"/>
          <w:sz w:val="28"/>
          <w:szCs w:val="28"/>
          <w:highlight w:val="none"/>
        </w:rPr>
      </w:pPr>
    </w:p>
    <w:p w14:paraId="6B49E30C">
      <w:pPr>
        <w:jc w:val="center"/>
        <w:rPr>
          <w:rFonts w:ascii="黑体" w:eastAsia="黑体"/>
          <w:color w:val="auto"/>
          <w:sz w:val="44"/>
          <w:szCs w:val="44"/>
          <w:highlight w:val="none"/>
        </w:rPr>
      </w:pPr>
      <w:r>
        <w:rPr>
          <w:rFonts w:hint="eastAsia" w:ascii="黑体" w:eastAsia="黑体"/>
          <w:color w:val="auto"/>
          <w:sz w:val="44"/>
          <w:szCs w:val="44"/>
          <w:highlight w:val="none"/>
        </w:rPr>
        <w:t>招标文件</w:t>
      </w:r>
    </w:p>
    <w:p w14:paraId="67E5F6BE">
      <w:pPr>
        <w:spacing w:line="400" w:lineRule="exact"/>
        <w:rPr>
          <w:color w:val="auto"/>
          <w:highlight w:val="none"/>
        </w:rPr>
      </w:pPr>
    </w:p>
    <w:p w14:paraId="51410FE6">
      <w:pPr>
        <w:spacing w:line="400" w:lineRule="exact"/>
        <w:rPr>
          <w:color w:val="auto"/>
          <w:highlight w:val="none"/>
        </w:rPr>
      </w:pPr>
    </w:p>
    <w:p w14:paraId="75F83DB9">
      <w:pPr>
        <w:spacing w:line="400" w:lineRule="exact"/>
        <w:rPr>
          <w:color w:val="auto"/>
          <w:highlight w:val="none"/>
        </w:rPr>
      </w:pPr>
    </w:p>
    <w:p w14:paraId="1C51DC9D">
      <w:pPr>
        <w:spacing w:line="400" w:lineRule="exact"/>
        <w:rPr>
          <w:color w:val="auto"/>
          <w:highlight w:val="none"/>
        </w:rPr>
      </w:pPr>
    </w:p>
    <w:p w14:paraId="2CA3BE37">
      <w:pPr>
        <w:spacing w:line="400" w:lineRule="exact"/>
        <w:rPr>
          <w:color w:val="auto"/>
          <w:highlight w:val="none"/>
        </w:rPr>
      </w:pPr>
    </w:p>
    <w:p w14:paraId="04462852">
      <w:pPr>
        <w:spacing w:line="400" w:lineRule="exact"/>
        <w:rPr>
          <w:color w:val="auto"/>
          <w:highlight w:val="none"/>
        </w:rPr>
      </w:pPr>
    </w:p>
    <w:p w14:paraId="574E1C7A">
      <w:pPr>
        <w:spacing w:line="400" w:lineRule="exact"/>
        <w:rPr>
          <w:color w:val="auto"/>
          <w:highlight w:val="none"/>
        </w:rPr>
      </w:pPr>
    </w:p>
    <w:p w14:paraId="40FAD65F">
      <w:pPr>
        <w:spacing w:line="400" w:lineRule="exact"/>
        <w:rPr>
          <w:color w:val="auto"/>
          <w:highlight w:val="none"/>
        </w:rPr>
      </w:pPr>
    </w:p>
    <w:p w14:paraId="0229C1AA">
      <w:pPr>
        <w:spacing w:line="400" w:lineRule="exact"/>
        <w:rPr>
          <w:color w:val="auto"/>
          <w:highlight w:val="none"/>
        </w:rPr>
      </w:pPr>
    </w:p>
    <w:p w14:paraId="79082A16">
      <w:pPr>
        <w:spacing w:line="400" w:lineRule="exact"/>
        <w:rPr>
          <w:color w:val="auto"/>
          <w:highlight w:val="none"/>
        </w:rPr>
      </w:pPr>
    </w:p>
    <w:p w14:paraId="627C1659">
      <w:pPr>
        <w:keepNext w:val="0"/>
        <w:keepLines w:val="0"/>
        <w:pageBreakBefore w:val="0"/>
        <w:widowControl w:val="0"/>
        <w:kinsoku/>
        <w:wordWrap/>
        <w:overflowPunct/>
        <w:topLinePunct w:val="0"/>
        <w:autoSpaceDE/>
        <w:autoSpaceDN/>
        <w:bidi w:val="0"/>
        <w:adjustRightInd/>
        <w:snapToGrid/>
        <w:spacing w:line="400" w:lineRule="exact"/>
        <w:ind w:firstLine="560" w:firstLineChars="200"/>
        <w:jc w:val="both"/>
        <w:textAlignment w:val="auto"/>
        <w:rPr>
          <w:rFonts w:hint="eastAsia" w:ascii="黑体" w:eastAsia="黑体"/>
          <w:color w:val="auto"/>
          <w:sz w:val="28"/>
          <w:szCs w:val="28"/>
          <w:highlight w:val="none"/>
          <w:lang w:eastAsia="zh-CN"/>
        </w:rPr>
      </w:pPr>
      <w:r>
        <w:rPr>
          <w:rFonts w:hint="eastAsia" w:ascii="黑体" w:eastAsia="黑体"/>
          <w:color w:val="auto"/>
          <w:sz w:val="28"/>
          <w:szCs w:val="28"/>
          <w:highlight w:val="none"/>
        </w:rPr>
        <w:t>招标人：营口市汇信资源循环利用(集团)有限公司</w:t>
      </w:r>
      <w:r>
        <w:rPr>
          <w:rFonts w:hint="eastAsia" w:ascii="黑体" w:eastAsia="黑体"/>
          <w:color w:val="auto"/>
          <w:sz w:val="28"/>
          <w:szCs w:val="28"/>
          <w:highlight w:val="none"/>
          <w:lang w:val="en-US" w:eastAsia="zh-CN"/>
        </w:rPr>
        <w:t xml:space="preserve"> </w:t>
      </w:r>
    </w:p>
    <w:p w14:paraId="18A7EBB5">
      <w:pPr>
        <w:keepNext w:val="0"/>
        <w:keepLines w:val="0"/>
        <w:pageBreakBefore w:val="0"/>
        <w:widowControl w:val="0"/>
        <w:kinsoku/>
        <w:wordWrap/>
        <w:overflowPunct/>
        <w:topLinePunct w:val="0"/>
        <w:autoSpaceDE/>
        <w:autoSpaceDN/>
        <w:bidi w:val="0"/>
        <w:adjustRightInd/>
        <w:snapToGrid/>
        <w:spacing w:line="400" w:lineRule="exact"/>
        <w:ind w:firstLine="560" w:firstLineChars="200"/>
        <w:jc w:val="both"/>
        <w:textAlignment w:val="auto"/>
        <w:rPr>
          <w:rFonts w:hint="eastAsia" w:ascii="黑体" w:eastAsia="黑体"/>
          <w:color w:val="auto"/>
          <w:sz w:val="28"/>
          <w:szCs w:val="28"/>
          <w:highlight w:val="none"/>
          <w:lang w:eastAsia="zh-CN"/>
        </w:rPr>
      </w:pPr>
      <w:r>
        <w:rPr>
          <w:rFonts w:hint="eastAsia" w:ascii="黑体" w:eastAsia="黑体"/>
          <w:color w:val="auto"/>
          <w:sz w:val="28"/>
          <w:szCs w:val="28"/>
          <w:highlight w:val="none"/>
        </w:rPr>
        <w:t>招标代理机构：</w:t>
      </w:r>
      <w:r>
        <w:rPr>
          <w:rFonts w:hint="eastAsia" w:ascii="黑体" w:eastAsia="黑体"/>
          <w:color w:val="auto"/>
          <w:sz w:val="28"/>
          <w:szCs w:val="28"/>
          <w:highlight w:val="none"/>
          <w:lang w:val="en-US" w:eastAsia="zh-CN"/>
        </w:rPr>
        <w:t xml:space="preserve">辽宁国信建设工程管理有限公司 </w:t>
      </w:r>
    </w:p>
    <w:p w14:paraId="17A2DEA9">
      <w:pPr>
        <w:spacing w:line="400" w:lineRule="exact"/>
        <w:rPr>
          <w:rFonts w:ascii="黑体" w:eastAsia="黑体"/>
          <w:color w:val="auto"/>
          <w:sz w:val="28"/>
          <w:szCs w:val="28"/>
          <w:highlight w:val="none"/>
        </w:rPr>
      </w:pPr>
    </w:p>
    <w:p w14:paraId="0A0A9060">
      <w:pPr>
        <w:spacing w:line="400" w:lineRule="exact"/>
        <w:rPr>
          <w:rFonts w:ascii="黑体" w:eastAsia="黑体"/>
          <w:color w:val="auto"/>
          <w:sz w:val="28"/>
          <w:szCs w:val="28"/>
          <w:highlight w:val="none"/>
        </w:rPr>
      </w:pPr>
    </w:p>
    <w:p w14:paraId="78616431">
      <w:pPr>
        <w:spacing w:line="400" w:lineRule="exact"/>
        <w:jc w:val="center"/>
        <w:rPr>
          <w:color w:val="auto"/>
          <w:highlight w:val="none"/>
        </w:rPr>
        <w:sectPr>
          <w:footerReference r:id="rId6" w:type="first"/>
          <w:footerReference r:id="rId5" w:type="default"/>
          <w:pgSz w:w="11906" w:h="16838"/>
          <w:pgMar w:top="1440" w:right="1800" w:bottom="1440" w:left="1800" w:header="851" w:footer="992" w:gutter="0"/>
          <w:pgNumType w:fmt="decimal"/>
          <w:cols w:space="720" w:num="1"/>
          <w:docGrid w:type="lines" w:linePitch="312" w:charSpace="0"/>
        </w:sectPr>
      </w:pPr>
      <w:r>
        <w:rPr>
          <w:rFonts w:hint="eastAsia" w:ascii="黑体" w:eastAsia="黑体"/>
          <w:color w:val="auto"/>
          <w:sz w:val="28"/>
          <w:szCs w:val="28"/>
          <w:highlight w:val="none"/>
          <w:lang w:val="en-US" w:eastAsia="zh-CN"/>
        </w:rPr>
        <w:t xml:space="preserve"> 2025</w:t>
      </w:r>
      <w:r>
        <w:rPr>
          <w:rFonts w:hint="eastAsia" w:ascii="黑体" w:eastAsia="黑体"/>
          <w:color w:val="auto"/>
          <w:sz w:val="28"/>
          <w:szCs w:val="28"/>
          <w:highlight w:val="none"/>
        </w:rPr>
        <w:t>年</w:t>
      </w:r>
      <w:r>
        <w:rPr>
          <w:rFonts w:hint="eastAsia" w:ascii="黑体" w:eastAsia="黑体"/>
          <w:color w:val="auto"/>
          <w:sz w:val="28"/>
          <w:szCs w:val="28"/>
          <w:highlight w:val="none"/>
          <w:lang w:val="en-US" w:eastAsia="zh-CN"/>
        </w:rPr>
        <w:t xml:space="preserve">    </w:t>
      </w:r>
      <w:r>
        <w:rPr>
          <w:rFonts w:hint="eastAsia" w:ascii="黑体" w:eastAsia="黑体"/>
          <w:color w:val="auto"/>
          <w:sz w:val="28"/>
          <w:szCs w:val="28"/>
          <w:highlight w:val="none"/>
        </w:rPr>
        <w:t>月</w:t>
      </w:r>
    </w:p>
    <w:p w14:paraId="28484EF7">
      <w:pPr>
        <w:pStyle w:val="3"/>
        <w:jc w:val="center"/>
        <w:rPr>
          <w:rFonts w:hint="eastAsia" w:ascii="仿宋" w:hAnsi="仿宋" w:eastAsia="仿宋" w:cs="仿宋"/>
          <w:color w:val="auto"/>
          <w:sz w:val="36"/>
          <w:szCs w:val="36"/>
          <w:highlight w:val="none"/>
        </w:rPr>
      </w:pPr>
      <w:r>
        <w:rPr>
          <w:rFonts w:hint="eastAsia" w:ascii="仿宋" w:hAnsi="仿宋" w:eastAsia="仿宋" w:cs="仿宋"/>
          <w:color w:val="auto"/>
          <w:sz w:val="36"/>
          <w:szCs w:val="36"/>
          <w:highlight w:val="none"/>
        </w:rPr>
        <w:t>目录</w:t>
      </w:r>
      <w:bookmarkEnd w:id="0"/>
      <w:bookmarkEnd w:id="1"/>
      <w:bookmarkEnd w:id="2"/>
      <w:bookmarkEnd w:id="3"/>
      <w:bookmarkEnd w:id="4"/>
    </w:p>
    <w:p w14:paraId="5B902678">
      <w:pPr>
        <w:pStyle w:val="28"/>
        <w:tabs>
          <w:tab w:val="right" w:leader="dot" w:pos="9628"/>
          <w:tab w:val="clear" w:pos="8296"/>
        </w:tabs>
        <w:jc w:val="left"/>
        <w:rPr>
          <w:rFonts w:hint="eastAsia" w:ascii="仿宋" w:hAnsi="仿宋" w:eastAsia="仿宋" w:cs="仿宋"/>
          <w:b w:val="0"/>
          <w:bCs w:val="0"/>
          <w:caps w:val="0"/>
          <w:color w:val="auto"/>
          <w:sz w:val="21"/>
          <w:szCs w:val="22"/>
          <w:highlight w:val="none"/>
        </w:rPr>
      </w:pPr>
      <w:bookmarkStart w:id="5" w:name="_Toc247527533"/>
      <w:bookmarkStart w:id="6" w:name="_Toc247513932"/>
      <w:bookmarkStart w:id="7" w:name="_Toc152045511"/>
      <w:bookmarkStart w:id="8" w:name="_Toc144974479"/>
      <w:bookmarkStart w:id="9" w:name="_Toc152042287"/>
      <w:r>
        <w:rPr>
          <w:rFonts w:hint="eastAsia" w:ascii="仿宋" w:hAnsi="仿宋" w:eastAsia="仿宋" w:cs="仿宋"/>
          <w:caps w:val="0"/>
          <w:color w:val="auto"/>
          <w:highlight w:val="none"/>
        </w:rPr>
        <w:fldChar w:fldCharType="begin"/>
      </w:r>
      <w:r>
        <w:rPr>
          <w:rFonts w:hint="eastAsia" w:ascii="仿宋" w:hAnsi="仿宋" w:eastAsia="仿宋" w:cs="仿宋"/>
          <w:caps w:val="0"/>
          <w:color w:val="auto"/>
          <w:highlight w:val="none"/>
        </w:rPr>
        <w:instrText xml:space="preserve"> TOC \o "1-3" \h \z \u </w:instrText>
      </w:r>
      <w:r>
        <w:rPr>
          <w:rFonts w:hint="eastAsia" w:ascii="仿宋" w:hAnsi="仿宋" w:eastAsia="仿宋" w:cs="仿宋"/>
          <w:caps w:val="0"/>
          <w:color w:val="auto"/>
          <w:highlight w:val="none"/>
        </w:rPr>
        <w:fldChar w:fldCharType="separate"/>
      </w:r>
      <w:r>
        <w:rPr>
          <w:rStyle w:val="45"/>
          <w:rFonts w:hint="eastAsia" w:ascii="仿宋" w:hAnsi="仿宋" w:eastAsia="仿宋" w:cs="仿宋"/>
          <w:color w:val="auto"/>
          <w:highlight w:val="none"/>
        </w:rPr>
        <w:fldChar w:fldCharType="begin"/>
      </w:r>
      <w:r>
        <w:rPr>
          <w:rStyle w:val="45"/>
          <w:rFonts w:hint="eastAsia" w:ascii="仿宋" w:hAnsi="仿宋" w:eastAsia="仿宋" w:cs="仿宋"/>
          <w:color w:val="auto"/>
          <w:highlight w:val="none"/>
        </w:rPr>
        <w:instrText xml:space="preserve"> </w:instrText>
      </w:r>
      <w:r>
        <w:rPr>
          <w:rFonts w:hint="eastAsia" w:ascii="仿宋" w:hAnsi="仿宋" w:eastAsia="仿宋" w:cs="仿宋"/>
          <w:color w:val="auto"/>
          <w:highlight w:val="none"/>
        </w:rPr>
        <w:instrText xml:space="preserve">HYPERLINK \l "_Toc106997939"</w:instrText>
      </w:r>
      <w:r>
        <w:rPr>
          <w:rStyle w:val="45"/>
          <w:rFonts w:hint="eastAsia" w:ascii="仿宋" w:hAnsi="仿宋" w:eastAsia="仿宋" w:cs="仿宋"/>
          <w:color w:val="auto"/>
          <w:highlight w:val="none"/>
        </w:rPr>
        <w:instrText xml:space="preserve"> </w:instrText>
      </w:r>
      <w:r>
        <w:rPr>
          <w:rStyle w:val="45"/>
          <w:rFonts w:hint="eastAsia" w:ascii="仿宋" w:hAnsi="仿宋" w:eastAsia="仿宋" w:cs="仿宋"/>
          <w:color w:val="auto"/>
          <w:highlight w:val="none"/>
        </w:rPr>
        <w:fldChar w:fldCharType="separate"/>
      </w:r>
      <w:r>
        <w:rPr>
          <w:rStyle w:val="45"/>
          <w:rFonts w:hint="eastAsia" w:ascii="仿宋" w:hAnsi="仿宋" w:eastAsia="仿宋" w:cs="仿宋"/>
          <w:color w:val="auto"/>
          <w:highlight w:val="none"/>
        </w:rPr>
        <w:t>目录</w:t>
      </w:r>
      <w:r>
        <w:rPr>
          <w:rFonts w:hint="eastAsia" w:ascii="仿宋" w:hAnsi="仿宋" w:eastAsia="仿宋" w:cs="仿宋"/>
          <w:color w:val="auto"/>
          <w:highlight w:val="none"/>
        </w:rPr>
        <w:tab/>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PAGEREF _Toc106997939 \h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t>1</w:t>
      </w:r>
      <w:r>
        <w:rPr>
          <w:rFonts w:hint="eastAsia" w:ascii="仿宋" w:hAnsi="仿宋" w:eastAsia="仿宋" w:cs="仿宋"/>
          <w:color w:val="auto"/>
          <w:highlight w:val="none"/>
        </w:rPr>
        <w:fldChar w:fldCharType="end"/>
      </w:r>
      <w:r>
        <w:rPr>
          <w:rStyle w:val="45"/>
          <w:rFonts w:hint="eastAsia" w:ascii="仿宋" w:hAnsi="仿宋" w:eastAsia="仿宋" w:cs="仿宋"/>
          <w:color w:val="auto"/>
          <w:highlight w:val="none"/>
        </w:rPr>
        <w:fldChar w:fldCharType="end"/>
      </w:r>
    </w:p>
    <w:p w14:paraId="0B7AFFE3">
      <w:pPr>
        <w:pStyle w:val="28"/>
        <w:tabs>
          <w:tab w:val="right" w:leader="dot" w:pos="9628"/>
          <w:tab w:val="clear" w:pos="8296"/>
        </w:tabs>
        <w:jc w:val="left"/>
        <w:rPr>
          <w:rFonts w:hint="eastAsia" w:ascii="仿宋" w:hAnsi="仿宋" w:eastAsia="仿宋" w:cs="仿宋"/>
          <w:b w:val="0"/>
          <w:bCs w:val="0"/>
          <w:caps w:val="0"/>
          <w:color w:val="auto"/>
          <w:sz w:val="21"/>
          <w:szCs w:val="22"/>
          <w:highlight w:val="none"/>
        </w:rPr>
      </w:pPr>
      <w:r>
        <w:rPr>
          <w:rStyle w:val="45"/>
          <w:rFonts w:hint="eastAsia" w:ascii="仿宋" w:hAnsi="仿宋" w:eastAsia="仿宋" w:cs="仿宋"/>
          <w:color w:val="auto"/>
          <w:highlight w:val="none"/>
        </w:rPr>
        <w:fldChar w:fldCharType="begin"/>
      </w:r>
      <w:r>
        <w:rPr>
          <w:rStyle w:val="45"/>
          <w:rFonts w:hint="eastAsia" w:ascii="仿宋" w:hAnsi="仿宋" w:eastAsia="仿宋" w:cs="仿宋"/>
          <w:color w:val="auto"/>
          <w:highlight w:val="none"/>
        </w:rPr>
        <w:instrText xml:space="preserve"> </w:instrText>
      </w:r>
      <w:r>
        <w:rPr>
          <w:rFonts w:hint="eastAsia" w:ascii="仿宋" w:hAnsi="仿宋" w:eastAsia="仿宋" w:cs="仿宋"/>
          <w:color w:val="auto"/>
          <w:highlight w:val="none"/>
        </w:rPr>
        <w:instrText xml:space="preserve">HYPERLINK \l "_Toc106997940"</w:instrText>
      </w:r>
      <w:r>
        <w:rPr>
          <w:rStyle w:val="45"/>
          <w:rFonts w:hint="eastAsia" w:ascii="仿宋" w:hAnsi="仿宋" w:eastAsia="仿宋" w:cs="仿宋"/>
          <w:color w:val="auto"/>
          <w:highlight w:val="none"/>
        </w:rPr>
        <w:instrText xml:space="preserve"> </w:instrText>
      </w:r>
      <w:r>
        <w:rPr>
          <w:rStyle w:val="45"/>
          <w:rFonts w:hint="eastAsia" w:ascii="仿宋" w:hAnsi="仿宋" w:eastAsia="仿宋" w:cs="仿宋"/>
          <w:color w:val="auto"/>
          <w:highlight w:val="none"/>
        </w:rPr>
        <w:fldChar w:fldCharType="separate"/>
      </w:r>
      <w:r>
        <w:rPr>
          <w:rStyle w:val="45"/>
          <w:rFonts w:hint="eastAsia" w:ascii="仿宋" w:hAnsi="仿宋" w:eastAsia="仿宋" w:cs="仿宋"/>
          <w:color w:val="auto"/>
          <w:highlight w:val="none"/>
        </w:rPr>
        <w:t>第一卷</w:t>
      </w:r>
      <w:r>
        <w:rPr>
          <w:rFonts w:hint="eastAsia" w:ascii="仿宋" w:hAnsi="仿宋" w:eastAsia="仿宋" w:cs="仿宋"/>
          <w:color w:val="auto"/>
          <w:highlight w:val="none"/>
        </w:rPr>
        <w:tab/>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PAGEREF _Toc106997940 \h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t>1</w:t>
      </w:r>
      <w:r>
        <w:rPr>
          <w:rFonts w:hint="eastAsia" w:ascii="仿宋" w:hAnsi="仿宋" w:eastAsia="仿宋" w:cs="仿宋"/>
          <w:color w:val="auto"/>
          <w:highlight w:val="none"/>
        </w:rPr>
        <w:fldChar w:fldCharType="end"/>
      </w:r>
      <w:r>
        <w:rPr>
          <w:rStyle w:val="45"/>
          <w:rFonts w:hint="eastAsia" w:ascii="仿宋" w:hAnsi="仿宋" w:eastAsia="仿宋" w:cs="仿宋"/>
          <w:color w:val="auto"/>
          <w:highlight w:val="none"/>
        </w:rPr>
        <w:fldChar w:fldCharType="end"/>
      </w:r>
    </w:p>
    <w:p w14:paraId="7081E54E">
      <w:pPr>
        <w:pStyle w:val="28"/>
        <w:tabs>
          <w:tab w:val="right" w:leader="dot" w:pos="9628"/>
          <w:tab w:val="clear" w:pos="8296"/>
        </w:tabs>
        <w:jc w:val="left"/>
        <w:rPr>
          <w:rFonts w:hint="eastAsia" w:ascii="仿宋" w:hAnsi="仿宋" w:eastAsia="仿宋" w:cs="仿宋"/>
          <w:b w:val="0"/>
          <w:bCs w:val="0"/>
          <w:caps w:val="0"/>
          <w:color w:val="auto"/>
          <w:sz w:val="21"/>
          <w:szCs w:val="22"/>
          <w:highlight w:val="none"/>
        </w:rPr>
      </w:pPr>
      <w:r>
        <w:rPr>
          <w:rStyle w:val="45"/>
          <w:rFonts w:hint="eastAsia" w:ascii="仿宋" w:hAnsi="仿宋" w:eastAsia="仿宋" w:cs="仿宋"/>
          <w:color w:val="auto"/>
          <w:highlight w:val="none"/>
        </w:rPr>
        <w:fldChar w:fldCharType="begin"/>
      </w:r>
      <w:r>
        <w:rPr>
          <w:rStyle w:val="45"/>
          <w:rFonts w:hint="eastAsia" w:ascii="仿宋" w:hAnsi="仿宋" w:eastAsia="仿宋" w:cs="仿宋"/>
          <w:color w:val="auto"/>
          <w:highlight w:val="none"/>
        </w:rPr>
        <w:instrText xml:space="preserve"> </w:instrText>
      </w:r>
      <w:r>
        <w:rPr>
          <w:rFonts w:hint="eastAsia" w:ascii="仿宋" w:hAnsi="仿宋" w:eastAsia="仿宋" w:cs="仿宋"/>
          <w:color w:val="auto"/>
          <w:highlight w:val="none"/>
        </w:rPr>
        <w:instrText xml:space="preserve">HYPERLINK \l "_Toc106997941"</w:instrText>
      </w:r>
      <w:r>
        <w:rPr>
          <w:rStyle w:val="45"/>
          <w:rFonts w:hint="eastAsia" w:ascii="仿宋" w:hAnsi="仿宋" w:eastAsia="仿宋" w:cs="仿宋"/>
          <w:color w:val="auto"/>
          <w:highlight w:val="none"/>
        </w:rPr>
        <w:instrText xml:space="preserve"> </w:instrText>
      </w:r>
      <w:r>
        <w:rPr>
          <w:rStyle w:val="45"/>
          <w:rFonts w:hint="eastAsia" w:ascii="仿宋" w:hAnsi="仿宋" w:eastAsia="仿宋" w:cs="仿宋"/>
          <w:color w:val="auto"/>
          <w:highlight w:val="none"/>
        </w:rPr>
        <w:fldChar w:fldCharType="separate"/>
      </w:r>
      <w:r>
        <w:rPr>
          <w:rStyle w:val="45"/>
          <w:rFonts w:hint="eastAsia" w:ascii="仿宋" w:hAnsi="仿宋" w:eastAsia="仿宋" w:cs="仿宋"/>
          <w:color w:val="auto"/>
          <w:kern w:val="44"/>
          <w:highlight w:val="none"/>
        </w:rPr>
        <w:t>第一章招标公告</w:t>
      </w:r>
      <w:r>
        <w:rPr>
          <w:rFonts w:hint="eastAsia" w:ascii="仿宋" w:hAnsi="仿宋" w:eastAsia="仿宋" w:cs="仿宋"/>
          <w:color w:val="auto"/>
          <w:highlight w:val="none"/>
        </w:rPr>
        <w:tab/>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PAGEREF _Toc106997941 \h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t>2</w:t>
      </w:r>
      <w:r>
        <w:rPr>
          <w:rFonts w:hint="eastAsia" w:ascii="仿宋" w:hAnsi="仿宋" w:eastAsia="仿宋" w:cs="仿宋"/>
          <w:color w:val="auto"/>
          <w:highlight w:val="none"/>
        </w:rPr>
        <w:fldChar w:fldCharType="end"/>
      </w:r>
      <w:r>
        <w:rPr>
          <w:rStyle w:val="45"/>
          <w:rFonts w:hint="eastAsia" w:ascii="仿宋" w:hAnsi="仿宋" w:eastAsia="仿宋" w:cs="仿宋"/>
          <w:color w:val="auto"/>
          <w:highlight w:val="none"/>
        </w:rPr>
        <w:fldChar w:fldCharType="end"/>
      </w:r>
    </w:p>
    <w:p w14:paraId="7652A3B7">
      <w:pPr>
        <w:pStyle w:val="28"/>
        <w:tabs>
          <w:tab w:val="right" w:leader="dot" w:pos="9628"/>
          <w:tab w:val="clear" w:pos="8296"/>
        </w:tabs>
        <w:jc w:val="left"/>
        <w:rPr>
          <w:rFonts w:hint="eastAsia" w:ascii="仿宋" w:hAnsi="仿宋" w:eastAsia="仿宋" w:cs="仿宋"/>
          <w:iCs/>
          <w:color w:val="auto"/>
          <w:sz w:val="21"/>
          <w:szCs w:val="22"/>
          <w:highlight w:val="none"/>
        </w:rPr>
      </w:pPr>
      <w:r>
        <w:rPr>
          <w:rStyle w:val="45"/>
          <w:rFonts w:hint="eastAsia" w:ascii="仿宋" w:hAnsi="仿宋" w:eastAsia="仿宋" w:cs="仿宋"/>
          <w:color w:val="auto"/>
          <w:highlight w:val="none"/>
        </w:rPr>
        <w:fldChar w:fldCharType="begin"/>
      </w:r>
      <w:r>
        <w:rPr>
          <w:rStyle w:val="45"/>
          <w:rFonts w:hint="eastAsia" w:ascii="仿宋" w:hAnsi="仿宋" w:eastAsia="仿宋" w:cs="仿宋"/>
          <w:color w:val="auto"/>
          <w:highlight w:val="none"/>
        </w:rPr>
        <w:instrText xml:space="preserve"> </w:instrText>
      </w:r>
      <w:r>
        <w:rPr>
          <w:rFonts w:hint="eastAsia" w:ascii="仿宋" w:hAnsi="仿宋" w:eastAsia="仿宋" w:cs="仿宋"/>
          <w:color w:val="auto"/>
          <w:highlight w:val="none"/>
        </w:rPr>
        <w:instrText xml:space="preserve">HYPERLINK \l "_Toc106997942"</w:instrText>
      </w:r>
      <w:r>
        <w:rPr>
          <w:rStyle w:val="45"/>
          <w:rFonts w:hint="eastAsia" w:ascii="仿宋" w:hAnsi="仿宋" w:eastAsia="仿宋" w:cs="仿宋"/>
          <w:color w:val="auto"/>
          <w:highlight w:val="none"/>
        </w:rPr>
        <w:instrText xml:space="preserve"> </w:instrText>
      </w:r>
      <w:r>
        <w:rPr>
          <w:rStyle w:val="45"/>
          <w:rFonts w:hint="eastAsia" w:ascii="仿宋" w:hAnsi="仿宋" w:eastAsia="仿宋" w:cs="仿宋"/>
          <w:color w:val="auto"/>
          <w:highlight w:val="none"/>
        </w:rPr>
        <w:fldChar w:fldCharType="separate"/>
      </w:r>
      <w:r>
        <w:rPr>
          <w:rStyle w:val="45"/>
          <w:rFonts w:hint="eastAsia" w:ascii="仿宋" w:hAnsi="仿宋" w:eastAsia="仿宋" w:cs="仿宋"/>
          <w:color w:val="auto"/>
          <w:highlight w:val="none"/>
        </w:rPr>
        <w:t>第二章投标人须知</w:t>
      </w:r>
      <w:r>
        <w:rPr>
          <w:rFonts w:hint="eastAsia" w:ascii="仿宋" w:hAnsi="仿宋" w:eastAsia="仿宋" w:cs="仿宋"/>
          <w:color w:val="auto"/>
          <w:highlight w:val="none"/>
        </w:rPr>
        <w:tab/>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PAGEREF _Toc106997942 \h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t>7</w:t>
      </w:r>
      <w:r>
        <w:rPr>
          <w:rFonts w:hint="eastAsia" w:ascii="仿宋" w:hAnsi="仿宋" w:eastAsia="仿宋" w:cs="仿宋"/>
          <w:color w:val="auto"/>
          <w:highlight w:val="none"/>
        </w:rPr>
        <w:fldChar w:fldCharType="end"/>
      </w:r>
      <w:r>
        <w:rPr>
          <w:rStyle w:val="45"/>
          <w:rFonts w:hint="eastAsia" w:ascii="仿宋" w:hAnsi="仿宋" w:eastAsia="仿宋" w:cs="仿宋"/>
          <w:color w:val="auto"/>
          <w:highlight w:val="none"/>
        </w:rPr>
        <w:fldChar w:fldCharType="end"/>
      </w:r>
    </w:p>
    <w:p w14:paraId="1342B090">
      <w:pPr>
        <w:pStyle w:val="28"/>
        <w:tabs>
          <w:tab w:val="right" w:leader="dot" w:pos="9628"/>
          <w:tab w:val="clear" w:pos="8296"/>
        </w:tabs>
        <w:jc w:val="left"/>
        <w:rPr>
          <w:rFonts w:hint="eastAsia" w:ascii="仿宋" w:hAnsi="仿宋" w:eastAsia="仿宋" w:cs="仿宋"/>
          <w:iCs/>
          <w:color w:val="auto"/>
          <w:sz w:val="21"/>
          <w:szCs w:val="22"/>
          <w:highlight w:val="none"/>
        </w:rPr>
      </w:pPr>
      <w:r>
        <w:rPr>
          <w:rStyle w:val="45"/>
          <w:rFonts w:hint="eastAsia" w:ascii="仿宋" w:hAnsi="仿宋" w:eastAsia="仿宋" w:cs="仿宋"/>
          <w:color w:val="auto"/>
          <w:highlight w:val="none"/>
        </w:rPr>
        <w:fldChar w:fldCharType="begin"/>
      </w:r>
      <w:r>
        <w:rPr>
          <w:rStyle w:val="45"/>
          <w:rFonts w:hint="eastAsia" w:ascii="仿宋" w:hAnsi="仿宋" w:eastAsia="仿宋" w:cs="仿宋"/>
          <w:color w:val="auto"/>
          <w:highlight w:val="none"/>
        </w:rPr>
        <w:instrText xml:space="preserve"> </w:instrText>
      </w:r>
      <w:r>
        <w:rPr>
          <w:rFonts w:hint="eastAsia" w:ascii="仿宋" w:hAnsi="仿宋" w:eastAsia="仿宋" w:cs="仿宋"/>
          <w:color w:val="auto"/>
          <w:highlight w:val="none"/>
        </w:rPr>
        <w:instrText xml:space="preserve">HYPERLINK \l "_Toc106998002"</w:instrText>
      </w:r>
      <w:r>
        <w:rPr>
          <w:rStyle w:val="45"/>
          <w:rFonts w:hint="eastAsia" w:ascii="仿宋" w:hAnsi="仿宋" w:eastAsia="仿宋" w:cs="仿宋"/>
          <w:color w:val="auto"/>
          <w:highlight w:val="none"/>
        </w:rPr>
        <w:instrText xml:space="preserve"> </w:instrText>
      </w:r>
      <w:r>
        <w:rPr>
          <w:rStyle w:val="45"/>
          <w:rFonts w:hint="eastAsia" w:ascii="仿宋" w:hAnsi="仿宋" w:eastAsia="仿宋" w:cs="仿宋"/>
          <w:color w:val="auto"/>
          <w:highlight w:val="none"/>
        </w:rPr>
        <w:fldChar w:fldCharType="separate"/>
      </w:r>
      <w:r>
        <w:rPr>
          <w:rStyle w:val="45"/>
          <w:rFonts w:hint="eastAsia" w:ascii="仿宋" w:hAnsi="仿宋" w:eastAsia="仿宋" w:cs="仿宋"/>
          <w:color w:val="auto"/>
          <w:highlight w:val="none"/>
        </w:rPr>
        <w:t>第三章  评标办法</w:t>
      </w:r>
      <w:r>
        <w:rPr>
          <w:rFonts w:hint="eastAsia" w:ascii="仿宋" w:hAnsi="仿宋" w:eastAsia="仿宋" w:cs="仿宋"/>
          <w:color w:val="auto"/>
          <w:highlight w:val="none"/>
        </w:rPr>
        <w:tab/>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PAGEREF _Toc106998002 \h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t>40</w:t>
      </w:r>
      <w:r>
        <w:rPr>
          <w:rFonts w:hint="eastAsia" w:ascii="仿宋" w:hAnsi="仿宋" w:eastAsia="仿宋" w:cs="仿宋"/>
          <w:color w:val="auto"/>
          <w:highlight w:val="none"/>
        </w:rPr>
        <w:fldChar w:fldCharType="end"/>
      </w:r>
      <w:r>
        <w:rPr>
          <w:rStyle w:val="45"/>
          <w:rFonts w:hint="eastAsia" w:ascii="仿宋" w:hAnsi="仿宋" w:eastAsia="仿宋" w:cs="仿宋"/>
          <w:color w:val="auto"/>
          <w:highlight w:val="none"/>
        </w:rPr>
        <w:fldChar w:fldCharType="end"/>
      </w:r>
    </w:p>
    <w:p w14:paraId="0C9863F6">
      <w:pPr>
        <w:pStyle w:val="28"/>
        <w:tabs>
          <w:tab w:val="right" w:leader="dot" w:pos="9628"/>
          <w:tab w:val="clear" w:pos="8296"/>
        </w:tabs>
        <w:jc w:val="left"/>
        <w:rPr>
          <w:rFonts w:hint="eastAsia" w:ascii="仿宋" w:hAnsi="仿宋" w:eastAsia="仿宋" w:cs="仿宋"/>
          <w:smallCaps/>
          <w:color w:val="auto"/>
          <w:sz w:val="21"/>
          <w:szCs w:val="22"/>
          <w:highlight w:val="none"/>
        </w:rPr>
      </w:pPr>
      <w:r>
        <w:rPr>
          <w:rStyle w:val="45"/>
          <w:rFonts w:hint="eastAsia" w:ascii="仿宋" w:hAnsi="仿宋" w:eastAsia="仿宋" w:cs="仿宋"/>
          <w:color w:val="auto"/>
          <w:highlight w:val="none"/>
        </w:rPr>
        <w:fldChar w:fldCharType="begin"/>
      </w:r>
      <w:r>
        <w:rPr>
          <w:rStyle w:val="45"/>
          <w:rFonts w:hint="eastAsia" w:ascii="仿宋" w:hAnsi="仿宋" w:eastAsia="仿宋" w:cs="仿宋"/>
          <w:color w:val="auto"/>
          <w:highlight w:val="none"/>
        </w:rPr>
        <w:instrText xml:space="preserve"> </w:instrText>
      </w:r>
      <w:r>
        <w:rPr>
          <w:rFonts w:hint="eastAsia" w:ascii="仿宋" w:hAnsi="仿宋" w:eastAsia="仿宋" w:cs="仿宋"/>
          <w:color w:val="auto"/>
          <w:highlight w:val="none"/>
        </w:rPr>
        <w:instrText xml:space="preserve">HYPERLINK \l "_Toc106998013"</w:instrText>
      </w:r>
      <w:r>
        <w:rPr>
          <w:rStyle w:val="45"/>
          <w:rFonts w:hint="eastAsia" w:ascii="仿宋" w:hAnsi="仿宋" w:eastAsia="仿宋" w:cs="仿宋"/>
          <w:color w:val="auto"/>
          <w:highlight w:val="none"/>
        </w:rPr>
        <w:instrText xml:space="preserve"> </w:instrText>
      </w:r>
      <w:r>
        <w:rPr>
          <w:rStyle w:val="45"/>
          <w:rFonts w:hint="eastAsia" w:ascii="仿宋" w:hAnsi="仿宋" w:eastAsia="仿宋" w:cs="仿宋"/>
          <w:color w:val="auto"/>
          <w:highlight w:val="none"/>
        </w:rPr>
        <w:fldChar w:fldCharType="separate"/>
      </w:r>
      <w:r>
        <w:rPr>
          <w:rStyle w:val="45"/>
          <w:rFonts w:hint="eastAsia" w:ascii="仿宋" w:hAnsi="仿宋" w:eastAsia="仿宋" w:cs="仿宋"/>
          <w:color w:val="auto"/>
          <w:highlight w:val="none"/>
        </w:rPr>
        <w:t>第四章合同条款及格式</w:t>
      </w:r>
      <w:r>
        <w:rPr>
          <w:rFonts w:hint="eastAsia" w:ascii="仿宋" w:hAnsi="仿宋" w:eastAsia="仿宋" w:cs="仿宋"/>
          <w:color w:val="auto"/>
          <w:highlight w:val="none"/>
        </w:rPr>
        <w:tab/>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PAGEREF _Toc106998013 \h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t>51</w:t>
      </w:r>
      <w:r>
        <w:rPr>
          <w:rFonts w:hint="eastAsia" w:ascii="仿宋" w:hAnsi="仿宋" w:eastAsia="仿宋" w:cs="仿宋"/>
          <w:color w:val="auto"/>
          <w:highlight w:val="none"/>
        </w:rPr>
        <w:fldChar w:fldCharType="end"/>
      </w:r>
      <w:r>
        <w:rPr>
          <w:rStyle w:val="45"/>
          <w:rFonts w:hint="eastAsia" w:ascii="仿宋" w:hAnsi="仿宋" w:eastAsia="仿宋" w:cs="仿宋"/>
          <w:color w:val="auto"/>
          <w:highlight w:val="none"/>
        </w:rPr>
        <w:fldChar w:fldCharType="end"/>
      </w:r>
    </w:p>
    <w:p w14:paraId="6D6E4AA9">
      <w:pPr>
        <w:pStyle w:val="28"/>
        <w:tabs>
          <w:tab w:val="right" w:leader="dot" w:pos="9628"/>
          <w:tab w:val="clear" w:pos="8296"/>
        </w:tabs>
        <w:jc w:val="left"/>
        <w:rPr>
          <w:rFonts w:hint="eastAsia" w:ascii="仿宋" w:hAnsi="仿宋" w:eastAsia="仿宋" w:cs="仿宋"/>
          <w:b w:val="0"/>
          <w:bCs w:val="0"/>
          <w:caps w:val="0"/>
          <w:color w:val="auto"/>
          <w:sz w:val="21"/>
          <w:szCs w:val="22"/>
          <w:highlight w:val="none"/>
        </w:rPr>
      </w:pPr>
      <w:r>
        <w:rPr>
          <w:rStyle w:val="45"/>
          <w:rFonts w:hint="eastAsia" w:ascii="仿宋" w:hAnsi="仿宋" w:eastAsia="仿宋" w:cs="仿宋"/>
          <w:color w:val="auto"/>
          <w:highlight w:val="none"/>
        </w:rPr>
        <w:fldChar w:fldCharType="begin"/>
      </w:r>
      <w:r>
        <w:rPr>
          <w:rStyle w:val="45"/>
          <w:rFonts w:hint="eastAsia" w:ascii="仿宋" w:hAnsi="仿宋" w:eastAsia="仿宋" w:cs="仿宋"/>
          <w:color w:val="auto"/>
          <w:highlight w:val="none"/>
        </w:rPr>
        <w:instrText xml:space="preserve"> </w:instrText>
      </w:r>
      <w:r>
        <w:rPr>
          <w:rFonts w:hint="eastAsia" w:ascii="仿宋" w:hAnsi="仿宋" w:eastAsia="仿宋" w:cs="仿宋"/>
          <w:color w:val="auto"/>
          <w:highlight w:val="none"/>
        </w:rPr>
        <w:instrText xml:space="preserve">HYPERLINK \l "_Toc106998204"</w:instrText>
      </w:r>
      <w:r>
        <w:rPr>
          <w:rStyle w:val="45"/>
          <w:rFonts w:hint="eastAsia" w:ascii="仿宋" w:hAnsi="仿宋" w:eastAsia="仿宋" w:cs="仿宋"/>
          <w:color w:val="auto"/>
          <w:highlight w:val="none"/>
        </w:rPr>
        <w:instrText xml:space="preserve"> </w:instrText>
      </w:r>
      <w:r>
        <w:rPr>
          <w:rStyle w:val="45"/>
          <w:rFonts w:hint="eastAsia" w:ascii="仿宋" w:hAnsi="仿宋" w:eastAsia="仿宋" w:cs="仿宋"/>
          <w:color w:val="auto"/>
          <w:highlight w:val="none"/>
        </w:rPr>
        <w:fldChar w:fldCharType="separate"/>
      </w:r>
      <w:r>
        <w:rPr>
          <w:rStyle w:val="45"/>
          <w:rFonts w:hint="eastAsia" w:ascii="仿宋" w:hAnsi="仿宋" w:eastAsia="仿宋" w:cs="仿宋"/>
          <w:color w:val="auto"/>
          <w:highlight w:val="none"/>
        </w:rPr>
        <w:t>第二卷</w:t>
      </w:r>
      <w:r>
        <w:rPr>
          <w:rFonts w:hint="eastAsia" w:ascii="仿宋" w:hAnsi="仿宋" w:eastAsia="仿宋" w:cs="仿宋"/>
          <w:color w:val="auto"/>
          <w:highlight w:val="none"/>
        </w:rPr>
        <w:tab/>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PAGEREF _Toc106998204 \h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t>107</w:t>
      </w:r>
      <w:r>
        <w:rPr>
          <w:rFonts w:hint="eastAsia" w:ascii="仿宋" w:hAnsi="仿宋" w:eastAsia="仿宋" w:cs="仿宋"/>
          <w:color w:val="auto"/>
          <w:highlight w:val="none"/>
        </w:rPr>
        <w:fldChar w:fldCharType="end"/>
      </w:r>
      <w:r>
        <w:rPr>
          <w:rStyle w:val="45"/>
          <w:rFonts w:hint="eastAsia" w:ascii="仿宋" w:hAnsi="仿宋" w:eastAsia="仿宋" w:cs="仿宋"/>
          <w:color w:val="auto"/>
          <w:highlight w:val="none"/>
        </w:rPr>
        <w:fldChar w:fldCharType="end"/>
      </w:r>
    </w:p>
    <w:p w14:paraId="57CB481A">
      <w:pPr>
        <w:pStyle w:val="28"/>
        <w:tabs>
          <w:tab w:val="right" w:leader="dot" w:pos="9628"/>
          <w:tab w:val="clear" w:pos="8296"/>
        </w:tabs>
        <w:jc w:val="left"/>
        <w:rPr>
          <w:rFonts w:hint="eastAsia" w:ascii="仿宋" w:hAnsi="仿宋" w:eastAsia="仿宋" w:cs="仿宋"/>
          <w:b w:val="0"/>
          <w:bCs w:val="0"/>
          <w:caps w:val="0"/>
          <w:color w:val="auto"/>
          <w:sz w:val="21"/>
          <w:szCs w:val="22"/>
          <w:highlight w:val="none"/>
        </w:rPr>
      </w:pPr>
      <w:r>
        <w:rPr>
          <w:rStyle w:val="45"/>
          <w:rFonts w:hint="eastAsia" w:ascii="仿宋" w:hAnsi="仿宋" w:eastAsia="仿宋" w:cs="仿宋"/>
          <w:color w:val="auto"/>
          <w:highlight w:val="none"/>
        </w:rPr>
        <w:fldChar w:fldCharType="begin"/>
      </w:r>
      <w:r>
        <w:rPr>
          <w:rStyle w:val="45"/>
          <w:rFonts w:hint="eastAsia" w:ascii="仿宋" w:hAnsi="仿宋" w:eastAsia="仿宋" w:cs="仿宋"/>
          <w:color w:val="auto"/>
          <w:highlight w:val="none"/>
        </w:rPr>
        <w:instrText xml:space="preserve"> </w:instrText>
      </w:r>
      <w:r>
        <w:rPr>
          <w:rFonts w:hint="eastAsia" w:ascii="仿宋" w:hAnsi="仿宋" w:eastAsia="仿宋" w:cs="仿宋"/>
          <w:color w:val="auto"/>
          <w:highlight w:val="none"/>
        </w:rPr>
        <w:instrText xml:space="preserve">HYPERLINK \l "_Toc106998205"</w:instrText>
      </w:r>
      <w:r>
        <w:rPr>
          <w:rStyle w:val="45"/>
          <w:rFonts w:hint="eastAsia" w:ascii="仿宋" w:hAnsi="仿宋" w:eastAsia="仿宋" w:cs="仿宋"/>
          <w:color w:val="auto"/>
          <w:highlight w:val="none"/>
        </w:rPr>
        <w:instrText xml:space="preserve"> </w:instrText>
      </w:r>
      <w:r>
        <w:rPr>
          <w:rStyle w:val="45"/>
          <w:rFonts w:hint="eastAsia" w:ascii="仿宋" w:hAnsi="仿宋" w:eastAsia="仿宋" w:cs="仿宋"/>
          <w:color w:val="auto"/>
          <w:highlight w:val="none"/>
        </w:rPr>
        <w:fldChar w:fldCharType="separate"/>
      </w:r>
      <w:r>
        <w:rPr>
          <w:rStyle w:val="45"/>
          <w:rFonts w:hint="eastAsia" w:ascii="仿宋" w:hAnsi="仿宋" w:eastAsia="仿宋" w:cs="仿宋"/>
          <w:color w:val="auto"/>
          <w:highlight w:val="none"/>
        </w:rPr>
        <w:t>第五章发包人要求</w:t>
      </w:r>
      <w:r>
        <w:rPr>
          <w:rFonts w:hint="eastAsia" w:ascii="仿宋" w:hAnsi="仿宋" w:eastAsia="仿宋" w:cs="仿宋"/>
          <w:color w:val="auto"/>
          <w:highlight w:val="none"/>
        </w:rPr>
        <w:tab/>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PAGEREF _Toc106998205 \h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t>108</w:t>
      </w:r>
      <w:r>
        <w:rPr>
          <w:rFonts w:hint="eastAsia" w:ascii="仿宋" w:hAnsi="仿宋" w:eastAsia="仿宋" w:cs="仿宋"/>
          <w:color w:val="auto"/>
          <w:highlight w:val="none"/>
        </w:rPr>
        <w:fldChar w:fldCharType="end"/>
      </w:r>
      <w:r>
        <w:rPr>
          <w:rStyle w:val="45"/>
          <w:rFonts w:hint="eastAsia" w:ascii="仿宋" w:hAnsi="仿宋" w:eastAsia="仿宋" w:cs="仿宋"/>
          <w:color w:val="auto"/>
          <w:highlight w:val="none"/>
        </w:rPr>
        <w:fldChar w:fldCharType="end"/>
      </w:r>
    </w:p>
    <w:p w14:paraId="23ECD63C">
      <w:pPr>
        <w:pStyle w:val="28"/>
        <w:tabs>
          <w:tab w:val="right" w:leader="dot" w:pos="9628"/>
          <w:tab w:val="clear" w:pos="8296"/>
        </w:tabs>
        <w:jc w:val="left"/>
        <w:rPr>
          <w:rFonts w:hint="eastAsia" w:ascii="仿宋" w:hAnsi="仿宋" w:eastAsia="仿宋" w:cs="仿宋"/>
          <w:b w:val="0"/>
          <w:bCs w:val="0"/>
          <w:caps w:val="0"/>
          <w:color w:val="auto"/>
          <w:sz w:val="21"/>
          <w:szCs w:val="22"/>
          <w:highlight w:val="none"/>
        </w:rPr>
      </w:pPr>
      <w:r>
        <w:rPr>
          <w:rStyle w:val="45"/>
          <w:rFonts w:hint="eastAsia" w:ascii="仿宋" w:hAnsi="仿宋" w:eastAsia="仿宋" w:cs="仿宋"/>
          <w:color w:val="auto"/>
          <w:highlight w:val="none"/>
        </w:rPr>
        <w:fldChar w:fldCharType="begin"/>
      </w:r>
      <w:r>
        <w:rPr>
          <w:rStyle w:val="45"/>
          <w:rFonts w:hint="eastAsia" w:ascii="仿宋" w:hAnsi="仿宋" w:eastAsia="仿宋" w:cs="仿宋"/>
          <w:color w:val="auto"/>
          <w:highlight w:val="none"/>
        </w:rPr>
        <w:instrText xml:space="preserve"> </w:instrText>
      </w:r>
      <w:r>
        <w:rPr>
          <w:rFonts w:hint="eastAsia" w:ascii="仿宋" w:hAnsi="仿宋" w:eastAsia="仿宋" w:cs="仿宋"/>
          <w:color w:val="auto"/>
          <w:highlight w:val="none"/>
        </w:rPr>
        <w:instrText xml:space="preserve">HYPERLINK \l "_Toc106998209"</w:instrText>
      </w:r>
      <w:r>
        <w:rPr>
          <w:rStyle w:val="45"/>
          <w:rFonts w:hint="eastAsia" w:ascii="仿宋" w:hAnsi="仿宋" w:eastAsia="仿宋" w:cs="仿宋"/>
          <w:color w:val="auto"/>
          <w:highlight w:val="none"/>
        </w:rPr>
        <w:instrText xml:space="preserve"> </w:instrText>
      </w:r>
      <w:r>
        <w:rPr>
          <w:rStyle w:val="45"/>
          <w:rFonts w:hint="eastAsia" w:ascii="仿宋" w:hAnsi="仿宋" w:eastAsia="仿宋" w:cs="仿宋"/>
          <w:color w:val="auto"/>
          <w:highlight w:val="none"/>
        </w:rPr>
        <w:fldChar w:fldCharType="separate"/>
      </w:r>
      <w:r>
        <w:rPr>
          <w:rStyle w:val="45"/>
          <w:rFonts w:hint="eastAsia" w:ascii="仿宋" w:hAnsi="仿宋" w:eastAsia="仿宋" w:cs="仿宋"/>
          <w:color w:val="auto"/>
          <w:highlight w:val="none"/>
        </w:rPr>
        <w:t>第六章发包人提供的资料</w:t>
      </w:r>
      <w:r>
        <w:rPr>
          <w:rFonts w:hint="eastAsia" w:ascii="仿宋" w:hAnsi="仿宋" w:eastAsia="仿宋" w:cs="仿宋"/>
          <w:color w:val="auto"/>
          <w:highlight w:val="none"/>
        </w:rPr>
        <w:tab/>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PAGEREF _Toc106998209 \h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t>138</w:t>
      </w:r>
      <w:r>
        <w:rPr>
          <w:rFonts w:hint="eastAsia" w:ascii="仿宋" w:hAnsi="仿宋" w:eastAsia="仿宋" w:cs="仿宋"/>
          <w:color w:val="auto"/>
          <w:highlight w:val="none"/>
        </w:rPr>
        <w:fldChar w:fldCharType="end"/>
      </w:r>
      <w:r>
        <w:rPr>
          <w:rStyle w:val="45"/>
          <w:rFonts w:hint="eastAsia" w:ascii="仿宋" w:hAnsi="仿宋" w:eastAsia="仿宋" w:cs="仿宋"/>
          <w:color w:val="auto"/>
          <w:highlight w:val="none"/>
        </w:rPr>
        <w:fldChar w:fldCharType="end"/>
      </w:r>
    </w:p>
    <w:p w14:paraId="12EF870A">
      <w:pPr>
        <w:pStyle w:val="28"/>
        <w:tabs>
          <w:tab w:val="right" w:leader="dot" w:pos="9628"/>
          <w:tab w:val="clear" w:pos="8296"/>
        </w:tabs>
        <w:jc w:val="left"/>
        <w:rPr>
          <w:rFonts w:hint="eastAsia" w:ascii="仿宋" w:hAnsi="仿宋" w:eastAsia="仿宋" w:cs="仿宋"/>
          <w:b w:val="0"/>
          <w:bCs w:val="0"/>
          <w:caps w:val="0"/>
          <w:color w:val="auto"/>
          <w:sz w:val="21"/>
          <w:szCs w:val="22"/>
          <w:highlight w:val="none"/>
        </w:rPr>
      </w:pPr>
      <w:r>
        <w:rPr>
          <w:rStyle w:val="45"/>
          <w:rFonts w:hint="eastAsia" w:ascii="仿宋" w:hAnsi="仿宋" w:eastAsia="仿宋" w:cs="仿宋"/>
          <w:color w:val="auto"/>
          <w:highlight w:val="none"/>
        </w:rPr>
        <w:fldChar w:fldCharType="begin"/>
      </w:r>
      <w:r>
        <w:rPr>
          <w:rStyle w:val="45"/>
          <w:rFonts w:hint="eastAsia" w:ascii="仿宋" w:hAnsi="仿宋" w:eastAsia="仿宋" w:cs="仿宋"/>
          <w:color w:val="auto"/>
          <w:highlight w:val="none"/>
        </w:rPr>
        <w:instrText xml:space="preserve"> </w:instrText>
      </w:r>
      <w:r>
        <w:rPr>
          <w:rFonts w:hint="eastAsia" w:ascii="仿宋" w:hAnsi="仿宋" w:eastAsia="仿宋" w:cs="仿宋"/>
          <w:color w:val="auto"/>
          <w:highlight w:val="none"/>
        </w:rPr>
        <w:instrText xml:space="preserve">HYPERLINK \l "_Toc106998210"</w:instrText>
      </w:r>
      <w:r>
        <w:rPr>
          <w:rStyle w:val="45"/>
          <w:rFonts w:hint="eastAsia" w:ascii="仿宋" w:hAnsi="仿宋" w:eastAsia="仿宋" w:cs="仿宋"/>
          <w:color w:val="auto"/>
          <w:highlight w:val="none"/>
        </w:rPr>
        <w:instrText xml:space="preserve"> </w:instrText>
      </w:r>
      <w:r>
        <w:rPr>
          <w:rStyle w:val="45"/>
          <w:rFonts w:hint="eastAsia" w:ascii="仿宋" w:hAnsi="仿宋" w:eastAsia="仿宋" w:cs="仿宋"/>
          <w:color w:val="auto"/>
          <w:highlight w:val="none"/>
        </w:rPr>
        <w:fldChar w:fldCharType="separate"/>
      </w:r>
      <w:r>
        <w:rPr>
          <w:rStyle w:val="45"/>
          <w:rFonts w:hint="eastAsia" w:ascii="仿宋" w:hAnsi="仿宋" w:eastAsia="仿宋" w:cs="仿宋"/>
          <w:color w:val="auto"/>
          <w:highlight w:val="none"/>
        </w:rPr>
        <w:t>第三卷</w:t>
      </w:r>
      <w:r>
        <w:rPr>
          <w:rFonts w:hint="eastAsia" w:ascii="仿宋" w:hAnsi="仿宋" w:eastAsia="仿宋" w:cs="仿宋"/>
          <w:color w:val="auto"/>
          <w:highlight w:val="none"/>
        </w:rPr>
        <w:tab/>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PAGEREF _Toc106998210 \h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t>140</w:t>
      </w:r>
      <w:r>
        <w:rPr>
          <w:rFonts w:hint="eastAsia" w:ascii="仿宋" w:hAnsi="仿宋" w:eastAsia="仿宋" w:cs="仿宋"/>
          <w:color w:val="auto"/>
          <w:highlight w:val="none"/>
        </w:rPr>
        <w:fldChar w:fldCharType="end"/>
      </w:r>
      <w:r>
        <w:rPr>
          <w:rStyle w:val="45"/>
          <w:rFonts w:hint="eastAsia" w:ascii="仿宋" w:hAnsi="仿宋" w:eastAsia="仿宋" w:cs="仿宋"/>
          <w:color w:val="auto"/>
          <w:highlight w:val="none"/>
        </w:rPr>
        <w:fldChar w:fldCharType="end"/>
      </w:r>
    </w:p>
    <w:p w14:paraId="0CE0BD6C">
      <w:pPr>
        <w:pStyle w:val="28"/>
        <w:tabs>
          <w:tab w:val="right" w:leader="dot" w:pos="9628"/>
          <w:tab w:val="clear" w:pos="8296"/>
        </w:tabs>
        <w:jc w:val="left"/>
        <w:rPr>
          <w:rFonts w:hint="eastAsia" w:ascii="仿宋" w:hAnsi="仿宋" w:eastAsia="仿宋" w:cs="仿宋"/>
          <w:b w:val="0"/>
          <w:bCs w:val="0"/>
          <w:caps w:val="0"/>
          <w:color w:val="auto"/>
          <w:sz w:val="21"/>
          <w:szCs w:val="22"/>
          <w:highlight w:val="none"/>
        </w:rPr>
      </w:pPr>
      <w:r>
        <w:rPr>
          <w:rStyle w:val="45"/>
          <w:rFonts w:hint="eastAsia" w:ascii="仿宋" w:hAnsi="仿宋" w:eastAsia="仿宋" w:cs="仿宋"/>
          <w:color w:val="auto"/>
          <w:highlight w:val="none"/>
        </w:rPr>
        <w:fldChar w:fldCharType="begin"/>
      </w:r>
      <w:r>
        <w:rPr>
          <w:rStyle w:val="45"/>
          <w:rFonts w:hint="eastAsia" w:ascii="仿宋" w:hAnsi="仿宋" w:eastAsia="仿宋" w:cs="仿宋"/>
          <w:color w:val="auto"/>
          <w:highlight w:val="none"/>
        </w:rPr>
        <w:instrText xml:space="preserve"> </w:instrText>
      </w:r>
      <w:r>
        <w:rPr>
          <w:rFonts w:hint="eastAsia" w:ascii="仿宋" w:hAnsi="仿宋" w:eastAsia="仿宋" w:cs="仿宋"/>
          <w:color w:val="auto"/>
          <w:highlight w:val="none"/>
        </w:rPr>
        <w:instrText xml:space="preserve">HYPERLINK \l "_Toc106998211"</w:instrText>
      </w:r>
      <w:r>
        <w:rPr>
          <w:rStyle w:val="45"/>
          <w:rFonts w:hint="eastAsia" w:ascii="仿宋" w:hAnsi="仿宋" w:eastAsia="仿宋" w:cs="仿宋"/>
          <w:color w:val="auto"/>
          <w:highlight w:val="none"/>
        </w:rPr>
        <w:instrText xml:space="preserve"> </w:instrText>
      </w:r>
      <w:r>
        <w:rPr>
          <w:rStyle w:val="45"/>
          <w:rFonts w:hint="eastAsia" w:ascii="仿宋" w:hAnsi="仿宋" w:eastAsia="仿宋" w:cs="仿宋"/>
          <w:color w:val="auto"/>
          <w:highlight w:val="none"/>
        </w:rPr>
        <w:fldChar w:fldCharType="separate"/>
      </w:r>
      <w:r>
        <w:rPr>
          <w:rStyle w:val="45"/>
          <w:rFonts w:hint="eastAsia" w:ascii="仿宋" w:hAnsi="仿宋" w:eastAsia="仿宋" w:cs="仿宋"/>
          <w:color w:val="auto"/>
          <w:highlight w:val="none"/>
        </w:rPr>
        <w:t>第七章投标文件格式</w:t>
      </w:r>
      <w:r>
        <w:rPr>
          <w:rFonts w:hint="eastAsia" w:ascii="仿宋" w:hAnsi="仿宋" w:eastAsia="仿宋" w:cs="仿宋"/>
          <w:color w:val="auto"/>
          <w:highlight w:val="none"/>
        </w:rPr>
        <w:tab/>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PAGEREF _Toc106998211 \h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t>141</w:t>
      </w:r>
      <w:r>
        <w:rPr>
          <w:rFonts w:hint="eastAsia" w:ascii="仿宋" w:hAnsi="仿宋" w:eastAsia="仿宋" w:cs="仿宋"/>
          <w:color w:val="auto"/>
          <w:highlight w:val="none"/>
        </w:rPr>
        <w:fldChar w:fldCharType="end"/>
      </w:r>
      <w:r>
        <w:rPr>
          <w:rStyle w:val="45"/>
          <w:rFonts w:hint="eastAsia" w:ascii="仿宋" w:hAnsi="仿宋" w:eastAsia="仿宋" w:cs="仿宋"/>
          <w:color w:val="auto"/>
          <w:highlight w:val="none"/>
        </w:rPr>
        <w:fldChar w:fldCharType="end"/>
      </w:r>
    </w:p>
    <w:p w14:paraId="51A0CC5B">
      <w:pPr>
        <w:pStyle w:val="3"/>
        <w:jc w:val="left"/>
        <w:rPr>
          <w:rFonts w:hint="eastAsia" w:ascii="仿宋" w:hAnsi="仿宋" w:eastAsia="仿宋" w:cs="仿宋"/>
          <w:color w:val="auto"/>
          <w:highlight w:val="none"/>
        </w:rPr>
        <w:sectPr>
          <w:footerReference r:id="rId7" w:type="default"/>
          <w:pgSz w:w="11906" w:h="16838"/>
          <w:pgMar w:top="1418" w:right="1134" w:bottom="1418" w:left="1134" w:header="851" w:footer="992" w:gutter="0"/>
          <w:pgNumType w:fmt="decimal"/>
          <w:cols w:space="720" w:num="1"/>
          <w:docGrid w:type="lines" w:linePitch="312" w:charSpace="0"/>
        </w:sectPr>
      </w:pPr>
      <w:r>
        <w:rPr>
          <w:rFonts w:hint="eastAsia" w:ascii="仿宋" w:hAnsi="仿宋" w:eastAsia="仿宋" w:cs="仿宋"/>
          <w:caps/>
          <w:color w:val="auto"/>
          <w:highlight w:val="none"/>
        </w:rPr>
        <w:fldChar w:fldCharType="end"/>
      </w:r>
    </w:p>
    <w:p w14:paraId="34B67CB4">
      <w:pPr>
        <w:pStyle w:val="3"/>
        <w:jc w:val="left"/>
        <w:rPr>
          <w:rFonts w:hint="eastAsia" w:ascii="仿宋" w:hAnsi="仿宋" w:eastAsia="仿宋" w:cs="仿宋"/>
          <w:caps/>
          <w:color w:val="auto"/>
          <w:kern w:val="2"/>
          <w:sz w:val="20"/>
          <w:highlight w:val="none"/>
        </w:rPr>
      </w:pPr>
    </w:p>
    <w:p w14:paraId="309AC39E">
      <w:pPr>
        <w:pStyle w:val="3"/>
        <w:jc w:val="center"/>
        <w:rPr>
          <w:rFonts w:hint="eastAsia" w:ascii="仿宋" w:hAnsi="仿宋" w:eastAsia="仿宋" w:cs="仿宋"/>
          <w:color w:val="auto"/>
          <w:sz w:val="44"/>
          <w:szCs w:val="44"/>
          <w:highlight w:val="none"/>
        </w:rPr>
      </w:pPr>
      <w:bookmarkStart w:id="10" w:name="_Toc106997940"/>
      <w:r>
        <w:rPr>
          <w:rFonts w:hint="eastAsia" w:ascii="仿宋" w:hAnsi="仿宋" w:eastAsia="仿宋" w:cs="仿宋"/>
          <w:color w:val="auto"/>
          <w:sz w:val="44"/>
          <w:szCs w:val="44"/>
          <w:highlight w:val="none"/>
        </w:rPr>
        <w:t>第一卷</w:t>
      </w:r>
      <w:bookmarkEnd w:id="5"/>
      <w:bookmarkEnd w:id="6"/>
      <w:bookmarkEnd w:id="10"/>
    </w:p>
    <w:p w14:paraId="5FB7303E">
      <w:pPr>
        <w:widowControl/>
        <w:spacing w:line="440" w:lineRule="exact"/>
        <w:ind w:left="1200" w:leftChars="300" w:hanging="480" w:hangingChars="200"/>
        <w:jc w:val="center"/>
        <w:outlineLvl w:val="0"/>
        <w:rPr>
          <w:rFonts w:hint="eastAsia" w:ascii="仿宋" w:hAnsi="仿宋" w:eastAsia="仿宋" w:cs="仿宋"/>
          <w:b/>
          <w:color w:val="auto"/>
          <w:kern w:val="44"/>
          <w:sz w:val="44"/>
          <w:szCs w:val="44"/>
          <w:highlight w:val="none"/>
        </w:rPr>
      </w:pPr>
      <w:r>
        <w:rPr>
          <w:rFonts w:hint="eastAsia" w:ascii="仿宋" w:hAnsi="仿宋" w:eastAsia="仿宋" w:cs="仿宋"/>
          <w:color w:val="auto"/>
          <w:highlight w:val="none"/>
        </w:rPr>
        <w:br w:type="page"/>
      </w:r>
      <w:bookmarkEnd w:id="7"/>
      <w:bookmarkEnd w:id="8"/>
      <w:bookmarkEnd w:id="9"/>
      <w:bookmarkStart w:id="11" w:name="_Toc523914011"/>
      <w:bookmarkStart w:id="12" w:name="_Toc106997941"/>
      <w:r>
        <w:rPr>
          <w:rFonts w:hint="eastAsia" w:ascii="仿宋" w:hAnsi="仿宋" w:eastAsia="仿宋" w:cs="仿宋"/>
          <w:b/>
          <w:color w:val="auto"/>
          <w:kern w:val="44"/>
          <w:sz w:val="44"/>
          <w:szCs w:val="44"/>
          <w:highlight w:val="none"/>
        </w:rPr>
        <w:t>第一章</w:t>
      </w:r>
      <w:bookmarkEnd w:id="11"/>
      <w:r>
        <w:rPr>
          <w:rFonts w:hint="eastAsia" w:ascii="仿宋" w:hAnsi="仿宋" w:eastAsia="仿宋" w:cs="仿宋"/>
          <w:b/>
          <w:color w:val="auto"/>
          <w:kern w:val="44"/>
          <w:sz w:val="44"/>
          <w:szCs w:val="44"/>
          <w:highlight w:val="none"/>
        </w:rPr>
        <w:t>招标公告</w:t>
      </w:r>
      <w:bookmarkEnd w:id="12"/>
    </w:p>
    <w:p w14:paraId="63F57683">
      <w:pPr>
        <w:pStyle w:val="113"/>
        <w:keepNext w:val="0"/>
        <w:keepLines w:val="0"/>
        <w:pageBreakBefore w:val="0"/>
        <w:widowControl/>
        <w:numPr>
          <w:ilvl w:val="0"/>
          <w:numId w:val="1"/>
        </w:numPr>
        <w:kinsoku/>
        <w:wordWrap/>
        <w:overflowPunct/>
        <w:topLinePunct w:val="0"/>
        <w:autoSpaceDE/>
        <w:autoSpaceDN/>
        <w:bidi w:val="0"/>
        <w:adjustRightInd/>
        <w:snapToGrid/>
        <w:spacing w:line="480" w:lineRule="exact"/>
        <w:ind w:firstLine="0" w:firstLineChars="0"/>
        <w:jc w:val="left"/>
        <w:textAlignment w:val="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招标条件</w:t>
      </w:r>
    </w:p>
    <w:p w14:paraId="59956954">
      <w:pPr>
        <w:keepNext w:val="0"/>
        <w:keepLines w:val="0"/>
        <w:pageBreakBefore w:val="0"/>
        <w:widowControl/>
        <w:kinsoku/>
        <w:wordWrap/>
        <w:overflowPunct/>
        <w:topLinePunct w:val="0"/>
        <w:autoSpaceDE/>
        <w:autoSpaceDN/>
        <w:bidi w:val="0"/>
        <w:adjustRightInd/>
        <w:snapToGrid/>
        <w:spacing w:line="480" w:lineRule="exact"/>
        <w:ind w:firstLine="0" w:firstLineChars="0"/>
        <w:jc w:val="left"/>
        <w:textAlignment w:val="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 xml:space="preserve"> 老边区行政审批局以营边行审备【2025】6号文件批准建设，招标人为营口市汇信资源循环利用(集团)有限公司 ,工程所需资金来源为自筹。项目资金已落实，项目已具备招标条件，现对</w:t>
      </w:r>
      <w:r>
        <w:rPr>
          <w:rFonts w:hint="eastAsia" w:ascii="仿宋" w:hAnsi="仿宋" w:eastAsia="仿宋" w:cs="仿宋"/>
          <w:color w:val="auto"/>
          <w:szCs w:val="21"/>
          <w:highlight w:val="none"/>
          <w:lang w:val="en-US" w:eastAsia="zh-CN"/>
        </w:rPr>
        <w:t>该项目的</w:t>
      </w:r>
      <w:r>
        <w:rPr>
          <w:rFonts w:hint="eastAsia" w:ascii="仿宋" w:hAnsi="仿宋" w:eastAsia="仿宋" w:cs="仿宋"/>
          <w:color w:val="auto"/>
          <w:szCs w:val="21"/>
          <w:highlight w:val="none"/>
        </w:rPr>
        <w:t>工程设计采购施工及运营总承包（EPC+O）进行公开招标。本次招标对投标报名人的资格审查，采用资格后审方法选择合适的投标申请人参加投标。</w:t>
      </w:r>
    </w:p>
    <w:p w14:paraId="44B31969">
      <w:pPr>
        <w:keepNext w:val="0"/>
        <w:keepLines w:val="0"/>
        <w:pageBreakBefore w:val="0"/>
        <w:widowControl/>
        <w:kinsoku/>
        <w:wordWrap/>
        <w:overflowPunct/>
        <w:topLinePunct w:val="0"/>
        <w:autoSpaceDE/>
        <w:autoSpaceDN/>
        <w:bidi w:val="0"/>
        <w:adjustRightInd/>
        <w:snapToGrid/>
        <w:spacing w:line="480" w:lineRule="exact"/>
        <w:ind w:firstLine="0" w:firstLineChars="0"/>
        <w:jc w:val="left"/>
        <w:textAlignment w:val="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二、项目概况与招标范围</w:t>
      </w:r>
    </w:p>
    <w:p w14:paraId="0FA7D98F">
      <w:pPr>
        <w:keepNext w:val="0"/>
        <w:keepLines w:val="0"/>
        <w:pageBreakBefore w:val="0"/>
        <w:widowControl/>
        <w:kinsoku/>
        <w:wordWrap/>
        <w:overflowPunct/>
        <w:topLinePunct w:val="0"/>
        <w:autoSpaceDE/>
        <w:autoSpaceDN/>
        <w:bidi w:val="0"/>
        <w:adjustRightInd/>
        <w:snapToGrid/>
        <w:spacing w:line="480" w:lineRule="exact"/>
        <w:ind w:firstLine="0" w:firstLineChars="0"/>
        <w:jc w:val="left"/>
        <w:textAlignment w:val="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1.本次招标项目的建设地点：辽宁省营口市老边区营大路与上白线交叉口东北侧。</w:t>
      </w:r>
    </w:p>
    <w:p w14:paraId="4CD79C53">
      <w:pPr>
        <w:keepNext w:val="0"/>
        <w:keepLines w:val="0"/>
        <w:pageBreakBefore w:val="0"/>
        <w:widowControl/>
        <w:kinsoku/>
        <w:wordWrap/>
        <w:overflowPunct/>
        <w:topLinePunct w:val="0"/>
        <w:autoSpaceDE/>
        <w:autoSpaceDN/>
        <w:bidi w:val="0"/>
        <w:adjustRightInd/>
        <w:snapToGrid/>
        <w:spacing w:line="480" w:lineRule="exact"/>
        <w:ind w:firstLine="0" w:firstLineChars="0"/>
        <w:jc w:val="left"/>
        <w:textAlignment w:val="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2.工程规模：项目占地面积13600m，总建筑面积约4106.88m。建设内容包括:细格栅、调节池、SBR池、臭氧接触池、消毒池、综合处理间、臭氧发生间、综合楼等。该项目远期规划规模15000立方米/天，近期建设规模为8000立方米/天的污水处理厂。该项目年综合能源消费量为369.99tce(当量值)/909.17tce(等价值)，且年电力消费量为301.05万KW.H。</w:t>
      </w:r>
    </w:p>
    <w:p w14:paraId="7547CE80">
      <w:pPr>
        <w:keepNext w:val="0"/>
        <w:keepLines w:val="0"/>
        <w:pageBreakBefore w:val="0"/>
        <w:widowControl/>
        <w:kinsoku/>
        <w:wordWrap/>
        <w:overflowPunct/>
        <w:topLinePunct w:val="0"/>
        <w:autoSpaceDE/>
        <w:autoSpaceDN/>
        <w:bidi w:val="0"/>
        <w:adjustRightInd/>
        <w:snapToGrid/>
        <w:spacing w:line="480" w:lineRule="exact"/>
        <w:ind w:firstLine="0" w:firstLineChars="0"/>
        <w:jc w:val="left"/>
        <w:textAlignment w:val="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3.合同估算价： 万元</w:t>
      </w:r>
    </w:p>
    <w:p w14:paraId="7B1B1071">
      <w:pPr>
        <w:keepNext w:val="0"/>
        <w:keepLines w:val="0"/>
        <w:pageBreakBefore w:val="0"/>
        <w:widowControl/>
        <w:kinsoku/>
        <w:wordWrap/>
        <w:overflowPunct/>
        <w:topLinePunct w:val="0"/>
        <w:autoSpaceDE/>
        <w:autoSpaceDN/>
        <w:bidi w:val="0"/>
        <w:adjustRightInd/>
        <w:snapToGrid/>
        <w:spacing w:line="480" w:lineRule="exact"/>
        <w:ind w:firstLine="0" w:firstLineChars="0"/>
        <w:jc w:val="left"/>
        <w:textAlignment w:val="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4.本公告共划分为1个标段</w:t>
      </w:r>
    </w:p>
    <w:tbl>
      <w:tblPr>
        <w:tblStyle w:val="39"/>
        <w:tblW w:w="959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11"/>
        <w:gridCol w:w="4045"/>
        <w:gridCol w:w="2338"/>
      </w:tblGrid>
      <w:tr w14:paraId="5C4442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11" w:type="dxa"/>
            <w:noWrap w:val="0"/>
            <w:vAlign w:val="center"/>
          </w:tcPr>
          <w:p w14:paraId="2EA5A5BA">
            <w:pPr>
              <w:keepNext w:val="0"/>
              <w:keepLines w:val="0"/>
              <w:pageBreakBefore w:val="0"/>
              <w:widowControl/>
              <w:kinsoku/>
              <w:wordWrap/>
              <w:overflowPunct/>
              <w:topLinePunct w:val="0"/>
              <w:autoSpaceDE/>
              <w:autoSpaceDN/>
              <w:bidi w:val="0"/>
              <w:adjustRightInd/>
              <w:snapToGrid/>
              <w:spacing w:line="480" w:lineRule="exact"/>
              <w:ind w:firstLine="0" w:firstLineChars="0"/>
              <w:jc w:val="left"/>
              <w:textAlignment w:val="auto"/>
              <w:rPr>
                <w:rFonts w:hint="eastAsia" w:ascii="仿宋" w:hAnsi="仿宋" w:eastAsia="仿宋" w:cs="仿宋"/>
                <w:color w:val="auto"/>
                <w:szCs w:val="21"/>
                <w:highlight w:val="none"/>
              </w:rPr>
            </w:pPr>
            <w:r>
              <w:rPr>
                <w:rFonts w:hint="eastAsia" w:ascii="仿宋" w:hAnsi="仿宋" w:eastAsia="仿宋" w:cs="仿宋"/>
                <w:b/>
                <w:bCs/>
                <w:color w:val="auto"/>
                <w:szCs w:val="21"/>
                <w:highlight w:val="none"/>
              </w:rPr>
              <w:t>标段名称</w:t>
            </w:r>
          </w:p>
        </w:tc>
        <w:tc>
          <w:tcPr>
            <w:tcW w:w="4045" w:type="dxa"/>
            <w:noWrap w:val="0"/>
            <w:vAlign w:val="center"/>
          </w:tcPr>
          <w:p w14:paraId="720617C5">
            <w:pPr>
              <w:keepNext w:val="0"/>
              <w:keepLines w:val="0"/>
              <w:pageBreakBefore w:val="0"/>
              <w:widowControl/>
              <w:kinsoku/>
              <w:wordWrap/>
              <w:overflowPunct/>
              <w:topLinePunct w:val="0"/>
              <w:autoSpaceDE/>
              <w:autoSpaceDN/>
              <w:bidi w:val="0"/>
              <w:adjustRightInd/>
              <w:snapToGrid/>
              <w:spacing w:line="480" w:lineRule="exact"/>
              <w:ind w:firstLine="0" w:firstLineChars="0"/>
              <w:jc w:val="left"/>
              <w:textAlignment w:val="auto"/>
              <w:rPr>
                <w:rFonts w:hint="eastAsia" w:ascii="仿宋" w:hAnsi="仿宋" w:eastAsia="仿宋" w:cs="仿宋"/>
                <w:color w:val="auto"/>
                <w:szCs w:val="21"/>
                <w:highlight w:val="none"/>
              </w:rPr>
            </w:pPr>
            <w:r>
              <w:rPr>
                <w:rFonts w:hint="eastAsia" w:ascii="仿宋" w:hAnsi="仿宋" w:eastAsia="仿宋" w:cs="仿宋"/>
                <w:b/>
                <w:bCs/>
                <w:color w:val="auto"/>
                <w:szCs w:val="21"/>
                <w:highlight w:val="none"/>
              </w:rPr>
              <w:t>招标范围</w:t>
            </w:r>
          </w:p>
        </w:tc>
        <w:tc>
          <w:tcPr>
            <w:tcW w:w="2338" w:type="dxa"/>
            <w:noWrap w:val="0"/>
            <w:vAlign w:val="center"/>
          </w:tcPr>
          <w:p w14:paraId="07E0F440">
            <w:pPr>
              <w:keepNext w:val="0"/>
              <w:keepLines w:val="0"/>
              <w:pageBreakBefore w:val="0"/>
              <w:widowControl/>
              <w:kinsoku/>
              <w:wordWrap/>
              <w:overflowPunct/>
              <w:topLinePunct w:val="0"/>
              <w:autoSpaceDE/>
              <w:autoSpaceDN/>
              <w:bidi w:val="0"/>
              <w:adjustRightInd/>
              <w:snapToGrid/>
              <w:spacing w:line="480" w:lineRule="exact"/>
              <w:ind w:firstLine="0" w:firstLineChars="0"/>
              <w:jc w:val="left"/>
              <w:textAlignment w:val="auto"/>
              <w:rPr>
                <w:rFonts w:hint="eastAsia" w:ascii="仿宋" w:hAnsi="仿宋" w:eastAsia="仿宋" w:cs="仿宋"/>
                <w:color w:val="auto"/>
                <w:szCs w:val="21"/>
                <w:highlight w:val="none"/>
              </w:rPr>
            </w:pPr>
            <w:r>
              <w:rPr>
                <w:rFonts w:hint="eastAsia" w:ascii="仿宋" w:hAnsi="仿宋" w:eastAsia="仿宋" w:cs="仿宋"/>
                <w:b/>
                <w:bCs/>
                <w:color w:val="auto"/>
                <w:szCs w:val="21"/>
                <w:highlight w:val="none"/>
              </w:rPr>
              <w:t>工期（天）</w:t>
            </w:r>
          </w:p>
        </w:tc>
      </w:tr>
      <w:tr w14:paraId="4DBCFE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trPr>
        <w:tc>
          <w:tcPr>
            <w:tcW w:w="3211" w:type="dxa"/>
            <w:noWrap w:val="0"/>
            <w:vAlign w:val="center"/>
          </w:tcPr>
          <w:p w14:paraId="5666EFA0">
            <w:pPr>
              <w:keepNext w:val="0"/>
              <w:keepLines w:val="0"/>
              <w:pageBreakBefore w:val="0"/>
              <w:widowControl/>
              <w:kinsoku/>
              <w:wordWrap/>
              <w:overflowPunct/>
              <w:topLinePunct w:val="0"/>
              <w:autoSpaceDE/>
              <w:autoSpaceDN/>
              <w:bidi w:val="0"/>
              <w:adjustRightInd/>
              <w:snapToGrid/>
              <w:spacing w:line="480" w:lineRule="exact"/>
              <w:ind w:firstLine="0" w:firstLineChars="0"/>
              <w:jc w:val="left"/>
              <w:textAlignment w:val="auto"/>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营口市汇信资源循环利用(集团)有限公司新建营口市老边区污水处理厂项目工程设计采购施工及运营总承包（EPC+O）</w:t>
            </w:r>
            <w:r>
              <w:rPr>
                <w:rFonts w:hint="eastAsia" w:ascii="仿宋" w:hAnsi="仿宋" w:eastAsia="仿宋" w:cs="仿宋"/>
                <w:color w:val="auto"/>
                <w:szCs w:val="21"/>
                <w:highlight w:val="none"/>
              </w:rPr>
              <w:t xml:space="preserve"> </w:t>
            </w:r>
          </w:p>
        </w:tc>
        <w:tc>
          <w:tcPr>
            <w:tcW w:w="4045" w:type="dxa"/>
            <w:noWrap w:val="0"/>
            <w:vAlign w:val="center"/>
          </w:tcPr>
          <w:p w14:paraId="5ED9BF9E">
            <w:pPr>
              <w:keepNext w:val="0"/>
              <w:keepLines w:val="0"/>
              <w:pageBreakBefore w:val="0"/>
              <w:widowControl/>
              <w:kinsoku/>
              <w:wordWrap/>
              <w:overflowPunct/>
              <w:topLinePunct w:val="0"/>
              <w:autoSpaceDE/>
              <w:autoSpaceDN/>
              <w:bidi w:val="0"/>
              <w:adjustRightInd/>
              <w:snapToGrid/>
              <w:spacing w:line="480" w:lineRule="exact"/>
              <w:ind w:firstLine="0" w:firstLineChars="0"/>
              <w:jc w:val="left"/>
              <w:textAlignment w:val="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 xml:space="preserve"> 营口市汇信资源循环利用(集团)有限公司新建营口市老边区污水处理厂项目的设计、施工、设备集成供货及服务、运营服务等实行全过程总承包。</w:t>
            </w:r>
          </w:p>
          <w:p w14:paraId="695D1CB0">
            <w:pPr>
              <w:keepNext w:val="0"/>
              <w:keepLines w:val="0"/>
              <w:pageBreakBefore w:val="0"/>
              <w:widowControl/>
              <w:kinsoku/>
              <w:wordWrap/>
              <w:overflowPunct/>
              <w:topLinePunct w:val="0"/>
              <w:autoSpaceDE/>
              <w:autoSpaceDN/>
              <w:bidi w:val="0"/>
              <w:adjustRightInd/>
              <w:snapToGrid/>
              <w:spacing w:line="480" w:lineRule="exact"/>
              <w:ind w:firstLine="0" w:firstLineChars="0"/>
              <w:jc w:val="left"/>
              <w:textAlignment w:val="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（1）工程设计范围：完成本项目建设范围内的施工图设计、施工图优化并配合送审取得施工图审查合格书等工作；协助办理本工程引起的工程设计报建手续；施工过程技术服务及设计变更手续等。</w:t>
            </w:r>
          </w:p>
          <w:p w14:paraId="78EC4B6F">
            <w:pPr>
              <w:keepNext w:val="0"/>
              <w:keepLines w:val="0"/>
              <w:pageBreakBefore w:val="0"/>
              <w:widowControl/>
              <w:kinsoku/>
              <w:wordWrap/>
              <w:overflowPunct/>
              <w:topLinePunct w:val="0"/>
              <w:autoSpaceDE/>
              <w:autoSpaceDN/>
              <w:bidi w:val="0"/>
              <w:adjustRightInd/>
              <w:snapToGrid/>
              <w:spacing w:line="480" w:lineRule="exact"/>
              <w:ind w:firstLine="0" w:firstLineChars="0"/>
              <w:jc w:val="left"/>
              <w:textAlignment w:val="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2）设备集成供货及服务：提供装配式（一体化）设备（处理量Q=8000m3/d）的生产与供货、全厂配套设备(含备品备件)生产与供货、技术参数、配套设备选型优化、设备运输、指导安装及指导调试、技术资料、培训、质量保证及售后服务等。</w:t>
            </w:r>
          </w:p>
          <w:p w14:paraId="6F6E2AF2">
            <w:pPr>
              <w:keepNext w:val="0"/>
              <w:keepLines w:val="0"/>
              <w:pageBreakBefore w:val="0"/>
              <w:widowControl/>
              <w:kinsoku/>
              <w:wordWrap/>
              <w:overflowPunct/>
              <w:topLinePunct w:val="0"/>
              <w:autoSpaceDE/>
              <w:autoSpaceDN/>
              <w:bidi w:val="0"/>
              <w:adjustRightInd/>
              <w:snapToGrid/>
              <w:spacing w:line="480" w:lineRule="exact"/>
              <w:ind w:firstLine="0" w:firstLineChars="0"/>
              <w:jc w:val="left"/>
              <w:textAlignment w:val="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3）工程施工范围：本项目设计范围内所有工程内容的施工（包人工、包材料设备、包安装、包质量、包工期、包安全、包文明施工、包竣工验收通过、包保修、包移交、包结算、包资料整理、包施工承包管理和现场整体组织、包专业协调及配合等），具体包括但不限于以下事项：</w:t>
            </w:r>
          </w:p>
          <w:p w14:paraId="16C59C80">
            <w:pPr>
              <w:keepNext w:val="0"/>
              <w:keepLines w:val="0"/>
              <w:pageBreakBefore w:val="0"/>
              <w:widowControl/>
              <w:kinsoku/>
              <w:wordWrap/>
              <w:overflowPunct/>
              <w:topLinePunct w:val="0"/>
              <w:autoSpaceDE/>
              <w:autoSpaceDN/>
              <w:bidi w:val="0"/>
              <w:adjustRightInd/>
              <w:snapToGrid/>
              <w:spacing w:line="480" w:lineRule="exact"/>
              <w:ind w:firstLine="0" w:firstLineChars="0"/>
              <w:jc w:val="left"/>
              <w:textAlignment w:val="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1）协助发包人办理工程前期的报建、报批工作；</w:t>
            </w:r>
          </w:p>
          <w:p w14:paraId="6E533681">
            <w:pPr>
              <w:keepNext w:val="0"/>
              <w:keepLines w:val="0"/>
              <w:pageBreakBefore w:val="0"/>
              <w:widowControl/>
              <w:kinsoku/>
              <w:wordWrap/>
              <w:overflowPunct/>
              <w:topLinePunct w:val="0"/>
              <w:autoSpaceDE/>
              <w:autoSpaceDN/>
              <w:bidi w:val="0"/>
              <w:adjustRightInd/>
              <w:snapToGrid/>
              <w:spacing w:line="480" w:lineRule="exact"/>
              <w:ind w:firstLine="0" w:firstLineChars="0"/>
              <w:jc w:val="left"/>
              <w:textAlignment w:val="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 xml:space="preserve">2）根据发包人要求，负责施工，负责设备保管、安装及调试； </w:t>
            </w:r>
          </w:p>
          <w:p w14:paraId="15F45FB6">
            <w:pPr>
              <w:keepNext w:val="0"/>
              <w:keepLines w:val="0"/>
              <w:pageBreakBefore w:val="0"/>
              <w:widowControl/>
              <w:kinsoku/>
              <w:wordWrap/>
              <w:overflowPunct/>
              <w:topLinePunct w:val="0"/>
              <w:autoSpaceDE/>
              <w:autoSpaceDN/>
              <w:bidi w:val="0"/>
              <w:adjustRightInd/>
              <w:snapToGrid/>
              <w:spacing w:line="480" w:lineRule="exact"/>
              <w:ind w:firstLine="0" w:firstLineChars="0"/>
              <w:jc w:val="left"/>
              <w:textAlignment w:val="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3）负责项目设计采购施工全过程工程建设管理，直至工程竣工验收备案、项目移交的工程总承包，配合业主办理结（决）算审计等工作，完成本项目保修期内的缺陷修复和保修工作等；</w:t>
            </w:r>
          </w:p>
          <w:p w14:paraId="37D0EAA6">
            <w:pPr>
              <w:keepNext w:val="0"/>
              <w:keepLines w:val="0"/>
              <w:pageBreakBefore w:val="0"/>
              <w:widowControl/>
              <w:kinsoku/>
              <w:wordWrap/>
              <w:overflowPunct/>
              <w:topLinePunct w:val="0"/>
              <w:autoSpaceDE/>
              <w:autoSpaceDN/>
              <w:bidi w:val="0"/>
              <w:adjustRightInd/>
              <w:snapToGrid/>
              <w:spacing w:line="480" w:lineRule="exact"/>
              <w:ind w:firstLine="0" w:firstLineChars="0"/>
              <w:jc w:val="left"/>
              <w:textAlignment w:val="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（4）运营范围：负责老边区污水处理厂及其配套污水收集管网及尾水排放管的运营、管理、维护</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lang w:val="en-US" w:eastAsia="zh-CN"/>
              </w:rPr>
              <w:t>本项目运营期3年</w:t>
            </w:r>
            <w:r>
              <w:rPr>
                <w:rFonts w:hint="eastAsia" w:ascii="仿宋" w:hAnsi="仿宋" w:eastAsia="仿宋" w:cs="仿宋"/>
                <w:color w:val="auto"/>
                <w:szCs w:val="21"/>
                <w:highlight w:val="none"/>
              </w:rPr>
              <w:t>。（具体详见招标文件）</w:t>
            </w:r>
          </w:p>
        </w:tc>
        <w:tc>
          <w:tcPr>
            <w:tcW w:w="2338" w:type="dxa"/>
            <w:noWrap w:val="0"/>
            <w:vAlign w:val="center"/>
          </w:tcPr>
          <w:p w14:paraId="3C313FF4">
            <w:pPr>
              <w:keepNext w:val="0"/>
              <w:keepLines w:val="0"/>
              <w:pageBreakBefore w:val="0"/>
              <w:widowControl/>
              <w:kinsoku/>
              <w:wordWrap/>
              <w:overflowPunct/>
              <w:topLinePunct w:val="0"/>
              <w:autoSpaceDE/>
              <w:autoSpaceDN/>
              <w:bidi w:val="0"/>
              <w:adjustRightInd/>
              <w:snapToGrid/>
              <w:spacing w:line="480" w:lineRule="exact"/>
              <w:ind w:firstLine="0" w:firstLineChars="0"/>
              <w:jc w:val="left"/>
              <w:textAlignment w:val="auto"/>
              <w:rPr>
                <w:rFonts w:hint="eastAsia" w:ascii="仿宋" w:hAnsi="仿宋" w:eastAsia="仿宋" w:cs="仿宋"/>
                <w:color w:val="auto"/>
                <w:szCs w:val="21"/>
                <w:highlight w:val="none"/>
              </w:rPr>
            </w:pPr>
          </w:p>
        </w:tc>
      </w:tr>
    </w:tbl>
    <w:p w14:paraId="0F0A73D4">
      <w:pPr>
        <w:keepNext w:val="0"/>
        <w:keepLines w:val="0"/>
        <w:pageBreakBefore w:val="0"/>
        <w:widowControl/>
        <w:kinsoku/>
        <w:wordWrap/>
        <w:overflowPunct/>
        <w:topLinePunct w:val="0"/>
        <w:autoSpaceDE/>
        <w:autoSpaceDN/>
        <w:bidi w:val="0"/>
        <w:adjustRightInd/>
        <w:snapToGrid/>
        <w:spacing w:line="480" w:lineRule="exact"/>
        <w:ind w:firstLine="0" w:firstLineChars="0"/>
        <w:jc w:val="left"/>
        <w:textAlignment w:val="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 xml:space="preserve"> 5.工期要求：</w:t>
      </w:r>
      <w:r>
        <w:rPr>
          <w:rFonts w:hint="eastAsia" w:ascii="仿宋" w:hAnsi="仿宋" w:eastAsia="仿宋" w:cs="仿宋"/>
          <w:color w:val="auto"/>
          <w:szCs w:val="21"/>
          <w:highlight w:val="none"/>
          <w:u w:val="single"/>
        </w:rPr>
        <w:t>2025</w:t>
      </w:r>
      <w:r>
        <w:rPr>
          <w:rFonts w:hint="eastAsia" w:ascii="仿宋" w:hAnsi="仿宋" w:eastAsia="仿宋" w:cs="仿宋"/>
          <w:color w:val="auto"/>
          <w:szCs w:val="21"/>
          <w:highlight w:val="none"/>
        </w:rPr>
        <w:t>年</w:t>
      </w:r>
      <w:r>
        <w:rPr>
          <w:rFonts w:hint="eastAsia" w:ascii="仿宋" w:hAnsi="仿宋" w:eastAsia="仿宋" w:cs="仿宋"/>
          <w:color w:val="auto"/>
          <w:szCs w:val="21"/>
          <w:highlight w:val="none"/>
          <w:lang w:val="en-US" w:eastAsia="zh-CN"/>
        </w:rPr>
        <w:t xml:space="preserve">  </w:t>
      </w:r>
      <w:r>
        <w:rPr>
          <w:rFonts w:hint="eastAsia" w:ascii="仿宋" w:hAnsi="仿宋" w:eastAsia="仿宋" w:cs="仿宋"/>
          <w:color w:val="auto"/>
          <w:szCs w:val="21"/>
          <w:highlight w:val="none"/>
        </w:rPr>
        <w:t>月</w:t>
      </w:r>
      <w:r>
        <w:rPr>
          <w:rFonts w:hint="eastAsia" w:ascii="仿宋" w:hAnsi="仿宋" w:eastAsia="仿宋" w:cs="仿宋"/>
          <w:color w:val="auto"/>
          <w:szCs w:val="21"/>
          <w:highlight w:val="none"/>
          <w:lang w:val="en-US" w:eastAsia="zh-CN"/>
        </w:rPr>
        <w:t xml:space="preserve">   </w:t>
      </w:r>
      <w:r>
        <w:rPr>
          <w:rFonts w:hint="eastAsia" w:ascii="仿宋" w:hAnsi="仿宋" w:eastAsia="仿宋" w:cs="仿宋"/>
          <w:color w:val="auto"/>
          <w:szCs w:val="21"/>
          <w:highlight w:val="none"/>
        </w:rPr>
        <w:t>日开工至</w:t>
      </w:r>
      <w:r>
        <w:rPr>
          <w:rFonts w:hint="eastAsia" w:ascii="仿宋" w:hAnsi="仿宋" w:eastAsia="仿宋" w:cs="仿宋"/>
          <w:color w:val="auto"/>
          <w:szCs w:val="21"/>
          <w:highlight w:val="none"/>
          <w:u w:val="single"/>
        </w:rPr>
        <w:t>2025</w:t>
      </w:r>
      <w:r>
        <w:rPr>
          <w:rFonts w:hint="eastAsia" w:ascii="仿宋" w:hAnsi="仿宋" w:eastAsia="仿宋" w:cs="仿宋"/>
          <w:color w:val="auto"/>
          <w:szCs w:val="21"/>
          <w:highlight w:val="none"/>
        </w:rPr>
        <w:t>年</w:t>
      </w:r>
      <w:r>
        <w:rPr>
          <w:rFonts w:hint="eastAsia" w:ascii="仿宋" w:hAnsi="仿宋" w:eastAsia="仿宋" w:cs="仿宋"/>
          <w:color w:val="auto"/>
          <w:szCs w:val="21"/>
          <w:highlight w:val="none"/>
          <w:lang w:val="en-US" w:eastAsia="zh-CN"/>
        </w:rPr>
        <w:t>6</w:t>
      </w:r>
      <w:r>
        <w:rPr>
          <w:rFonts w:hint="eastAsia" w:ascii="仿宋" w:hAnsi="仿宋" w:eastAsia="仿宋" w:cs="仿宋"/>
          <w:color w:val="auto"/>
          <w:szCs w:val="21"/>
          <w:highlight w:val="none"/>
        </w:rPr>
        <w:t>月30日竣工。</w:t>
      </w:r>
    </w:p>
    <w:p w14:paraId="3FB3C07E">
      <w:pPr>
        <w:keepNext w:val="0"/>
        <w:keepLines w:val="0"/>
        <w:pageBreakBefore w:val="0"/>
        <w:widowControl/>
        <w:kinsoku/>
        <w:wordWrap/>
        <w:overflowPunct/>
        <w:topLinePunct w:val="0"/>
        <w:autoSpaceDE/>
        <w:autoSpaceDN/>
        <w:bidi w:val="0"/>
        <w:adjustRightInd/>
        <w:snapToGrid/>
        <w:spacing w:line="480" w:lineRule="exact"/>
        <w:ind w:firstLine="0" w:firstLineChars="0"/>
        <w:jc w:val="left"/>
        <w:textAlignment w:val="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三、投标人资格要求</w:t>
      </w:r>
    </w:p>
    <w:p w14:paraId="172B7C20">
      <w:pPr>
        <w:keepNext w:val="0"/>
        <w:keepLines w:val="0"/>
        <w:pageBreakBefore w:val="0"/>
        <w:widowControl/>
        <w:kinsoku/>
        <w:wordWrap/>
        <w:overflowPunct/>
        <w:topLinePunct w:val="0"/>
        <w:autoSpaceDE/>
        <w:autoSpaceDN/>
        <w:bidi w:val="0"/>
        <w:adjustRightInd/>
        <w:snapToGrid/>
        <w:spacing w:line="440" w:lineRule="exact"/>
        <w:ind w:firstLine="0" w:firstLineChars="0"/>
        <w:jc w:val="left"/>
        <w:textAlignment w:val="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1.资质等级及范围：</w:t>
      </w:r>
    </w:p>
    <w:p w14:paraId="3ACE644F">
      <w:pPr>
        <w:keepNext w:val="0"/>
        <w:keepLines w:val="0"/>
        <w:pageBreakBefore w:val="0"/>
        <w:widowControl/>
        <w:kinsoku/>
        <w:wordWrap/>
        <w:overflowPunct/>
        <w:topLinePunct w:val="0"/>
        <w:autoSpaceDE/>
        <w:autoSpaceDN/>
        <w:bidi w:val="0"/>
        <w:adjustRightInd/>
        <w:snapToGrid/>
        <w:spacing w:line="440" w:lineRule="exact"/>
        <w:ind w:firstLine="0" w:firstLineChars="0"/>
        <w:jc w:val="left"/>
        <w:textAlignment w:val="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1.1设计资质：【工程设计综合资质甲级】</w:t>
      </w:r>
      <w:r>
        <w:rPr>
          <w:rFonts w:hint="eastAsia" w:ascii="仿宋" w:hAnsi="仿宋" w:eastAsia="仿宋" w:cs="仿宋"/>
          <w:color w:val="auto"/>
          <w:kern w:val="0"/>
          <w:szCs w:val="21"/>
          <w:highlight w:val="none"/>
        </w:rPr>
        <w:t>或者</w:t>
      </w:r>
      <w:r>
        <w:rPr>
          <w:rFonts w:hint="eastAsia" w:ascii="仿宋" w:hAnsi="仿宋" w:eastAsia="仿宋" w:cs="仿宋"/>
          <w:color w:val="auto"/>
          <w:szCs w:val="21"/>
          <w:highlight w:val="none"/>
        </w:rPr>
        <w:t>【市政行业乙级(设计行业资质)及以上资质】</w:t>
      </w:r>
      <w:r>
        <w:rPr>
          <w:rFonts w:hint="eastAsia" w:ascii="仿宋" w:hAnsi="仿宋" w:eastAsia="仿宋" w:cs="仿宋"/>
          <w:color w:val="auto"/>
          <w:kern w:val="0"/>
          <w:szCs w:val="21"/>
          <w:highlight w:val="none"/>
        </w:rPr>
        <w:t>或者</w:t>
      </w:r>
      <w:r>
        <w:rPr>
          <w:rFonts w:hint="eastAsia" w:ascii="仿宋" w:hAnsi="仿宋" w:eastAsia="仿宋" w:cs="仿宋"/>
          <w:color w:val="auto"/>
          <w:szCs w:val="21"/>
          <w:highlight w:val="none"/>
        </w:rPr>
        <w:t>【市政行业（燃气工程、轨道交通工程除外）乙级(设计行业资质)及以上资质】或者【市政行业（排水工程）乙级(设计专业资质)及以上资质】。</w:t>
      </w:r>
    </w:p>
    <w:p w14:paraId="709FC551">
      <w:pPr>
        <w:keepNext w:val="0"/>
        <w:keepLines w:val="0"/>
        <w:pageBreakBefore w:val="0"/>
        <w:widowControl/>
        <w:kinsoku/>
        <w:wordWrap/>
        <w:overflowPunct/>
        <w:topLinePunct w:val="0"/>
        <w:autoSpaceDE/>
        <w:autoSpaceDN/>
        <w:bidi w:val="0"/>
        <w:adjustRightInd/>
        <w:snapToGrid/>
        <w:spacing w:line="440" w:lineRule="exact"/>
        <w:ind w:firstLine="0" w:firstLineChars="0"/>
        <w:jc w:val="left"/>
        <w:textAlignment w:val="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1.2施工资质：投标人应是具有行业主管部门颁发的市政公用工程施工总承包三级及以上资质和机电工程施工总承包二级及以上资质的独立法人单位，且具有有效的安全生产许可证。</w:t>
      </w:r>
    </w:p>
    <w:p w14:paraId="29151D46">
      <w:pPr>
        <w:keepNext w:val="0"/>
        <w:keepLines w:val="0"/>
        <w:pageBreakBefore w:val="0"/>
        <w:widowControl/>
        <w:kinsoku/>
        <w:wordWrap/>
        <w:overflowPunct/>
        <w:topLinePunct w:val="0"/>
        <w:autoSpaceDE/>
        <w:autoSpaceDN/>
        <w:bidi w:val="0"/>
        <w:adjustRightInd/>
        <w:snapToGrid/>
        <w:spacing w:line="440" w:lineRule="exact"/>
        <w:ind w:firstLine="0" w:firstLineChars="0"/>
        <w:jc w:val="left"/>
        <w:textAlignment w:val="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1.3投标人应具备设备集成供货及服务的能力。</w:t>
      </w:r>
    </w:p>
    <w:p w14:paraId="6C16C352">
      <w:pPr>
        <w:keepNext w:val="0"/>
        <w:keepLines w:val="0"/>
        <w:pageBreakBefore w:val="0"/>
        <w:widowControl/>
        <w:kinsoku/>
        <w:wordWrap/>
        <w:overflowPunct/>
        <w:topLinePunct w:val="0"/>
        <w:autoSpaceDE/>
        <w:autoSpaceDN/>
        <w:bidi w:val="0"/>
        <w:adjustRightInd/>
        <w:snapToGrid/>
        <w:spacing w:line="440" w:lineRule="exact"/>
        <w:ind w:firstLine="0" w:firstLineChars="0"/>
        <w:jc w:val="left"/>
        <w:textAlignment w:val="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1.4投标人应具备运营服务能力。</w:t>
      </w:r>
    </w:p>
    <w:p w14:paraId="74A769FE">
      <w:pPr>
        <w:keepNext w:val="0"/>
        <w:keepLines w:val="0"/>
        <w:pageBreakBefore w:val="0"/>
        <w:widowControl/>
        <w:numPr>
          <w:ilvl w:val="0"/>
          <w:numId w:val="2"/>
        </w:numPr>
        <w:kinsoku/>
        <w:wordWrap/>
        <w:overflowPunct/>
        <w:topLinePunct w:val="0"/>
        <w:autoSpaceDE/>
        <w:autoSpaceDN/>
        <w:bidi w:val="0"/>
        <w:adjustRightInd/>
        <w:snapToGrid/>
        <w:spacing w:line="480" w:lineRule="exact"/>
        <w:ind w:firstLine="0" w:firstLineChars="0"/>
        <w:jc w:val="left"/>
        <w:textAlignment w:val="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项目负责人资质类别和等级：</w:t>
      </w:r>
    </w:p>
    <w:p w14:paraId="7878D5E8">
      <w:pPr>
        <w:keepNext w:val="0"/>
        <w:keepLines w:val="0"/>
        <w:pageBreakBefore w:val="0"/>
        <w:widowControl/>
        <w:kinsoku/>
        <w:wordWrap/>
        <w:overflowPunct/>
        <w:topLinePunct w:val="0"/>
        <w:autoSpaceDE/>
        <w:autoSpaceDN/>
        <w:bidi w:val="0"/>
        <w:adjustRightInd/>
        <w:snapToGrid/>
        <w:spacing w:line="480" w:lineRule="exact"/>
        <w:ind w:firstLine="0" w:firstLineChars="0"/>
        <w:jc w:val="left"/>
        <w:textAlignment w:val="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2.1项目经理（施工负责人）（如为联合体投标，由承担施工任务的单位拟派）须具备二级及以上执业注册建造师资格（市政公用工程专业或机电工程专业），具有B类安全生产考核合格证书且必须注册在投标人所在的单位，且无在建工程项目；</w:t>
      </w:r>
    </w:p>
    <w:p w14:paraId="4175943C">
      <w:pPr>
        <w:keepNext w:val="0"/>
        <w:keepLines w:val="0"/>
        <w:pageBreakBefore w:val="0"/>
        <w:widowControl/>
        <w:kinsoku/>
        <w:wordWrap/>
        <w:overflowPunct/>
        <w:topLinePunct w:val="0"/>
        <w:autoSpaceDE/>
        <w:autoSpaceDN/>
        <w:bidi w:val="0"/>
        <w:adjustRightInd/>
        <w:snapToGrid/>
        <w:spacing w:line="480" w:lineRule="exact"/>
        <w:ind w:firstLine="0" w:firstLineChars="0"/>
        <w:jc w:val="left"/>
        <w:textAlignment w:val="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2.2设计负责人（如为联合体投标，由承担设计任务的单位拟派）：给水排水专业高级（或以上）技术职称。</w:t>
      </w:r>
    </w:p>
    <w:p w14:paraId="34B3B9FF">
      <w:pPr>
        <w:keepNext w:val="0"/>
        <w:keepLines w:val="0"/>
        <w:pageBreakBefore w:val="0"/>
        <w:widowControl/>
        <w:kinsoku/>
        <w:wordWrap/>
        <w:overflowPunct/>
        <w:topLinePunct w:val="0"/>
        <w:autoSpaceDE/>
        <w:autoSpaceDN/>
        <w:bidi w:val="0"/>
        <w:adjustRightInd/>
        <w:snapToGrid/>
        <w:spacing w:line="480" w:lineRule="exact"/>
        <w:ind w:firstLine="0" w:firstLineChars="0"/>
        <w:jc w:val="left"/>
        <w:textAlignment w:val="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3.其它要求：</w:t>
      </w:r>
    </w:p>
    <w:p w14:paraId="0DAAD41C">
      <w:pPr>
        <w:pStyle w:val="106"/>
        <w:keepNext w:val="0"/>
        <w:keepLines w:val="0"/>
        <w:pageBreakBefore w:val="0"/>
        <w:widowControl/>
        <w:tabs>
          <w:tab w:val="left" w:pos="1390"/>
        </w:tabs>
        <w:kinsoku/>
        <w:wordWrap/>
        <w:overflowPunct/>
        <w:topLinePunct w:val="0"/>
        <w:autoSpaceDE/>
        <w:autoSpaceDN/>
        <w:bidi w:val="0"/>
        <w:adjustRightInd/>
        <w:snapToGrid/>
        <w:spacing w:line="480" w:lineRule="exact"/>
        <w:ind w:left="0" w:right="5" w:firstLine="0" w:firstLineChars="0"/>
        <w:jc w:val="left"/>
        <w:textAlignment w:val="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3.1投标人授权的委托代理人应具有与投标人单位签订的经人社部门认定盖章的劳动合同或社会养老保险证明（若投标单位所在地区的人社部门不在劳动合同或社保证明原件上盖章，则须提供人社部门官网打印件并经人社部门官网可查且信息有效）</w:t>
      </w:r>
      <w:r>
        <w:rPr>
          <w:rFonts w:hint="eastAsia" w:ascii="仿宋" w:hAnsi="仿宋" w:eastAsia="仿宋" w:cs="仿宋"/>
          <w:b/>
          <w:bCs/>
          <w:color w:val="auto"/>
          <w:szCs w:val="21"/>
          <w:highlight w:val="none"/>
        </w:rPr>
        <w:t>（如联合体投标，授权代表须为联合体牵头单位派出）。</w:t>
      </w:r>
    </w:p>
    <w:p w14:paraId="1E9FCCFB">
      <w:pPr>
        <w:pStyle w:val="106"/>
        <w:keepNext w:val="0"/>
        <w:keepLines w:val="0"/>
        <w:pageBreakBefore w:val="0"/>
        <w:widowControl/>
        <w:tabs>
          <w:tab w:val="left" w:pos="1390"/>
        </w:tabs>
        <w:kinsoku/>
        <w:wordWrap/>
        <w:overflowPunct/>
        <w:topLinePunct w:val="0"/>
        <w:autoSpaceDE/>
        <w:autoSpaceDN/>
        <w:bidi w:val="0"/>
        <w:adjustRightInd/>
        <w:snapToGrid/>
        <w:spacing w:line="480" w:lineRule="exact"/>
        <w:ind w:left="0" w:right="5" w:firstLine="0" w:firstLineChars="0"/>
        <w:jc w:val="left"/>
        <w:textAlignment w:val="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3.2信用中国”网站（</w:t>
      </w:r>
      <w:r>
        <w:rPr>
          <w:rFonts w:hint="eastAsia" w:ascii="仿宋" w:hAnsi="仿宋" w:eastAsia="仿宋" w:cs="仿宋"/>
          <w:color w:val="auto"/>
          <w:szCs w:val="21"/>
          <w:highlight w:val="none"/>
        </w:rPr>
        <w:fldChar w:fldCharType="begin"/>
      </w:r>
      <w:r>
        <w:rPr>
          <w:rFonts w:hint="eastAsia" w:ascii="仿宋" w:hAnsi="仿宋" w:eastAsia="仿宋" w:cs="仿宋"/>
          <w:color w:val="auto"/>
          <w:szCs w:val="21"/>
          <w:highlight w:val="none"/>
        </w:rPr>
        <w:instrText xml:space="preserve">HYPERLINK "http://www.creditchina.gov.cn/" \h</w:instrText>
      </w:r>
      <w:r>
        <w:rPr>
          <w:rFonts w:hint="eastAsia" w:ascii="仿宋" w:hAnsi="仿宋" w:eastAsia="仿宋" w:cs="仿宋"/>
          <w:color w:val="auto"/>
          <w:szCs w:val="21"/>
          <w:highlight w:val="none"/>
        </w:rPr>
        <w:fldChar w:fldCharType="separate"/>
      </w:r>
      <w:r>
        <w:rPr>
          <w:rFonts w:hint="eastAsia" w:ascii="仿宋" w:hAnsi="仿宋" w:eastAsia="仿宋" w:cs="仿宋"/>
          <w:color w:val="auto"/>
          <w:szCs w:val="21"/>
          <w:highlight w:val="none"/>
        </w:rPr>
        <w:t>http://www.creditchina.gov.cn/</w:t>
      </w:r>
      <w:r>
        <w:rPr>
          <w:rFonts w:hint="eastAsia" w:ascii="仿宋" w:hAnsi="仿宋" w:eastAsia="仿宋" w:cs="仿宋"/>
          <w:color w:val="auto"/>
          <w:szCs w:val="21"/>
          <w:highlight w:val="none"/>
        </w:rPr>
        <w:fldChar w:fldCharType="end"/>
      </w:r>
      <w:r>
        <w:rPr>
          <w:rFonts w:hint="eastAsia" w:ascii="仿宋" w:hAnsi="仿宋" w:eastAsia="仿宋" w:cs="仿宋"/>
          <w:color w:val="auto"/>
          <w:szCs w:val="21"/>
          <w:highlight w:val="none"/>
        </w:rPr>
        <w:t>）中被列入失信被执行人名单的投标人，不得参加投标，须提供网站查询截图。</w:t>
      </w:r>
    </w:p>
    <w:p w14:paraId="71C6CDE7">
      <w:pPr>
        <w:pStyle w:val="106"/>
        <w:keepNext w:val="0"/>
        <w:keepLines w:val="0"/>
        <w:pageBreakBefore w:val="0"/>
        <w:widowControl/>
        <w:tabs>
          <w:tab w:val="left" w:pos="1390"/>
        </w:tabs>
        <w:kinsoku/>
        <w:wordWrap/>
        <w:overflowPunct/>
        <w:topLinePunct w:val="0"/>
        <w:autoSpaceDE/>
        <w:autoSpaceDN/>
        <w:bidi w:val="0"/>
        <w:adjustRightInd/>
        <w:snapToGrid/>
        <w:spacing w:line="480" w:lineRule="exact"/>
        <w:ind w:left="0" w:right="5" w:firstLine="0" w:firstLineChars="0"/>
        <w:jc w:val="left"/>
        <w:textAlignment w:val="auto"/>
        <w:rPr>
          <w:rFonts w:hint="eastAsia" w:ascii="仿宋" w:hAnsi="仿宋" w:eastAsia="仿宋" w:cs="仿宋"/>
          <w:color w:val="auto"/>
          <w:w w:val="105"/>
          <w:sz w:val="24"/>
          <w:highlight w:val="none"/>
        </w:rPr>
      </w:pPr>
      <w:r>
        <w:rPr>
          <w:rFonts w:hint="eastAsia" w:ascii="仿宋" w:hAnsi="仿宋" w:eastAsia="仿宋" w:cs="仿宋"/>
          <w:color w:val="auto"/>
          <w:szCs w:val="21"/>
          <w:highlight w:val="none"/>
        </w:rPr>
        <w:t>3.3</w:t>
      </w:r>
      <w:r>
        <w:rPr>
          <w:rFonts w:hint="eastAsia" w:ascii="仿宋" w:hAnsi="仿宋" w:eastAsia="仿宋" w:cs="仿宋"/>
          <w:color w:val="auto"/>
          <w:spacing w:val="-1"/>
          <w:szCs w:val="21"/>
          <w:highlight w:val="none"/>
        </w:rPr>
        <w:t>单位负责人为同一人或者存在控股、管理关系的不同单位，不得参加同一招标项目投标。</w:t>
      </w:r>
    </w:p>
    <w:p w14:paraId="6F891BBD">
      <w:pPr>
        <w:keepNext w:val="0"/>
        <w:keepLines w:val="0"/>
        <w:pageBreakBefore w:val="0"/>
        <w:widowControl/>
        <w:kinsoku/>
        <w:wordWrap/>
        <w:overflowPunct/>
        <w:topLinePunct w:val="0"/>
        <w:autoSpaceDE/>
        <w:autoSpaceDN/>
        <w:bidi w:val="0"/>
        <w:adjustRightInd/>
        <w:snapToGrid/>
        <w:spacing w:line="360" w:lineRule="auto"/>
        <w:ind w:firstLine="0" w:firstLineChars="0"/>
        <w:jc w:val="left"/>
        <w:textAlignment w:val="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3.4本项目允许联合体投标；</w:t>
      </w:r>
    </w:p>
    <w:p w14:paraId="7AF9D59B">
      <w:pPr>
        <w:keepNext w:val="0"/>
        <w:keepLines w:val="0"/>
        <w:pageBreakBefore w:val="0"/>
        <w:widowControl/>
        <w:kinsoku/>
        <w:wordWrap/>
        <w:overflowPunct/>
        <w:topLinePunct w:val="0"/>
        <w:autoSpaceDE/>
        <w:autoSpaceDN/>
        <w:bidi w:val="0"/>
        <w:adjustRightInd/>
        <w:snapToGrid/>
        <w:spacing w:line="360" w:lineRule="auto"/>
        <w:ind w:firstLine="0" w:firstLineChars="0"/>
        <w:jc w:val="left"/>
        <w:textAlignment w:val="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1）投标时需提交联合体协议作为要件之一，联合体协议中要载明联合体投标代表的牵头人，并声明联合体各方的权利和义务、相关工作范围；</w:t>
      </w:r>
    </w:p>
    <w:p w14:paraId="1CB9E3D6">
      <w:pPr>
        <w:keepNext w:val="0"/>
        <w:keepLines w:val="0"/>
        <w:pageBreakBefore w:val="0"/>
        <w:widowControl/>
        <w:kinsoku/>
        <w:wordWrap/>
        <w:overflowPunct/>
        <w:topLinePunct w:val="0"/>
        <w:autoSpaceDE/>
        <w:autoSpaceDN/>
        <w:bidi w:val="0"/>
        <w:adjustRightInd/>
        <w:snapToGrid/>
        <w:spacing w:line="360" w:lineRule="auto"/>
        <w:ind w:firstLine="0" w:firstLineChars="0"/>
        <w:jc w:val="left"/>
        <w:textAlignment w:val="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2）联合体各方均需具有良好的商业信誉，没有处于被责令停业或破产状态，且资产未被重组、接管、冻结；</w:t>
      </w:r>
    </w:p>
    <w:p w14:paraId="3837C52B">
      <w:pPr>
        <w:keepNext w:val="0"/>
        <w:keepLines w:val="0"/>
        <w:pageBreakBefore w:val="0"/>
        <w:widowControl/>
        <w:kinsoku/>
        <w:wordWrap/>
        <w:overflowPunct/>
        <w:topLinePunct w:val="0"/>
        <w:autoSpaceDE/>
        <w:autoSpaceDN/>
        <w:bidi w:val="0"/>
        <w:adjustRightInd/>
        <w:snapToGrid/>
        <w:spacing w:line="360" w:lineRule="auto"/>
        <w:ind w:firstLine="0" w:firstLineChars="0"/>
        <w:jc w:val="left"/>
        <w:textAlignment w:val="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3）联合体最多允许4家单位（含联合体牵头人）。</w:t>
      </w:r>
    </w:p>
    <w:p w14:paraId="7854142E">
      <w:pPr>
        <w:keepNext w:val="0"/>
        <w:keepLines w:val="0"/>
        <w:pageBreakBefore w:val="0"/>
        <w:widowControl/>
        <w:kinsoku/>
        <w:wordWrap/>
        <w:overflowPunct/>
        <w:topLinePunct w:val="0"/>
        <w:autoSpaceDE/>
        <w:autoSpaceDN/>
        <w:bidi w:val="0"/>
        <w:adjustRightInd/>
        <w:snapToGrid/>
        <w:spacing w:line="360" w:lineRule="auto"/>
        <w:ind w:firstLine="0" w:firstLineChars="0"/>
        <w:jc w:val="left"/>
        <w:textAlignment w:val="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4）联合体各方不得再以本单位名义单独或者参加其他联合体在本招标项目中投标。</w:t>
      </w:r>
    </w:p>
    <w:p w14:paraId="0281266A">
      <w:pPr>
        <w:keepNext w:val="0"/>
        <w:keepLines w:val="0"/>
        <w:pageBreakBefore w:val="0"/>
        <w:widowControl/>
        <w:kinsoku/>
        <w:wordWrap/>
        <w:overflowPunct/>
        <w:topLinePunct w:val="0"/>
        <w:autoSpaceDE/>
        <w:autoSpaceDN/>
        <w:bidi w:val="0"/>
        <w:adjustRightInd/>
        <w:snapToGrid/>
        <w:spacing w:line="480" w:lineRule="exact"/>
        <w:ind w:firstLine="0" w:firstLineChars="0"/>
        <w:jc w:val="left"/>
        <w:textAlignment w:val="auto"/>
        <w:rPr>
          <w:rFonts w:hint="eastAsia" w:ascii="仿宋" w:hAnsi="仿宋" w:eastAsia="仿宋" w:cs="仿宋"/>
          <w:color w:val="auto"/>
          <w:szCs w:val="21"/>
          <w:highlight w:val="none"/>
        </w:rPr>
      </w:pPr>
      <w:r>
        <w:rPr>
          <w:rFonts w:hint="eastAsia" w:ascii="仿宋" w:hAnsi="仿宋" w:eastAsia="仿宋" w:cs="仿宋"/>
          <w:b/>
          <w:color w:val="auto"/>
          <w:szCs w:val="21"/>
          <w:highlight w:val="none"/>
        </w:rPr>
        <w:t>投标单位须同时满足上述要求。</w:t>
      </w:r>
    </w:p>
    <w:p w14:paraId="753607FA">
      <w:pPr>
        <w:keepNext w:val="0"/>
        <w:keepLines w:val="0"/>
        <w:pageBreakBefore w:val="0"/>
        <w:widowControl/>
        <w:kinsoku/>
        <w:wordWrap/>
        <w:overflowPunct/>
        <w:topLinePunct w:val="0"/>
        <w:autoSpaceDE/>
        <w:autoSpaceDN/>
        <w:bidi w:val="0"/>
        <w:adjustRightInd/>
        <w:snapToGrid/>
        <w:spacing w:line="480" w:lineRule="exact"/>
        <w:ind w:firstLine="0" w:firstLineChars="0"/>
        <w:jc w:val="left"/>
        <w:textAlignment w:val="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四、投标</w:t>
      </w:r>
    </w:p>
    <w:p w14:paraId="75E47411">
      <w:pPr>
        <w:keepNext w:val="0"/>
        <w:keepLines w:val="0"/>
        <w:pageBreakBefore w:val="0"/>
        <w:widowControl/>
        <w:kinsoku/>
        <w:wordWrap/>
        <w:overflowPunct/>
        <w:topLinePunct w:val="0"/>
        <w:autoSpaceDE/>
        <w:autoSpaceDN/>
        <w:bidi w:val="0"/>
        <w:adjustRightInd/>
        <w:snapToGrid/>
        <w:spacing w:line="480" w:lineRule="exact"/>
        <w:ind w:firstLine="0" w:firstLineChars="0"/>
        <w:jc w:val="left"/>
        <w:textAlignment w:val="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r>
        <w:rPr>
          <w:rFonts w:hint="eastAsia" w:ascii="仿宋" w:hAnsi="仿宋" w:eastAsia="仿宋" w:cs="仿宋"/>
          <w:color w:val="auto"/>
          <w:highlight w:val="none"/>
        </w:rPr>
        <w:t xml:space="preserve"> </w:t>
      </w:r>
      <w:r>
        <w:rPr>
          <w:rFonts w:hint="eastAsia" w:ascii="仿宋" w:hAnsi="仿宋" w:eastAsia="仿宋" w:cs="仿宋"/>
          <w:color w:val="auto"/>
          <w:szCs w:val="21"/>
          <w:highlight w:val="none"/>
        </w:rPr>
        <w:t>投标文件递交方式: 网上递交</w:t>
      </w:r>
    </w:p>
    <w:p w14:paraId="314A1EDA">
      <w:pPr>
        <w:keepNext w:val="0"/>
        <w:keepLines w:val="0"/>
        <w:pageBreakBefore w:val="0"/>
        <w:widowControl/>
        <w:kinsoku/>
        <w:wordWrap/>
        <w:overflowPunct/>
        <w:topLinePunct w:val="0"/>
        <w:autoSpaceDE/>
        <w:autoSpaceDN/>
        <w:bidi w:val="0"/>
        <w:adjustRightInd/>
        <w:snapToGrid/>
        <w:spacing w:line="480" w:lineRule="exact"/>
        <w:ind w:firstLine="0" w:firstLineChars="0"/>
        <w:jc w:val="left"/>
        <w:textAlignment w:val="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2.递交网址:请到辽宁省建设工程投标盲盒系统https://xbox.lnzb.com网上递交。</w:t>
      </w:r>
    </w:p>
    <w:p w14:paraId="5F97479A">
      <w:pPr>
        <w:keepNext w:val="0"/>
        <w:keepLines w:val="0"/>
        <w:pageBreakBefore w:val="0"/>
        <w:widowControl/>
        <w:kinsoku/>
        <w:wordWrap/>
        <w:overflowPunct/>
        <w:topLinePunct w:val="0"/>
        <w:autoSpaceDE/>
        <w:autoSpaceDN/>
        <w:bidi w:val="0"/>
        <w:adjustRightInd/>
        <w:snapToGrid/>
        <w:spacing w:line="480" w:lineRule="exact"/>
        <w:ind w:firstLine="0" w:firstLineChars="0"/>
        <w:jc w:val="left"/>
        <w:textAlignment w:val="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3.投标保证金或投标担保金额:50.00万元</w:t>
      </w:r>
    </w:p>
    <w:p w14:paraId="64532250">
      <w:pPr>
        <w:keepNext w:val="0"/>
        <w:keepLines w:val="0"/>
        <w:pageBreakBefore w:val="0"/>
        <w:widowControl/>
        <w:kinsoku/>
        <w:wordWrap/>
        <w:overflowPunct/>
        <w:topLinePunct w:val="0"/>
        <w:autoSpaceDE/>
        <w:autoSpaceDN/>
        <w:bidi w:val="0"/>
        <w:adjustRightInd/>
        <w:snapToGrid/>
        <w:spacing w:line="480" w:lineRule="exact"/>
        <w:ind w:firstLine="0" w:firstLineChars="0"/>
        <w:jc w:val="left"/>
        <w:textAlignment w:val="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4.投标截止时间和开标时间:   年  月  日09:30</w:t>
      </w:r>
    </w:p>
    <w:p w14:paraId="57083329">
      <w:pPr>
        <w:keepNext w:val="0"/>
        <w:keepLines w:val="0"/>
        <w:pageBreakBefore w:val="0"/>
        <w:widowControl/>
        <w:kinsoku/>
        <w:wordWrap/>
        <w:overflowPunct/>
        <w:topLinePunct w:val="0"/>
        <w:autoSpaceDE/>
        <w:autoSpaceDN/>
        <w:bidi w:val="0"/>
        <w:adjustRightInd/>
        <w:snapToGrid/>
        <w:spacing w:line="480" w:lineRule="exact"/>
        <w:ind w:firstLine="0" w:firstLineChars="0"/>
        <w:jc w:val="left"/>
        <w:textAlignment w:val="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5.开标方式: 远程开标（不见面交易）</w:t>
      </w:r>
    </w:p>
    <w:p w14:paraId="73A20593">
      <w:pPr>
        <w:keepNext w:val="0"/>
        <w:keepLines w:val="0"/>
        <w:pageBreakBefore w:val="0"/>
        <w:widowControl/>
        <w:kinsoku/>
        <w:wordWrap/>
        <w:overflowPunct/>
        <w:topLinePunct w:val="0"/>
        <w:autoSpaceDE/>
        <w:autoSpaceDN/>
        <w:bidi w:val="0"/>
        <w:adjustRightInd/>
        <w:snapToGrid/>
        <w:spacing w:line="480" w:lineRule="exact"/>
        <w:ind w:firstLine="0" w:firstLineChars="0"/>
        <w:jc w:val="left"/>
        <w:textAlignment w:val="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6.开标说明:请按招标文件规定时间登录“辽宁省电子招标投标交易综合服务系统（“不见面交易”综合服务系统） http://nmts.lnwlzb.com/bidopening” 进行远程、在线解密。</w:t>
      </w:r>
    </w:p>
    <w:p w14:paraId="470525EF">
      <w:pPr>
        <w:keepNext w:val="0"/>
        <w:keepLines w:val="0"/>
        <w:pageBreakBefore w:val="0"/>
        <w:widowControl/>
        <w:kinsoku/>
        <w:wordWrap/>
        <w:overflowPunct/>
        <w:topLinePunct w:val="0"/>
        <w:autoSpaceDE/>
        <w:autoSpaceDN/>
        <w:bidi w:val="0"/>
        <w:adjustRightInd/>
        <w:snapToGrid/>
        <w:spacing w:line="480" w:lineRule="exact"/>
        <w:ind w:firstLine="0" w:firstLineChars="0"/>
        <w:jc w:val="left"/>
        <w:textAlignment w:val="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五、招标文件的领取</w:t>
      </w:r>
    </w:p>
    <w:p w14:paraId="78983105">
      <w:pPr>
        <w:keepNext w:val="0"/>
        <w:keepLines w:val="0"/>
        <w:pageBreakBefore w:val="0"/>
        <w:widowControl/>
        <w:kinsoku/>
        <w:wordWrap/>
        <w:overflowPunct/>
        <w:topLinePunct w:val="0"/>
        <w:autoSpaceDE/>
        <w:autoSpaceDN/>
        <w:bidi w:val="0"/>
        <w:adjustRightInd/>
        <w:snapToGrid/>
        <w:spacing w:line="480" w:lineRule="exact"/>
        <w:ind w:firstLine="0" w:firstLineChars="0"/>
        <w:jc w:val="left"/>
        <w:textAlignment w:val="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 xml:space="preserve">    1.领取时间：2025年  月  日 16时00分至2025年   月  日 16时00分</w:t>
      </w:r>
    </w:p>
    <w:p w14:paraId="14E2BBB0">
      <w:pPr>
        <w:keepNext w:val="0"/>
        <w:keepLines w:val="0"/>
        <w:pageBreakBefore w:val="0"/>
        <w:widowControl/>
        <w:kinsoku/>
        <w:wordWrap/>
        <w:overflowPunct/>
        <w:topLinePunct w:val="0"/>
        <w:autoSpaceDE/>
        <w:autoSpaceDN/>
        <w:bidi w:val="0"/>
        <w:adjustRightInd/>
        <w:snapToGrid/>
        <w:spacing w:line="480" w:lineRule="exact"/>
        <w:ind w:firstLine="0" w:firstLineChars="0"/>
        <w:jc w:val="left"/>
        <w:textAlignment w:val="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 xml:space="preserve">    2.领取地点：请到辽宁省建设工程投标盲盒系统https://xboxInzb.com资格确认并领取文件。</w:t>
      </w:r>
    </w:p>
    <w:p w14:paraId="61BCB2E6">
      <w:pPr>
        <w:keepNext w:val="0"/>
        <w:keepLines w:val="0"/>
        <w:pageBreakBefore w:val="0"/>
        <w:widowControl/>
        <w:kinsoku/>
        <w:wordWrap/>
        <w:overflowPunct/>
        <w:topLinePunct w:val="0"/>
        <w:autoSpaceDE/>
        <w:autoSpaceDN/>
        <w:bidi w:val="0"/>
        <w:adjustRightInd/>
        <w:snapToGrid/>
        <w:spacing w:line="480" w:lineRule="exact"/>
        <w:ind w:firstLine="0" w:firstLineChars="0"/>
        <w:jc w:val="left"/>
        <w:textAlignment w:val="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六、其他说明</w:t>
      </w:r>
    </w:p>
    <w:p w14:paraId="4260AD60">
      <w:pPr>
        <w:keepNext w:val="0"/>
        <w:keepLines w:val="0"/>
        <w:pageBreakBefore w:val="0"/>
        <w:widowControl/>
        <w:kinsoku/>
        <w:wordWrap/>
        <w:overflowPunct/>
        <w:topLinePunct w:val="0"/>
        <w:autoSpaceDE/>
        <w:autoSpaceDN/>
        <w:bidi w:val="0"/>
        <w:adjustRightInd/>
        <w:snapToGrid/>
        <w:spacing w:line="480" w:lineRule="exact"/>
        <w:ind w:firstLine="0" w:firstLineChars="0"/>
        <w:jc w:val="left"/>
        <w:textAlignment w:val="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七、发布公告的媒介</w:t>
      </w:r>
    </w:p>
    <w:p w14:paraId="400249AA">
      <w:pPr>
        <w:keepNext w:val="0"/>
        <w:keepLines w:val="0"/>
        <w:pageBreakBefore w:val="0"/>
        <w:widowControl/>
        <w:kinsoku/>
        <w:wordWrap/>
        <w:overflowPunct/>
        <w:topLinePunct w:val="0"/>
        <w:autoSpaceDE/>
        <w:autoSpaceDN/>
        <w:bidi w:val="0"/>
        <w:adjustRightInd/>
        <w:snapToGrid/>
        <w:spacing w:line="480" w:lineRule="exact"/>
        <w:ind w:firstLine="0" w:firstLineChars="0"/>
        <w:jc w:val="left"/>
        <w:textAlignment w:val="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本次招标公告同时在辽宁省招标投标监管网、《辽宁建设工程信息网（需点击“新网站入口”）》（http://www.lnzb.cn/lnzbtb/）《辽宁工程咨询招投标交易平台》上发布。</w:t>
      </w:r>
    </w:p>
    <w:p w14:paraId="69A40064">
      <w:pPr>
        <w:keepNext w:val="0"/>
        <w:keepLines w:val="0"/>
        <w:pageBreakBefore w:val="0"/>
        <w:widowControl/>
        <w:kinsoku/>
        <w:wordWrap/>
        <w:overflowPunct/>
        <w:topLinePunct w:val="0"/>
        <w:autoSpaceDE/>
        <w:autoSpaceDN/>
        <w:bidi w:val="0"/>
        <w:adjustRightInd/>
        <w:snapToGrid/>
        <w:spacing w:line="480" w:lineRule="exact"/>
        <w:ind w:firstLine="0" w:firstLineChars="0"/>
        <w:jc w:val="left"/>
        <w:textAlignment w:val="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八、联系方式</w:t>
      </w:r>
    </w:p>
    <w:tbl>
      <w:tblPr>
        <w:tblStyle w:val="39"/>
        <w:tblW w:w="0" w:type="auto"/>
        <w:tblInd w:w="0" w:type="dxa"/>
        <w:tblLayout w:type="autofit"/>
        <w:tblCellMar>
          <w:top w:w="0" w:type="dxa"/>
          <w:left w:w="108" w:type="dxa"/>
          <w:bottom w:w="0" w:type="dxa"/>
          <w:right w:w="108" w:type="dxa"/>
        </w:tblCellMar>
      </w:tblPr>
      <w:tblGrid>
        <w:gridCol w:w="4261"/>
        <w:gridCol w:w="4261"/>
      </w:tblGrid>
      <w:tr w14:paraId="6DB54393">
        <w:tblPrEx>
          <w:tblCellMar>
            <w:top w:w="0" w:type="dxa"/>
            <w:left w:w="108" w:type="dxa"/>
            <w:bottom w:w="0" w:type="dxa"/>
            <w:right w:w="108" w:type="dxa"/>
          </w:tblCellMar>
        </w:tblPrEx>
        <w:tc>
          <w:tcPr>
            <w:tcW w:w="4261" w:type="dxa"/>
            <w:noWrap w:val="0"/>
            <w:vAlign w:val="top"/>
          </w:tcPr>
          <w:p w14:paraId="7118A7E5">
            <w:pPr>
              <w:spacing w:line="480" w:lineRule="exact"/>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招标人: 营口市汇信资源循环利用(集团)有限公司</w:t>
            </w:r>
          </w:p>
          <w:p w14:paraId="4CAEE336">
            <w:pPr>
              <w:spacing w:line="480" w:lineRule="exact"/>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 xml:space="preserve">地址:辽宁省营口市老边区捻线街捻线里 </w:t>
            </w:r>
          </w:p>
          <w:p w14:paraId="5A550DB9">
            <w:pPr>
              <w:spacing w:line="480" w:lineRule="exact"/>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邮编:</w:t>
            </w:r>
          </w:p>
          <w:p w14:paraId="43C9D490">
            <w:pPr>
              <w:spacing w:line="480" w:lineRule="exact"/>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联系人:</w:t>
            </w:r>
            <w:r>
              <w:rPr>
                <w:rFonts w:hint="eastAsia" w:ascii="仿宋" w:hAnsi="仿宋" w:cs="仿宋"/>
                <w:color w:val="auto"/>
                <w:szCs w:val="21"/>
                <w:highlight w:val="none"/>
                <w:lang w:val="en-US" w:eastAsia="zh-CN"/>
              </w:rPr>
              <w:t>蒋涛</w:t>
            </w:r>
            <w:r>
              <w:rPr>
                <w:rFonts w:hint="eastAsia" w:ascii="仿宋" w:hAnsi="仿宋" w:eastAsia="仿宋" w:cs="仿宋"/>
                <w:color w:val="auto"/>
                <w:szCs w:val="21"/>
                <w:highlight w:val="none"/>
              </w:rPr>
              <w:t xml:space="preserve"> </w:t>
            </w:r>
          </w:p>
          <w:p w14:paraId="31BE6320">
            <w:pPr>
              <w:spacing w:line="480" w:lineRule="exact"/>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电话: 13841725355</w:t>
            </w:r>
          </w:p>
          <w:p w14:paraId="2DDA99CA">
            <w:pPr>
              <w:spacing w:line="480" w:lineRule="exact"/>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传真:</w:t>
            </w:r>
          </w:p>
          <w:p w14:paraId="328D01E6">
            <w:pPr>
              <w:spacing w:line="480" w:lineRule="exact"/>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 xml:space="preserve">电子邮件:  </w:t>
            </w:r>
          </w:p>
        </w:tc>
        <w:tc>
          <w:tcPr>
            <w:tcW w:w="4261" w:type="dxa"/>
            <w:noWrap w:val="0"/>
            <w:vAlign w:val="top"/>
          </w:tcPr>
          <w:p w14:paraId="3FCEAE27">
            <w:pPr>
              <w:spacing w:line="480" w:lineRule="exact"/>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 xml:space="preserve"> 招标代理机构: </w:t>
            </w:r>
            <w:r>
              <w:rPr>
                <w:rFonts w:hint="eastAsia" w:ascii="仿宋" w:hAnsi="仿宋" w:eastAsia="仿宋" w:cs="仿宋"/>
                <w:color w:val="auto"/>
                <w:kern w:val="0"/>
                <w:highlight w:val="none"/>
              </w:rPr>
              <w:t>辽宁国信建设工程管理有限公司</w:t>
            </w:r>
          </w:p>
          <w:p w14:paraId="526F677F">
            <w:pPr>
              <w:spacing w:line="480" w:lineRule="exact"/>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地址: 营口市站前区东新路7-12号</w:t>
            </w:r>
          </w:p>
          <w:p w14:paraId="6716A8EE">
            <w:pPr>
              <w:spacing w:line="480" w:lineRule="exact"/>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邮编:</w:t>
            </w:r>
          </w:p>
          <w:p w14:paraId="153A6D96">
            <w:pPr>
              <w:spacing w:line="480" w:lineRule="exact"/>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联系人: 邰文婧、杨盼盼</w:t>
            </w:r>
          </w:p>
          <w:p w14:paraId="2D3B60AF">
            <w:pPr>
              <w:spacing w:line="480" w:lineRule="exact"/>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电话: 0417-3355093</w:t>
            </w:r>
          </w:p>
          <w:p w14:paraId="29085D56">
            <w:pPr>
              <w:spacing w:line="480" w:lineRule="exact"/>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传真:</w:t>
            </w:r>
          </w:p>
          <w:p w14:paraId="07C009E4">
            <w:pPr>
              <w:spacing w:line="480" w:lineRule="exact"/>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电子邮件:  870726396@qq.com</w:t>
            </w:r>
          </w:p>
          <w:p w14:paraId="628E4B97">
            <w:pPr>
              <w:spacing w:line="480" w:lineRule="exact"/>
              <w:jc w:val="left"/>
              <w:rPr>
                <w:rFonts w:hint="eastAsia" w:ascii="仿宋" w:hAnsi="仿宋" w:eastAsia="仿宋" w:cs="仿宋"/>
                <w:color w:val="auto"/>
                <w:szCs w:val="21"/>
                <w:highlight w:val="none"/>
              </w:rPr>
            </w:pPr>
          </w:p>
        </w:tc>
      </w:tr>
    </w:tbl>
    <w:p w14:paraId="46009144">
      <w:pPr>
        <w:spacing w:line="480" w:lineRule="exact"/>
        <w:jc w:val="left"/>
        <w:rPr>
          <w:rFonts w:hint="eastAsia" w:ascii="仿宋" w:hAnsi="仿宋" w:eastAsia="仿宋" w:cs="仿宋"/>
          <w:color w:val="auto"/>
          <w:szCs w:val="21"/>
          <w:highlight w:val="none"/>
        </w:rPr>
      </w:pPr>
    </w:p>
    <w:p w14:paraId="0DC03FE6">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异议受理联系人：邰文婧、杨盼盼</w:t>
      </w:r>
    </w:p>
    <w:p w14:paraId="5CBCEDB7">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联系电话：0417-3355093</w:t>
      </w:r>
    </w:p>
    <w:p w14:paraId="3CE83032">
      <w:pPr>
        <w:jc w:val="left"/>
        <w:rPr>
          <w:rFonts w:hint="eastAsia" w:ascii="仿宋" w:hAnsi="仿宋" w:eastAsia="仿宋" w:cs="仿宋"/>
          <w:color w:val="auto"/>
          <w:szCs w:val="21"/>
          <w:highlight w:val="none"/>
        </w:rPr>
      </w:pPr>
    </w:p>
    <w:p w14:paraId="15A2731B">
      <w:pPr>
        <w:jc w:val="left"/>
        <w:rPr>
          <w:rFonts w:hint="eastAsia" w:ascii="仿宋" w:hAnsi="仿宋" w:eastAsia="仿宋" w:cs="仿宋"/>
          <w:color w:val="auto"/>
          <w:szCs w:val="21"/>
          <w:highlight w:val="none"/>
        </w:rPr>
      </w:pPr>
    </w:p>
    <w:p w14:paraId="0AB3C5E7">
      <w:pPr>
        <w:jc w:val="left"/>
        <w:rPr>
          <w:rFonts w:hint="eastAsia" w:ascii="仿宋" w:hAnsi="仿宋" w:eastAsia="仿宋" w:cs="仿宋"/>
          <w:color w:val="auto"/>
          <w:szCs w:val="21"/>
          <w:highlight w:val="none"/>
        </w:rPr>
      </w:pPr>
    </w:p>
    <w:p w14:paraId="0759E814">
      <w:pPr>
        <w:jc w:val="left"/>
        <w:rPr>
          <w:rFonts w:hint="eastAsia" w:ascii="仿宋" w:hAnsi="仿宋" w:eastAsia="仿宋" w:cs="仿宋"/>
          <w:color w:val="auto"/>
          <w:szCs w:val="21"/>
          <w:highlight w:val="none"/>
        </w:rPr>
      </w:pPr>
    </w:p>
    <w:p w14:paraId="0832C936">
      <w:pPr>
        <w:jc w:val="left"/>
        <w:rPr>
          <w:rFonts w:hint="eastAsia" w:ascii="仿宋" w:hAnsi="仿宋" w:eastAsia="仿宋" w:cs="仿宋"/>
          <w:color w:val="auto"/>
          <w:szCs w:val="21"/>
          <w:highlight w:val="none"/>
        </w:rPr>
      </w:pPr>
    </w:p>
    <w:p w14:paraId="7633FCC7">
      <w:pPr>
        <w:widowControl/>
        <w:spacing w:line="360" w:lineRule="auto"/>
        <w:ind w:left="1200" w:leftChars="300" w:hanging="480" w:hangingChars="200"/>
        <w:jc w:val="left"/>
        <w:outlineLvl w:val="0"/>
        <w:rPr>
          <w:rFonts w:hint="eastAsia" w:ascii="仿宋" w:hAnsi="仿宋" w:eastAsia="仿宋" w:cs="仿宋"/>
          <w:color w:val="auto"/>
          <w:highlight w:val="none"/>
        </w:rPr>
      </w:pPr>
    </w:p>
    <w:p w14:paraId="61716F34">
      <w:pPr>
        <w:rPr>
          <w:rFonts w:hint="eastAsia" w:ascii="仿宋" w:hAnsi="仿宋" w:eastAsia="仿宋" w:cs="仿宋"/>
          <w:color w:val="auto"/>
          <w:highlight w:val="none"/>
        </w:rPr>
      </w:pPr>
      <w:bookmarkStart w:id="13" w:name="_Toc247527551"/>
      <w:bookmarkStart w:id="14" w:name="_Toc144974495"/>
      <w:bookmarkStart w:id="15" w:name="_Toc247513950"/>
      <w:bookmarkStart w:id="16" w:name="_Toc106997942"/>
      <w:bookmarkStart w:id="17" w:name="_Toc152042303"/>
      <w:bookmarkStart w:id="18" w:name="_Toc152045527"/>
      <w:r>
        <w:rPr>
          <w:rFonts w:hint="eastAsia" w:ascii="仿宋" w:hAnsi="仿宋" w:eastAsia="仿宋" w:cs="仿宋"/>
          <w:color w:val="auto"/>
          <w:highlight w:val="none"/>
        </w:rPr>
        <w:br w:type="page"/>
      </w:r>
    </w:p>
    <w:p w14:paraId="21B7FA85">
      <w:pPr>
        <w:pStyle w:val="3"/>
        <w:widowControl w:val="0"/>
        <w:spacing w:before="340" w:after="330" w:line="576" w:lineRule="auto"/>
        <w:ind w:firstLine="0" w:firstLineChars="0"/>
        <w:jc w:val="center"/>
        <w:rPr>
          <w:rFonts w:hint="eastAsia" w:ascii="Times New Roman" w:hAnsi="Times New Roman" w:eastAsia="宋体"/>
          <w:bCs w:val="0"/>
          <w:color w:val="auto"/>
          <w:sz w:val="44"/>
          <w:szCs w:val="20"/>
          <w:highlight w:val="none"/>
        </w:rPr>
      </w:pPr>
      <w:r>
        <w:rPr>
          <w:rFonts w:hint="eastAsia" w:ascii="Times New Roman" w:hAnsi="Times New Roman" w:eastAsia="宋体"/>
          <w:bCs w:val="0"/>
          <w:color w:val="auto"/>
          <w:sz w:val="44"/>
          <w:szCs w:val="20"/>
          <w:highlight w:val="none"/>
        </w:rPr>
        <w:t>第二章投标人须知</w:t>
      </w:r>
      <w:bookmarkEnd w:id="13"/>
      <w:bookmarkEnd w:id="14"/>
      <w:bookmarkEnd w:id="15"/>
      <w:bookmarkEnd w:id="16"/>
      <w:bookmarkEnd w:id="17"/>
      <w:bookmarkEnd w:id="18"/>
    </w:p>
    <w:p w14:paraId="2B2A28B8">
      <w:pPr>
        <w:pStyle w:val="3"/>
        <w:widowControl w:val="0"/>
        <w:spacing w:before="340" w:after="330" w:line="576" w:lineRule="auto"/>
        <w:ind w:firstLine="0" w:firstLineChars="0"/>
        <w:jc w:val="center"/>
        <w:rPr>
          <w:rFonts w:hint="eastAsia" w:ascii="Times New Roman" w:hAnsi="Times New Roman" w:eastAsia="宋体"/>
          <w:bCs w:val="0"/>
          <w:color w:val="auto"/>
          <w:sz w:val="44"/>
          <w:szCs w:val="20"/>
          <w:highlight w:val="none"/>
        </w:rPr>
      </w:pPr>
      <w:bookmarkStart w:id="19" w:name="_Toc152042304"/>
      <w:bookmarkStart w:id="20" w:name="_Toc247513951"/>
      <w:bookmarkStart w:id="21" w:name="_Toc106997943"/>
      <w:bookmarkStart w:id="22" w:name="_Toc144974496"/>
      <w:bookmarkStart w:id="23" w:name="_Toc247527552"/>
      <w:bookmarkStart w:id="24" w:name="_Toc152045528"/>
      <w:bookmarkStart w:id="25" w:name="_Toc7956573"/>
      <w:r>
        <w:rPr>
          <w:rFonts w:hint="eastAsia" w:ascii="Times New Roman" w:hAnsi="Times New Roman" w:eastAsia="宋体"/>
          <w:bCs w:val="0"/>
          <w:color w:val="auto"/>
          <w:sz w:val="44"/>
          <w:szCs w:val="20"/>
          <w:highlight w:val="none"/>
        </w:rPr>
        <w:t>投标人须知前附表</w:t>
      </w:r>
      <w:bookmarkEnd w:id="19"/>
      <w:bookmarkEnd w:id="20"/>
      <w:bookmarkEnd w:id="21"/>
      <w:bookmarkEnd w:id="22"/>
      <w:bookmarkEnd w:id="23"/>
      <w:bookmarkEnd w:id="24"/>
      <w:bookmarkEnd w:id="25"/>
    </w:p>
    <w:tbl>
      <w:tblPr>
        <w:tblStyle w:val="39"/>
        <w:tblW w:w="9601" w:type="dxa"/>
        <w:jc w:val="center"/>
        <w:tblLayout w:type="fixed"/>
        <w:tblCellMar>
          <w:top w:w="0" w:type="dxa"/>
          <w:left w:w="108" w:type="dxa"/>
          <w:bottom w:w="0" w:type="dxa"/>
          <w:right w:w="108" w:type="dxa"/>
        </w:tblCellMar>
      </w:tblPr>
      <w:tblGrid>
        <w:gridCol w:w="1165"/>
        <w:gridCol w:w="2091"/>
        <w:gridCol w:w="6345"/>
      </w:tblGrid>
      <w:tr w14:paraId="1D6F1E8E">
        <w:tblPrEx>
          <w:tblCellMar>
            <w:top w:w="0" w:type="dxa"/>
            <w:left w:w="108" w:type="dxa"/>
            <w:bottom w:w="0" w:type="dxa"/>
            <w:right w:w="108" w:type="dxa"/>
          </w:tblCellMar>
        </w:tblPrEx>
        <w:trPr>
          <w:jc w:val="center"/>
        </w:trPr>
        <w:tc>
          <w:tcPr>
            <w:tcW w:w="1165" w:type="dxa"/>
            <w:tcBorders>
              <w:top w:val="single" w:color="auto" w:sz="4" w:space="0"/>
              <w:left w:val="single" w:color="auto" w:sz="4" w:space="0"/>
              <w:bottom w:val="single" w:color="auto" w:sz="4" w:space="0"/>
              <w:right w:val="single" w:color="auto" w:sz="4" w:space="0"/>
            </w:tcBorders>
            <w:noWrap w:val="0"/>
            <w:vAlign w:val="center"/>
          </w:tcPr>
          <w:p w14:paraId="2A66A22C">
            <w:pPr>
              <w:keepNext w:val="0"/>
              <w:keepLines w:val="0"/>
              <w:pageBreakBefore w:val="0"/>
              <w:widowControl/>
              <w:kinsoku/>
              <w:wordWrap/>
              <w:overflowPunct/>
              <w:autoSpaceDE/>
              <w:autoSpaceDN/>
              <w:bidi w:val="0"/>
              <w:spacing w:line="440" w:lineRule="exact"/>
              <w:ind w:firstLine="0" w:firstLineChars="0"/>
              <w:jc w:val="left"/>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条款号</w:t>
            </w:r>
          </w:p>
        </w:tc>
        <w:tc>
          <w:tcPr>
            <w:tcW w:w="2091" w:type="dxa"/>
            <w:tcBorders>
              <w:top w:val="single" w:color="auto" w:sz="4" w:space="0"/>
              <w:left w:val="single" w:color="auto" w:sz="4" w:space="0"/>
              <w:bottom w:val="single" w:color="auto" w:sz="4" w:space="0"/>
              <w:right w:val="single" w:color="auto" w:sz="4" w:space="0"/>
            </w:tcBorders>
            <w:noWrap w:val="0"/>
            <w:vAlign w:val="center"/>
          </w:tcPr>
          <w:p w14:paraId="3E9AE715">
            <w:pPr>
              <w:keepNext w:val="0"/>
              <w:keepLines w:val="0"/>
              <w:pageBreakBefore w:val="0"/>
              <w:widowControl/>
              <w:kinsoku/>
              <w:wordWrap/>
              <w:overflowPunct/>
              <w:autoSpaceDE/>
              <w:autoSpaceDN/>
              <w:bidi w:val="0"/>
              <w:spacing w:line="440" w:lineRule="exact"/>
              <w:ind w:firstLine="0" w:firstLineChars="0"/>
              <w:jc w:val="left"/>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条款名称</w:t>
            </w:r>
          </w:p>
        </w:tc>
        <w:tc>
          <w:tcPr>
            <w:tcW w:w="6345" w:type="dxa"/>
            <w:tcBorders>
              <w:top w:val="single" w:color="auto" w:sz="4" w:space="0"/>
              <w:left w:val="single" w:color="auto" w:sz="4" w:space="0"/>
              <w:bottom w:val="single" w:color="auto" w:sz="4" w:space="0"/>
              <w:right w:val="single" w:color="auto" w:sz="4" w:space="0"/>
            </w:tcBorders>
            <w:noWrap w:val="0"/>
            <w:vAlign w:val="center"/>
          </w:tcPr>
          <w:p w14:paraId="1711ED27">
            <w:pPr>
              <w:keepNext w:val="0"/>
              <w:keepLines w:val="0"/>
              <w:pageBreakBefore w:val="0"/>
              <w:widowControl/>
              <w:kinsoku/>
              <w:wordWrap/>
              <w:overflowPunct/>
              <w:autoSpaceDE/>
              <w:autoSpaceDN/>
              <w:bidi w:val="0"/>
              <w:spacing w:line="440" w:lineRule="exact"/>
              <w:ind w:firstLine="0" w:firstLineChars="0"/>
              <w:jc w:val="left"/>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编列内容</w:t>
            </w:r>
          </w:p>
        </w:tc>
      </w:tr>
      <w:tr w14:paraId="44EA36A6">
        <w:tblPrEx>
          <w:tblCellMar>
            <w:top w:w="0" w:type="dxa"/>
            <w:left w:w="108" w:type="dxa"/>
            <w:bottom w:w="0" w:type="dxa"/>
            <w:right w:w="108" w:type="dxa"/>
          </w:tblCellMar>
        </w:tblPrEx>
        <w:trPr>
          <w:jc w:val="center"/>
        </w:trPr>
        <w:tc>
          <w:tcPr>
            <w:tcW w:w="1165" w:type="dxa"/>
            <w:tcBorders>
              <w:top w:val="single" w:color="auto" w:sz="4" w:space="0"/>
              <w:left w:val="single" w:color="auto" w:sz="4" w:space="0"/>
              <w:bottom w:val="single" w:color="auto" w:sz="4" w:space="0"/>
              <w:right w:val="single" w:color="auto" w:sz="4" w:space="0"/>
            </w:tcBorders>
            <w:noWrap w:val="0"/>
            <w:vAlign w:val="center"/>
          </w:tcPr>
          <w:p w14:paraId="7DCAED94">
            <w:pPr>
              <w:keepNext w:val="0"/>
              <w:keepLines w:val="0"/>
              <w:pageBreakBefore w:val="0"/>
              <w:widowControl/>
              <w:kinsoku/>
              <w:wordWrap/>
              <w:overflowPunct/>
              <w:autoSpaceDE/>
              <w:autoSpaceDN/>
              <w:bidi w:val="0"/>
              <w:spacing w:line="440" w:lineRule="exact"/>
              <w:ind w:firstLine="0" w:firstLineChars="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1.1.2</w:t>
            </w:r>
          </w:p>
        </w:tc>
        <w:tc>
          <w:tcPr>
            <w:tcW w:w="2091" w:type="dxa"/>
            <w:tcBorders>
              <w:top w:val="single" w:color="auto" w:sz="4" w:space="0"/>
              <w:left w:val="single" w:color="auto" w:sz="4" w:space="0"/>
              <w:bottom w:val="single" w:color="auto" w:sz="4" w:space="0"/>
              <w:right w:val="single" w:color="auto" w:sz="4" w:space="0"/>
            </w:tcBorders>
            <w:noWrap w:val="0"/>
            <w:vAlign w:val="center"/>
          </w:tcPr>
          <w:p w14:paraId="2757FE71">
            <w:pPr>
              <w:keepNext w:val="0"/>
              <w:keepLines w:val="0"/>
              <w:pageBreakBefore w:val="0"/>
              <w:widowControl/>
              <w:kinsoku/>
              <w:wordWrap/>
              <w:overflowPunct/>
              <w:autoSpaceDE/>
              <w:autoSpaceDN/>
              <w:bidi w:val="0"/>
              <w:spacing w:line="440" w:lineRule="exact"/>
              <w:ind w:firstLine="0" w:firstLineChars="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招标人</w:t>
            </w:r>
          </w:p>
        </w:tc>
        <w:tc>
          <w:tcPr>
            <w:tcW w:w="6345" w:type="dxa"/>
            <w:tcBorders>
              <w:top w:val="single" w:color="auto" w:sz="4" w:space="0"/>
              <w:left w:val="single" w:color="auto" w:sz="4" w:space="0"/>
              <w:bottom w:val="single" w:color="auto" w:sz="4" w:space="0"/>
              <w:right w:val="single" w:color="auto" w:sz="4" w:space="0"/>
            </w:tcBorders>
            <w:noWrap w:val="0"/>
            <w:vAlign w:val="center"/>
          </w:tcPr>
          <w:p w14:paraId="3A427119">
            <w:pPr>
              <w:keepNext w:val="0"/>
              <w:keepLines w:val="0"/>
              <w:pageBreakBefore w:val="0"/>
              <w:widowControl/>
              <w:kinsoku/>
              <w:wordWrap/>
              <w:overflowPunct/>
              <w:autoSpaceDE/>
              <w:autoSpaceDN/>
              <w:bidi w:val="0"/>
              <w:spacing w:line="360" w:lineRule="auto"/>
              <w:ind w:firstLine="0" w:firstLineChars="0"/>
              <w:jc w:val="left"/>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招标人：营口市汇信资源循环利用(集团)有限公司</w:t>
            </w:r>
          </w:p>
          <w:p w14:paraId="13FAFE8D">
            <w:pPr>
              <w:keepNext w:val="0"/>
              <w:keepLines w:val="0"/>
              <w:pageBreakBefore w:val="0"/>
              <w:widowControl/>
              <w:kinsoku/>
              <w:wordWrap/>
              <w:overflowPunct/>
              <w:autoSpaceDE/>
              <w:autoSpaceDN/>
              <w:bidi w:val="0"/>
              <w:spacing w:line="360" w:lineRule="auto"/>
              <w:ind w:firstLine="0" w:firstLineChars="0"/>
              <w:jc w:val="left"/>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地址：辽宁省营口市老边区捻线街捻线里</w:t>
            </w:r>
          </w:p>
          <w:p w14:paraId="71D69C3D">
            <w:pPr>
              <w:keepNext w:val="0"/>
              <w:keepLines w:val="0"/>
              <w:pageBreakBefore w:val="0"/>
              <w:widowControl/>
              <w:kinsoku/>
              <w:wordWrap/>
              <w:overflowPunct/>
              <w:autoSpaceDE/>
              <w:autoSpaceDN/>
              <w:bidi w:val="0"/>
              <w:spacing w:line="360" w:lineRule="auto"/>
              <w:ind w:firstLine="0" w:firstLineChars="0"/>
              <w:jc w:val="left"/>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联系人：</w:t>
            </w:r>
            <w:r>
              <w:rPr>
                <w:rFonts w:hint="eastAsia" w:ascii="仿宋" w:hAnsi="仿宋" w:cs="仿宋"/>
                <w:color w:val="auto"/>
                <w:kern w:val="0"/>
                <w:sz w:val="24"/>
                <w:szCs w:val="24"/>
                <w:highlight w:val="none"/>
                <w:lang w:val="en-US" w:eastAsia="zh-CN"/>
              </w:rPr>
              <w:t>蒋涛</w:t>
            </w:r>
            <w:r>
              <w:rPr>
                <w:rFonts w:hint="eastAsia" w:ascii="仿宋" w:hAnsi="仿宋" w:eastAsia="仿宋" w:cs="仿宋"/>
                <w:color w:val="auto"/>
                <w:kern w:val="0"/>
                <w:sz w:val="24"/>
                <w:szCs w:val="24"/>
                <w:highlight w:val="none"/>
              </w:rPr>
              <w:t xml:space="preserve"> </w:t>
            </w:r>
          </w:p>
          <w:p w14:paraId="58D82186">
            <w:pPr>
              <w:keepNext w:val="0"/>
              <w:keepLines w:val="0"/>
              <w:pageBreakBefore w:val="0"/>
              <w:widowControl/>
              <w:kinsoku/>
              <w:wordWrap/>
              <w:overflowPunct/>
              <w:autoSpaceDE/>
              <w:autoSpaceDN/>
              <w:bidi w:val="0"/>
              <w:spacing w:line="360" w:lineRule="auto"/>
              <w:ind w:firstLine="0" w:firstLineChars="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rPr>
              <w:t>联系电话：</w:t>
            </w:r>
            <w:r>
              <w:rPr>
                <w:rFonts w:hint="eastAsia" w:ascii="仿宋" w:hAnsi="仿宋" w:eastAsia="仿宋" w:cs="仿宋"/>
                <w:color w:val="auto"/>
                <w:sz w:val="24"/>
                <w:szCs w:val="24"/>
                <w:highlight w:val="none"/>
              </w:rPr>
              <w:t>13841725355</w:t>
            </w:r>
          </w:p>
        </w:tc>
      </w:tr>
      <w:tr w14:paraId="6D38AC49">
        <w:tblPrEx>
          <w:tblCellMar>
            <w:top w:w="0" w:type="dxa"/>
            <w:left w:w="108" w:type="dxa"/>
            <w:bottom w:w="0" w:type="dxa"/>
            <w:right w:w="108" w:type="dxa"/>
          </w:tblCellMar>
        </w:tblPrEx>
        <w:trPr>
          <w:jc w:val="center"/>
        </w:trPr>
        <w:tc>
          <w:tcPr>
            <w:tcW w:w="1165" w:type="dxa"/>
            <w:tcBorders>
              <w:top w:val="single" w:color="auto" w:sz="4" w:space="0"/>
              <w:left w:val="single" w:color="auto" w:sz="4" w:space="0"/>
              <w:bottom w:val="single" w:color="auto" w:sz="4" w:space="0"/>
              <w:right w:val="single" w:color="auto" w:sz="4" w:space="0"/>
            </w:tcBorders>
            <w:noWrap w:val="0"/>
            <w:vAlign w:val="center"/>
          </w:tcPr>
          <w:p w14:paraId="54291F49">
            <w:pPr>
              <w:keepNext w:val="0"/>
              <w:keepLines w:val="0"/>
              <w:pageBreakBefore w:val="0"/>
              <w:widowControl/>
              <w:kinsoku/>
              <w:wordWrap/>
              <w:overflowPunct/>
              <w:autoSpaceDE/>
              <w:autoSpaceDN/>
              <w:bidi w:val="0"/>
              <w:spacing w:line="440" w:lineRule="exact"/>
              <w:ind w:firstLine="0" w:firstLineChars="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1.1.3</w:t>
            </w:r>
          </w:p>
        </w:tc>
        <w:tc>
          <w:tcPr>
            <w:tcW w:w="2091" w:type="dxa"/>
            <w:tcBorders>
              <w:top w:val="single" w:color="auto" w:sz="4" w:space="0"/>
              <w:left w:val="single" w:color="auto" w:sz="4" w:space="0"/>
              <w:bottom w:val="single" w:color="auto" w:sz="4" w:space="0"/>
              <w:right w:val="single" w:color="auto" w:sz="4" w:space="0"/>
            </w:tcBorders>
            <w:noWrap w:val="0"/>
            <w:vAlign w:val="center"/>
          </w:tcPr>
          <w:p w14:paraId="5A6D8B89">
            <w:pPr>
              <w:keepNext w:val="0"/>
              <w:keepLines w:val="0"/>
              <w:pageBreakBefore w:val="0"/>
              <w:widowControl/>
              <w:kinsoku/>
              <w:wordWrap/>
              <w:overflowPunct/>
              <w:autoSpaceDE/>
              <w:autoSpaceDN/>
              <w:bidi w:val="0"/>
              <w:spacing w:line="440" w:lineRule="exact"/>
              <w:ind w:firstLine="0" w:firstLineChars="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招标代理机构</w:t>
            </w:r>
          </w:p>
        </w:tc>
        <w:tc>
          <w:tcPr>
            <w:tcW w:w="6345" w:type="dxa"/>
            <w:tcBorders>
              <w:top w:val="single" w:color="auto" w:sz="4" w:space="0"/>
              <w:left w:val="single" w:color="auto" w:sz="4" w:space="0"/>
              <w:bottom w:val="single" w:color="auto" w:sz="4" w:space="0"/>
              <w:right w:val="single" w:color="auto" w:sz="4" w:space="0"/>
            </w:tcBorders>
            <w:noWrap w:val="0"/>
            <w:vAlign w:val="center"/>
          </w:tcPr>
          <w:p w14:paraId="293365E4">
            <w:pPr>
              <w:keepNext w:val="0"/>
              <w:keepLines w:val="0"/>
              <w:pageBreakBefore w:val="0"/>
              <w:widowControl/>
              <w:kinsoku/>
              <w:wordWrap/>
              <w:overflowPunct/>
              <w:autoSpaceDE/>
              <w:autoSpaceDN/>
              <w:bidi w:val="0"/>
              <w:spacing w:line="360" w:lineRule="auto"/>
              <w:ind w:firstLine="0" w:firstLineChars="0"/>
              <w:jc w:val="left"/>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招标代理机构： 辽宁国信建设工程管理有限公司</w:t>
            </w:r>
          </w:p>
          <w:p w14:paraId="3172A8C8">
            <w:pPr>
              <w:keepNext w:val="0"/>
              <w:keepLines w:val="0"/>
              <w:pageBreakBefore w:val="0"/>
              <w:widowControl/>
              <w:kinsoku/>
              <w:wordWrap/>
              <w:overflowPunct/>
              <w:autoSpaceDE/>
              <w:autoSpaceDN/>
              <w:bidi w:val="0"/>
              <w:spacing w:line="360" w:lineRule="auto"/>
              <w:ind w:firstLine="0" w:firstLineChars="0"/>
              <w:jc w:val="left"/>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 xml:space="preserve">地址：营口市站前区东新路7-12号 </w:t>
            </w:r>
          </w:p>
          <w:p w14:paraId="5C987C36">
            <w:pPr>
              <w:keepNext w:val="0"/>
              <w:keepLines w:val="0"/>
              <w:pageBreakBefore w:val="0"/>
              <w:widowControl/>
              <w:kinsoku/>
              <w:wordWrap/>
              <w:overflowPunct/>
              <w:autoSpaceDE/>
              <w:autoSpaceDN/>
              <w:bidi w:val="0"/>
              <w:spacing w:line="360" w:lineRule="auto"/>
              <w:ind w:firstLine="0" w:firstLineChars="0"/>
              <w:jc w:val="left"/>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 xml:space="preserve">联系人： </w:t>
            </w:r>
            <w:r>
              <w:rPr>
                <w:rFonts w:hint="eastAsia" w:ascii="仿宋" w:hAnsi="仿宋" w:eastAsia="仿宋" w:cs="仿宋"/>
                <w:color w:val="auto"/>
                <w:sz w:val="24"/>
                <w:szCs w:val="24"/>
                <w:highlight w:val="none"/>
              </w:rPr>
              <w:t>邰文婧、杨盼盼</w:t>
            </w:r>
          </w:p>
          <w:p w14:paraId="21A260EA">
            <w:pPr>
              <w:keepNext w:val="0"/>
              <w:keepLines w:val="0"/>
              <w:pageBreakBefore w:val="0"/>
              <w:widowControl/>
              <w:kinsoku/>
              <w:wordWrap/>
              <w:overflowPunct/>
              <w:autoSpaceDE/>
              <w:autoSpaceDN/>
              <w:bidi w:val="0"/>
              <w:spacing w:line="360" w:lineRule="auto"/>
              <w:ind w:firstLine="0" w:firstLineChars="0"/>
              <w:jc w:val="left"/>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联系电话：</w:t>
            </w:r>
            <w:r>
              <w:rPr>
                <w:rFonts w:hint="eastAsia" w:ascii="仿宋" w:hAnsi="仿宋" w:eastAsia="仿宋" w:cs="仿宋"/>
                <w:color w:val="auto"/>
                <w:sz w:val="24"/>
                <w:szCs w:val="24"/>
                <w:highlight w:val="none"/>
              </w:rPr>
              <w:t>0417-3355093</w:t>
            </w:r>
            <w:r>
              <w:rPr>
                <w:rFonts w:hint="eastAsia" w:ascii="仿宋" w:hAnsi="仿宋" w:eastAsia="仿宋" w:cs="仿宋"/>
                <w:color w:val="auto"/>
                <w:kern w:val="0"/>
                <w:sz w:val="24"/>
                <w:szCs w:val="24"/>
                <w:highlight w:val="none"/>
              </w:rPr>
              <w:t xml:space="preserve"> </w:t>
            </w:r>
          </w:p>
          <w:p w14:paraId="3C307895">
            <w:pPr>
              <w:keepNext w:val="0"/>
              <w:keepLines w:val="0"/>
              <w:pageBreakBefore w:val="0"/>
              <w:widowControl/>
              <w:kinsoku/>
              <w:wordWrap/>
              <w:overflowPunct/>
              <w:autoSpaceDE/>
              <w:autoSpaceDN/>
              <w:bidi w:val="0"/>
              <w:spacing w:line="440" w:lineRule="exact"/>
              <w:ind w:firstLine="0" w:firstLineChars="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rPr>
              <w:t>电子信箱：</w:t>
            </w:r>
            <w:r>
              <w:rPr>
                <w:rFonts w:hint="eastAsia" w:ascii="仿宋" w:hAnsi="仿宋" w:eastAsia="仿宋" w:cs="仿宋"/>
                <w:color w:val="auto"/>
                <w:sz w:val="24"/>
                <w:szCs w:val="24"/>
                <w:highlight w:val="none"/>
              </w:rPr>
              <w:t xml:space="preserve">870726396@qq.com </w:t>
            </w:r>
          </w:p>
        </w:tc>
      </w:tr>
      <w:tr w14:paraId="06085C39">
        <w:tblPrEx>
          <w:tblCellMar>
            <w:top w:w="0" w:type="dxa"/>
            <w:left w:w="108" w:type="dxa"/>
            <w:bottom w:w="0" w:type="dxa"/>
            <w:right w:w="108" w:type="dxa"/>
          </w:tblCellMar>
        </w:tblPrEx>
        <w:trPr>
          <w:jc w:val="center"/>
        </w:trPr>
        <w:tc>
          <w:tcPr>
            <w:tcW w:w="1165" w:type="dxa"/>
            <w:tcBorders>
              <w:top w:val="single" w:color="auto" w:sz="4" w:space="0"/>
              <w:left w:val="single" w:color="auto" w:sz="4" w:space="0"/>
              <w:bottom w:val="single" w:color="auto" w:sz="4" w:space="0"/>
              <w:right w:val="single" w:color="auto" w:sz="4" w:space="0"/>
            </w:tcBorders>
            <w:noWrap w:val="0"/>
            <w:vAlign w:val="center"/>
          </w:tcPr>
          <w:p w14:paraId="3FCDE026">
            <w:pPr>
              <w:keepNext w:val="0"/>
              <w:keepLines w:val="0"/>
              <w:pageBreakBefore w:val="0"/>
              <w:widowControl/>
              <w:kinsoku/>
              <w:wordWrap/>
              <w:overflowPunct/>
              <w:autoSpaceDE/>
              <w:autoSpaceDN/>
              <w:bidi w:val="0"/>
              <w:spacing w:line="440" w:lineRule="exact"/>
              <w:ind w:firstLine="0" w:firstLineChars="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1.1.4</w:t>
            </w:r>
          </w:p>
        </w:tc>
        <w:tc>
          <w:tcPr>
            <w:tcW w:w="2091" w:type="dxa"/>
            <w:tcBorders>
              <w:top w:val="single" w:color="auto" w:sz="4" w:space="0"/>
              <w:left w:val="single" w:color="auto" w:sz="4" w:space="0"/>
              <w:bottom w:val="single" w:color="auto" w:sz="4" w:space="0"/>
              <w:right w:val="single" w:color="auto" w:sz="4" w:space="0"/>
            </w:tcBorders>
            <w:noWrap w:val="0"/>
            <w:vAlign w:val="center"/>
          </w:tcPr>
          <w:p w14:paraId="07CF52A3">
            <w:pPr>
              <w:keepNext w:val="0"/>
              <w:keepLines w:val="0"/>
              <w:pageBreakBefore w:val="0"/>
              <w:widowControl/>
              <w:kinsoku/>
              <w:wordWrap/>
              <w:overflowPunct/>
              <w:autoSpaceDE/>
              <w:autoSpaceDN/>
              <w:bidi w:val="0"/>
              <w:spacing w:line="440" w:lineRule="exact"/>
              <w:ind w:firstLine="0" w:firstLineChars="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项目名称</w:t>
            </w:r>
          </w:p>
        </w:tc>
        <w:tc>
          <w:tcPr>
            <w:tcW w:w="6345" w:type="dxa"/>
            <w:tcBorders>
              <w:top w:val="single" w:color="auto" w:sz="4" w:space="0"/>
              <w:left w:val="single" w:color="auto" w:sz="4" w:space="0"/>
              <w:bottom w:val="single" w:color="auto" w:sz="4" w:space="0"/>
              <w:right w:val="single" w:color="auto" w:sz="4" w:space="0"/>
            </w:tcBorders>
            <w:noWrap w:val="0"/>
            <w:vAlign w:val="center"/>
          </w:tcPr>
          <w:p w14:paraId="53556F90">
            <w:pPr>
              <w:keepNext w:val="0"/>
              <w:keepLines w:val="0"/>
              <w:pageBreakBefore w:val="0"/>
              <w:widowControl/>
              <w:kinsoku/>
              <w:wordWrap/>
              <w:overflowPunct/>
              <w:autoSpaceDE/>
              <w:autoSpaceDN/>
              <w:bidi w:val="0"/>
              <w:spacing w:line="440" w:lineRule="exact"/>
              <w:ind w:firstLine="0" w:firstLineChars="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营口市汇信资源循环利用(集团)有限公司新建营口市老边区污水处理厂项目工程设计采购施工及运营总承包（EPC+O）</w:t>
            </w:r>
            <w:r>
              <w:rPr>
                <w:rFonts w:hint="eastAsia" w:ascii="仿宋" w:hAnsi="仿宋" w:eastAsia="仿宋" w:cs="仿宋"/>
                <w:color w:val="auto"/>
                <w:sz w:val="24"/>
                <w:szCs w:val="24"/>
                <w:highlight w:val="none"/>
              </w:rPr>
              <w:t xml:space="preserve">  </w:t>
            </w:r>
          </w:p>
        </w:tc>
      </w:tr>
      <w:tr w14:paraId="3FE19E23">
        <w:tblPrEx>
          <w:tblCellMar>
            <w:top w:w="0" w:type="dxa"/>
            <w:left w:w="108" w:type="dxa"/>
            <w:bottom w:w="0" w:type="dxa"/>
            <w:right w:w="108" w:type="dxa"/>
          </w:tblCellMar>
        </w:tblPrEx>
        <w:trPr>
          <w:jc w:val="center"/>
        </w:trPr>
        <w:tc>
          <w:tcPr>
            <w:tcW w:w="1165" w:type="dxa"/>
            <w:tcBorders>
              <w:top w:val="single" w:color="auto" w:sz="4" w:space="0"/>
              <w:left w:val="single" w:color="auto" w:sz="4" w:space="0"/>
              <w:bottom w:val="single" w:color="auto" w:sz="4" w:space="0"/>
              <w:right w:val="single" w:color="auto" w:sz="4" w:space="0"/>
            </w:tcBorders>
            <w:noWrap w:val="0"/>
            <w:vAlign w:val="center"/>
          </w:tcPr>
          <w:p w14:paraId="41F12C9D">
            <w:pPr>
              <w:keepNext w:val="0"/>
              <w:keepLines w:val="0"/>
              <w:pageBreakBefore w:val="0"/>
              <w:widowControl/>
              <w:kinsoku/>
              <w:wordWrap/>
              <w:overflowPunct/>
              <w:autoSpaceDE/>
              <w:autoSpaceDN/>
              <w:bidi w:val="0"/>
              <w:spacing w:line="440" w:lineRule="exact"/>
              <w:ind w:firstLine="0" w:firstLineChars="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1.1.5</w:t>
            </w:r>
          </w:p>
        </w:tc>
        <w:tc>
          <w:tcPr>
            <w:tcW w:w="2091" w:type="dxa"/>
            <w:tcBorders>
              <w:top w:val="single" w:color="auto" w:sz="4" w:space="0"/>
              <w:left w:val="single" w:color="auto" w:sz="4" w:space="0"/>
              <w:bottom w:val="single" w:color="auto" w:sz="4" w:space="0"/>
              <w:right w:val="single" w:color="auto" w:sz="4" w:space="0"/>
            </w:tcBorders>
            <w:noWrap w:val="0"/>
            <w:vAlign w:val="center"/>
          </w:tcPr>
          <w:p w14:paraId="2E84C589">
            <w:pPr>
              <w:keepNext w:val="0"/>
              <w:keepLines w:val="0"/>
              <w:pageBreakBefore w:val="0"/>
              <w:widowControl/>
              <w:kinsoku/>
              <w:wordWrap/>
              <w:overflowPunct/>
              <w:autoSpaceDE/>
              <w:autoSpaceDN/>
              <w:bidi w:val="0"/>
              <w:spacing w:line="440" w:lineRule="exact"/>
              <w:ind w:firstLine="0" w:firstLineChars="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建设地点</w:t>
            </w:r>
          </w:p>
        </w:tc>
        <w:tc>
          <w:tcPr>
            <w:tcW w:w="6345" w:type="dxa"/>
            <w:tcBorders>
              <w:top w:val="single" w:color="auto" w:sz="4" w:space="0"/>
              <w:left w:val="single" w:color="auto" w:sz="4" w:space="0"/>
              <w:bottom w:val="single" w:color="auto" w:sz="4" w:space="0"/>
              <w:right w:val="single" w:color="auto" w:sz="4" w:space="0"/>
            </w:tcBorders>
            <w:noWrap w:val="0"/>
            <w:vAlign w:val="center"/>
          </w:tcPr>
          <w:p w14:paraId="1EE5439B">
            <w:pPr>
              <w:keepNext w:val="0"/>
              <w:keepLines w:val="0"/>
              <w:pageBreakBefore w:val="0"/>
              <w:widowControl/>
              <w:kinsoku/>
              <w:wordWrap/>
              <w:overflowPunct/>
              <w:autoSpaceDE/>
              <w:autoSpaceDN/>
              <w:bidi w:val="0"/>
              <w:spacing w:line="440" w:lineRule="exact"/>
              <w:ind w:firstLine="0" w:firstLineChars="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辽宁省营口市老边区营大路与上白线交叉口东北侧</w:t>
            </w:r>
          </w:p>
        </w:tc>
      </w:tr>
      <w:tr w14:paraId="16977AFA">
        <w:tblPrEx>
          <w:tblCellMar>
            <w:top w:w="0" w:type="dxa"/>
            <w:left w:w="108" w:type="dxa"/>
            <w:bottom w:w="0" w:type="dxa"/>
            <w:right w:w="108" w:type="dxa"/>
          </w:tblCellMar>
        </w:tblPrEx>
        <w:trPr>
          <w:jc w:val="center"/>
        </w:trPr>
        <w:tc>
          <w:tcPr>
            <w:tcW w:w="1165" w:type="dxa"/>
            <w:tcBorders>
              <w:top w:val="single" w:color="auto" w:sz="4" w:space="0"/>
              <w:left w:val="single" w:color="auto" w:sz="4" w:space="0"/>
              <w:bottom w:val="single" w:color="auto" w:sz="4" w:space="0"/>
              <w:right w:val="single" w:color="auto" w:sz="4" w:space="0"/>
            </w:tcBorders>
            <w:noWrap w:val="0"/>
            <w:vAlign w:val="center"/>
          </w:tcPr>
          <w:p w14:paraId="38BC5ACB">
            <w:pPr>
              <w:keepNext w:val="0"/>
              <w:keepLines w:val="0"/>
              <w:pageBreakBefore w:val="0"/>
              <w:widowControl/>
              <w:kinsoku/>
              <w:wordWrap/>
              <w:overflowPunct/>
              <w:autoSpaceDE/>
              <w:autoSpaceDN/>
              <w:bidi w:val="0"/>
              <w:spacing w:line="440" w:lineRule="exact"/>
              <w:ind w:firstLine="0" w:firstLineChars="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1.2.1</w:t>
            </w:r>
          </w:p>
        </w:tc>
        <w:tc>
          <w:tcPr>
            <w:tcW w:w="2091" w:type="dxa"/>
            <w:tcBorders>
              <w:top w:val="single" w:color="auto" w:sz="4" w:space="0"/>
              <w:left w:val="single" w:color="auto" w:sz="4" w:space="0"/>
              <w:bottom w:val="single" w:color="auto" w:sz="4" w:space="0"/>
              <w:right w:val="single" w:color="auto" w:sz="4" w:space="0"/>
            </w:tcBorders>
            <w:noWrap w:val="0"/>
            <w:vAlign w:val="center"/>
          </w:tcPr>
          <w:p w14:paraId="7EA8A432">
            <w:pPr>
              <w:keepNext w:val="0"/>
              <w:keepLines w:val="0"/>
              <w:pageBreakBefore w:val="0"/>
              <w:widowControl/>
              <w:kinsoku/>
              <w:wordWrap/>
              <w:overflowPunct/>
              <w:autoSpaceDE/>
              <w:autoSpaceDN/>
              <w:bidi w:val="0"/>
              <w:spacing w:line="440" w:lineRule="exact"/>
              <w:ind w:firstLine="0" w:firstLineChars="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资金来源及比例</w:t>
            </w:r>
          </w:p>
        </w:tc>
        <w:tc>
          <w:tcPr>
            <w:tcW w:w="6345" w:type="dxa"/>
            <w:tcBorders>
              <w:top w:val="single" w:color="auto" w:sz="4" w:space="0"/>
              <w:left w:val="single" w:color="auto" w:sz="4" w:space="0"/>
              <w:bottom w:val="single" w:color="auto" w:sz="4" w:space="0"/>
              <w:right w:val="single" w:color="auto" w:sz="4" w:space="0"/>
            </w:tcBorders>
            <w:noWrap w:val="0"/>
            <w:vAlign w:val="center"/>
          </w:tcPr>
          <w:p w14:paraId="00B61864">
            <w:pPr>
              <w:keepNext w:val="0"/>
              <w:keepLines w:val="0"/>
              <w:pageBreakBefore w:val="0"/>
              <w:widowControl/>
              <w:kinsoku/>
              <w:wordWrap/>
              <w:overflowPunct/>
              <w:autoSpaceDE/>
              <w:autoSpaceDN/>
              <w:bidi w:val="0"/>
              <w:spacing w:line="440" w:lineRule="exact"/>
              <w:ind w:firstLine="0" w:firstLineChars="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自筹100%</w:t>
            </w:r>
          </w:p>
        </w:tc>
      </w:tr>
      <w:tr w14:paraId="706CA1ED">
        <w:tblPrEx>
          <w:tblCellMar>
            <w:top w:w="0" w:type="dxa"/>
            <w:left w:w="108" w:type="dxa"/>
            <w:bottom w:w="0" w:type="dxa"/>
            <w:right w:w="108" w:type="dxa"/>
          </w:tblCellMar>
        </w:tblPrEx>
        <w:trPr>
          <w:jc w:val="center"/>
        </w:trPr>
        <w:tc>
          <w:tcPr>
            <w:tcW w:w="1165" w:type="dxa"/>
            <w:tcBorders>
              <w:top w:val="single" w:color="auto" w:sz="4" w:space="0"/>
              <w:left w:val="single" w:color="auto" w:sz="4" w:space="0"/>
              <w:bottom w:val="single" w:color="auto" w:sz="4" w:space="0"/>
              <w:right w:val="single" w:color="auto" w:sz="4" w:space="0"/>
            </w:tcBorders>
            <w:noWrap w:val="0"/>
            <w:vAlign w:val="center"/>
          </w:tcPr>
          <w:p w14:paraId="404C0096">
            <w:pPr>
              <w:keepNext w:val="0"/>
              <w:keepLines w:val="0"/>
              <w:pageBreakBefore w:val="0"/>
              <w:widowControl/>
              <w:kinsoku/>
              <w:wordWrap/>
              <w:overflowPunct/>
              <w:autoSpaceDE/>
              <w:autoSpaceDN/>
              <w:bidi w:val="0"/>
              <w:spacing w:line="440" w:lineRule="exact"/>
              <w:ind w:firstLine="0" w:firstLineChars="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1.2.2</w:t>
            </w:r>
          </w:p>
        </w:tc>
        <w:tc>
          <w:tcPr>
            <w:tcW w:w="2091" w:type="dxa"/>
            <w:tcBorders>
              <w:top w:val="single" w:color="auto" w:sz="4" w:space="0"/>
              <w:left w:val="single" w:color="auto" w:sz="4" w:space="0"/>
              <w:bottom w:val="single" w:color="auto" w:sz="4" w:space="0"/>
              <w:right w:val="single" w:color="auto" w:sz="4" w:space="0"/>
            </w:tcBorders>
            <w:noWrap w:val="0"/>
            <w:vAlign w:val="center"/>
          </w:tcPr>
          <w:p w14:paraId="2DD194D0">
            <w:pPr>
              <w:keepNext w:val="0"/>
              <w:keepLines w:val="0"/>
              <w:pageBreakBefore w:val="0"/>
              <w:widowControl/>
              <w:kinsoku/>
              <w:wordWrap/>
              <w:overflowPunct/>
              <w:autoSpaceDE/>
              <w:autoSpaceDN/>
              <w:bidi w:val="0"/>
              <w:spacing w:line="440" w:lineRule="exact"/>
              <w:ind w:firstLine="0" w:firstLineChars="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资金落实情况</w:t>
            </w:r>
          </w:p>
        </w:tc>
        <w:tc>
          <w:tcPr>
            <w:tcW w:w="6345" w:type="dxa"/>
            <w:tcBorders>
              <w:top w:val="single" w:color="auto" w:sz="4" w:space="0"/>
              <w:left w:val="single" w:color="auto" w:sz="4" w:space="0"/>
              <w:bottom w:val="single" w:color="auto" w:sz="4" w:space="0"/>
              <w:right w:val="single" w:color="auto" w:sz="4" w:space="0"/>
            </w:tcBorders>
            <w:noWrap w:val="0"/>
            <w:vAlign w:val="center"/>
          </w:tcPr>
          <w:p w14:paraId="1245B3AA">
            <w:pPr>
              <w:keepNext w:val="0"/>
              <w:keepLines w:val="0"/>
              <w:pageBreakBefore w:val="0"/>
              <w:widowControl/>
              <w:kinsoku/>
              <w:wordWrap/>
              <w:overflowPunct/>
              <w:autoSpaceDE/>
              <w:autoSpaceDN/>
              <w:bidi w:val="0"/>
              <w:spacing w:line="440" w:lineRule="exact"/>
              <w:ind w:firstLine="0" w:firstLineChars="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已落实</w:t>
            </w:r>
          </w:p>
        </w:tc>
      </w:tr>
      <w:tr w14:paraId="1455208E">
        <w:tblPrEx>
          <w:tblCellMar>
            <w:top w:w="0" w:type="dxa"/>
            <w:left w:w="108" w:type="dxa"/>
            <w:bottom w:w="0" w:type="dxa"/>
            <w:right w:w="108" w:type="dxa"/>
          </w:tblCellMar>
        </w:tblPrEx>
        <w:trPr>
          <w:jc w:val="center"/>
        </w:trPr>
        <w:tc>
          <w:tcPr>
            <w:tcW w:w="1165" w:type="dxa"/>
            <w:tcBorders>
              <w:top w:val="single" w:color="auto" w:sz="4" w:space="0"/>
              <w:left w:val="single" w:color="auto" w:sz="4" w:space="0"/>
              <w:bottom w:val="single" w:color="auto" w:sz="4" w:space="0"/>
              <w:right w:val="single" w:color="auto" w:sz="4" w:space="0"/>
            </w:tcBorders>
            <w:noWrap w:val="0"/>
            <w:vAlign w:val="center"/>
          </w:tcPr>
          <w:p w14:paraId="569092F4">
            <w:pPr>
              <w:keepNext w:val="0"/>
              <w:keepLines w:val="0"/>
              <w:pageBreakBefore w:val="0"/>
              <w:widowControl/>
              <w:kinsoku/>
              <w:wordWrap/>
              <w:overflowPunct/>
              <w:autoSpaceDE/>
              <w:autoSpaceDN/>
              <w:bidi w:val="0"/>
              <w:spacing w:line="440" w:lineRule="exact"/>
              <w:ind w:firstLine="0" w:firstLineChars="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1.3.1</w:t>
            </w:r>
          </w:p>
        </w:tc>
        <w:tc>
          <w:tcPr>
            <w:tcW w:w="2091" w:type="dxa"/>
            <w:tcBorders>
              <w:top w:val="single" w:color="auto" w:sz="4" w:space="0"/>
              <w:left w:val="single" w:color="auto" w:sz="4" w:space="0"/>
              <w:bottom w:val="single" w:color="auto" w:sz="4" w:space="0"/>
              <w:right w:val="single" w:color="auto" w:sz="4" w:space="0"/>
            </w:tcBorders>
            <w:noWrap w:val="0"/>
            <w:vAlign w:val="center"/>
          </w:tcPr>
          <w:p w14:paraId="37C50676">
            <w:pPr>
              <w:keepNext w:val="0"/>
              <w:keepLines w:val="0"/>
              <w:pageBreakBefore w:val="0"/>
              <w:widowControl/>
              <w:kinsoku/>
              <w:wordWrap/>
              <w:overflowPunct/>
              <w:autoSpaceDE/>
              <w:autoSpaceDN/>
              <w:bidi w:val="0"/>
              <w:spacing w:line="440" w:lineRule="exact"/>
              <w:ind w:firstLine="0" w:firstLineChars="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招标范围</w:t>
            </w:r>
          </w:p>
        </w:tc>
        <w:tc>
          <w:tcPr>
            <w:tcW w:w="6345" w:type="dxa"/>
            <w:tcBorders>
              <w:top w:val="single" w:color="auto" w:sz="4" w:space="0"/>
              <w:left w:val="single" w:color="auto" w:sz="4" w:space="0"/>
              <w:bottom w:val="single" w:color="auto" w:sz="4" w:space="0"/>
              <w:right w:val="single" w:color="auto" w:sz="4" w:space="0"/>
            </w:tcBorders>
            <w:noWrap w:val="0"/>
            <w:vAlign w:val="center"/>
          </w:tcPr>
          <w:p w14:paraId="5DE44EE1">
            <w:pPr>
              <w:keepNext w:val="0"/>
              <w:keepLines w:val="0"/>
              <w:pageBreakBefore w:val="0"/>
              <w:widowControl/>
              <w:kinsoku/>
              <w:wordWrap/>
              <w:overflowPunct/>
              <w:autoSpaceDE/>
              <w:autoSpaceDN/>
              <w:bidi w:val="0"/>
              <w:spacing w:line="440" w:lineRule="exact"/>
              <w:ind w:firstLine="0" w:firstLineChars="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营口市汇信资源循环利用(集团)有限公司新建营口市老边区污水处理厂项目的设计、施工、设备集成供货及服务、运营服务等实行全过程总承包。</w:t>
            </w:r>
          </w:p>
          <w:p w14:paraId="6E090B06">
            <w:pPr>
              <w:keepNext w:val="0"/>
              <w:keepLines w:val="0"/>
              <w:pageBreakBefore w:val="0"/>
              <w:widowControl/>
              <w:kinsoku/>
              <w:wordWrap/>
              <w:overflowPunct/>
              <w:autoSpaceDE/>
              <w:autoSpaceDN/>
              <w:bidi w:val="0"/>
              <w:spacing w:line="440" w:lineRule="exact"/>
              <w:ind w:firstLine="0" w:firstLineChars="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（1）工程设计范围：完成本项目建设范围内的施工图设计、施工图优化并配合送审取得施工图审查合格书等工作；协助办理本工程引起的工程设计报建手续；施工过程技术服务及设计变更手续等。</w:t>
            </w:r>
          </w:p>
          <w:p w14:paraId="5A7300DD">
            <w:pPr>
              <w:keepNext w:val="0"/>
              <w:keepLines w:val="0"/>
              <w:pageBreakBefore w:val="0"/>
              <w:widowControl/>
              <w:kinsoku/>
              <w:wordWrap/>
              <w:overflowPunct/>
              <w:autoSpaceDE/>
              <w:autoSpaceDN/>
              <w:bidi w:val="0"/>
              <w:spacing w:line="440" w:lineRule="exact"/>
              <w:ind w:firstLine="0" w:firstLineChars="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设备集成供货及服务：提供装配式（一体化）设备（处理量Q=8000m3/d）的生产与供货、全厂配套设备(含备品备件)生产与供货、技术参数、配套设备选型优化、设备运输、指导安装及指导调试、技术资料、培训、质量保证及售后服务等。</w:t>
            </w:r>
          </w:p>
          <w:p w14:paraId="1A06D86B">
            <w:pPr>
              <w:keepNext w:val="0"/>
              <w:keepLines w:val="0"/>
              <w:pageBreakBefore w:val="0"/>
              <w:widowControl/>
              <w:kinsoku/>
              <w:wordWrap/>
              <w:overflowPunct/>
              <w:autoSpaceDE/>
              <w:autoSpaceDN/>
              <w:bidi w:val="0"/>
              <w:spacing w:line="440" w:lineRule="exact"/>
              <w:ind w:firstLine="0" w:firstLineChars="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工程施工范围：本项目设计范围内所有工程内容的施工（包人工、包材料设备、包安装、包质量、包工期、包安全、包文明施工、包竣工验收通过、包保修、包移交、包结算、包资料整理、包施工承包管理和现场整体组织、包专业协调及配合等），具体包括但不限于以下事项：</w:t>
            </w:r>
          </w:p>
          <w:p w14:paraId="7C01BB8F">
            <w:pPr>
              <w:keepNext w:val="0"/>
              <w:keepLines w:val="0"/>
              <w:pageBreakBefore w:val="0"/>
              <w:widowControl/>
              <w:kinsoku/>
              <w:wordWrap/>
              <w:overflowPunct/>
              <w:autoSpaceDE/>
              <w:autoSpaceDN/>
              <w:bidi w:val="0"/>
              <w:spacing w:line="440" w:lineRule="exact"/>
              <w:ind w:firstLine="0" w:firstLineChars="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1）协助发包人办理工程前期的报建、报批工作；</w:t>
            </w:r>
          </w:p>
          <w:p w14:paraId="1D6F2A01">
            <w:pPr>
              <w:keepNext w:val="0"/>
              <w:keepLines w:val="0"/>
              <w:pageBreakBefore w:val="0"/>
              <w:widowControl/>
              <w:kinsoku/>
              <w:wordWrap/>
              <w:overflowPunct/>
              <w:autoSpaceDE/>
              <w:autoSpaceDN/>
              <w:bidi w:val="0"/>
              <w:spacing w:line="440" w:lineRule="exact"/>
              <w:ind w:firstLine="0" w:firstLineChars="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2）根据发包人要求，负责施工，负责设备保管、安装及调试； </w:t>
            </w:r>
          </w:p>
          <w:p w14:paraId="58B9D716">
            <w:pPr>
              <w:keepNext w:val="0"/>
              <w:keepLines w:val="0"/>
              <w:pageBreakBefore w:val="0"/>
              <w:widowControl/>
              <w:kinsoku/>
              <w:wordWrap/>
              <w:overflowPunct/>
              <w:autoSpaceDE/>
              <w:autoSpaceDN/>
              <w:bidi w:val="0"/>
              <w:spacing w:line="440" w:lineRule="exact"/>
              <w:ind w:firstLine="0" w:firstLineChars="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3）负责项目设计采购施工全过程工程建设管理，直至工程竣工验收备案、项目移交的工程总承包，配合业主办理结（决）算审计等工作，完成本项目保修期内的缺陷修复和保修工作等；</w:t>
            </w:r>
          </w:p>
          <w:p w14:paraId="385AB2BA">
            <w:pPr>
              <w:keepNext w:val="0"/>
              <w:keepLines w:val="0"/>
              <w:pageBreakBefore w:val="0"/>
              <w:widowControl/>
              <w:kinsoku/>
              <w:wordWrap/>
              <w:overflowPunct/>
              <w:autoSpaceDE/>
              <w:autoSpaceDN/>
              <w:bidi w:val="0"/>
              <w:spacing w:line="440" w:lineRule="exact"/>
              <w:ind w:firstLine="0" w:firstLineChars="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（4）运营范围：</w:t>
            </w:r>
            <w:r>
              <w:rPr>
                <w:rFonts w:hint="eastAsia" w:ascii="仿宋" w:hAnsi="仿宋" w:eastAsia="仿宋" w:cs="仿宋"/>
                <w:color w:val="auto"/>
                <w:szCs w:val="21"/>
                <w:highlight w:val="none"/>
              </w:rPr>
              <w:t>负责老边区污水处理厂及其配套污水收集管网及尾水排放管的运营、管理、维护</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lang w:val="en-US" w:eastAsia="zh-CN"/>
              </w:rPr>
              <w:t>本项目运营期3年</w:t>
            </w:r>
            <w:r>
              <w:rPr>
                <w:rFonts w:hint="eastAsia" w:ascii="仿宋" w:hAnsi="仿宋" w:eastAsia="仿宋" w:cs="仿宋"/>
                <w:color w:val="auto"/>
                <w:szCs w:val="21"/>
                <w:highlight w:val="none"/>
              </w:rPr>
              <w:t>。（具体详见招标文件）</w:t>
            </w:r>
          </w:p>
        </w:tc>
      </w:tr>
      <w:tr w14:paraId="340C4978">
        <w:tblPrEx>
          <w:tblCellMar>
            <w:top w:w="0" w:type="dxa"/>
            <w:left w:w="108" w:type="dxa"/>
            <w:bottom w:w="0" w:type="dxa"/>
            <w:right w:w="108" w:type="dxa"/>
          </w:tblCellMar>
        </w:tblPrEx>
        <w:trPr>
          <w:jc w:val="center"/>
        </w:trPr>
        <w:tc>
          <w:tcPr>
            <w:tcW w:w="1165" w:type="dxa"/>
            <w:tcBorders>
              <w:top w:val="single" w:color="auto" w:sz="4" w:space="0"/>
              <w:left w:val="single" w:color="auto" w:sz="4" w:space="0"/>
              <w:bottom w:val="single" w:color="auto" w:sz="4" w:space="0"/>
              <w:right w:val="single" w:color="auto" w:sz="4" w:space="0"/>
            </w:tcBorders>
            <w:noWrap w:val="0"/>
            <w:vAlign w:val="center"/>
          </w:tcPr>
          <w:p w14:paraId="16F13032">
            <w:pPr>
              <w:keepNext w:val="0"/>
              <w:keepLines w:val="0"/>
              <w:pageBreakBefore w:val="0"/>
              <w:widowControl/>
              <w:kinsoku/>
              <w:wordWrap/>
              <w:overflowPunct/>
              <w:autoSpaceDE/>
              <w:autoSpaceDN/>
              <w:bidi w:val="0"/>
              <w:spacing w:line="440" w:lineRule="exact"/>
              <w:ind w:firstLine="0" w:firstLineChars="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1.3.2</w:t>
            </w:r>
          </w:p>
        </w:tc>
        <w:tc>
          <w:tcPr>
            <w:tcW w:w="2091" w:type="dxa"/>
            <w:tcBorders>
              <w:top w:val="single" w:color="auto" w:sz="4" w:space="0"/>
              <w:left w:val="single" w:color="auto" w:sz="4" w:space="0"/>
              <w:bottom w:val="single" w:color="auto" w:sz="4" w:space="0"/>
              <w:right w:val="single" w:color="auto" w:sz="4" w:space="0"/>
            </w:tcBorders>
            <w:noWrap w:val="0"/>
            <w:vAlign w:val="center"/>
          </w:tcPr>
          <w:p w14:paraId="24323642">
            <w:pPr>
              <w:keepNext w:val="0"/>
              <w:keepLines w:val="0"/>
              <w:pageBreakBefore w:val="0"/>
              <w:widowControl/>
              <w:kinsoku/>
              <w:wordWrap/>
              <w:overflowPunct/>
              <w:autoSpaceDE/>
              <w:autoSpaceDN/>
              <w:bidi w:val="0"/>
              <w:spacing w:line="440" w:lineRule="exact"/>
              <w:ind w:firstLine="0" w:firstLineChars="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计划工期</w:t>
            </w:r>
          </w:p>
        </w:tc>
        <w:tc>
          <w:tcPr>
            <w:tcW w:w="6345" w:type="dxa"/>
            <w:tcBorders>
              <w:top w:val="single" w:color="auto" w:sz="4" w:space="0"/>
              <w:left w:val="single" w:color="auto" w:sz="4" w:space="0"/>
              <w:bottom w:val="single" w:color="auto" w:sz="4" w:space="0"/>
              <w:right w:val="single" w:color="auto" w:sz="4" w:space="0"/>
            </w:tcBorders>
            <w:noWrap w:val="0"/>
            <w:vAlign w:val="center"/>
          </w:tcPr>
          <w:p w14:paraId="50F0E1AB">
            <w:pPr>
              <w:keepNext w:val="0"/>
              <w:keepLines w:val="0"/>
              <w:pageBreakBefore w:val="0"/>
              <w:widowControl/>
              <w:kinsoku/>
              <w:wordWrap/>
              <w:overflowPunct/>
              <w:autoSpaceDE/>
              <w:autoSpaceDN/>
              <w:bidi w:val="0"/>
              <w:spacing w:line="440" w:lineRule="exact"/>
              <w:ind w:firstLine="0" w:firstLineChars="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计划工期：</w:t>
            </w:r>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color w:val="auto"/>
                <w:sz w:val="24"/>
                <w:szCs w:val="24"/>
                <w:highlight w:val="none"/>
              </w:rPr>
              <w:t>日历天</w:t>
            </w:r>
          </w:p>
          <w:p w14:paraId="4E809EF6">
            <w:pPr>
              <w:keepNext w:val="0"/>
              <w:keepLines w:val="0"/>
              <w:pageBreakBefore w:val="0"/>
              <w:widowControl/>
              <w:kinsoku/>
              <w:wordWrap/>
              <w:overflowPunct/>
              <w:autoSpaceDE/>
              <w:autoSpaceDN/>
              <w:bidi w:val="0"/>
              <w:spacing w:line="440" w:lineRule="exact"/>
              <w:ind w:firstLine="0" w:firstLineChars="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计划开工日期：</w:t>
            </w:r>
            <w:r>
              <w:rPr>
                <w:rFonts w:hint="eastAsia" w:ascii="仿宋" w:hAnsi="仿宋" w:eastAsia="仿宋" w:cs="仿宋"/>
                <w:color w:val="auto"/>
                <w:sz w:val="24"/>
                <w:szCs w:val="24"/>
                <w:highlight w:val="none"/>
                <w:u w:val="single"/>
              </w:rPr>
              <w:t>2025</w:t>
            </w:r>
            <w:r>
              <w:rPr>
                <w:rFonts w:hint="eastAsia" w:ascii="仿宋" w:hAnsi="仿宋" w:eastAsia="仿宋" w:cs="仿宋"/>
                <w:color w:val="auto"/>
                <w:sz w:val="24"/>
                <w:szCs w:val="24"/>
                <w:highlight w:val="none"/>
              </w:rPr>
              <w:t>年</w:t>
            </w:r>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color w:val="auto"/>
                <w:sz w:val="24"/>
                <w:szCs w:val="24"/>
                <w:highlight w:val="none"/>
              </w:rPr>
              <w:t>月</w:t>
            </w:r>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color w:val="auto"/>
                <w:sz w:val="24"/>
                <w:szCs w:val="24"/>
                <w:highlight w:val="none"/>
              </w:rPr>
              <w:t>日</w:t>
            </w:r>
          </w:p>
          <w:p w14:paraId="129A367D">
            <w:pPr>
              <w:keepNext w:val="0"/>
              <w:keepLines w:val="0"/>
              <w:pageBreakBefore w:val="0"/>
              <w:widowControl/>
              <w:kinsoku/>
              <w:wordWrap/>
              <w:overflowPunct/>
              <w:autoSpaceDE/>
              <w:autoSpaceDN/>
              <w:bidi w:val="0"/>
              <w:spacing w:line="440" w:lineRule="exact"/>
              <w:ind w:firstLine="0" w:firstLineChars="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计划竣工日期：</w:t>
            </w:r>
            <w:r>
              <w:rPr>
                <w:rFonts w:hint="eastAsia" w:ascii="仿宋" w:hAnsi="仿宋" w:eastAsia="仿宋" w:cs="仿宋"/>
                <w:color w:val="auto"/>
                <w:sz w:val="24"/>
                <w:szCs w:val="24"/>
                <w:highlight w:val="none"/>
                <w:u w:val="single"/>
              </w:rPr>
              <w:t>2025</w:t>
            </w:r>
            <w:r>
              <w:rPr>
                <w:rFonts w:hint="eastAsia" w:ascii="仿宋" w:hAnsi="仿宋" w:eastAsia="仿宋" w:cs="仿宋"/>
                <w:color w:val="auto"/>
                <w:sz w:val="24"/>
                <w:szCs w:val="24"/>
                <w:highlight w:val="none"/>
              </w:rPr>
              <w:t>年</w:t>
            </w:r>
            <w:r>
              <w:rPr>
                <w:rFonts w:hint="eastAsia" w:ascii="仿宋" w:hAnsi="仿宋" w:eastAsia="仿宋" w:cs="仿宋"/>
                <w:color w:val="auto"/>
                <w:sz w:val="24"/>
                <w:szCs w:val="24"/>
                <w:highlight w:val="none"/>
                <w:lang w:val="en-US" w:eastAsia="zh-CN"/>
              </w:rPr>
              <w:t>6</w:t>
            </w:r>
            <w:r>
              <w:rPr>
                <w:rFonts w:hint="eastAsia" w:ascii="仿宋" w:hAnsi="仿宋" w:eastAsia="仿宋" w:cs="仿宋"/>
                <w:color w:val="auto"/>
                <w:sz w:val="24"/>
                <w:szCs w:val="24"/>
                <w:highlight w:val="none"/>
              </w:rPr>
              <w:t>月30日</w:t>
            </w:r>
          </w:p>
          <w:p w14:paraId="14D497AE">
            <w:pPr>
              <w:keepNext w:val="0"/>
              <w:keepLines w:val="0"/>
              <w:pageBreakBefore w:val="0"/>
              <w:widowControl/>
              <w:kinsoku/>
              <w:wordWrap/>
              <w:overflowPunct/>
              <w:autoSpaceDE/>
              <w:autoSpaceDN/>
              <w:bidi w:val="0"/>
              <w:spacing w:line="440" w:lineRule="exact"/>
              <w:ind w:firstLine="0" w:firstLineChars="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其中：设计周期15日历天，运营期3年</w:t>
            </w:r>
            <w:r>
              <w:rPr>
                <w:rFonts w:hint="eastAsia" w:ascii="仿宋" w:hAnsi="仿宋" w:cs="仿宋"/>
                <w:color w:val="auto"/>
                <w:sz w:val="24"/>
                <w:szCs w:val="24"/>
                <w:highlight w:val="none"/>
                <w:lang w:eastAsia="zh-CN"/>
              </w:rPr>
              <w:t>，</w:t>
            </w:r>
            <w:r>
              <w:rPr>
                <w:rFonts w:hint="eastAsia" w:ascii="仿宋" w:hAnsi="仿宋" w:cs="仿宋"/>
                <w:color w:val="auto"/>
                <w:sz w:val="24"/>
                <w:szCs w:val="24"/>
                <w:highlight w:val="none"/>
                <w:lang w:val="en-US" w:eastAsia="zh-CN"/>
              </w:rPr>
              <w:t>设备供货期为   日历天内全部供货安装调试完毕</w:t>
            </w:r>
            <w:r>
              <w:rPr>
                <w:rFonts w:hint="eastAsia" w:ascii="仿宋" w:hAnsi="仿宋" w:eastAsia="仿宋" w:cs="仿宋"/>
                <w:color w:val="auto"/>
                <w:sz w:val="24"/>
                <w:szCs w:val="24"/>
                <w:highlight w:val="none"/>
              </w:rPr>
              <w:t>。（具体时间以签订合同时间为准）。</w:t>
            </w:r>
          </w:p>
        </w:tc>
      </w:tr>
      <w:tr w14:paraId="78B678EC">
        <w:tblPrEx>
          <w:tblCellMar>
            <w:top w:w="0" w:type="dxa"/>
            <w:left w:w="108" w:type="dxa"/>
            <w:bottom w:w="0" w:type="dxa"/>
            <w:right w:w="108" w:type="dxa"/>
          </w:tblCellMar>
        </w:tblPrEx>
        <w:trPr>
          <w:jc w:val="center"/>
        </w:trPr>
        <w:tc>
          <w:tcPr>
            <w:tcW w:w="1165" w:type="dxa"/>
            <w:tcBorders>
              <w:top w:val="single" w:color="auto" w:sz="4" w:space="0"/>
              <w:left w:val="single" w:color="auto" w:sz="4" w:space="0"/>
              <w:bottom w:val="single" w:color="auto" w:sz="4" w:space="0"/>
              <w:right w:val="single" w:color="auto" w:sz="4" w:space="0"/>
            </w:tcBorders>
            <w:noWrap w:val="0"/>
            <w:vAlign w:val="center"/>
          </w:tcPr>
          <w:p w14:paraId="28869BBF">
            <w:pPr>
              <w:keepNext w:val="0"/>
              <w:keepLines w:val="0"/>
              <w:pageBreakBefore w:val="0"/>
              <w:widowControl/>
              <w:kinsoku/>
              <w:wordWrap/>
              <w:overflowPunct/>
              <w:autoSpaceDE/>
              <w:autoSpaceDN/>
              <w:bidi w:val="0"/>
              <w:spacing w:line="440" w:lineRule="exact"/>
              <w:ind w:firstLine="0" w:firstLineChars="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1.3.3</w:t>
            </w:r>
          </w:p>
        </w:tc>
        <w:tc>
          <w:tcPr>
            <w:tcW w:w="2091" w:type="dxa"/>
            <w:tcBorders>
              <w:top w:val="single" w:color="auto" w:sz="4" w:space="0"/>
              <w:left w:val="single" w:color="auto" w:sz="4" w:space="0"/>
              <w:bottom w:val="single" w:color="auto" w:sz="4" w:space="0"/>
              <w:right w:val="single" w:color="auto" w:sz="4" w:space="0"/>
            </w:tcBorders>
            <w:noWrap w:val="0"/>
            <w:vAlign w:val="center"/>
          </w:tcPr>
          <w:p w14:paraId="604F95C9">
            <w:pPr>
              <w:keepNext w:val="0"/>
              <w:keepLines w:val="0"/>
              <w:pageBreakBefore w:val="0"/>
              <w:widowControl/>
              <w:kinsoku/>
              <w:wordWrap/>
              <w:overflowPunct/>
              <w:autoSpaceDE/>
              <w:autoSpaceDN/>
              <w:bidi w:val="0"/>
              <w:spacing w:line="440" w:lineRule="exact"/>
              <w:ind w:firstLine="0" w:firstLineChars="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质量标准</w:t>
            </w:r>
          </w:p>
        </w:tc>
        <w:tc>
          <w:tcPr>
            <w:tcW w:w="6345" w:type="dxa"/>
            <w:tcBorders>
              <w:top w:val="single" w:color="auto" w:sz="4" w:space="0"/>
              <w:left w:val="single" w:color="auto" w:sz="4" w:space="0"/>
              <w:bottom w:val="single" w:color="auto" w:sz="4" w:space="0"/>
              <w:right w:val="single" w:color="auto" w:sz="4" w:space="0"/>
            </w:tcBorders>
            <w:noWrap w:val="0"/>
            <w:vAlign w:val="center"/>
          </w:tcPr>
          <w:p w14:paraId="292CABE8">
            <w:pPr>
              <w:keepNext w:val="0"/>
              <w:keepLines w:val="0"/>
              <w:pageBreakBefore w:val="0"/>
              <w:widowControl/>
              <w:kinsoku/>
              <w:wordWrap/>
              <w:overflowPunct/>
              <w:autoSpaceDE/>
              <w:autoSpaceDN/>
              <w:bidi w:val="0"/>
              <w:spacing w:line="440" w:lineRule="exact"/>
              <w:ind w:firstLine="0" w:firstLineChars="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设计要求的质量标准：符合国家现行标准，符合国家现行设计规范要求。</w:t>
            </w:r>
          </w:p>
          <w:p w14:paraId="748A99E2">
            <w:pPr>
              <w:keepNext w:val="0"/>
              <w:keepLines w:val="0"/>
              <w:pageBreakBefore w:val="0"/>
              <w:widowControl/>
              <w:kinsoku/>
              <w:wordWrap/>
              <w:overflowPunct/>
              <w:autoSpaceDE/>
              <w:autoSpaceDN/>
              <w:bidi w:val="0"/>
              <w:spacing w:line="440" w:lineRule="exact"/>
              <w:ind w:firstLine="0" w:firstLineChars="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施工要求的质量标准：施工质量合格验收标准。</w:t>
            </w:r>
          </w:p>
          <w:p w14:paraId="1F560903">
            <w:pPr>
              <w:keepNext w:val="0"/>
              <w:keepLines w:val="0"/>
              <w:pageBreakBefore w:val="0"/>
              <w:widowControl/>
              <w:kinsoku/>
              <w:wordWrap/>
              <w:overflowPunct/>
              <w:autoSpaceDE/>
              <w:autoSpaceDN/>
              <w:bidi w:val="0"/>
              <w:spacing w:line="440" w:lineRule="exact"/>
              <w:ind w:firstLine="0" w:firstLineChars="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设备质量要求</w:t>
            </w:r>
            <w:r>
              <w:rPr>
                <w:rFonts w:hint="eastAsia" w:ascii="仿宋" w:hAnsi="仿宋" w:eastAsia="仿宋" w:cs="仿宋"/>
                <w:color w:val="auto"/>
                <w:sz w:val="24"/>
                <w:szCs w:val="24"/>
                <w:highlight w:val="none"/>
                <w:lang w:val="zh-TW" w:eastAsia="zh-TW"/>
              </w:rPr>
              <w:t>：</w:t>
            </w:r>
            <w:r>
              <w:rPr>
                <w:rFonts w:hint="eastAsia" w:ascii="仿宋" w:hAnsi="仿宋" w:eastAsia="仿宋" w:cs="仿宋"/>
                <w:color w:val="auto"/>
                <w:sz w:val="24"/>
                <w:szCs w:val="24"/>
                <w:highlight w:val="none"/>
              </w:rPr>
              <w:t>均应符合国家、地方或行业现行的标准或相关规范，严格按照合同规定执行</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 xml:space="preserve">  </w:t>
            </w:r>
          </w:p>
          <w:p w14:paraId="67578BC9">
            <w:pPr>
              <w:pStyle w:val="17"/>
              <w:keepNext w:val="0"/>
              <w:keepLines w:val="0"/>
              <w:pageBreakBefore w:val="0"/>
              <w:widowControl/>
              <w:kinsoku/>
              <w:wordWrap/>
              <w:overflowPunct/>
              <w:autoSpaceDE/>
              <w:autoSpaceDN/>
              <w:bidi w:val="0"/>
              <w:ind w:firstLine="0" w:firstLineChars="0"/>
              <w:jc w:val="left"/>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kern w:val="2"/>
                <w:sz w:val="24"/>
                <w:szCs w:val="24"/>
                <w:highlight w:val="none"/>
                <w:lang w:val="en-US" w:eastAsia="zh-CN" w:bidi="ar-SA"/>
              </w:rPr>
              <w:t>运营标准：污水处理至《城镇污水处理厂污染物排放标准》（GB 18918-2002）中一级A 排放标准。设施、设备污水管网等的维护，须符合CJJ58-2007《城镇污水处理厂运行、维护及安全技术规程》要求。</w:t>
            </w:r>
          </w:p>
        </w:tc>
      </w:tr>
      <w:tr w14:paraId="00872D31">
        <w:tblPrEx>
          <w:tblCellMar>
            <w:top w:w="0" w:type="dxa"/>
            <w:left w:w="108" w:type="dxa"/>
            <w:bottom w:w="0" w:type="dxa"/>
            <w:right w:w="108" w:type="dxa"/>
          </w:tblCellMar>
        </w:tblPrEx>
        <w:trPr>
          <w:trHeight w:val="1260" w:hRule="atLeast"/>
          <w:jc w:val="center"/>
        </w:trPr>
        <w:tc>
          <w:tcPr>
            <w:tcW w:w="1165" w:type="dxa"/>
            <w:tcBorders>
              <w:top w:val="single" w:color="auto" w:sz="4" w:space="0"/>
              <w:left w:val="single" w:color="auto" w:sz="4" w:space="0"/>
              <w:bottom w:val="single" w:color="auto" w:sz="4" w:space="0"/>
              <w:right w:val="single" w:color="auto" w:sz="4" w:space="0"/>
            </w:tcBorders>
            <w:noWrap w:val="0"/>
            <w:vAlign w:val="center"/>
          </w:tcPr>
          <w:p w14:paraId="5A99D2FD">
            <w:pPr>
              <w:keepNext w:val="0"/>
              <w:keepLines w:val="0"/>
              <w:pageBreakBefore w:val="0"/>
              <w:widowControl/>
              <w:kinsoku/>
              <w:wordWrap/>
              <w:overflowPunct/>
              <w:autoSpaceDE/>
              <w:autoSpaceDN/>
              <w:bidi w:val="0"/>
              <w:spacing w:line="440" w:lineRule="exact"/>
              <w:ind w:firstLine="0" w:firstLineChars="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1.4.1</w:t>
            </w:r>
          </w:p>
        </w:tc>
        <w:tc>
          <w:tcPr>
            <w:tcW w:w="2091" w:type="dxa"/>
            <w:tcBorders>
              <w:top w:val="single" w:color="auto" w:sz="4" w:space="0"/>
              <w:left w:val="single" w:color="auto" w:sz="4" w:space="0"/>
              <w:bottom w:val="single" w:color="auto" w:sz="4" w:space="0"/>
              <w:right w:val="single" w:color="auto" w:sz="4" w:space="0"/>
            </w:tcBorders>
            <w:noWrap w:val="0"/>
            <w:vAlign w:val="center"/>
          </w:tcPr>
          <w:p w14:paraId="188EF51D">
            <w:pPr>
              <w:keepNext w:val="0"/>
              <w:keepLines w:val="0"/>
              <w:pageBreakBefore w:val="0"/>
              <w:widowControl/>
              <w:kinsoku/>
              <w:wordWrap/>
              <w:overflowPunct/>
              <w:autoSpaceDE/>
              <w:autoSpaceDN/>
              <w:bidi w:val="0"/>
              <w:spacing w:line="440" w:lineRule="exact"/>
              <w:ind w:firstLine="0" w:firstLineChars="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投标人资质条件、能力和信誉</w:t>
            </w:r>
          </w:p>
          <w:p w14:paraId="0391AA1B">
            <w:pPr>
              <w:keepNext w:val="0"/>
              <w:keepLines w:val="0"/>
              <w:pageBreakBefore w:val="0"/>
              <w:widowControl/>
              <w:kinsoku/>
              <w:wordWrap/>
              <w:overflowPunct/>
              <w:autoSpaceDE/>
              <w:autoSpaceDN/>
              <w:bidi w:val="0"/>
              <w:spacing w:line="440" w:lineRule="exact"/>
              <w:ind w:firstLine="0" w:firstLineChars="0"/>
              <w:jc w:val="left"/>
              <w:textAlignment w:val="auto"/>
              <w:rPr>
                <w:rFonts w:hint="eastAsia" w:ascii="仿宋" w:hAnsi="仿宋" w:eastAsia="仿宋" w:cs="仿宋"/>
                <w:color w:val="auto"/>
                <w:sz w:val="24"/>
                <w:szCs w:val="24"/>
                <w:highlight w:val="none"/>
              </w:rPr>
            </w:pPr>
          </w:p>
        </w:tc>
        <w:tc>
          <w:tcPr>
            <w:tcW w:w="6345" w:type="dxa"/>
            <w:tcBorders>
              <w:top w:val="single" w:color="auto" w:sz="4" w:space="0"/>
              <w:left w:val="single" w:color="auto" w:sz="4" w:space="0"/>
              <w:bottom w:val="single" w:color="auto" w:sz="4" w:space="0"/>
              <w:right w:val="single" w:color="auto" w:sz="4" w:space="0"/>
            </w:tcBorders>
            <w:noWrap w:val="0"/>
            <w:vAlign w:val="center"/>
          </w:tcPr>
          <w:p w14:paraId="4452ECC6">
            <w:pPr>
              <w:keepNext w:val="0"/>
              <w:keepLines w:val="0"/>
              <w:pageBreakBefore w:val="0"/>
              <w:widowControl/>
              <w:kinsoku/>
              <w:wordWrap/>
              <w:overflowPunct/>
              <w:autoSpaceDE/>
              <w:autoSpaceDN/>
              <w:bidi w:val="0"/>
              <w:spacing w:line="480" w:lineRule="exact"/>
              <w:ind w:firstLine="0" w:firstLineChars="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1.资质等级及范围：</w:t>
            </w:r>
          </w:p>
          <w:p w14:paraId="7F4BDCDA">
            <w:pPr>
              <w:keepNext w:val="0"/>
              <w:keepLines w:val="0"/>
              <w:pageBreakBefore w:val="0"/>
              <w:widowControl/>
              <w:kinsoku/>
              <w:wordWrap/>
              <w:overflowPunct/>
              <w:autoSpaceDE/>
              <w:autoSpaceDN/>
              <w:bidi w:val="0"/>
              <w:spacing w:line="440" w:lineRule="exact"/>
              <w:ind w:firstLine="0" w:firstLineChars="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1.1设计资质：【工程设计综合资质甲级】或者【市政行业乙级(设计行业资质)及以上资质】或者【市政行业（燃气工程、轨道交通工程除外）乙级(设计行业资质)及以上资质】或者【市政行业（排水工程）乙级(设计专业资质)及以上资质】。 </w:t>
            </w:r>
          </w:p>
          <w:p w14:paraId="3D6923A1">
            <w:pPr>
              <w:keepNext w:val="0"/>
              <w:keepLines w:val="0"/>
              <w:pageBreakBefore w:val="0"/>
              <w:widowControl/>
              <w:kinsoku/>
              <w:wordWrap/>
              <w:overflowPunct/>
              <w:autoSpaceDE/>
              <w:autoSpaceDN/>
              <w:bidi w:val="0"/>
              <w:spacing w:line="440" w:lineRule="exact"/>
              <w:ind w:firstLine="0" w:firstLineChars="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1.2施工资质：</w:t>
            </w:r>
            <w:r>
              <w:rPr>
                <w:rFonts w:hint="eastAsia" w:ascii="仿宋" w:hAnsi="仿宋" w:cs="仿宋"/>
                <w:color w:val="auto"/>
                <w:sz w:val="24"/>
                <w:szCs w:val="24"/>
                <w:highlight w:val="none"/>
                <w:lang w:val="en-US" w:eastAsia="zh-CN"/>
              </w:rPr>
              <w:t>投标人应是</w:t>
            </w:r>
            <w:r>
              <w:rPr>
                <w:rFonts w:hint="eastAsia" w:ascii="仿宋" w:hAnsi="仿宋" w:eastAsia="仿宋" w:cs="仿宋"/>
                <w:color w:val="auto"/>
                <w:sz w:val="24"/>
                <w:szCs w:val="24"/>
                <w:highlight w:val="none"/>
              </w:rPr>
              <w:t>具有行业主管部门颁发的市政公用工程施工总承包三级及以上资质和机电工程施工总承包二级及以上资质的独立法人单位，且具有有效的安全生产许可证。</w:t>
            </w:r>
          </w:p>
          <w:p w14:paraId="5D7D7BBA">
            <w:pPr>
              <w:keepNext w:val="0"/>
              <w:keepLines w:val="0"/>
              <w:pageBreakBefore w:val="0"/>
              <w:widowControl/>
              <w:kinsoku/>
              <w:wordWrap/>
              <w:overflowPunct/>
              <w:autoSpaceDE/>
              <w:autoSpaceDN/>
              <w:bidi w:val="0"/>
              <w:spacing w:line="440" w:lineRule="exact"/>
              <w:ind w:firstLine="0" w:firstLineChars="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1.3投标人应具备设备集成供货及服务的能力。</w:t>
            </w:r>
          </w:p>
          <w:p w14:paraId="2DEB6B2D">
            <w:pPr>
              <w:keepNext w:val="0"/>
              <w:keepLines w:val="0"/>
              <w:pageBreakBefore w:val="0"/>
              <w:widowControl/>
              <w:kinsoku/>
              <w:wordWrap/>
              <w:overflowPunct/>
              <w:autoSpaceDE/>
              <w:autoSpaceDN/>
              <w:bidi w:val="0"/>
              <w:spacing w:line="440" w:lineRule="exact"/>
              <w:ind w:firstLine="0" w:firstLineChars="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1.4投标人应具备运营服务能力。 </w:t>
            </w:r>
          </w:p>
          <w:p w14:paraId="4F235CE1">
            <w:pPr>
              <w:keepNext w:val="0"/>
              <w:keepLines w:val="0"/>
              <w:pageBreakBefore w:val="0"/>
              <w:widowControl/>
              <w:kinsoku/>
              <w:wordWrap/>
              <w:overflowPunct/>
              <w:autoSpaceDE/>
              <w:autoSpaceDN/>
              <w:bidi w:val="0"/>
              <w:spacing w:line="480" w:lineRule="exact"/>
              <w:ind w:firstLine="0" w:firstLineChars="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2.项目负责人资质类别和等级：</w:t>
            </w:r>
          </w:p>
          <w:p w14:paraId="4A21950A">
            <w:pPr>
              <w:keepNext w:val="0"/>
              <w:keepLines w:val="0"/>
              <w:pageBreakBefore w:val="0"/>
              <w:widowControl/>
              <w:kinsoku/>
              <w:wordWrap/>
              <w:overflowPunct/>
              <w:autoSpaceDE/>
              <w:autoSpaceDN/>
              <w:bidi w:val="0"/>
              <w:spacing w:line="480" w:lineRule="exact"/>
              <w:ind w:firstLine="0" w:firstLineChars="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2.1项目经理（施工负责人）（如为联合体投标，由承担施工任务的单位拟派）须具备二级及以上执业注册建造师资格（市政公用工程专业或机电工程专业），具有B类安全生产考核合格证书且必须注册在投标人所在的单位，且无在建工程项目；</w:t>
            </w:r>
          </w:p>
          <w:p w14:paraId="7495704A">
            <w:pPr>
              <w:pStyle w:val="17"/>
              <w:keepNext w:val="0"/>
              <w:keepLines w:val="0"/>
              <w:pageBreakBefore w:val="0"/>
              <w:widowControl/>
              <w:kinsoku/>
              <w:wordWrap/>
              <w:overflowPunct/>
              <w:autoSpaceDE/>
              <w:autoSpaceDN/>
              <w:bidi w:val="0"/>
              <w:ind w:firstLine="0" w:firstLineChars="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2.2设计负责人（如为联合体投标，由承担设计任务的单位拟派）：给</w:t>
            </w:r>
            <w:r>
              <w:rPr>
                <w:rFonts w:hint="eastAsia" w:ascii="仿宋" w:hAnsi="仿宋" w:eastAsia="仿宋" w:cs="仿宋"/>
                <w:color w:val="auto"/>
                <w:sz w:val="24"/>
                <w:szCs w:val="24"/>
                <w:highlight w:val="none"/>
                <w:lang w:val="en-US" w:eastAsia="zh-CN"/>
              </w:rPr>
              <w:t>水</w:t>
            </w:r>
            <w:r>
              <w:rPr>
                <w:rFonts w:hint="eastAsia" w:ascii="仿宋" w:hAnsi="仿宋" w:eastAsia="仿宋" w:cs="仿宋"/>
                <w:color w:val="auto"/>
                <w:sz w:val="24"/>
                <w:szCs w:val="24"/>
                <w:highlight w:val="none"/>
              </w:rPr>
              <w:t>排水专业高级（或以上）技术职称。</w:t>
            </w:r>
          </w:p>
          <w:p w14:paraId="50FCAD82">
            <w:pPr>
              <w:keepNext w:val="0"/>
              <w:keepLines w:val="0"/>
              <w:pageBreakBefore w:val="0"/>
              <w:widowControl/>
              <w:kinsoku/>
              <w:wordWrap/>
              <w:overflowPunct/>
              <w:autoSpaceDE/>
              <w:autoSpaceDN/>
              <w:bidi w:val="0"/>
              <w:spacing w:line="480" w:lineRule="exact"/>
              <w:ind w:firstLine="0" w:firstLineChars="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3.其它要求：</w:t>
            </w:r>
          </w:p>
          <w:p w14:paraId="0B59DFF6">
            <w:pPr>
              <w:pStyle w:val="106"/>
              <w:keepNext w:val="0"/>
              <w:keepLines w:val="0"/>
              <w:pageBreakBefore w:val="0"/>
              <w:widowControl/>
              <w:tabs>
                <w:tab w:val="left" w:pos="1390"/>
              </w:tabs>
              <w:kinsoku/>
              <w:wordWrap/>
              <w:overflowPunct/>
              <w:autoSpaceDE/>
              <w:autoSpaceDN/>
              <w:bidi w:val="0"/>
              <w:spacing w:line="480" w:lineRule="exact"/>
              <w:ind w:left="0" w:right="5" w:firstLine="0" w:firstLineChars="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3.1投标人授权的委托代理人应具有与投标人单位签订的经人社部门认定盖章的劳动合同或社会养老保险证明（若投标单位所在地区的人社部门不在劳动合同或社保证明原件上盖章，则须提供人社部门官网打印件并经人社部门官网可查且信息有效）</w:t>
            </w:r>
            <w:r>
              <w:rPr>
                <w:rFonts w:hint="eastAsia" w:ascii="仿宋" w:hAnsi="仿宋" w:eastAsia="仿宋" w:cs="仿宋"/>
                <w:b/>
                <w:bCs/>
                <w:color w:val="auto"/>
                <w:sz w:val="24"/>
                <w:szCs w:val="24"/>
                <w:highlight w:val="none"/>
              </w:rPr>
              <w:t>（如联合体投标，授权代表须为联合体牵头单位派出）。</w:t>
            </w:r>
          </w:p>
          <w:p w14:paraId="5D3A3188">
            <w:pPr>
              <w:keepNext w:val="0"/>
              <w:keepLines w:val="0"/>
              <w:pageBreakBefore w:val="0"/>
              <w:widowControl/>
              <w:kinsoku/>
              <w:wordWrap/>
              <w:overflowPunct/>
              <w:autoSpaceDE/>
              <w:autoSpaceDN/>
              <w:bidi w:val="0"/>
              <w:spacing w:line="480" w:lineRule="exact"/>
              <w:ind w:firstLine="0" w:firstLineChars="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3.2信用中国”网站（http://www.creditchina.gov.cn/）中被列入失信被执行人名单的投标人，不得参加投标，须提供网站查询截图。</w:t>
            </w:r>
          </w:p>
          <w:p w14:paraId="2AD0D6A4">
            <w:pPr>
              <w:keepNext w:val="0"/>
              <w:keepLines w:val="0"/>
              <w:pageBreakBefore w:val="0"/>
              <w:widowControl/>
              <w:kinsoku/>
              <w:wordWrap/>
              <w:overflowPunct/>
              <w:autoSpaceDE/>
              <w:autoSpaceDN/>
              <w:bidi w:val="0"/>
              <w:spacing w:line="480" w:lineRule="exact"/>
              <w:ind w:firstLine="0" w:firstLineChars="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3.3单位负责人为同一人或者存在控股、管理关系的不同单位，不得参加同一招标项目投标。</w:t>
            </w:r>
          </w:p>
          <w:p w14:paraId="23B263F9">
            <w:pPr>
              <w:keepNext w:val="0"/>
              <w:keepLines w:val="0"/>
              <w:pageBreakBefore w:val="0"/>
              <w:widowControl/>
              <w:kinsoku/>
              <w:wordWrap/>
              <w:overflowPunct/>
              <w:autoSpaceDE/>
              <w:autoSpaceDN/>
              <w:bidi w:val="0"/>
              <w:spacing w:line="480" w:lineRule="exact"/>
              <w:ind w:firstLine="0" w:firstLineChars="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3.4本项目允许联合体投标；</w:t>
            </w:r>
          </w:p>
          <w:p w14:paraId="551098A2">
            <w:pPr>
              <w:keepNext w:val="0"/>
              <w:keepLines w:val="0"/>
              <w:pageBreakBefore w:val="0"/>
              <w:widowControl/>
              <w:kinsoku/>
              <w:wordWrap/>
              <w:overflowPunct/>
              <w:autoSpaceDE/>
              <w:autoSpaceDN/>
              <w:bidi w:val="0"/>
              <w:spacing w:line="480" w:lineRule="exact"/>
              <w:ind w:firstLine="0" w:firstLineChars="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1）投标时需提交联合体协议作为要件之一，联合体协议中要载明联合体投标代表的牵头人，并声明联合体各方的权利和义务、相关工作范围；</w:t>
            </w:r>
          </w:p>
          <w:p w14:paraId="7446B922">
            <w:pPr>
              <w:keepNext w:val="0"/>
              <w:keepLines w:val="0"/>
              <w:pageBreakBefore w:val="0"/>
              <w:widowControl/>
              <w:kinsoku/>
              <w:wordWrap/>
              <w:overflowPunct/>
              <w:autoSpaceDE/>
              <w:autoSpaceDN/>
              <w:bidi w:val="0"/>
              <w:spacing w:line="480" w:lineRule="exact"/>
              <w:ind w:firstLine="0" w:firstLineChars="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2）联合体各方均需具有良好的商业信誉，没有处于被责令停业或破产状态，且资产未被重组、接管、冻结；</w:t>
            </w:r>
          </w:p>
          <w:p w14:paraId="55522487">
            <w:pPr>
              <w:keepNext w:val="0"/>
              <w:keepLines w:val="0"/>
              <w:pageBreakBefore w:val="0"/>
              <w:widowControl/>
              <w:kinsoku/>
              <w:wordWrap/>
              <w:overflowPunct/>
              <w:autoSpaceDE/>
              <w:autoSpaceDN/>
              <w:bidi w:val="0"/>
              <w:spacing w:line="480" w:lineRule="exact"/>
              <w:ind w:firstLine="0" w:firstLineChars="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3）联合体最多允许4家单位（含联合体牵头人）。</w:t>
            </w:r>
          </w:p>
          <w:p w14:paraId="766CC612">
            <w:pPr>
              <w:keepNext w:val="0"/>
              <w:keepLines w:val="0"/>
              <w:pageBreakBefore w:val="0"/>
              <w:widowControl/>
              <w:kinsoku/>
              <w:wordWrap/>
              <w:overflowPunct/>
              <w:autoSpaceDE/>
              <w:autoSpaceDN/>
              <w:bidi w:val="0"/>
              <w:spacing w:line="480" w:lineRule="exact"/>
              <w:ind w:firstLine="0" w:firstLineChars="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4）联合体各方不得再以本单位名义单独或者参加其他联合体在本招标项目中投标。</w:t>
            </w:r>
          </w:p>
          <w:p w14:paraId="033BCCEB">
            <w:pPr>
              <w:keepNext w:val="0"/>
              <w:keepLines w:val="0"/>
              <w:pageBreakBefore w:val="0"/>
              <w:widowControl/>
              <w:kinsoku/>
              <w:wordWrap/>
              <w:overflowPunct/>
              <w:autoSpaceDE/>
              <w:autoSpaceDN/>
              <w:bidi w:val="0"/>
              <w:spacing w:line="440" w:lineRule="exact"/>
              <w:ind w:firstLine="0" w:firstLineChars="0"/>
              <w:jc w:val="left"/>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投标人须同时满足以上要求。</w:t>
            </w:r>
          </w:p>
          <w:p w14:paraId="006B066A">
            <w:pPr>
              <w:keepNext w:val="0"/>
              <w:keepLines w:val="0"/>
              <w:pageBreakBefore w:val="0"/>
              <w:widowControl/>
              <w:kinsoku/>
              <w:wordWrap/>
              <w:overflowPunct/>
              <w:autoSpaceDE/>
              <w:autoSpaceDN/>
              <w:bidi w:val="0"/>
              <w:spacing w:line="440" w:lineRule="exact"/>
              <w:ind w:firstLine="0" w:firstLineChars="0"/>
              <w:jc w:val="left"/>
              <w:textAlignment w:val="auto"/>
              <w:rPr>
                <w:rFonts w:hint="eastAsia" w:ascii="仿宋" w:hAnsi="仿宋" w:eastAsia="仿宋" w:cs="仿宋"/>
                <w:color w:val="auto"/>
                <w:sz w:val="24"/>
                <w:szCs w:val="24"/>
                <w:highlight w:val="none"/>
              </w:rPr>
            </w:pPr>
            <w:r>
              <w:rPr>
                <w:rFonts w:hint="eastAsia" w:ascii="仿宋" w:hAnsi="仿宋" w:eastAsia="仿宋" w:cs="仿宋"/>
                <w:b/>
                <w:color w:val="auto"/>
                <w:sz w:val="24"/>
                <w:szCs w:val="24"/>
                <w:highlight w:val="none"/>
              </w:rPr>
              <w:t>投标人要对本项目所提供的投标资料的真实性负责，若投标人提供虚假资料，一经招标人或行政主管部门核实，后果自负。</w:t>
            </w:r>
          </w:p>
        </w:tc>
      </w:tr>
      <w:tr w14:paraId="1AD3875C">
        <w:tblPrEx>
          <w:tblCellMar>
            <w:top w:w="0" w:type="dxa"/>
            <w:left w:w="108" w:type="dxa"/>
            <w:bottom w:w="0" w:type="dxa"/>
            <w:right w:w="108" w:type="dxa"/>
          </w:tblCellMar>
        </w:tblPrEx>
        <w:trPr>
          <w:jc w:val="center"/>
        </w:trPr>
        <w:tc>
          <w:tcPr>
            <w:tcW w:w="1165" w:type="dxa"/>
            <w:tcBorders>
              <w:top w:val="single" w:color="auto" w:sz="4" w:space="0"/>
              <w:left w:val="single" w:color="auto" w:sz="4" w:space="0"/>
              <w:bottom w:val="single" w:color="auto" w:sz="4" w:space="0"/>
              <w:right w:val="single" w:color="auto" w:sz="4" w:space="0"/>
            </w:tcBorders>
            <w:noWrap w:val="0"/>
            <w:vAlign w:val="center"/>
          </w:tcPr>
          <w:p w14:paraId="5C3DC2F3">
            <w:pPr>
              <w:keepNext w:val="0"/>
              <w:keepLines w:val="0"/>
              <w:pageBreakBefore w:val="0"/>
              <w:widowControl/>
              <w:kinsoku/>
              <w:wordWrap/>
              <w:overflowPunct/>
              <w:autoSpaceDE/>
              <w:autoSpaceDN/>
              <w:bidi w:val="0"/>
              <w:spacing w:line="440" w:lineRule="exact"/>
              <w:ind w:firstLine="0" w:firstLineChars="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1.4.2</w:t>
            </w:r>
          </w:p>
        </w:tc>
        <w:tc>
          <w:tcPr>
            <w:tcW w:w="2091" w:type="dxa"/>
            <w:tcBorders>
              <w:top w:val="single" w:color="auto" w:sz="4" w:space="0"/>
              <w:left w:val="single" w:color="auto" w:sz="4" w:space="0"/>
              <w:bottom w:val="single" w:color="auto" w:sz="4" w:space="0"/>
              <w:right w:val="single" w:color="auto" w:sz="4" w:space="0"/>
            </w:tcBorders>
            <w:noWrap w:val="0"/>
            <w:vAlign w:val="center"/>
          </w:tcPr>
          <w:p w14:paraId="426536B3">
            <w:pPr>
              <w:keepNext w:val="0"/>
              <w:keepLines w:val="0"/>
              <w:pageBreakBefore w:val="0"/>
              <w:widowControl/>
              <w:kinsoku/>
              <w:wordWrap/>
              <w:overflowPunct/>
              <w:autoSpaceDE/>
              <w:autoSpaceDN/>
              <w:bidi w:val="0"/>
              <w:spacing w:line="440" w:lineRule="exact"/>
              <w:ind w:firstLine="0" w:firstLineChars="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是否接受联合体投标</w:t>
            </w:r>
          </w:p>
        </w:tc>
        <w:tc>
          <w:tcPr>
            <w:tcW w:w="6345" w:type="dxa"/>
            <w:tcBorders>
              <w:top w:val="single" w:color="auto" w:sz="4" w:space="0"/>
              <w:left w:val="single" w:color="auto" w:sz="4" w:space="0"/>
              <w:bottom w:val="single" w:color="auto" w:sz="4" w:space="0"/>
              <w:right w:val="single" w:color="auto" w:sz="4" w:space="0"/>
            </w:tcBorders>
            <w:noWrap w:val="0"/>
            <w:vAlign w:val="center"/>
          </w:tcPr>
          <w:p w14:paraId="7F9E26EF">
            <w:pPr>
              <w:keepNext w:val="0"/>
              <w:keepLines w:val="0"/>
              <w:pageBreakBefore w:val="0"/>
              <w:widowControl/>
              <w:kinsoku/>
              <w:wordWrap/>
              <w:overflowPunct/>
              <w:topLinePunct/>
              <w:autoSpaceDE/>
              <w:autoSpaceDN/>
              <w:bidi w:val="0"/>
              <w:spacing w:line="490" w:lineRule="exact"/>
              <w:ind w:firstLine="0" w:firstLineChars="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□不接受</w:t>
            </w:r>
          </w:p>
          <w:p w14:paraId="6D033AED">
            <w:pPr>
              <w:keepNext w:val="0"/>
              <w:keepLines w:val="0"/>
              <w:pageBreakBefore w:val="0"/>
              <w:widowControl/>
              <w:kinsoku/>
              <w:wordWrap/>
              <w:overflowPunct/>
              <w:autoSpaceDE/>
              <w:autoSpaceDN/>
              <w:bidi w:val="0"/>
              <w:spacing w:line="490" w:lineRule="exact"/>
              <w:ind w:firstLine="0" w:firstLineChars="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√接受，应满足下列要求：</w:t>
            </w:r>
          </w:p>
          <w:p w14:paraId="5DDAAF2E">
            <w:pPr>
              <w:keepNext w:val="0"/>
              <w:keepLines w:val="0"/>
              <w:pageBreakBefore w:val="0"/>
              <w:widowControl/>
              <w:kinsoku/>
              <w:wordWrap/>
              <w:overflowPunct/>
              <w:autoSpaceDE/>
              <w:autoSpaceDN/>
              <w:bidi w:val="0"/>
              <w:spacing w:line="480" w:lineRule="exact"/>
              <w:ind w:firstLine="0" w:firstLineChars="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1）投标时需提交联合体协议作为要件之一，联合体协议中要载明联合体投标代表的牵头人，并声明联合体各方的权利和义务、相关工作范围；</w:t>
            </w:r>
          </w:p>
          <w:p w14:paraId="4C00DECD">
            <w:pPr>
              <w:keepNext w:val="0"/>
              <w:keepLines w:val="0"/>
              <w:pageBreakBefore w:val="0"/>
              <w:widowControl/>
              <w:kinsoku/>
              <w:wordWrap/>
              <w:overflowPunct/>
              <w:autoSpaceDE/>
              <w:autoSpaceDN/>
              <w:bidi w:val="0"/>
              <w:spacing w:line="480" w:lineRule="exact"/>
              <w:ind w:firstLine="0" w:firstLineChars="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2）联合体各方均需具有良好的商业信誉，没有处于被责令停业或破产状态，且资产未被重组、接管、冻结；</w:t>
            </w:r>
          </w:p>
          <w:p w14:paraId="38F12643">
            <w:pPr>
              <w:keepNext w:val="0"/>
              <w:keepLines w:val="0"/>
              <w:pageBreakBefore w:val="0"/>
              <w:widowControl/>
              <w:kinsoku/>
              <w:wordWrap/>
              <w:overflowPunct/>
              <w:autoSpaceDE/>
              <w:autoSpaceDN/>
              <w:bidi w:val="0"/>
              <w:spacing w:line="480" w:lineRule="exact"/>
              <w:ind w:firstLine="0" w:firstLineChars="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3）联合体最多允许4家单位（含联合体牵头人）。</w:t>
            </w:r>
          </w:p>
          <w:p w14:paraId="6EE59987">
            <w:pPr>
              <w:keepNext w:val="0"/>
              <w:keepLines w:val="0"/>
              <w:pageBreakBefore w:val="0"/>
              <w:widowControl/>
              <w:kinsoku/>
              <w:wordWrap/>
              <w:overflowPunct/>
              <w:autoSpaceDE/>
              <w:autoSpaceDN/>
              <w:bidi w:val="0"/>
              <w:spacing w:line="490" w:lineRule="exact"/>
              <w:ind w:firstLine="0" w:firstLineChars="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4）联合体各方不得再以本单位名义单独或者参加其他联合体在本招标项目中投标。</w:t>
            </w:r>
          </w:p>
        </w:tc>
      </w:tr>
      <w:tr w14:paraId="391E0C36">
        <w:tblPrEx>
          <w:tblCellMar>
            <w:top w:w="0" w:type="dxa"/>
            <w:left w:w="108" w:type="dxa"/>
            <w:bottom w:w="0" w:type="dxa"/>
            <w:right w:w="108" w:type="dxa"/>
          </w:tblCellMar>
        </w:tblPrEx>
        <w:trPr>
          <w:jc w:val="center"/>
        </w:trPr>
        <w:tc>
          <w:tcPr>
            <w:tcW w:w="1165" w:type="dxa"/>
            <w:tcBorders>
              <w:top w:val="single" w:color="auto" w:sz="4" w:space="0"/>
              <w:left w:val="single" w:color="auto" w:sz="4" w:space="0"/>
              <w:bottom w:val="single" w:color="auto" w:sz="4" w:space="0"/>
              <w:right w:val="single" w:color="auto" w:sz="4" w:space="0"/>
            </w:tcBorders>
            <w:noWrap w:val="0"/>
            <w:vAlign w:val="center"/>
          </w:tcPr>
          <w:p w14:paraId="12B9A481">
            <w:pPr>
              <w:keepNext w:val="0"/>
              <w:keepLines w:val="0"/>
              <w:pageBreakBefore w:val="0"/>
              <w:widowControl/>
              <w:kinsoku/>
              <w:wordWrap/>
              <w:overflowPunct/>
              <w:autoSpaceDE/>
              <w:autoSpaceDN/>
              <w:bidi w:val="0"/>
              <w:spacing w:line="440" w:lineRule="exact"/>
              <w:ind w:firstLine="0" w:firstLineChars="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1.5</w:t>
            </w:r>
          </w:p>
        </w:tc>
        <w:tc>
          <w:tcPr>
            <w:tcW w:w="2091" w:type="dxa"/>
            <w:tcBorders>
              <w:top w:val="single" w:color="auto" w:sz="4" w:space="0"/>
              <w:left w:val="single" w:color="auto" w:sz="4" w:space="0"/>
              <w:bottom w:val="single" w:color="auto" w:sz="4" w:space="0"/>
              <w:right w:val="single" w:color="auto" w:sz="4" w:space="0"/>
            </w:tcBorders>
            <w:noWrap w:val="0"/>
            <w:vAlign w:val="center"/>
          </w:tcPr>
          <w:p w14:paraId="67734B92">
            <w:pPr>
              <w:keepNext w:val="0"/>
              <w:keepLines w:val="0"/>
              <w:pageBreakBefore w:val="0"/>
              <w:widowControl/>
              <w:kinsoku/>
              <w:wordWrap/>
              <w:overflowPunct/>
              <w:autoSpaceDE/>
              <w:autoSpaceDN/>
              <w:bidi w:val="0"/>
              <w:spacing w:line="440" w:lineRule="exact"/>
              <w:ind w:firstLine="0" w:firstLineChars="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费用承担和设计成果补偿</w:t>
            </w:r>
          </w:p>
        </w:tc>
        <w:tc>
          <w:tcPr>
            <w:tcW w:w="6345" w:type="dxa"/>
            <w:tcBorders>
              <w:top w:val="single" w:color="auto" w:sz="4" w:space="0"/>
              <w:left w:val="single" w:color="auto" w:sz="4" w:space="0"/>
              <w:bottom w:val="single" w:color="auto" w:sz="4" w:space="0"/>
              <w:right w:val="single" w:color="auto" w:sz="4" w:space="0"/>
            </w:tcBorders>
            <w:noWrap w:val="0"/>
            <w:vAlign w:val="center"/>
          </w:tcPr>
          <w:p w14:paraId="0613C070">
            <w:pPr>
              <w:keepNext w:val="0"/>
              <w:keepLines w:val="0"/>
              <w:pageBreakBefore w:val="0"/>
              <w:widowControl/>
              <w:kinsoku/>
              <w:wordWrap/>
              <w:overflowPunct/>
              <w:autoSpaceDE/>
              <w:autoSpaceDN/>
              <w:bidi w:val="0"/>
              <w:spacing w:line="440" w:lineRule="exact"/>
              <w:ind w:firstLine="0" w:firstLineChars="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√不补偿</w:t>
            </w:r>
          </w:p>
          <w:p w14:paraId="600330D4">
            <w:pPr>
              <w:keepNext w:val="0"/>
              <w:keepLines w:val="0"/>
              <w:pageBreakBefore w:val="0"/>
              <w:widowControl/>
              <w:kinsoku/>
              <w:wordWrap/>
              <w:overflowPunct/>
              <w:autoSpaceDE/>
              <w:autoSpaceDN/>
              <w:bidi w:val="0"/>
              <w:spacing w:line="440" w:lineRule="exact"/>
              <w:ind w:firstLine="0" w:firstLineChars="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□补偿，补偿标准：</w:t>
            </w:r>
          </w:p>
        </w:tc>
      </w:tr>
      <w:tr w14:paraId="6D791A88">
        <w:tblPrEx>
          <w:tblCellMar>
            <w:top w:w="0" w:type="dxa"/>
            <w:left w:w="108" w:type="dxa"/>
            <w:bottom w:w="0" w:type="dxa"/>
            <w:right w:w="108" w:type="dxa"/>
          </w:tblCellMar>
        </w:tblPrEx>
        <w:trPr>
          <w:jc w:val="center"/>
        </w:trPr>
        <w:tc>
          <w:tcPr>
            <w:tcW w:w="1165" w:type="dxa"/>
            <w:tcBorders>
              <w:top w:val="single" w:color="auto" w:sz="4" w:space="0"/>
              <w:left w:val="single" w:color="auto" w:sz="4" w:space="0"/>
              <w:bottom w:val="single" w:color="auto" w:sz="4" w:space="0"/>
              <w:right w:val="single" w:color="auto" w:sz="4" w:space="0"/>
            </w:tcBorders>
            <w:noWrap w:val="0"/>
            <w:vAlign w:val="center"/>
          </w:tcPr>
          <w:p w14:paraId="6CFC771D">
            <w:pPr>
              <w:keepNext w:val="0"/>
              <w:keepLines w:val="0"/>
              <w:pageBreakBefore w:val="0"/>
              <w:widowControl/>
              <w:kinsoku/>
              <w:wordWrap/>
              <w:overflowPunct/>
              <w:autoSpaceDE/>
              <w:autoSpaceDN/>
              <w:bidi w:val="0"/>
              <w:spacing w:line="440" w:lineRule="exact"/>
              <w:ind w:firstLine="0" w:firstLineChars="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1.9.1</w:t>
            </w:r>
          </w:p>
        </w:tc>
        <w:tc>
          <w:tcPr>
            <w:tcW w:w="2091" w:type="dxa"/>
            <w:tcBorders>
              <w:top w:val="single" w:color="auto" w:sz="4" w:space="0"/>
              <w:left w:val="single" w:color="auto" w:sz="4" w:space="0"/>
              <w:bottom w:val="single" w:color="auto" w:sz="4" w:space="0"/>
              <w:right w:val="single" w:color="auto" w:sz="4" w:space="0"/>
            </w:tcBorders>
            <w:noWrap w:val="0"/>
            <w:vAlign w:val="center"/>
          </w:tcPr>
          <w:p w14:paraId="15E2C305">
            <w:pPr>
              <w:keepNext w:val="0"/>
              <w:keepLines w:val="0"/>
              <w:pageBreakBefore w:val="0"/>
              <w:widowControl/>
              <w:kinsoku/>
              <w:wordWrap/>
              <w:overflowPunct/>
              <w:autoSpaceDE/>
              <w:autoSpaceDN/>
              <w:bidi w:val="0"/>
              <w:spacing w:line="440" w:lineRule="exact"/>
              <w:ind w:firstLine="0" w:firstLineChars="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踏勘</w:t>
            </w:r>
          </w:p>
        </w:tc>
        <w:tc>
          <w:tcPr>
            <w:tcW w:w="6345" w:type="dxa"/>
            <w:tcBorders>
              <w:top w:val="single" w:color="auto" w:sz="4" w:space="0"/>
              <w:left w:val="single" w:color="auto" w:sz="4" w:space="0"/>
              <w:bottom w:val="single" w:color="auto" w:sz="4" w:space="0"/>
              <w:right w:val="single" w:color="auto" w:sz="4" w:space="0"/>
            </w:tcBorders>
            <w:noWrap w:val="0"/>
            <w:vAlign w:val="center"/>
          </w:tcPr>
          <w:p w14:paraId="0591380E">
            <w:pPr>
              <w:keepNext w:val="0"/>
              <w:keepLines w:val="0"/>
              <w:pageBreakBefore w:val="0"/>
              <w:widowControl/>
              <w:kinsoku/>
              <w:wordWrap/>
              <w:overflowPunct/>
              <w:autoSpaceDE/>
              <w:autoSpaceDN/>
              <w:bidi w:val="0"/>
              <w:spacing w:line="440" w:lineRule="exact"/>
              <w:ind w:firstLine="0" w:firstLineChars="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√不组织：</w:t>
            </w:r>
          </w:p>
          <w:p w14:paraId="00F51593">
            <w:pPr>
              <w:keepNext w:val="0"/>
              <w:keepLines w:val="0"/>
              <w:pageBreakBefore w:val="0"/>
              <w:widowControl/>
              <w:kinsoku/>
              <w:wordWrap/>
              <w:overflowPunct/>
              <w:autoSpaceDE/>
              <w:autoSpaceDN/>
              <w:bidi w:val="0"/>
              <w:spacing w:line="440" w:lineRule="exact"/>
              <w:ind w:firstLine="0" w:firstLineChars="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□组织，踏勘时间：</w:t>
            </w:r>
          </w:p>
          <w:p w14:paraId="292A1D96">
            <w:pPr>
              <w:keepNext w:val="0"/>
              <w:keepLines w:val="0"/>
              <w:pageBreakBefore w:val="0"/>
              <w:widowControl/>
              <w:kinsoku/>
              <w:wordWrap/>
              <w:overflowPunct/>
              <w:autoSpaceDE/>
              <w:autoSpaceDN/>
              <w:bidi w:val="0"/>
              <w:spacing w:line="440" w:lineRule="exact"/>
              <w:ind w:firstLine="0" w:firstLineChars="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踏勘集中地点：</w:t>
            </w:r>
          </w:p>
        </w:tc>
      </w:tr>
      <w:tr w14:paraId="20E73EF6">
        <w:tblPrEx>
          <w:tblCellMar>
            <w:top w:w="0" w:type="dxa"/>
            <w:left w:w="108" w:type="dxa"/>
            <w:bottom w:w="0" w:type="dxa"/>
            <w:right w:w="108" w:type="dxa"/>
          </w:tblCellMar>
        </w:tblPrEx>
        <w:trPr>
          <w:jc w:val="center"/>
        </w:trPr>
        <w:tc>
          <w:tcPr>
            <w:tcW w:w="1165" w:type="dxa"/>
            <w:tcBorders>
              <w:top w:val="single" w:color="auto" w:sz="4" w:space="0"/>
              <w:left w:val="single" w:color="auto" w:sz="4" w:space="0"/>
              <w:bottom w:val="single" w:color="auto" w:sz="4" w:space="0"/>
              <w:right w:val="single" w:color="auto" w:sz="4" w:space="0"/>
            </w:tcBorders>
            <w:noWrap w:val="0"/>
            <w:vAlign w:val="center"/>
          </w:tcPr>
          <w:p w14:paraId="109F9A38">
            <w:pPr>
              <w:keepNext w:val="0"/>
              <w:keepLines w:val="0"/>
              <w:pageBreakBefore w:val="0"/>
              <w:widowControl/>
              <w:kinsoku/>
              <w:wordWrap/>
              <w:overflowPunct/>
              <w:autoSpaceDE/>
              <w:autoSpaceDN/>
              <w:bidi w:val="0"/>
              <w:spacing w:line="440" w:lineRule="exact"/>
              <w:ind w:firstLine="0" w:firstLineChars="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1.10.1</w:t>
            </w:r>
          </w:p>
        </w:tc>
        <w:tc>
          <w:tcPr>
            <w:tcW w:w="2091" w:type="dxa"/>
            <w:tcBorders>
              <w:top w:val="single" w:color="auto" w:sz="4" w:space="0"/>
              <w:left w:val="single" w:color="auto" w:sz="4" w:space="0"/>
              <w:bottom w:val="single" w:color="auto" w:sz="4" w:space="0"/>
              <w:right w:val="single" w:color="auto" w:sz="4" w:space="0"/>
            </w:tcBorders>
            <w:noWrap w:val="0"/>
            <w:vAlign w:val="center"/>
          </w:tcPr>
          <w:p w14:paraId="0D66E16E">
            <w:pPr>
              <w:keepNext w:val="0"/>
              <w:keepLines w:val="0"/>
              <w:pageBreakBefore w:val="0"/>
              <w:widowControl/>
              <w:kinsoku/>
              <w:wordWrap/>
              <w:overflowPunct/>
              <w:autoSpaceDE/>
              <w:autoSpaceDN/>
              <w:bidi w:val="0"/>
              <w:spacing w:line="440" w:lineRule="exact"/>
              <w:ind w:firstLine="0" w:firstLineChars="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投标预备会</w:t>
            </w:r>
          </w:p>
        </w:tc>
        <w:tc>
          <w:tcPr>
            <w:tcW w:w="6345" w:type="dxa"/>
            <w:tcBorders>
              <w:top w:val="single" w:color="auto" w:sz="4" w:space="0"/>
              <w:left w:val="single" w:color="auto" w:sz="4" w:space="0"/>
              <w:bottom w:val="single" w:color="auto" w:sz="4" w:space="0"/>
              <w:right w:val="single" w:color="auto" w:sz="4" w:space="0"/>
            </w:tcBorders>
            <w:noWrap w:val="0"/>
            <w:vAlign w:val="center"/>
          </w:tcPr>
          <w:p w14:paraId="3EDF578C">
            <w:pPr>
              <w:pStyle w:val="16"/>
              <w:keepNext w:val="0"/>
              <w:keepLines w:val="0"/>
              <w:pageBreakBefore w:val="0"/>
              <w:widowControl/>
              <w:kinsoku/>
              <w:wordWrap/>
              <w:overflowPunct/>
              <w:topLinePunct/>
              <w:autoSpaceDE/>
              <w:autoSpaceDN/>
              <w:bidi w:val="0"/>
              <w:spacing w:line="400" w:lineRule="exact"/>
              <w:ind w:firstLine="0" w:firstLineChars="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√不召开</w:t>
            </w:r>
          </w:p>
          <w:p w14:paraId="598AC471">
            <w:pPr>
              <w:keepNext w:val="0"/>
              <w:keepLines w:val="0"/>
              <w:pageBreakBefore w:val="0"/>
              <w:widowControl/>
              <w:kinsoku/>
              <w:wordWrap/>
              <w:overflowPunct/>
              <w:autoSpaceDE/>
              <w:autoSpaceDN/>
              <w:bidi w:val="0"/>
              <w:spacing w:line="440" w:lineRule="exact"/>
              <w:ind w:firstLine="0" w:firstLineChars="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□召开，召开时间：</w:t>
            </w:r>
          </w:p>
          <w:p w14:paraId="5AD8AA24">
            <w:pPr>
              <w:keepNext w:val="0"/>
              <w:keepLines w:val="0"/>
              <w:pageBreakBefore w:val="0"/>
              <w:widowControl/>
              <w:kinsoku/>
              <w:wordWrap/>
              <w:overflowPunct/>
              <w:autoSpaceDE/>
              <w:autoSpaceDN/>
              <w:bidi w:val="0"/>
              <w:spacing w:line="440" w:lineRule="exact"/>
              <w:ind w:firstLine="0" w:firstLineChars="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召开地点：</w:t>
            </w:r>
          </w:p>
        </w:tc>
      </w:tr>
      <w:tr w14:paraId="00953E67">
        <w:tblPrEx>
          <w:tblCellMar>
            <w:top w:w="0" w:type="dxa"/>
            <w:left w:w="108" w:type="dxa"/>
            <w:bottom w:w="0" w:type="dxa"/>
            <w:right w:w="108" w:type="dxa"/>
          </w:tblCellMar>
        </w:tblPrEx>
        <w:trPr>
          <w:jc w:val="center"/>
        </w:trPr>
        <w:tc>
          <w:tcPr>
            <w:tcW w:w="1165" w:type="dxa"/>
            <w:tcBorders>
              <w:top w:val="single" w:color="auto" w:sz="4" w:space="0"/>
              <w:left w:val="single" w:color="auto" w:sz="4" w:space="0"/>
              <w:bottom w:val="single" w:color="auto" w:sz="4" w:space="0"/>
              <w:right w:val="single" w:color="auto" w:sz="4" w:space="0"/>
            </w:tcBorders>
            <w:noWrap w:val="0"/>
            <w:vAlign w:val="center"/>
          </w:tcPr>
          <w:p w14:paraId="3ECCB221">
            <w:pPr>
              <w:keepNext w:val="0"/>
              <w:keepLines w:val="0"/>
              <w:pageBreakBefore w:val="0"/>
              <w:widowControl/>
              <w:kinsoku/>
              <w:wordWrap/>
              <w:overflowPunct/>
              <w:autoSpaceDE/>
              <w:autoSpaceDN/>
              <w:bidi w:val="0"/>
              <w:spacing w:line="440" w:lineRule="exact"/>
              <w:ind w:firstLine="0" w:firstLineChars="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1.10.2</w:t>
            </w:r>
          </w:p>
        </w:tc>
        <w:tc>
          <w:tcPr>
            <w:tcW w:w="2091" w:type="dxa"/>
            <w:tcBorders>
              <w:top w:val="single" w:color="auto" w:sz="4" w:space="0"/>
              <w:left w:val="single" w:color="auto" w:sz="4" w:space="0"/>
              <w:bottom w:val="single" w:color="auto" w:sz="4" w:space="0"/>
              <w:right w:val="single" w:color="auto" w:sz="4" w:space="0"/>
            </w:tcBorders>
            <w:noWrap w:val="0"/>
            <w:vAlign w:val="center"/>
          </w:tcPr>
          <w:p w14:paraId="6A4240B9">
            <w:pPr>
              <w:keepNext w:val="0"/>
              <w:keepLines w:val="0"/>
              <w:pageBreakBefore w:val="0"/>
              <w:widowControl/>
              <w:kinsoku/>
              <w:wordWrap/>
              <w:overflowPunct/>
              <w:autoSpaceDE/>
              <w:autoSpaceDN/>
              <w:bidi w:val="0"/>
              <w:spacing w:line="440" w:lineRule="exact"/>
              <w:ind w:firstLine="0" w:firstLineChars="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投标人提出问题的截止时间</w:t>
            </w:r>
          </w:p>
        </w:tc>
        <w:tc>
          <w:tcPr>
            <w:tcW w:w="6345" w:type="dxa"/>
            <w:tcBorders>
              <w:top w:val="single" w:color="auto" w:sz="4" w:space="0"/>
              <w:left w:val="single" w:color="auto" w:sz="4" w:space="0"/>
              <w:bottom w:val="single" w:color="auto" w:sz="4" w:space="0"/>
              <w:right w:val="single" w:color="auto" w:sz="4" w:space="0"/>
            </w:tcBorders>
            <w:noWrap w:val="0"/>
            <w:vAlign w:val="center"/>
          </w:tcPr>
          <w:p w14:paraId="0D2D6EF1">
            <w:pPr>
              <w:keepNext w:val="0"/>
              <w:keepLines w:val="0"/>
              <w:pageBreakBefore w:val="0"/>
              <w:widowControl/>
              <w:kinsoku/>
              <w:wordWrap/>
              <w:overflowPunct/>
              <w:autoSpaceDE/>
              <w:autoSpaceDN/>
              <w:bidi w:val="0"/>
              <w:spacing w:line="440" w:lineRule="exact"/>
              <w:ind w:firstLine="0" w:firstLineChars="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投标文件递交截止时间10日前</w:t>
            </w:r>
          </w:p>
        </w:tc>
      </w:tr>
      <w:tr w14:paraId="293C9CC8">
        <w:tblPrEx>
          <w:tblCellMar>
            <w:top w:w="0" w:type="dxa"/>
            <w:left w:w="108" w:type="dxa"/>
            <w:bottom w:w="0" w:type="dxa"/>
            <w:right w:w="108" w:type="dxa"/>
          </w:tblCellMar>
        </w:tblPrEx>
        <w:trPr>
          <w:jc w:val="center"/>
        </w:trPr>
        <w:tc>
          <w:tcPr>
            <w:tcW w:w="1165" w:type="dxa"/>
            <w:tcBorders>
              <w:top w:val="single" w:color="auto" w:sz="4" w:space="0"/>
              <w:left w:val="single" w:color="auto" w:sz="4" w:space="0"/>
              <w:bottom w:val="single" w:color="auto" w:sz="4" w:space="0"/>
              <w:right w:val="single" w:color="auto" w:sz="4" w:space="0"/>
            </w:tcBorders>
            <w:noWrap w:val="0"/>
            <w:vAlign w:val="center"/>
          </w:tcPr>
          <w:p w14:paraId="1D3D933E">
            <w:pPr>
              <w:keepNext w:val="0"/>
              <w:keepLines w:val="0"/>
              <w:pageBreakBefore w:val="0"/>
              <w:widowControl/>
              <w:kinsoku/>
              <w:wordWrap/>
              <w:overflowPunct/>
              <w:autoSpaceDE/>
              <w:autoSpaceDN/>
              <w:bidi w:val="0"/>
              <w:spacing w:line="440" w:lineRule="exact"/>
              <w:ind w:firstLine="0" w:firstLineChars="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1.10.3</w:t>
            </w:r>
          </w:p>
        </w:tc>
        <w:tc>
          <w:tcPr>
            <w:tcW w:w="2091" w:type="dxa"/>
            <w:tcBorders>
              <w:top w:val="single" w:color="auto" w:sz="4" w:space="0"/>
              <w:left w:val="single" w:color="auto" w:sz="4" w:space="0"/>
              <w:bottom w:val="single" w:color="auto" w:sz="4" w:space="0"/>
              <w:right w:val="single" w:color="auto" w:sz="4" w:space="0"/>
            </w:tcBorders>
            <w:noWrap w:val="0"/>
            <w:vAlign w:val="center"/>
          </w:tcPr>
          <w:p w14:paraId="572ACF5C">
            <w:pPr>
              <w:keepNext w:val="0"/>
              <w:keepLines w:val="0"/>
              <w:pageBreakBefore w:val="0"/>
              <w:widowControl/>
              <w:kinsoku/>
              <w:wordWrap/>
              <w:overflowPunct/>
              <w:autoSpaceDE/>
              <w:autoSpaceDN/>
              <w:bidi w:val="0"/>
              <w:spacing w:line="440" w:lineRule="exact"/>
              <w:ind w:firstLine="0" w:firstLineChars="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招标人书面澄清的时间</w:t>
            </w:r>
          </w:p>
        </w:tc>
        <w:tc>
          <w:tcPr>
            <w:tcW w:w="6345" w:type="dxa"/>
            <w:tcBorders>
              <w:top w:val="single" w:color="auto" w:sz="4" w:space="0"/>
              <w:left w:val="single" w:color="auto" w:sz="4" w:space="0"/>
              <w:bottom w:val="single" w:color="auto" w:sz="4" w:space="0"/>
              <w:right w:val="single" w:color="auto" w:sz="4" w:space="0"/>
            </w:tcBorders>
            <w:noWrap w:val="0"/>
            <w:vAlign w:val="center"/>
          </w:tcPr>
          <w:p w14:paraId="5817B92A">
            <w:pPr>
              <w:keepNext w:val="0"/>
              <w:keepLines w:val="0"/>
              <w:pageBreakBefore w:val="0"/>
              <w:widowControl/>
              <w:kinsoku/>
              <w:wordWrap/>
              <w:overflowPunct/>
              <w:autoSpaceDE/>
              <w:autoSpaceDN/>
              <w:bidi w:val="0"/>
              <w:spacing w:line="440" w:lineRule="exact"/>
              <w:ind w:firstLine="0" w:firstLineChars="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投标文件递交截止时间15日前</w:t>
            </w:r>
          </w:p>
        </w:tc>
      </w:tr>
      <w:tr w14:paraId="177DA41C">
        <w:tblPrEx>
          <w:tblCellMar>
            <w:top w:w="0" w:type="dxa"/>
            <w:left w:w="108" w:type="dxa"/>
            <w:bottom w:w="0" w:type="dxa"/>
            <w:right w:w="108" w:type="dxa"/>
          </w:tblCellMar>
        </w:tblPrEx>
        <w:trPr>
          <w:jc w:val="center"/>
        </w:trPr>
        <w:tc>
          <w:tcPr>
            <w:tcW w:w="1165" w:type="dxa"/>
            <w:tcBorders>
              <w:top w:val="single" w:color="auto" w:sz="4" w:space="0"/>
              <w:left w:val="single" w:color="auto" w:sz="4" w:space="0"/>
              <w:bottom w:val="single" w:color="auto" w:sz="4" w:space="0"/>
              <w:right w:val="single" w:color="auto" w:sz="4" w:space="0"/>
            </w:tcBorders>
            <w:noWrap w:val="0"/>
            <w:vAlign w:val="center"/>
          </w:tcPr>
          <w:p w14:paraId="4CDDB4A3">
            <w:pPr>
              <w:keepNext w:val="0"/>
              <w:keepLines w:val="0"/>
              <w:pageBreakBefore w:val="0"/>
              <w:widowControl/>
              <w:kinsoku/>
              <w:wordWrap/>
              <w:overflowPunct/>
              <w:autoSpaceDE/>
              <w:autoSpaceDN/>
              <w:bidi w:val="0"/>
              <w:spacing w:line="440" w:lineRule="exact"/>
              <w:ind w:firstLine="0" w:firstLineChars="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1.11.1</w:t>
            </w:r>
          </w:p>
        </w:tc>
        <w:tc>
          <w:tcPr>
            <w:tcW w:w="2091" w:type="dxa"/>
            <w:tcBorders>
              <w:top w:val="single" w:color="auto" w:sz="4" w:space="0"/>
              <w:left w:val="single" w:color="auto" w:sz="4" w:space="0"/>
              <w:bottom w:val="single" w:color="auto" w:sz="4" w:space="0"/>
              <w:right w:val="single" w:color="auto" w:sz="4" w:space="0"/>
            </w:tcBorders>
            <w:noWrap w:val="0"/>
            <w:vAlign w:val="center"/>
          </w:tcPr>
          <w:p w14:paraId="72212998">
            <w:pPr>
              <w:keepNext w:val="0"/>
              <w:keepLines w:val="0"/>
              <w:pageBreakBefore w:val="0"/>
              <w:widowControl/>
              <w:kinsoku/>
              <w:wordWrap/>
              <w:overflowPunct/>
              <w:autoSpaceDE/>
              <w:autoSpaceDN/>
              <w:bidi w:val="0"/>
              <w:spacing w:line="440" w:lineRule="exact"/>
              <w:ind w:firstLine="0" w:firstLineChars="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招标人规定由分包人承担的工作</w:t>
            </w:r>
          </w:p>
        </w:tc>
        <w:tc>
          <w:tcPr>
            <w:tcW w:w="6345" w:type="dxa"/>
            <w:tcBorders>
              <w:top w:val="single" w:color="auto" w:sz="4" w:space="0"/>
              <w:left w:val="single" w:color="auto" w:sz="4" w:space="0"/>
              <w:bottom w:val="single" w:color="auto" w:sz="4" w:space="0"/>
              <w:right w:val="single" w:color="auto" w:sz="4" w:space="0"/>
            </w:tcBorders>
            <w:noWrap w:val="0"/>
            <w:vAlign w:val="center"/>
          </w:tcPr>
          <w:p w14:paraId="2D8E999E">
            <w:pPr>
              <w:keepNext w:val="0"/>
              <w:keepLines w:val="0"/>
              <w:pageBreakBefore w:val="0"/>
              <w:widowControl/>
              <w:kinsoku/>
              <w:wordWrap/>
              <w:overflowPunct/>
              <w:autoSpaceDE/>
              <w:autoSpaceDN/>
              <w:bidi w:val="0"/>
              <w:spacing w:line="440" w:lineRule="exact"/>
              <w:ind w:firstLine="0" w:firstLineChars="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按相关法律法规执行</w:t>
            </w:r>
          </w:p>
        </w:tc>
      </w:tr>
      <w:tr w14:paraId="5C943D21">
        <w:tblPrEx>
          <w:tblCellMar>
            <w:top w:w="0" w:type="dxa"/>
            <w:left w:w="108" w:type="dxa"/>
            <w:bottom w:w="0" w:type="dxa"/>
            <w:right w:w="108" w:type="dxa"/>
          </w:tblCellMar>
        </w:tblPrEx>
        <w:trPr>
          <w:jc w:val="center"/>
        </w:trPr>
        <w:tc>
          <w:tcPr>
            <w:tcW w:w="1165" w:type="dxa"/>
            <w:tcBorders>
              <w:top w:val="single" w:color="auto" w:sz="4" w:space="0"/>
              <w:left w:val="single" w:color="auto" w:sz="4" w:space="0"/>
              <w:bottom w:val="single" w:color="auto" w:sz="4" w:space="0"/>
              <w:right w:val="single" w:color="auto" w:sz="4" w:space="0"/>
            </w:tcBorders>
            <w:noWrap w:val="0"/>
            <w:vAlign w:val="center"/>
          </w:tcPr>
          <w:p w14:paraId="623CB620">
            <w:pPr>
              <w:keepNext w:val="0"/>
              <w:keepLines w:val="0"/>
              <w:pageBreakBefore w:val="0"/>
              <w:widowControl/>
              <w:kinsoku/>
              <w:wordWrap/>
              <w:overflowPunct/>
              <w:autoSpaceDE/>
              <w:autoSpaceDN/>
              <w:bidi w:val="0"/>
              <w:spacing w:line="440" w:lineRule="exact"/>
              <w:ind w:firstLine="0" w:firstLineChars="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1.11.2</w:t>
            </w:r>
          </w:p>
        </w:tc>
        <w:tc>
          <w:tcPr>
            <w:tcW w:w="2091" w:type="dxa"/>
            <w:tcBorders>
              <w:top w:val="single" w:color="auto" w:sz="4" w:space="0"/>
              <w:left w:val="single" w:color="auto" w:sz="4" w:space="0"/>
              <w:bottom w:val="single" w:color="auto" w:sz="4" w:space="0"/>
              <w:right w:val="single" w:color="auto" w:sz="4" w:space="0"/>
            </w:tcBorders>
            <w:noWrap w:val="0"/>
            <w:vAlign w:val="center"/>
          </w:tcPr>
          <w:p w14:paraId="79651D90">
            <w:pPr>
              <w:keepNext w:val="0"/>
              <w:keepLines w:val="0"/>
              <w:pageBreakBefore w:val="0"/>
              <w:widowControl/>
              <w:kinsoku/>
              <w:wordWrap/>
              <w:overflowPunct/>
              <w:autoSpaceDE/>
              <w:autoSpaceDN/>
              <w:bidi w:val="0"/>
              <w:spacing w:line="440" w:lineRule="exact"/>
              <w:ind w:firstLine="0" w:firstLineChars="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投标人拟分包的工作</w:t>
            </w:r>
          </w:p>
        </w:tc>
        <w:tc>
          <w:tcPr>
            <w:tcW w:w="6345" w:type="dxa"/>
            <w:tcBorders>
              <w:top w:val="single" w:color="auto" w:sz="4" w:space="0"/>
              <w:left w:val="single" w:color="auto" w:sz="4" w:space="0"/>
              <w:bottom w:val="single" w:color="auto" w:sz="4" w:space="0"/>
              <w:right w:val="single" w:color="auto" w:sz="4" w:space="0"/>
            </w:tcBorders>
            <w:noWrap w:val="0"/>
            <w:vAlign w:val="center"/>
          </w:tcPr>
          <w:p w14:paraId="51BCD9A8">
            <w:pPr>
              <w:keepNext w:val="0"/>
              <w:keepLines w:val="0"/>
              <w:pageBreakBefore w:val="0"/>
              <w:widowControl/>
              <w:kinsoku/>
              <w:wordWrap/>
              <w:overflowPunct/>
              <w:autoSpaceDE/>
              <w:autoSpaceDN/>
              <w:bidi w:val="0"/>
              <w:adjustRightInd w:val="0"/>
              <w:snapToGrid w:val="0"/>
              <w:spacing w:line="360" w:lineRule="auto"/>
              <w:ind w:firstLine="0" w:firstLineChars="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总承包单位应对总承包工程范围内的设计、采购、施工质量、现场安全生产和工程进度、运营服务负总责。</w:t>
            </w:r>
          </w:p>
          <w:p w14:paraId="4CC4C9E5">
            <w:pPr>
              <w:keepNext w:val="0"/>
              <w:keepLines w:val="0"/>
              <w:pageBreakBefore w:val="0"/>
              <w:widowControl/>
              <w:kinsoku/>
              <w:wordWrap/>
              <w:overflowPunct/>
              <w:autoSpaceDE/>
              <w:autoSpaceDN/>
              <w:bidi w:val="0"/>
              <w:spacing w:line="440" w:lineRule="exact"/>
              <w:ind w:firstLine="0" w:firstLineChars="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分包须符合法律和合同规定，但不免除总承包单位的质量、进度、安全、造价等各项合同义务和法律责任。总承包单位和分包单位就分包工程对建设单位承担连带责任。</w:t>
            </w:r>
            <w:r>
              <w:rPr>
                <w:rFonts w:hint="eastAsia" w:ascii="仿宋" w:hAnsi="仿宋" w:eastAsia="仿宋" w:cs="仿宋"/>
                <w:color w:val="auto"/>
                <w:sz w:val="24"/>
                <w:szCs w:val="24"/>
                <w:highlight w:val="none"/>
              </w:rPr>
              <w:br w:type="textWrapping"/>
            </w:r>
            <w:r>
              <w:rPr>
                <w:rFonts w:hint="eastAsia" w:ascii="仿宋" w:hAnsi="仿宋" w:eastAsia="仿宋" w:cs="仿宋"/>
                <w:color w:val="auto"/>
                <w:sz w:val="24"/>
                <w:szCs w:val="24"/>
                <w:highlight w:val="none"/>
              </w:rPr>
              <w:t>当承包人不具备法定相应工作内容资质条件时，应当分包给具备相应工作内容所需资质、设备、人员、经验、业绩的单位实施，分包相关事宜须取得发包人同意后方可实施，否则分包部分不予结算。</w:t>
            </w:r>
          </w:p>
          <w:p w14:paraId="7BD99C52">
            <w:pPr>
              <w:keepNext w:val="0"/>
              <w:keepLines w:val="0"/>
              <w:pageBreakBefore w:val="0"/>
              <w:widowControl/>
              <w:kinsoku/>
              <w:wordWrap/>
              <w:overflowPunct/>
              <w:autoSpaceDE/>
              <w:autoSpaceDN/>
              <w:bidi w:val="0"/>
              <w:spacing w:line="440" w:lineRule="exact"/>
              <w:ind w:firstLine="0" w:firstLineChars="0"/>
              <w:jc w:val="left"/>
              <w:textAlignment w:val="auto"/>
              <w:rPr>
                <w:rFonts w:hint="eastAsia" w:ascii="仿宋" w:hAnsi="仿宋" w:eastAsia="仿宋" w:cs="仿宋"/>
                <w:color w:val="auto"/>
                <w:spacing w:val="-6"/>
                <w:kern w:val="0"/>
                <w:sz w:val="24"/>
                <w:szCs w:val="24"/>
                <w:highlight w:val="none"/>
              </w:rPr>
            </w:pPr>
            <w:r>
              <w:rPr>
                <w:rFonts w:hint="eastAsia" w:ascii="仿宋" w:hAnsi="仿宋" w:eastAsia="仿宋" w:cs="仿宋"/>
                <w:color w:val="auto"/>
                <w:spacing w:val="-6"/>
                <w:kern w:val="0"/>
                <w:sz w:val="24"/>
                <w:szCs w:val="24"/>
                <w:highlight w:val="none"/>
              </w:rPr>
              <w:t>工程总承包单位、工程总承包项目经理依法承担质量终身责任。</w:t>
            </w:r>
          </w:p>
        </w:tc>
      </w:tr>
      <w:tr w14:paraId="03778337">
        <w:tblPrEx>
          <w:tblCellMar>
            <w:top w:w="0" w:type="dxa"/>
            <w:left w:w="108" w:type="dxa"/>
            <w:bottom w:w="0" w:type="dxa"/>
            <w:right w:w="108" w:type="dxa"/>
          </w:tblCellMar>
        </w:tblPrEx>
        <w:trPr>
          <w:jc w:val="center"/>
        </w:trPr>
        <w:tc>
          <w:tcPr>
            <w:tcW w:w="1165" w:type="dxa"/>
            <w:tcBorders>
              <w:top w:val="single" w:color="auto" w:sz="4" w:space="0"/>
              <w:left w:val="single" w:color="auto" w:sz="4" w:space="0"/>
              <w:bottom w:val="single" w:color="auto" w:sz="4" w:space="0"/>
              <w:right w:val="single" w:color="auto" w:sz="4" w:space="0"/>
            </w:tcBorders>
            <w:noWrap w:val="0"/>
            <w:vAlign w:val="center"/>
          </w:tcPr>
          <w:p w14:paraId="4F330115">
            <w:pPr>
              <w:keepNext w:val="0"/>
              <w:keepLines w:val="0"/>
              <w:pageBreakBefore w:val="0"/>
              <w:widowControl/>
              <w:kinsoku/>
              <w:wordWrap/>
              <w:overflowPunct/>
              <w:autoSpaceDE/>
              <w:autoSpaceDN/>
              <w:bidi w:val="0"/>
              <w:spacing w:line="440" w:lineRule="exact"/>
              <w:ind w:firstLine="0" w:firstLineChars="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1.12</w:t>
            </w:r>
          </w:p>
        </w:tc>
        <w:tc>
          <w:tcPr>
            <w:tcW w:w="2091" w:type="dxa"/>
            <w:tcBorders>
              <w:top w:val="single" w:color="auto" w:sz="4" w:space="0"/>
              <w:left w:val="single" w:color="auto" w:sz="4" w:space="0"/>
              <w:bottom w:val="single" w:color="auto" w:sz="4" w:space="0"/>
              <w:right w:val="single" w:color="auto" w:sz="4" w:space="0"/>
            </w:tcBorders>
            <w:noWrap w:val="0"/>
            <w:vAlign w:val="center"/>
          </w:tcPr>
          <w:p w14:paraId="37F25F8F">
            <w:pPr>
              <w:keepNext w:val="0"/>
              <w:keepLines w:val="0"/>
              <w:pageBreakBefore w:val="0"/>
              <w:widowControl/>
              <w:kinsoku/>
              <w:wordWrap/>
              <w:overflowPunct/>
              <w:autoSpaceDE/>
              <w:autoSpaceDN/>
              <w:bidi w:val="0"/>
              <w:spacing w:line="440" w:lineRule="exact"/>
              <w:ind w:firstLine="0" w:firstLineChars="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偏离</w:t>
            </w:r>
          </w:p>
        </w:tc>
        <w:tc>
          <w:tcPr>
            <w:tcW w:w="6345" w:type="dxa"/>
            <w:tcBorders>
              <w:top w:val="single" w:color="auto" w:sz="4" w:space="0"/>
              <w:left w:val="single" w:color="auto" w:sz="4" w:space="0"/>
              <w:bottom w:val="single" w:color="auto" w:sz="4" w:space="0"/>
              <w:right w:val="single" w:color="auto" w:sz="4" w:space="0"/>
            </w:tcBorders>
            <w:noWrap w:val="0"/>
            <w:vAlign w:val="center"/>
          </w:tcPr>
          <w:p w14:paraId="51A3CF4D">
            <w:pPr>
              <w:pStyle w:val="16"/>
              <w:keepNext w:val="0"/>
              <w:keepLines w:val="0"/>
              <w:pageBreakBefore w:val="0"/>
              <w:widowControl/>
              <w:kinsoku/>
              <w:wordWrap/>
              <w:overflowPunct/>
              <w:topLinePunct/>
              <w:autoSpaceDE/>
              <w:autoSpaceDN/>
              <w:bidi w:val="0"/>
              <w:spacing w:line="400" w:lineRule="exact"/>
              <w:ind w:firstLine="0" w:firstLineChars="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√不允许</w:t>
            </w:r>
          </w:p>
          <w:p w14:paraId="39DBA5F1">
            <w:pPr>
              <w:pStyle w:val="16"/>
              <w:keepNext w:val="0"/>
              <w:keepLines w:val="0"/>
              <w:pageBreakBefore w:val="0"/>
              <w:widowControl/>
              <w:kinsoku/>
              <w:wordWrap/>
              <w:overflowPunct/>
              <w:topLinePunct/>
              <w:autoSpaceDE/>
              <w:autoSpaceDN/>
              <w:bidi w:val="0"/>
              <w:spacing w:line="400" w:lineRule="exact"/>
              <w:ind w:firstLine="0" w:firstLineChars="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□允许，允许偏离的内容、偏离范围和幅度</w:t>
            </w:r>
          </w:p>
        </w:tc>
      </w:tr>
      <w:tr w14:paraId="377D22A9">
        <w:tblPrEx>
          <w:tblCellMar>
            <w:top w:w="0" w:type="dxa"/>
            <w:left w:w="108" w:type="dxa"/>
            <w:bottom w:w="0" w:type="dxa"/>
            <w:right w:w="108" w:type="dxa"/>
          </w:tblCellMar>
        </w:tblPrEx>
        <w:trPr>
          <w:trHeight w:val="995" w:hRule="atLeast"/>
          <w:jc w:val="center"/>
        </w:trPr>
        <w:tc>
          <w:tcPr>
            <w:tcW w:w="1165" w:type="dxa"/>
            <w:tcBorders>
              <w:top w:val="single" w:color="auto" w:sz="4" w:space="0"/>
              <w:left w:val="single" w:color="auto" w:sz="4" w:space="0"/>
              <w:bottom w:val="single" w:color="auto" w:sz="4" w:space="0"/>
              <w:right w:val="single" w:color="auto" w:sz="4" w:space="0"/>
            </w:tcBorders>
            <w:noWrap w:val="0"/>
            <w:vAlign w:val="center"/>
          </w:tcPr>
          <w:p w14:paraId="05B86AE8">
            <w:pPr>
              <w:keepNext w:val="0"/>
              <w:keepLines w:val="0"/>
              <w:pageBreakBefore w:val="0"/>
              <w:widowControl/>
              <w:kinsoku/>
              <w:wordWrap/>
              <w:overflowPunct/>
              <w:autoSpaceDE/>
              <w:autoSpaceDN/>
              <w:bidi w:val="0"/>
              <w:spacing w:line="440" w:lineRule="exact"/>
              <w:ind w:firstLine="0" w:firstLineChars="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2.1</w:t>
            </w:r>
          </w:p>
        </w:tc>
        <w:tc>
          <w:tcPr>
            <w:tcW w:w="2091" w:type="dxa"/>
            <w:tcBorders>
              <w:top w:val="single" w:color="auto" w:sz="4" w:space="0"/>
              <w:left w:val="single" w:color="auto" w:sz="4" w:space="0"/>
              <w:bottom w:val="single" w:color="auto" w:sz="4" w:space="0"/>
              <w:right w:val="single" w:color="auto" w:sz="4" w:space="0"/>
            </w:tcBorders>
            <w:noWrap w:val="0"/>
            <w:vAlign w:val="center"/>
          </w:tcPr>
          <w:p w14:paraId="783D4EB0">
            <w:pPr>
              <w:keepNext w:val="0"/>
              <w:keepLines w:val="0"/>
              <w:pageBreakBefore w:val="0"/>
              <w:widowControl/>
              <w:kinsoku/>
              <w:wordWrap/>
              <w:overflowPunct/>
              <w:autoSpaceDE/>
              <w:autoSpaceDN/>
              <w:bidi w:val="0"/>
              <w:spacing w:line="440" w:lineRule="exact"/>
              <w:ind w:firstLine="0" w:firstLineChars="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构成招标文件的其他资料</w:t>
            </w:r>
          </w:p>
        </w:tc>
        <w:tc>
          <w:tcPr>
            <w:tcW w:w="6345" w:type="dxa"/>
            <w:tcBorders>
              <w:top w:val="single" w:color="auto" w:sz="4" w:space="0"/>
              <w:left w:val="single" w:color="auto" w:sz="4" w:space="0"/>
              <w:bottom w:val="single" w:color="auto" w:sz="4" w:space="0"/>
              <w:right w:val="single" w:color="auto" w:sz="4" w:space="0"/>
            </w:tcBorders>
            <w:noWrap w:val="0"/>
            <w:vAlign w:val="center"/>
          </w:tcPr>
          <w:p w14:paraId="2AEB9420">
            <w:pPr>
              <w:keepNext w:val="0"/>
              <w:keepLines w:val="0"/>
              <w:pageBreakBefore w:val="0"/>
              <w:widowControl/>
              <w:kinsoku/>
              <w:wordWrap/>
              <w:overflowPunct/>
              <w:autoSpaceDE/>
              <w:autoSpaceDN/>
              <w:bidi w:val="0"/>
              <w:spacing w:line="440" w:lineRule="exact"/>
              <w:ind w:firstLine="0" w:firstLineChars="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补遗书、澄清文件等(如有)</w:t>
            </w:r>
          </w:p>
        </w:tc>
      </w:tr>
      <w:tr w14:paraId="39425014">
        <w:tblPrEx>
          <w:tblCellMar>
            <w:top w:w="0" w:type="dxa"/>
            <w:left w:w="108" w:type="dxa"/>
            <w:bottom w:w="0" w:type="dxa"/>
            <w:right w:w="108" w:type="dxa"/>
          </w:tblCellMar>
        </w:tblPrEx>
        <w:trPr>
          <w:jc w:val="center"/>
        </w:trPr>
        <w:tc>
          <w:tcPr>
            <w:tcW w:w="1165" w:type="dxa"/>
            <w:tcBorders>
              <w:top w:val="single" w:color="auto" w:sz="4" w:space="0"/>
              <w:left w:val="single" w:color="auto" w:sz="4" w:space="0"/>
              <w:bottom w:val="single" w:color="auto" w:sz="4" w:space="0"/>
              <w:right w:val="single" w:color="auto" w:sz="4" w:space="0"/>
            </w:tcBorders>
            <w:noWrap w:val="0"/>
            <w:vAlign w:val="center"/>
          </w:tcPr>
          <w:p w14:paraId="1552062E">
            <w:pPr>
              <w:keepNext w:val="0"/>
              <w:keepLines w:val="0"/>
              <w:pageBreakBefore w:val="0"/>
              <w:widowControl/>
              <w:kinsoku/>
              <w:wordWrap/>
              <w:overflowPunct/>
              <w:autoSpaceDE/>
              <w:autoSpaceDN/>
              <w:bidi w:val="0"/>
              <w:spacing w:line="440" w:lineRule="exact"/>
              <w:ind w:firstLine="0" w:firstLineChars="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2.2.1</w:t>
            </w:r>
          </w:p>
        </w:tc>
        <w:tc>
          <w:tcPr>
            <w:tcW w:w="2091" w:type="dxa"/>
            <w:tcBorders>
              <w:top w:val="single" w:color="auto" w:sz="4" w:space="0"/>
              <w:left w:val="single" w:color="auto" w:sz="4" w:space="0"/>
              <w:bottom w:val="single" w:color="auto" w:sz="4" w:space="0"/>
              <w:right w:val="single" w:color="auto" w:sz="4" w:space="0"/>
            </w:tcBorders>
            <w:noWrap w:val="0"/>
            <w:vAlign w:val="center"/>
          </w:tcPr>
          <w:p w14:paraId="767820AE">
            <w:pPr>
              <w:keepNext w:val="0"/>
              <w:keepLines w:val="0"/>
              <w:pageBreakBefore w:val="0"/>
              <w:widowControl/>
              <w:kinsoku/>
              <w:wordWrap/>
              <w:overflowPunct/>
              <w:autoSpaceDE/>
              <w:autoSpaceDN/>
              <w:bidi w:val="0"/>
              <w:spacing w:line="440" w:lineRule="exact"/>
              <w:ind w:firstLine="0" w:firstLineChars="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投标人要求澄清招标文件的截止时间</w:t>
            </w:r>
          </w:p>
        </w:tc>
        <w:tc>
          <w:tcPr>
            <w:tcW w:w="6345" w:type="dxa"/>
            <w:tcBorders>
              <w:top w:val="single" w:color="auto" w:sz="4" w:space="0"/>
              <w:left w:val="single" w:color="auto" w:sz="4" w:space="0"/>
              <w:bottom w:val="single" w:color="auto" w:sz="4" w:space="0"/>
              <w:right w:val="single" w:color="auto" w:sz="4" w:space="0"/>
            </w:tcBorders>
            <w:noWrap w:val="0"/>
            <w:vAlign w:val="center"/>
          </w:tcPr>
          <w:p w14:paraId="3538A71E">
            <w:pPr>
              <w:keepNext w:val="0"/>
              <w:keepLines w:val="0"/>
              <w:pageBreakBefore w:val="0"/>
              <w:widowControl/>
              <w:kinsoku/>
              <w:wordWrap/>
              <w:overflowPunct/>
              <w:autoSpaceDE/>
              <w:autoSpaceDN/>
              <w:bidi w:val="0"/>
              <w:spacing w:line="440" w:lineRule="exact"/>
              <w:ind w:firstLine="0" w:firstLineChars="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投标文件递交截止时间15日前</w:t>
            </w:r>
          </w:p>
        </w:tc>
      </w:tr>
      <w:tr w14:paraId="05C6B163">
        <w:tblPrEx>
          <w:tblCellMar>
            <w:top w:w="0" w:type="dxa"/>
            <w:left w:w="108" w:type="dxa"/>
            <w:bottom w:w="0" w:type="dxa"/>
            <w:right w:w="108" w:type="dxa"/>
          </w:tblCellMar>
        </w:tblPrEx>
        <w:trPr>
          <w:jc w:val="center"/>
        </w:trPr>
        <w:tc>
          <w:tcPr>
            <w:tcW w:w="1165" w:type="dxa"/>
            <w:tcBorders>
              <w:top w:val="single" w:color="auto" w:sz="4" w:space="0"/>
              <w:left w:val="single" w:color="auto" w:sz="4" w:space="0"/>
              <w:bottom w:val="single" w:color="auto" w:sz="4" w:space="0"/>
              <w:right w:val="single" w:color="auto" w:sz="4" w:space="0"/>
            </w:tcBorders>
            <w:noWrap w:val="0"/>
            <w:vAlign w:val="center"/>
          </w:tcPr>
          <w:p w14:paraId="5E6B62D6">
            <w:pPr>
              <w:keepNext w:val="0"/>
              <w:keepLines w:val="0"/>
              <w:pageBreakBefore w:val="0"/>
              <w:widowControl/>
              <w:kinsoku/>
              <w:wordWrap/>
              <w:overflowPunct/>
              <w:autoSpaceDE/>
              <w:autoSpaceDN/>
              <w:bidi w:val="0"/>
              <w:spacing w:line="440" w:lineRule="exact"/>
              <w:ind w:firstLine="0" w:firstLineChars="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2.2.2</w:t>
            </w:r>
          </w:p>
        </w:tc>
        <w:tc>
          <w:tcPr>
            <w:tcW w:w="2091" w:type="dxa"/>
            <w:tcBorders>
              <w:top w:val="single" w:color="auto" w:sz="4" w:space="0"/>
              <w:left w:val="single" w:color="auto" w:sz="4" w:space="0"/>
              <w:bottom w:val="single" w:color="auto" w:sz="4" w:space="0"/>
              <w:right w:val="single" w:color="auto" w:sz="4" w:space="0"/>
            </w:tcBorders>
            <w:noWrap w:val="0"/>
            <w:vAlign w:val="center"/>
          </w:tcPr>
          <w:p w14:paraId="6125582D">
            <w:pPr>
              <w:keepNext w:val="0"/>
              <w:keepLines w:val="0"/>
              <w:pageBreakBefore w:val="0"/>
              <w:widowControl/>
              <w:kinsoku/>
              <w:wordWrap/>
              <w:overflowPunct/>
              <w:autoSpaceDE/>
              <w:autoSpaceDN/>
              <w:bidi w:val="0"/>
              <w:spacing w:line="440" w:lineRule="exact"/>
              <w:ind w:firstLine="0" w:firstLineChars="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投标截止时间</w:t>
            </w:r>
          </w:p>
        </w:tc>
        <w:tc>
          <w:tcPr>
            <w:tcW w:w="6345" w:type="dxa"/>
            <w:tcBorders>
              <w:top w:val="single" w:color="auto" w:sz="4" w:space="0"/>
              <w:left w:val="single" w:color="auto" w:sz="4" w:space="0"/>
              <w:bottom w:val="single" w:color="auto" w:sz="4" w:space="0"/>
              <w:right w:val="single" w:color="auto" w:sz="4" w:space="0"/>
            </w:tcBorders>
            <w:noWrap w:val="0"/>
            <w:vAlign w:val="center"/>
          </w:tcPr>
          <w:p w14:paraId="36155789">
            <w:pPr>
              <w:keepNext w:val="0"/>
              <w:keepLines w:val="0"/>
              <w:pageBreakBefore w:val="0"/>
              <w:widowControl/>
              <w:kinsoku/>
              <w:wordWrap/>
              <w:overflowPunct/>
              <w:autoSpaceDE/>
              <w:autoSpaceDN/>
              <w:bidi w:val="0"/>
              <w:spacing w:line="440" w:lineRule="exact"/>
              <w:ind w:firstLine="0" w:firstLineChars="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  年  月  日09：30</w:t>
            </w:r>
          </w:p>
        </w:tc>
      </w:tr>
      <w:tr w14:paraId="26EBC18E">
        <w:tblPrEx>
          <w:tblCellMar>
            <w:top w:w="0" w:type="dxa"/>
            <w:left w:w="108" w:type="dxa"/>
            <w:bottom w:w="0" w:type="dxa"/>
            <w:right w:w="108" w:type="dxa"/>
          </w:tblCellMar>
        </w:tblPrEx>
        <w:trPr>
          <w:jc w:val="center"/>
        </w:trPr>
        <w:tc>
          <w:tcPr>
            <w:tcW w:w="1165" w:type="dxa"/>
            <w:tcBorders>
              <w:top w:val="single" w:color="auto" w:sz="4" w:space="0"/>
              <w:left w:val="single" w:color="auto" w:sz="4" w:space="0"/>
              <w:bottom w:val="single" w:color="auto" w:sz="4" w:space="0"/>
              <w:right w:val="single" w:color="auto" w:sz="4" w:space="0"/>
            </w:tcBorders>
            <w:noWrap w:val="0"/>
            <w:vAlign w:val="center"/>
          </w:tcPr>
          <w:p w14:paraId="34253C6C">
            <w:pPr>
              <w:keepNext w:val="0"/>
              <w:keepLines w:val="0"/>
              <w:pageBreakBefore w:val="0"/>
              <w:widowControl/>
              <w:kinsoku/>
              <w:wordWrap/>
              <w:overflowPunct/>
              <w:autoSpaceDE/>
              <w:autoSpaceDN/>
              <w:bidi w:val="0"/>
              <w:spacing w:line="440" w:lineRule="exact"/>
              <w:ind w:firstLine="0" w:firstLineChars="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2.2.3</w:t>
            </w:r>
          </w:p>
        </w:tc>
        <w:tc>
          <w:tcPr>
            <w:tcW w:w="2091" w:type="dxa"/>
            <w:tcBorders>
              <w:top w:val="single" w:color="auto" w:sz="4" w:space="0"/>
              <w:left w:val="single" w:color="auto" w:sz="4" w:space="0"/>
              <w:bottom w:val="single" w:color="auto" w:sz="4" w:space="0"/>
              <w:right w:val="single" w:color="auto" w:sz="4" w:space="0"/>
            </w:tcBorders>
            <w:noWrap w:val="0"/>
            <w:vAlign w:val="center"/>
          </w:tcPr>
          <w:p w14:paraId="0D566484">
            <w:pPr>
              <w:keepNext w:val="0"/>
              <w:keepLines w:val="0"/>
              <w:pageBreakBefore w:val="0"/>
              <w:widowControl/>
              <w:kinsoku/>
              <w:wordWrap/>
              <w:overflowPunct/>
              <w:autoSpaceDE/>
              <w:autoSpaceDN/>
              <w:bidi w:val="0"/>
              <w:spacing w:line="440" w:lineRule="exact"/>
              <w:ind w:firstLine="0" w:firstLineChars="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投标人确认收到招标文件澄清的时间</w:t>
            </w:r>
          </w:p>
        </w:tc>
        <w:tc>
          <w:tcPr>
            <w:tcW w:w="6345" w:type="dxa"/>
            <w:tcBorders>
              <w:top w:val="single" w:color="auto" w:sz="4" w:space="0"/>
              <w:left w:val="single" w:color="auto" w:sz="4" w:space="0"/>
              <w:bottom w:val="single" w:color="auto" w:sz="4" w:space="0"/>
              <w:right w:val="single" w:color="auto" w:sz="4" w:space="0"/>
            </w:tcBorders>
            <w:noWrap w:val="0"/>
            <w:vAlign w:val="center"/>
          </w:tcPr>
          <w:p w14:paraId="0758F1FF">
            <w:pPr>
              <w:keepNext w:val="0"/>
              <w:keepLines w:val="0"/>
              <w:pageBreakBefore w:val="0"/>
              <w:widowControl/>
              <w:kinsoku/>
              <w:wordWrap/>
              <w:overflowPunct/>
              <w:autoSpaceDE/>
              <w:autoSpaceDN/>
              <w:bidi w:val="0"/>
              <w:spacing w:line="440" w:lineRule="exact"/>
              <w:ind w:firstLine="0" w:firstLineChars="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在收到相应澄清文件函后 24 小时内告知招标人或招标代理机构。请投标人及时关注网上答疑澄清文件的发布，自行下载答疑澄清文件，未及时下载答疑澄清文件的后果自负。</w:t>
            </w:r>
          </w:p>
        </w:tc>
      </w:tr>
      <w:tr w14:paraId="41A1AE0A">
        <w:tblPrEx>
          <w:tblCellMar>
            <w:top w:w="0" w:type="dxa"/>
            <w:left w:w="108" w:type="dxa"/>
            <w:bottom w:w="0" w:type="dxa"/>
            <w:right w:w="108" w:type="dxa"/>
          </w:tblCellMar>
        </w:tblPrEx>
        <w:trPr>
          <w:jc w:val="center"/>
        </w:trPr>
        <w:tc>
          <w:tcPr>
            <w:tcW w:w="1165" w:type="dxa"/>
            <w:tcBorders>
              <w:top w:val="single" w:color="auto" w:sz="4" w:space="0"/>
              <w:left w:val="single" w:color="auto" w:sz="4" w:space="0"/>
              <w:bottom w:val="single" w:color="auto" w:sz="4" w:space="0"/>
              <w:right w:val="single" w:color="auto" w:sz="4" w:space="0"/>
            </w:tcBorders>
            <w:noWrap w:val="0"/>
            <w:vAlign w:val="center"/>
          </w:tcPr>
          <w:p w14:paraId="04ED1AB5">
            <w:pPr>
              <w:keepNext w:val="0"/>
              <w:keepLines w:val="0"/>
              <w:pageBreakBefore w:val="0"/>
              <w:widowControl/>
              <w:kinsoku/>
              <w:wordWrap/>
              <w:overflowPunct/>
              <w:autoSpaceDE/>
              <w:autoSpaceDN/>
              <w:bidi w:val="0"/>
              <w:spacing w:line="440" w:lineRule="exact"/>
              <w:ind w:firstLine="0" w:firstLineChars="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2.3.2</w:t>
            </w:r>
          </w:p>
        </w:tc>
        <w:tc>
          <w:tcPr>
            <w:tcW w:w="2091" w:type="dxa"/>
            <w:tcBorders>
              <w:top w:val="single" w:color="auto" w:sz="4" w:space="0"/>
              <w:left w:val="single" w:color="auto" w:sz="4" w:space="0"/>
              <w:bottom w:val="single" w:color="auto" w:sz="4" w:space="0"/>
              <w:right w:val="single" w:color="auto" w:sz="4" w:space="0"/>
            </w:tcBorders>
            <w:noWrap w:val="0"/>
            <w:vAlign w:val="center"/>
          </w:tcPr>
          <w:p w14:paraId="26D20472">
            <w:pPr>
              <w:keepNext w:val="0"/>
              <w:keepLines w:val="0"/>
              <w:pageBreakBefore w:val="0"/>
              <w:widowControl/>
              <w:kinsoku/>
              <w:wordWrap/>
              <w:overflowPunct/>
              <w:autoSpaceDE/>
              <w:autoSpaceDN/>
              <w:bidi w:val="0"/>
              <w:spacing w:line="440" w:lineRule="exact"/>
              <w:ind w:firstLine="0" w:firstLineChars="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投标人确认收到招标文件修改的时间</w:t>
            </w:r>
          </w:p>
        </w:tc>
        <w:tc>
          <w:tcPr>
            <w:tcW w:w="6345" w:type="dxa"/>
            <w:tcBorders>
              <w:top w:val="single" w:color="auto" w:sz="4" w:space="0"/>
              <w:left w:val="single" w:color="auto" w:sz="4" w:space="0"/>
              <w:bottom w:val="single" w:color="auto" w:sz="4" w:space="0"/>
              <w:right w:val="single" w:color="auto" w:sz="4" w:space="0"/>
            </w:tcBorders>
            <w:noWrap w:val="0"/>
            <w:vAlign w:val="center"/>
          </w:tcPr>
          <w:p w14:paraId="034F0514">
            <w:pPr>
              <w:keepNext w:val="0"/>
              <w:keepLines w:val="0"/>
              <w:pageBreakBefore w:val="0"/>
              <w:widowControl/>
              <w:kinsoku/>
              <w:wordWrap/>
              <w:overflowPunct/>
              <w:autoSpaceDE/>
              <w:autoSpaceDN/>
              <w:bidi w:val="0"/>
              <w:spacing w:line="440" w:lineRule="exact"/>
              <w:ind w:firstLine="0" w:firstLineChars="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在收到相应澄清文件函后24小时内告知招标人或招标代理机构。请投标人及时关注网上答疑澄清文件的发布，自行下载答疑澄清文件，未及时下载答疑澄清文件的后果自负。</w:t>
            </w:r>
          </w:p>
        </w:tc>
      </w:tr>
      <w:tr w14:paraId="52AE830B">
        <w:tblPrEx>
          <w:tblCellMar>
            <w:top w:w="0" w:type="dxa"/>
            <w:left w:w="108" w:type="dxa"/>
            <w:bottom w:w="0" w:type="dxa"/>
            <w:right w:w="108" w:type="dxa"/>
          </w:tblCellMar>
        </w:tblPrEx>
        <w:trPr>
          <w:trHeight w:val="842" w:hRule="atLeast"/>
          <w:jc w:val="center"/>
        </w:trPr>
        <w:tc>
          <w:tcPr>
            <w:tcW w:w="1165" w:type="dxa"/>
            <w:tcBorders>
              <w:top w:val="single" w:color="auto" w:sz="4" w:space="0"/>
              <w:left w:val="single" w:color="auto" w:sz="4" w:space="0"/>
              <w:bottom w:val="single" w:color="auto" w:sz="4" w:space="0"/>
              <w:right w:val="single" w:color="auto" w:sz="4" w:space="0"/>
            </w:tcBorders>
            <w:noWrap w:val="0"/>
            <w:vAlign w:val="center"/>
          </w:tcPr>
          <w:p w14:paraId="1C966D7D">
            <w:pPr>
              <w:keepNext w:val="0"/>
              <w:keepLines w:val="0"/>
              <w:pageBreakBefore w:val="0"/>
              <w:widowControl/>
              <w:kinsoku/>
              <w:wordWrap/>
              <w:overflowPunct/>
              <w:autoSpaceDE/>
              <w:autoSpaceDN/>
              <w:bidi w:val="0"/>
              <w:spacing w:line="440" w:lineRule="exact"/>
              <w:ind w:firstLine="0" w:firstLineChars="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3.1.1</w:t>
            </w:r>
          </w:p>
        </w:tc>
        <w:tc>
          <w:tcPr>
            <w:tcW w:w="2091" w:type="dxa"/>
            <w:tcBorders>
              <w:top w:val="single" w:color="auto" w:sz="4" w:space="0"/>
              <w:left w:val="single" w:color="auto" w:sz="4" w:space="0"/>
              <w:bottom w:val="single" w:color="auto" w:sz="4" w:space="0"/>
              <w:right w:val="single" w:color="auto" w:sz="4" w:space="0"/>
            </w:tcBorders>
            <w:noWrap w:val="0"/>
            <w:vAlign w:val="center"/>
          </w:tcPr>
          <w:p w14:paraId="772046C4">
            <w:pPr>
              <w:keepNext w:val="0"/>
              <w:keepLines w:val="0"/>
              <w:pageBreakBefore w:val="0"/>
              <w:widowControl/>
              <w:kinsoku/>
              <w:wordWrap/>
              <w:overflowPunct/>
              <w:autoSpaceDE/>
              <w:autoSpaceDN/>
              <w:bidi w:val="0"/>
              <w:spacing w:line="440" w:lineRule="exact"/>
              <w:ind w:firstLine="0" w:firstLineChars="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构成投标文件的其他资料</w:t>
            </w:r>
          </w:p>
        </w:tc>
        <w:tc>
          <w:tcPr>
            <w:tcW w:w="6345" w:type="dxa"/>
            <w:tcBorders>
              <w:top w:val="single" w:color="auto" w:sz="4" w:space="0"/>
              <w:left w:val="single" w:color="auto" w:sz="4" w:space="0"/>
              <w:bottom w:val="single" w:color="auto" w:sz="4" w:space="0"/>
              <w:right w:val="single" w:color="auto" w:sz="4" w:space="0"/>
            </w:tcBorders>
            <w:noWrap w:val="0"/>
            <w:vAlign w:val="center"/>
          </w:tcPr>
          <w:p w14:paraId="361337B7">
            <w:pPr>
              <w:keepNext w:val="0"/>
              <w:keepLines w:val="0"/>
              <w:pageBreakBefore w:val="0"/>
              <w:widowControl/>
              <w:kinsoku/>
              <w:wordWrap/>
              <w:overflowPunct/>
              <w:autoSpaceDE/>
              <w:autoSpaceDN/>
              <w:bidi w:val="0"/>
              <w:spacing w:line="440" w:lineRule="exact"/>
              <w:ind w:firstLine="0" w:firstLineChars="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无</w:t>
            </w:r>
          </w:p>
        </w:tc>
      </w:tr>
      <w:tr w14:paraId="0A23CAD3">
        <w:tblPrEx>
          <w:tblCellMar>
            <w:top w:w="0" w:type="dxa"/>
            <w:left w:w="108" w:type="dxa"/>
            <w:bottom w:w="0" w:type="dxa"/>
            <w:right w:w="108" w:type="dxa"/>
          </w:tblCellMar>
        </w:tblPrEx>
        <w:trPr>
          <w:jc w:val="center"/>
        </w:trPr>
        <w:tc>
          <w:tcPr>
            <w:tcW w:w="1165" w:type="dxa"/>
            <w:tcBorders>
              <w:top w:val="single" w:color="auto" w:sz="4" w:space="0"/>
              <w:left w:val="single" w:color="auto" w:sz="4" w:space="0"/>
              <w:bottom w:val="single" w:color="auto" w:sz="4" w:space="0"/>
              <w:right w:val="single" w:color="auto" w:sz="4" w:space="0"/>
            </w:tcBorders>
            <w:noWrap w:val="0"/>
            <w:vAlign w:val="center"/>
          </w:tcPr>
          <w:p w14:paraId="7D424EE2">
            <w:pPr>
              <w:keepNext w:val="0"/>
              <w:keepLines w:val="0"/>
              <w:pageBreakBefore w:val="0"/>
              <w:widowControl/>
              <w:kinsoku/>
              <w:wordWrap/>
              <w:overflowPunct/>
              <w:autoSpaceDE/>
              <w:autoSpaceDN/>
              <w:bidi w:val="0"/>
              <w:spacing w:line="440" w:lineRule="exact"/>
              <w:ind w:firstLine="0" w:firstLineChars="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3.2.4</w:t>
            </w:r>
          </w:p>
        </w:tc>
        <w:tc>
          <w:tcPr>
            <w:tcW w:w="2091" w:type="dxa"/>
            <w:tcBorders>
              <w:top w:val="single" w:color="auto" w:sz="4" w:space="0"/>
              <w:left w:val="single" w:color="auto" w:sz="4" w:space="0"/>
              <w:bottom w:val="single" w:color="auto" w:sz="4" w:space="0"/>
              <w:right w:val="single" w:color="auto" w:sz="4" w:space="0"/>
            </w:tcBorders>
            <w:noWrap w:val="0"/>
            <w:vAlign w:val="center"/>
          </w:tcPr>
          <w:p w14:paraId="0A2BE4E5">
            <w:pPr>
              <w:keepNext w:val="0"/>
              <w:keepLines w:val="0"/>
              <w:pageBreakBefore w:val="0"/>
              <w:widowControl/>
              <w:kinsoku/>
              <w:wordWrap/>
              <w:overflowPunct/>
              <w:autoSpaceDE/>
              <w:autoSpaceDN/>
              <w:bidi w:val="0"/>
              <w:spacing w:line="440" w:lineRule="exact"/>
              <w:ind w:firstLine="0" w:firstLineChars="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最高投标限价及其计算方法</w:t>
            </w:r>
          </w:p>
        </w:tc>
        <w:tc>
          <w:tcPr>
            <w:tcW w:w="6345" w:type="dxa"/>
            <w:tcBorders>
              <w:top w:val="single" w:color="auto" w:sz="4" w:space="0"/>
              <w:left w:val="single" w:color="auto" w:sz="4" w:space="0"/>
              <w:bottom w:val="single" w:color="auto" w:sz="4" w:space="0"/>
              <w:right w:val="single" w:color="auto" w:sz="4" w:space="0"/>
            </w:tcBorders>
            <w:noWrap w:val="0"/>
            <w:vAlign w:val="center"/>
          </w:tcPr>
          <w:p w14:paraId="05327D0C">
            <w:pPr>
              <w:keepNext w:val="0"/>
              <w:keepLines w:val="0"/>
              <w:pageBreakBefore w:val="0"/>
              <w:widowControl/>
              <w:kinsoku/>
              <w:wordWrap/>
              <w:overflowPunct/>
              <w:autoSpaceDE/>
              <w:autoSpaceDN/>
              <w:bidi w:val="0"/>
              <w:adjustRightInd w:val="0"/>
              <w:snapToGrid w:val="0"/>
              <w:spacing w:line="360" w:lineRule="auto"/>
              <w:ind w:left="13" w:firstLine="0" w:firstLineChars="0"/>
              <w:jc w:val="lef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本项目招标控制价：设计费为   万元</w:t>
            </w:r>
            <w:r>
              <w:rPr>
                <w:rFonts w:hint="eastAsia" w:ascii="仿宋" w:hAnsi="仿宋" w:eastAsia="仿宋" w:cs="仿宋"/>
                <w:bCs/>
                <w:color w:val="auto"/>
                <w:sz w:val="24"/>
                <w:szCs w:val="24"/>
                <w:highlight w:val="none"/>
                <w:lang w:eastAsia="zh-CN"/>
              </w:rPr>
              <w:t>；</w:t>
            </w:r>
            <w:r>
              <w:rPr>
                <w:rFonts w:hint="eastAsia" w:ascii="仿宋" w:hAnsi="仿宋" w:eastAsia="仿宋" w:cs="仿宋"/>
                <w:bCs/>
                <w:color w:val="auto"/>
                <w:sz w:val="24"/>
                <w:szCs w:val="24"/>
                <w:highlight w:val="none"/>
              </w:rPr>
              <w:t>施工费为 万元</w:t>
            </w:r>
            <w:r>
              <w:rPr>
                <w:rFonts w:hint="eastAsia" w:ascii="仿宋" w:hAnsi="仿宋" w:eastAsia="仿宋" w:cs="仿宋"/>
                <w:bCs/>
                <w:color w:val="auto"/>
                <w:sz w:val="24"/>
                <w:szCs w:val="24"/>
                <w:highlight w:val="none"/>
                <w:lang w:eastAsia="zh-CN"/>
              </w:rPr>
              <w:t>，</w:t>
            </w:r>
            <w:r>
              <w:rPr>
                <w:rFonts w:hint="eastAsia" w:ascii="仿宋" w:hAnsi="仿宋" w:eastAsia="仿宋" w:cs="仿宋"/>
                <w:bCs/>
                <w:color w:val="auto"/>
                <w:sz w:val="24"/>
                <w:szCs w:val="24"/>
                <w:highlight w:val="none"/>
              </w:rPr>
              <w:t>其中包含</w:t>
            </w:r>
            <w:r>
              <w:rPr>
                <w:rFonts w:hint="eastAsia" w:ascii="仿宋" w:hAnsi="仿宋" w:eastAsia="仿宋" w:cs="仿宋"/>
                <w:bCs/>
                <w:color w:val="auto"/>
                <w:sz w:val="24"/>
                <w:szCs w:val="24"/>
                <w:highlight w:val="none"/>
                <w:lang w:eastAsia="zh-CN"/>
              </w:rPr>
              <w:t>建安工程费用</w:t>
            </w:r>
            <w:r>
              <w:rPr>
                <w:rFonts w:hint="eastAsia" w:ascii="仿宋" w:hAnsi="仿宋" w:eastAsia="仿宋" w:cs="仿宋"/>
                <w:bCs/>
                <w:color w:val="auto"/>
                <w:sz w:val="24"/>
                <w:szCs w:val="24"/>
                <w:highlight w:val="none"/>
              </w:rPr>
              <w:t xml:space="preserve">  万元，设备集成供货及服务费用  万元</w:t>
            </w:r>
            <w:r>
              <w:rPr>
                <w:rFonts w:hint="eastAsia" w:ascii="仿宋" w:hAnsi="仿宋" w:eastAsia="仿宋" w:cs="仿宋"/>
                <w:bCs/>
                <w:color w:val="auto"/>
                <w:sz w:val="24"/>
                <w:szCs w:val="24"/>
                <w:highlight w:val="none"/>
                <w:lang w:eastAsia="zh-CN"/>
              </w:rPr>
              <w:t>；</w:t>
            </w:r>
            <w:r>
              <w:rPr>
                <w:rFonts w:hint="eastAsia" w:ascii="仿宋" w:hAnsi="仿宋" w:eastAsia="仿宋" w:cs="仿宋"/>
                <w:bCs/>
                <w:color w:val="auto"/>
                <w:sz w:val="24"/>
                <w:szCs w:val="24"/>
                <w:highlight w:val="none"/>
              </w:rPr>
              <w:t>运营服务费用    万元（三年）</w:t>
            </w:r>
            <w:r>
              <w:rPr>
                <w:rFonts w:hint="eastAsia" w:ascii="仿宋" w:hAnsi="仿宋" w:eastAsia="仿宋" w:cs="仿宋"/>
                <w:bCs/>
                <w:color w:val="auto"/>
                <w:sz w:val="24"/>
                <w:szCs w:val="24"/>
                <w:highlight w:val="none"/>
                <w:lang w:eastAsia="zh-CN"/>
              </w:rPr>
              <w:t>，</w:t>
            </w:r>
            <w:r>
              <w:rPr>
                <w:rFonts w:hint="eastAsia" w:ascii="仿宋" w:hAnsi="仿宋" w:eastAsia="仿宋" w:cs="仿宋"/>
                <w:bCs/>
                <w:color w:val="auto"/>
                <w:sz w:val="24"/>
                <w:szCs w:val="24"/>
                <w:highlight w:val="none"/>
              </w:rPr>
              <w:t>其中污水处理服务费用单价      元/吨</w:t>
            </w:r>
            <w:r>
              <w:rPr>
                <w:rFonts w:hint="eastAsia" w:ascii="仿宋" w:hAnsi="仿宋" w:eastAsia="仿宋" w:cs="仿宋"/>
                <w:bCs/>
                <w:color w:val="auto"/>
                <w:sz w:val="24"/>
                <w:szCs w:val="24"/>
                <w:highlight w:val="none"/>
                <w:lang w:eastAsia="zh-CN"/>
              </w:rPr>
              <w:t>；</w:t>
            </w:r>
            <w:r>
              <w:rPr>
                <w:rFonts w:hint="eastAsia" w:ascii="仿宋" w:hAnsi="仿宋" w:eastAsia="仿宋" w:cs="仿宋"/>
                <w:bCs/>
                <w:color w:val="auto"/>
                <w:sz w:val="24"/>
                <w:szCs w:val="24"/>
                <w:highlight w:val="none"/>
              </w:rPr>
              <w:t>预备费为 万元；</w:t>
            </w:r>
            <w:r>
              <w:rPr>
                <w:rFonts w:hint="eastAsia" w:ascii="仿宋" w:hAnsi="仿宋" w:cs="仿宋"/>
                <w:bCs/>
                <w:color w:val="auto"/>
                <w:sz w:val="24"/>
                <w:szCs w:val="24"/>
                <w:highlight w:val="none"/>
                <w:lang w:val="en-US" w:eastAsia="zh-CN"/>
              </w:rPr>
              <w:t>场地准备及临时设施费用为     万元</w:t>
            </w:r>
            <w:r>
              <w:rPr>
                <w:rFonts w:hint="eastAsia" w:ascii="仿宋" w:hAnsi="仿宋" w:cs="仿宋"/>
                <w:bCs/>
                <w:color w:val="auto"/>
                <w:sz w:val="24"/>
                <w:szCs w:val="24"/>
                <w:highlight w:val="none"/>
                <w:lang w:val="en-US" w:eastAsia="zh-CN"/>
              </w:rPr>
              <w:t>；</w:t>
            </w:r>
            <w:r>
              <w:rPr>
                <w:rFonts w:hint="eastAsia" w:ascii="仿宋" w:hAnsi="仿宋" w:eastAsia="仿宋" w:cs="仿宋"/>
                <w:bCs/>
                <w:color w:val="auto"/>
                <w:sz w:val="24"/>
                <w:szCs w:val="24"/>
                <w:highlight w:val="none"/>
              </w:rPr>
              <w:t>EPC+O总包价为 万元。</w:t>
            </w:r>
          </w:p>
          <w:p w14:paraId="3847028B">
            <w:pPr>
              <w:keepNext w:val="0"/>
              <w:keepLines w:val="0"/>
              <w:pageBreakBefore w:val="0"/>
              <w:widowControl/>
              <w:numPr>
                <w:ilvl w:val="0"/>
                <w:numId w:val="3"/>
              </w:numPr>
              <w:kinsoku/>
              <w:wordWrap/>
              <w:overflowPunct/>
              <w:autoSpaceDE/>
              <w:autoSpaceDN/>
              <w:bidi w:val="0"/>
              <w:adjustRightInd w:val="0"/>
              <w:snapToGrid w:val="0"/>
              <w:spacing w:line="360" w:lineRule="auto"/>
              <w:ind w:left="13" w:firstLine="0" w:firstLineChars="0"/>
              <w:jc w:val="left"/>
              <w:textAlignment w:val="auto"/>
              <w:rPr>
                <w:rFonts w:hint="eastAsia" w:ascii="仿宋" w:hAnsi="仿宋" w:eastAsia="仿宋" w:cs="仿宋"/>
                <w:b/>
                <w:color w:val="auto"/>
                <w:sz w:val="24"/>
                <w:szCs w:val="24"/>
                <w:highlight w:val="none"/>
              </w:rPr>
            </w:pPr>
            <w:r>
              <w:rPr>
                <w:rFonts w:hint="eastAsia" w:ascii="仿宋" w:hAnsi="仿宋" w:eastAsia="仿宋" w:cs="仿宋"/>
                <w:bCs/>
                <w:color w:val="auto"/>
                <w:sz w:val="24"/>
                <w:szCs w:val="24"/>
                <w:highlight w:val="none"/>
              </w:rPr>
              <w:t>设计费为  万元，投标人投标时填报的设计费超过上述设计控制价，评标委员会否决其投标，</w:t>
            </w:r>
            <w:r>
              <w:rPr>
                <w:rFonts w:hint="eastAsia" w:ascii="仿宋" w:hAnsi="仿宋" w:eastAsia="仿宋" w:cs="仿宋"/>
                <w:b/>
                <w:color w:val="auto"/>
                <w:sz w:val="24"/>
                <w:szCs w:val="24"/>
                <w:highlight w:val="none"/>
              </w:rPr>
              <w:t>此价为开标一览表中设计总价；</w:t>
            </w:r>
          </w:p>
          <w:p w14:paraId="01DA00CA">
            <w:pPr>
              <w:keepNext w:val="0"/>
              <w:keepLines w:val="0"/>
              <w:pageBreakBefore w:val="0"/>
              <w:widowControl/>
              <w:kinsoku/>
              <w:wordWrap/>
              <w:overflowPunct/>
              <w:autoSpaceDE/>
              <w:autoSpaceDN/>
              <w:bidi w:val="0"/>
              <w:adjustRightInd w:val="0"/>
              <w:snapToGrid w:val="0"/>
              <w:spacing w:line="360" w:lineRule="auto"/>
              <w:ind w:left="13" w:firstLine="0" w:firstLineChars="0"/>
              <w:jc w:val="lef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二、施工费为 万元，投标人投标时填报的工程费用不得超出上述施工费的控制价，否则评标委员会否决其投标。</w:t>
            </w:r>
          </w:p>
          <w:p w14:paraId="7C3A633B">
            <w:pPr>
              <w:keepNext w:val="0"/>
              <w:keepLines w:val="0"/>
              <w:pageBreakBefore w:val="0"/>
              <w:widowControl/>
              <w:kinsoku/>
              <w:wordWrap/>
              <w:overflowPunct/>
              <w:autoSpaceDE/>
              <w:autoSpaceDN/>
              <w:bidi w:val="0"/>
              <w:adjustRightInd w:val="0"/>
              <w:snapToGrid w:val="0"/>
              <w:spacing w:line="360" w:lineRule="auto"/>
              <w:ind w:left="13" w:firstLine="0" w:firstLineChars="0"/>
              <w:jc w:val="lef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2.1建安工程费用为 万元，投标人投标时填报的建安工程费用不得超出上述建安工程费用的控制价，否则评标委员会否决其投标。</w:t>
            </w:r>
          </w:p>
          <w:p w14:paraId="42E584F3">
            <w:pPr>
              <w:keepNext w:val="0"/>
              <w:keepLines w:val="0"/>
              <w:pageBreakBefore w:val="0"/>
              <w:widowControl/>
              <w:kinsoku/>
              <w:wordWrap/>
              <w:overflowPunct/>
              <w:autoSpaceDE/>
              <w:autoSpaceDN/>
              <w:bidi w:val="0"/>
              <w:adjustRightInd w:val="0"/>
              <w:snapToGrid w:val="0"/>
              <w:spacing w:line="360" w:lineRule="auto"/>
              <w:ind w:left="13" w:firstLine="0" w:firstLineChars="0"/>
              <w:jc w:val="lef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2.2设备集成供货及服务费为 万元，投标人投标时填报的设备集成供货及服务费用不得超出上述设备集成供货及服务费用的控制价，否则评标委员会否决其投标。</w:t>
            </w:r>
          </w:p>
          <w:p w14:paraId="3EA5704C">
            <w:pPr>
              <w:keepNext w:val="0"/>
              <w:keepLines w:val="0"/>
              <w:pageBreakBefore w:val="0"/>
              <w:widowControl/>
              <w:kinsoku/>
              <w:wordWrap/>
              <w:overflowPunct/>
              <w:autoSpaceDE/>
              <w:autoSpaceDN/>
              <w:bidi w:val="0"/>
              <w:adjustRightInd w:val="0"/>
              <w:snapToGrid w:val="0"/>
              <w:spacing w:line="360" w:lineRule="auto"/>
              <w:ind w:left="13" w:firstLine="0" w:firstLineChars="0"/>
              <w:jc w:val="left"/>
              <w:textAlignment w:val="auto"/>
              <w:rPr>
                <w:rFonts w:hint="eastAsia" w:ascii="仿宋" w:hAnsi="仿宋" w:eastAsia="仿宋" w:cs="仿宋"/>
                <w:color w:val="auto"/>
                <w:sz w:val="24"/>
                <w:szCs w:val="24"/>
                <w:highlight w:val="none"/>
              </w:rPr>
            </w:pPr>
            <w:r>
              <w:rPr>
                <w:rFonts w:hint="eastAsia" w:ascii="仿宋" w:hAnsi="仿宋" w:eastAsia="仿宋" w:cs="仿宋"/>
                <w:bCs/>
                <w:color w:val="auto"/>
                <w:sz w:val="24"/>
                <w:szCs w:val="24"/>
                <w:highlight w:val="none"/>
                <w:lang w:val="en-US" w:eastAsia="zh-CN"/>
              </w:rPr>
              <w:t>三、</w:t>
            </w:r>
            <w:r>
              <w:rPr>
                <w:rFonts w:hint="eastAsia" w:ascii="仿宋" w:hAnsi="仿宋" w:eastAsia="仿宋" w:cs="仿宋"/>
                <w:bCs/>
                <w:color w:val="auto"/>
                <w:sz w:val="24"/>
                <w:szCs w:val="24"/>
                <w:highlight w:val="none"/>
              </w:rPr>
              <w:t>运营服务费用</w:t>
            </w:r>
            <w:r>
              <w:rPr>
                <w:rFonts w:hint="eastAsia" w:ascii="仿宋" w:hAnsi="仿宋" w:cs="仿宋"/>
                <w:bCs/>
                <w:color w:val="auto"/>
                <w:sz w:val="24"/>
                <w:szCs w:val="24"/>
                <w:highlight w:val="none"/>
                <w:lang w:eastAsia="zh-CN"/>
              </w:rPr>
              <w:t>（</w:t>
            </w:r>
            <w:r>
              <w:rPr>
                <w:rFonts w:hint="eastAsia" w:ascii="仿宋" w:hAnsi="仿宋" w:cs="仿宋"/>
                <w:bCs/>
                <w:color w:val="auto"/>
                <w:sz w:val="24"/>
                <w:szCs w:val="24"/>
                <w:highlight w:val="none"/>
                <w:lang w:val="en-US" w:eastAsia="zh-CN"/>
              </w:rPr>
              <w:t>三年</w:t>
            </w:r>
            <w:r>
              <w:rPr>
                <w:rFonts w:hint="eastAsia" w:ascii="仿宋" w:hAnsi="仿宋" w:cs="仿宋"/>
                <w:bCs/>
                <w:color w:val="auto"/>
                <w:sz w:val="24"/>
                <w:szCs w:val="24"/>
                <w:highlight w:val="none"/>
                <w:lang w:eastAsia="zh-CN"/>
              </w:rPr>
              <w:t>）</w:t>
            </w:r>
            <w:r>
              <w:rPr>
                <w:rFonts w:hint="eastAsia" w:ascii="仿宋" w:hAnsi="仿宋" w:eastAsia="仿宋" w:cs="仿宋"/>
                <w:bCs/>
                <w:color w:val="auto"/>
                <w:sz w:val="24"/>
                <w:szCs w:val="24"/>
                <w:highlight w:val="none"/>
              </w:rPr>
              <w:t>为 万元，</w:t>
            </w:r>
            <w:r>
              <w:rPr>
                <w:rFonts w:hint="eastAsia" w:ascii="仿宋" w:hAnsi="仿宋" w:eastAsia="仿宋" w:cs="仿宋"/>
                <w:color w:val="auto"/>
                <w:sz w:val="24"/>
                <w:szCs w:val="24"/>
                <w:highlight w:val="none"/>
              </w:rPr>
              <w:t>其中污水处理服务费用单价</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元/吨</w:t>
            </w:r>
            <w:r>
              <w:rPr>
                <w:rFonts w:hint="eastAsia" w:ascii="仿宋" w:hAnsi="仿宋" w:cs="仿宋"/>
                <w:color w:val="auto"/>
                <w:sz w:val="24"/>
                <w:szCs w:val="24"/>
                <w:highlight w:val="none"/>
                <w:lang w:eastAsia="zh-CN"/>
              </w:rPr>
              <w:t>（</w:t>
            </w:r>
            <w:r>
              <w:rPr>
                <w:rFonts w:hint="eastAsia" w:ascii="仿宋" w:hAnsi="仿宋" w:cs="仿宋"/>
                <w:color w:val="auto"/>
                <w:sz w:val="24"/>
                <w:szCs w:val="24"/>
                <w:highlight w:val="none"/>
                <w:lang w:val="en-US" w:eastAsia="zh-CN"/>
              </w:rPr>
              <w:t>污水处理量暂按8000吨/日计算</w:t>
            </w:r>
            <w:r>
              <w:rPr>
                <w:rFonts w:hint="eastAsia" w:ascii="仿宋" w:hAnsi="仿宋" w:cs="仿宋"/>
                <w:color w:val="auto"/>
                <w:sz w:val="24"/>
                <w:szCs w:val="24"/>
                <w:highlight w:val="none"/>
                <w:lang w:eastAsia="zh-CN"/>
              </w:rPr>
              <w:t>）。</w:t>
            </w:r>
            <w:r>
              <w:rPr>
                <w:rFonts w:hint="eastAsia" w:ascii="仿宋" w:hAnsi="仿宋" w:eastAsia="仿宋" w:cs="仿宋"/>
                <w:bCs/>
                <w:color w:val="auto"/>
                <w:sz w:val="24"/>
                <w:szCs w:val="24"/>
                <w:highlight w:val="none"/>
              </w:rPr>
              <w:t>投标人投标时填报的运营服务费用、</w:t>
            </w:r>
            <w:r>
              <w:rPr>
                <w:rFonts w:hint="eastAsia" w:ascii="仿宋" w:hAnsi="仿宋" w:eastAsia="仿宋" w:cs="仿宋"/>
                <w:color w:val="auto"/>
                <w:sz w:val="24"/>
                <w:szCs w:val="24"/>
                <w:highlight w:val="none"/>
              </w:rPr>
              <w:t>污水处理服务费用单价</w:t>
            </w:r>
            <w:r>
              <w:rPr>
                <w:rFonts w:hint="eastAsia" w:ascii="仿宋" w:hAnsi="仿宋" w:eastAsia="仿宋" w:cs="仿宋"/>
                <w:bCs/>
                <w:color w:val="auto"/>
                <w:sz w:val="24"/>
                <w:szCs w:val="24"/>
                <w:highlight w:val="none"/>
                <w:lang w:val="en-US" w:eastAsia="zh-CN"/>
              </w:rPr>
              <w:t>均</w:t>
            </w:r>
            <w:r>
              <w:rPr>
                <w:rFonts w:hint="eastAsia" w:ascii="仿宋" w:hAnsi="仿宋" w:eastAsia="仿宋" w:cs="仿宋"/>
                <w:bCs/>
                <w:color w:val="auto"/>
                <w:sz w:val="24"/>
                <w:szCs w:val="24"/>
                <w:highlight w:val="none"/>
              </w:rPr>
              <w:t>不得超出上述运营服务费用、污水处理服务费用单价的控制价，否则评标委员会否决其投标。</w:t>
            </w:r>
          </w:p>
          <w:p w14:paraId="5B3DC9BD">
            <w:pPr>
              <w:keepNext w:val="0"/>
              <w:keepLines w:val="0"/>
              <w:pageBreakBefore w:val="0"/>
              <w:widowControl/>
              <w:kinsoku/>
              <w:wordWrap/>
              <w:overflowPunct/>
              <w:autoSpaceDE/>
              <w:autoSpaceDN/>
              <w:bidi w:val="0"/>
              <w:adjustRightInd w:val="0"/>
              <w:snapToGrid w:val="0"/>
              <w:spacing w:line="360" w:lineRule="auto"/>
              <w:ind w:left="13" w:firstLine="0" w:firstLineChars="0"/>
              <w:jc w:val="lef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lang w:val="en-US" w:eastAsia="zh-CN"/>
              </w:rPr>
              <w:t>四、</w:t>
            </w:r>
            <w:r>
              <w:rPr>
                <w:rFonts w:hint="eastAsia" w:ascii="仿宋" w:hAnsi="仿宋" w:eastAsia="仿宋" w:cs="仿宋"/>
                <w:bCs/>
                <w:color w:val="auto"/>
                <w:sz w:val="24"/>
                <w:szCs w:val="24"/>
                <w:highlight w:val="none"/>
              </w:rPr>
              <w:t xml:space="preserve">本项目预备费为 </w:t>
            </w:r>
            <w:r>
              <w:rPr>
                <w:rFonts w:hint="eastAsia" w:ascii="仿宋" w:hAnsi="仿宋" w:eastAsia="仿宋" w:cs="仿宋"/>
                <w:bCs/>
                <w:color w:val="auto"/>
                <w:sz w:val="24"/>
                <w:szCs w:val="24"/>
                <w:highlight w:val="none"/>
                <w:lang w:val="en-US" w:eastAsia="zh-CN"/>
              </w:rPr>
              <w:t xml:space="preserve">  </w:t>
            </w:r>
            <w:r>
              <w:rPr>
                <w:rFonts w:hint="eastAsia" w:ascii="仿宋" w:hAnsi="仿宋" w:eastAsia="仿宋" w:cs="仿宋"/>
                <w:bCs/>
                <w:color w:val="auto"/>
                <w:sz w:val="24"/>
                <w:szCs w:val="24"/>
                <w:highlight w:val="none"/>
              </w:rPr>
              <w:t>万元，</w:t>
            </w:r>
            <w:r>
              <w:rPr>
                <w:rFonts w:hint="eastAsia" w:ascii="仿宋" w:hAnsi="仿宋" w:cs="仿宋"/>
                <w:bCs/>
                <w:color w:val="auto"/>
                <w:sz w:val="24"/>
                <w:szCs w:val="24"/>
                <w:highlight w:val="none"/>
                <w:lang w:val="en-US" w:eastAsia="zh-CN"/>
              </w:rPr>
              <w:t>此费用为不可竞争费，投标人按给定的金额进行填报，不得擅自修改否则作无效标处理。</w:t>
            </w:r>
            <w:r>
              <w:rPr>
                <w:rFonts w:hint="eastAsia" w:ascii="仿宋" w:hAnsi="仿宋" w:eastAsia="仿宋" w:cs="仿宋"/>
                <w:bCs/>
                <w:color w:val="auto"/>
                <w:sz w:val="24"/>
                <w:szCs w:val="24"/>
                <w:highlight w:val="none"/>
              </w:rPr>
              <w:t>此费用由招标人支配。</w:t>
            </w:r>
          </w:p>
          <w:p w14:paraId="483C31E9">
            <w:pPr>
              <w:keepNext w:val="0"/>
              <w:keepLines w:val="0"/>
              <w:pageBreakBefore w:val="0"/>
              <w:widowControl/>
              <w:kinsoku/>
              <w:wordWrap/>
              <w:overflowPunct/>
              <w:autoSpaceDE/>
              <w:autoSpaceDN/>
              <w:bidi w:val="0"/>
              <w:adjustRightInd w:val="0"/>
              <w:snapToGrid w:val="0"/>
              <w:spacing w:line="360" w:lineRule="auto"/>
              <w:ind w:left="13" w:firstLine="0" w:firstLineChars="0"/>
              <w:jc w:val="left"/>
              <w:textAlignment w:val="auto"/>
              <w:rPr>
                <w:rFonts w:hint="default" w:ascii="仿宋" w:hAnsi="仿宋" w:eastAsia="仿宋" w:cs="仿宋"/>
                <w:bCs/>
                <w:color w:val="auto"/>
                <w:sz w:val="24"/>
                <w:szCs w:val="24"/>
                <w:highlight w:val="none"/>
                <w:lang w:val="en-US" w:eastAsia="zh-CN"/>
              </w:rPr>
            </w:pPr>
            <w:r>
              <w:rPr>
                <w:rFonts w:hint="eastAsia" w:ascii="仿宋" w:hAnsi="仿宋" w:cs="仿宋"/>
                <w:bCs/>
                <w:color w:val="auto"/>
                <w:sz w:val="24"/>
                <w:szCs w:val="24"/>
                <w:highlight w:val="none"/>
                <w:lang w:val="en-US" w:eastAsia="zh-CN"/>
              </w:rPr>
              <w:t>五、场地准备及临时设施费用为49万元，此费用为不可竞争费，投标人按给定的金额进行填报，不得擅自修改否则作无效标处理。</w:t>
            </w:r>
          </w:p>
          <w:p w14:paraId="38F53256">
            <w:pPr>
              <w:keepNext w:val="0"/>
              <w:keepLines w:val="0"/>
              <w:pageBreakBefore w:val="0"/>
              <w:widowControl/>
              <w:kinsoku/>
              <w:wordWrap/>
              <w:overflowPunct/>
              <w:autoSpaceDE/>
              <w:autoSpaceDN/>
              <w:bidi w:val="0"/>
              <w:adjustRightInd w:val="0"/>
              <w:snapToGrid w:val="0"/>
              <w:spacing w:line="360" w:lineRule="auto"/>
              <w:ind w:firstLine="0" w:firstLineChars="0"/>
              <w:jc w:val="left"/>
              <w:textAlignment w:val="auto"/>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此费用为不可竞争费用，投标单位不得擅自修改，否则评标委员会否决其投标。</w:t>
            </w:r>
          </w:p>
          <w:p w14:paraId="22185FEE">
            <w:pPr>
              <w:keepNext w:val="0"/>
              <w:keepLines w:val="0"/>
              <w:pageBreakBefore w:val="0"/>
              <w:widowControl/>
              <w:kinsoku/>
              <w:wordWrap/>
              <w:overflowPunct/>
              <w:autoSpaceDE/>
              <w:autoSpaceDN/>
              <w:bidi w:val="0"/>
              <w:spacing w:line="440" w:lineRule="exact"/>
              <w:ind w:firstLine="0" w:firstLineChars="0"/>
              <w:jc w:val="left"/>
              <w:textAlignment w:val="auto"/>
              <w:rPr>
                <w:rFonts w:hint="eastAsia" w:ascii="仿宋" w:hAnsi="仿宋" w:eastAsia="仿宋" w:cs="仿宋"/>
                <w:color w:val="auto"/>
                <w:sz w:val="24"/>
                <w:szCs w:val="24"/>
                <w:highlight w:val="none"/>
              </w:rPr>
            </w:pPr>
            <w:r>
              <w:rPr>
                <w:rFonts w:hint="eastAsia" w:ascii="仿宋" w:hAnsi="仿宋" w:eastAsia="仿宋" w:cs="仿宋"/>
                <w:b/>
                <w:color w:val="auto"/>
                <w:sz w:val="24"/>
                <w:szCs w:val="24"/>
                <w:highlight w:val="none"/>
              </w:rPr>
              <w:t>本项目EPC+O投标总价由上述的 一 +二+三</w:t>
            </w:r>
            <w:r>
              <w:rPr>
                <w:rFonts w:hint="eastAsia" w:ascii="仿宋" w:hAnsi="仿宋" w:eastAsia="仿宋" w:cs="仿宋"/>
                <w:b/>
                <w:color w:val="auto"/>
                <w:sz w:val="24"/>
                <w:szCs w:val="24"/>
                <w:highlight w:val="none"/>
                <w:lang w:val="en-US" w:eastAsia="zh-CN"/>
              </w:rPr>
              <w:t>+四</w:t>
            </w:r>
            <w:r>
              <w:rPr>
                <w:rFonts w:hint="eastAsia" w:ascii="仿宋" w:hAnsi="仿宋" w:cs="仿宋"/>
                <w:b/>
                <w:color w:val="auto"/>
                <w:sz w:val="24"/>
                <w:szCs w:val="24"/>
                <w:highlight w:val="none"/>
                <w:lang w:val="en-US" w:eastAsia="zh-CN"/>
              </w:rPr>
              <w:t>+五</w:t>
            </w:r>
            <w:r>
              <w:rPr>
                <w:rFonts w:hint="eastAsia" w:ascii="仿宋" w:hAnsi="仿宋" w:eastAsia="仿宋" w:cs="仿宋"/>
                <w:b/>
                <w:color w:val="auto"/>
                <w:sz w:val="24"/>
                <w:szCs w:val="24"/>
                <w:highlight w:val="none"/>
              </w:rPr>
              <w:t>项的投标报价合计组成，此价格为签约合同价，该价格不得超过 万元，投标人投标时填报的EPC+O投标总价超过上述招标控制价 万元，评标委员会有权否决其投标。</w:t>
            </w:r>
          </w:p>
        </w:tc>
      </w:tr>
      <w:tr w14:paraId="4AAC62EE">
        <w:tblPrEx>
          <w:tblCellMar>
            <w:top w:w="0" w:type="dxa"/>
            <w:left w:w="108" w:type="dxa"/>
            <w:bottom w:w="0" w:type="dxa"/>
            <w:right w:w="108" w:type="dxa"/>
          </w:tblCellMar>
        </w:tblPrEx>
        <w:trPr>
          <w:jc w:val="center"/>
        </w:trPr>
        <w:tc>
          <w:tcPr>
            <w:tcW w:w="1165" w:type="dxa"/>
            <w:tcBorders>
              <w:top w:val="single" w:color="auto" w:sz="4" w:space="0"/>
              <w:left w:val="single" w:color="auto" w:sz="4" w:space="0"/>
              <w:bottom w:val="single" w:color="auto" w:sz="4" w:space="0"/>
              <w:right w:val="single" w:color="auto" w:sz="4" w:space="0"/>
            </w:tcBorders>
            <w:noWrap w:val="0"/>
            <w:vAlign w:val="center"/>
          </w:tcPr>
          <w:p w14:paraId="33C73FF4">
            <w:pPr>
              <w:keepNext w:val="0"/>
              <w:keepLines w:val="0"/>
              <w:pageBreakBefore w:val="0"/>
              <w:widowControl/>
              <w:kinsoku/>
              <w:wordWrap/>
              <w:overflowPunct/>
              <w:autoSpaceDE/>
              <w:autoSpaceDN/>
              <w:bidi w:val="0"/>
              <w:spacing w:line="440" w:lineRule="exact"/>
              <w:ind w:firstLine="0" w:firstLineChars="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3.2.5</w:t>
            </w:r>
          </w:p>
        </w:tc>
        <w:tc>
          <w:tcPr>
            <w:tcW w:w="2091" w:type="dxa"/>
            <w:tcBorders>
              <w:top w:val="single" w:color="auto" w:sz="4" w:space="0"/>
              <w:left w:val="single" w:color="auto" w:sz="4" w:space="0"/>
              <w:bottom w:val="single" w:color="auto" w:sz="4" w:space="0"/>
              <w:right w:val="single" w:color="auto" w:sz="4" w:space="0"/>
            </w:tcBorders>
            <w:noWrap w:val="0"/>
            <w:vAlign w:val="center"/>
          </w:tcPr>
          <w:p w14:paraId="4A97BED6">
            <w:pPr>
              <w:keepNext w:val="0"/>
              <w:keepLines w:val="0"/>
              <w:pageBreakBefore w:val="0"/>
              <w:widowControl/>
              <w:kinsoku/>
              <w:wordWrap/>
              <w:overflowPunct/>
              <w:autoSpaceDE/>
              <w:autoSpaceDN/>
              <w:bidi w:val="0"/>
              <w:spacing w:line="440" w:lineRule="exact"/>
              <w:ind w:firstLine="0" w:firstLineChars="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投标报价及其他要求</w:t>
            </w:r>
          </w:p>
        </w:tc>
        <w:tc>
          <w:tcPr>
            <w:tcW w:w="6345" w:type="dxa"/>
            <w:tcBorders>
              <w:top w:val="single" w:color="auto" w:sz="4" w:space="0"/>
              <w:left w:val="single" w:color="auto" w:sz="4" w:space="0"/>
              <w:bottom w:val="single" w:color="auto" w:sz="4" w:space="0"/>
              <w:right w:val="single" w:color="auto" w:sz="4" w:space="0"/>
            </w:tcBorders>
            <w:noWrap w:val="0"/>
            <w:vAlign w:val="center"/>
          </w:tcPr>
          <w:p w14:paraId="37DBD313">
            <w:pPr>
              <w:keepNext w:val="0"/>
              <w:keepLines w:val="0"/>
              <w:pageBreakBefore w:val="0"/>
              <w:widowControl/>
              <w:kinsoku/>
              <w:wordWrap/>
              <w:overflowPunct/>
              <w:autoSpaceDE/>
              <w:autoSpaceDN/>
              <w:bidi w:val="0"/>
              <w:adjustRightInd w:val="0"/>
              <w:snapToGrid w:val="0"/>
              <w:spacing w:line="360" w:lineRule="auto"/>
              <w:ind w:firstLine="0" w:firstLineChars="0"/>
              <w:jc w:val="left"/>
              <w:textAlignment w:val="auto"/>
              <w:rPr>
                <w:rFonts w:hint="eastAsia" w:ascii="仿宋" w:hAnsi="仿宋" w:eastAsia="仿宋" w:cs="仿宋"/>
                <w:color w:val="auto"/>
                <w:sz w:val="24"/>
                <w:szCs w:val="24"/>
                <w:highlight w:val="none"/>
              </w:rPr>
            </w:pPr>
            <w:r>
              <w:rPr>
                <w:rFonts w:hint="eastAsia" w:ascii="仿宋" w:hAnsi="仿宋" w:eastAsia="仿宋" w:cs="仿宋"/>
                <w:bCs/>
                <w:color w:val="auto"/>
                <w:sz w:val="24"/>
                <w:szCs w:val="24"/>
                <w:highlight w:val="none"/>
              </w:rPr>
              <w:t>一、设计费</w:t>
            </w:r>
            <w:r>
              <w:rPr>
                <w:rFonts w:hint="eastAsia" w:ascii="仿宋" w:hAnsi="仿宋" w:eastAsia="仿宋" w:cs="仿宋"/>
                <w:color w:val="auto"/>
                <w:sz w:val="24"/>
                <w:szCs w:val="24"/>
                <w:highlight w:val="none"/>
              </w:rPr>
              <w:t>报价要求</w:t>
            </w:r>
          </w:p>
          <w:p w14:paraId="3596BCB0">
            <w:pPr>
              <w:keepNext w:val="0"/>
              <w:keepLines w:val="0"/>
              <w:pageBreakBefore w:val="0"/>
              <w:widowControl/>
              <w:kinsoku/>
              <w:wordWrap/>
              <w:overflowPunct/>
              <w:autoSpaceDE/>
              <w:autoSpaceDN/>
              <w:bidi w:val="0"/>
              <w:adjustRightInd w:val="0"/>
              <w:snapToGrid w:val="0"/>
              <w:spacing w:line="360" w:lineRule="auto"/>
              <w:ind w:firstLine="0" w:firstLineChars="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各投标人需依据国家有关规定及发改价格〔2015〕299号“关于进一步放开建设项目专业服务价格的通知”的规定，并结合各自实际情况编制设计费报价。本项目设计费采用固定总价，一口价包死，投标人只能报一个设计费，任何有选择的报价将不被接受。</w:t>
            </w:r>
          </w:p>
          <w:p w14:paraId="5CE27250">
            <w:pPr>
              <w:autoSpaceDE/>
              <w:autoSpaceDN/>
              <w:adjustRightInd w:val="0"/>
              <w:snapToGrid w:val="0"/>
              <w:spacing w:line="360" w:lineRule="auto"/>
              <w:ind w:firstLine="0" w:firstLineChars="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2.投标人填报的设计费报价是完成招标范围内全部与总包施工图设计有关的服务内容的价格体现。</w:t>
            </w:r>
          </w:p>
          <w:p w14:paraId="0BAD384C">
            <w:pPr>
              <w:autoSpaceDE/>
              <w:autoSpaceDN/>
              <w:adjustRightInd w:val="0"/>
              <w:snapToGrid w:val="0"/>
              <w:spacing w:line="360" w:lineRule="auto"/>
              <w:ind w:left="0" w:leftChars="0" w:firstLine="0" w:firstLineChars="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⑴设计范围：施工图设计、施工图优化并配合送审取得施工图审查合格书等工作；协助办理本工程引起的工程设计报建手续；施工过程技术服务及设计变更手续等。设计标准为国家及辽宁省现行设计规范、规程及行业标准，设计成果深度需达到现行国家设计深度标准的要求，且通过相关主管部门的审批。</w:t>
            </w:r>
          </w:p>
          <w:p w14:paraId="3050A448">
            <w:pPr>
              <w:adjustRightInd w:val="0"/>
              <w:snapToGrid w:val="0"/>
              <w:spacing w:line="360" w:lineRule="auto"/>
              <w:ind w:left="0" w:leftChars="0" w:firstLine="0" w:firstLineChars="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⑵设计费用组成：本合同设计费综合考虑了设计人员的工资、福利、保险、加班费用、车旅费用、提供设计文件的资料费、各种设备使用费及企业管理费、利润、税金等各阶段设计费用，施工阶段技术咨询服务、常驻现场设计代表及与其他专业设计单位之间协调费用。设计单位为完成设计任务所需的人力、物力、财力投入，充分考虑可能的市场风险以及企业所需缴纳的各种税费以及为实现合同目的所涉及的机构、人员、利润、税金、政策性文件规定、不可预见风险、责任、设计单位为自己的雇员、财产等所做的人身和财产保险的费用，以及参与投标所发生费用。</w:t>
            </w:r>
          </w:p>
          <w:p w14:paraId="7A9B33A9">
            <w:pPr>
              <w:keepNext w:val="0"/>
              <w:keepLines w:val="0"/>
              <w:pageBreakBefore w:val="0"/>
              <w:widowControl/>
              <w:kinsoku/>
              <w:wordWrap/>
              <w:overflowPunct/>
              <w:autoSpaceDE/>
              <w:autoSpaceDN/>
              <w:bidi w:val="0"/>
              <w:snapToGrid w:val="0"/>
              <w:spacing w:line="360" w:lineRule="auto"/>
              <w:ind w:firstLine="0" w:firstLineChars="0"/>
              <w:jc w:val="left"/>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二、施工费用报价要求</w:t>
            </w:r>
          </w:p>
          <w:p w14:paraId="72616727">
            <w:pPr>
              <w:keepNext w:val="0"/>
              <w:keepLines w:val="0"/>
              <w:pageBreakBefore w:val="0"/>
              <w:widowControl/>
              <w:kinsoku/>
              <w:wordWrap/>
              <w:overflowPunct/>
              <w:autoSpaceDE/>
              <w:autoSpaceDN/>
              <w:bidi w:val="0"/>
              <w:snapToGrid w:val="0"/>
              <w:spacing w:line="360" w:lineRule="auto"/>
              <w:ind w:firstLine="0" w:firstLineChars="0"/>
              <w:jc w:val="left"/>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2.1建安工程费用报价要求：</w:t>
            </w:r>
          </w:p>
          <w:p w14:paraId="072D4196">
            <w:pPr>
              <w:keepNext w:val="0"/>
              <w:keepLines w:val="0"/>
              <w:pageBreakBefore w:val="0"/>
              <w:widowControl/>
              <w:kinsoku/>
              <w:wordWrap/>
              <w:overflowPunct/>
              <w:autoSpaceDE/>
              <w:autoSpaceDN/>
              <w:bidi w:val="0"/>
              <w:snapToGrid w:val="0"/>
              <w:spacing w:line="360" w:lineRule="auto"/>
              <w:ind w:firstLine="0" w:firstLineChars="0"/>
              <w:jc w:val="left"/>
              <w:textAlignment w:val="auto"/>
              <w:rPr>
                <w:rFonts w:hint="eastAsia" w:ascii="仿宋" w:hAnsi="仿宋" w:eastAsia="仿宋" w:cs="仿宋"/>
                <w:b/>
                <w:bCs/>
                <w:color w:val="auto"/>
                <w:sz w:val="24"/>
                <w:szCs w:val="24"/>
                <w:highlight w:val="none"/>
              </w:rPr>
            </w:pPr>
            <w:r>
              <w:rPr>
                <w:rFonts w:hint="eastAsia" w:ascii="仿宋" w:hAnsi="仿宋" w:eastAsia="仿宋" w:cs="仿宋"/>
                <w:color w:val="auto"/>
                <w:sz w:val="24"/>
                <w:szCs w:val="24"/>
                <w:highlight w:val="none"/>
              </w:rPr>
              <w:t>各投标人应通过踏勘了解现场实际情况、根据发包人的要求、招标文件、补充通知澄清(答疑)纪要中提出的工程技术、质量、安全、工期要求、文明施工要求、承包范围等，自行编制的施工组织设计，依据2017年辽宁省建设工程计价依据及相关规定并结合企业自身情况及投资风险，</w:t>
            </w:r>
            <w:r>
              <w:rPr>
                <w:rFonts w:hint="eastAsia" w:ascii="仿宋" w:hAnsi="仿宋" w:eastAsia="仿宋" w:cs="仿宋"/>
                <w:b/>
                <w:bCs/>
                <w:color w:val="auto"/>
                <w:sz w:val="24"/>
                <w:szCs w:val="24"/>
                <w:highlight w:val="none"/>
              </w:rPr>
              <w:t>报出建安工程费用。</w:t>
            </w:r>
          </w:p>
          <w:p w14:paraId="7A3C4E0E">
            <w:pPr>
              <w:keepNext w:val="0"/>
              <w:keepLines w:val="0"/>
              <w:pageBreakBefore w:val="0"/>
              <w:widowControl/>
              <w:kinsoku/>
              <w:wordWrap/>
              <w:overflowPunct/>
              <w:autoSpaceDE/>
              <w:autoSpaceDN/>
              <w:bidi w:val="0"/>
              <w:snapToGrid w:val="0"/>
              <w:spacing w:line="360" w:lineRule="auto"/>
              <w:ind w:firstLine="0" w:firstLineChars="0"/>
              <w:jc w:val="left"/>
              <w:textAlignment w:val="auto"/>
              <w:rPr>
                <w:rFonts w:hint="eastAsia" w:ascii="仿宋" w:hAnsi="仿宋" w:eastAsia="仿宋" w:cs="仿宋"/>
                <w:bCs/>
                <w:color w:val="auto"/>
                <w:sz w:val="24"/>
                <w:szCs w:val="24"/>
                <w:highlight w:val="none"/>
              </w:rPr>
            </w:pPr>
            <w:r>
              <w:rPr>
                <w:rFonts w:hint="eastAsia" w:ascii="仿宋" w:hAnsi="仿宋" w:eastAsia="仿宋" w:cs="仿宋"/>
                <w:b/>
                <w:color w:val="auto"/>
                <w:sz w:val="24"/>
                <w:szCs w:val="24"/>
                <w:highlight w:val="none"/>
              </w:rPr>
              <w:t>2.2建安工程费用上报约定</w:t>
            </w:r>
            <w:r>
              <w:rPr>
                <w:rFonts w:hint="eastAsia" w:ascii="仿宋" w:hAnsi="仿宋" w:eastAsia="仿宋" w:cs="仿宋"/>
                <w:bCs/>
                <w:color w:val="auto"/>
                <w:sz w:val="24"/>
                <w:szCs w:val="24"/>
                <w:highlight w:val="none"/>
              </w:rPr>
              <w:t>：</w:t>
            </w:r>
          </w:p>
          <w:p w14:paraId="2D4D20AC">
            <w:pPr>
              <w:adjustRightInd w:val="0"/>
              <w:snapToGrid w:val="0"/>
              <w:spacing w:line="360" w:lineRule="auto"/>
              <w:ind w:firstLine="0" w:firstLineChars="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本次招标工作结束、承包人自行设计的施工图审查通过后</w:t>
            </w:r>
            <w:r>
              <w:rPr>
                <w:rFonts w:hint="eastAsia" w:ascii="仿宋" w:hAnsi="仿宋" w:eastAsia="仿宋" w:cs="仿宋"/>
                <w:color w:val="auto"/>
                <w:sz w:val="24"/>
                <w:szCs w:val="24"/>
                <w:highlight w:val="none"/>
                <w:u w:val="single"/>
              </w:rPr>
              <w:t>20</w:t>
            </w:r>
            <w:r>
              <w:rPr>
                <w:rFonts w:hint="eastAsia" w:ascii="仿宋" w:hAnsi="仿宋" w:eastAsia="仿宋" w:cs="仿宋"/>
                <w:color w:val="auto"/>
                <w:sz w:val="24"/>
                <w:szCs w:val="24"/>
                <w:highlight w:val="none"/>
              </w:rPr>
              <w:t>天内，由承包人编制施工图预算上报发包人审核，编制及审核需依据下述第</w:t>
            </w: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rPr>
              <w:t>3条约定的计算方法进行，最终以发包人审核结果为准。</w:t>
            </w:r>
          </w:p>
          <w:p w14:paraId="4BB65625">
            <w:pPr>
              <w:keepNext w:val="0"/>
              <w:keepLines w:val="0"/>
              <w:pageBreakBefore w:val="0"/>
              <w:widowControl/>
              <w:kinsoku/>
              <w:wordWrap/>
              <w:overflowPunct/>
              <w:autoSpaceDE/>
              <w:autoSpaceDN/>
              <w:bidi w:val="0"/>
              <w:snapToGrid w:val="0"/>
              <w:spacing w:line="360" w:lineRule="auto"/>
              <w:ind w:firstLine="0" w:firstLineChars="0"/>
              <w:jc w:val="left"/>
              <w:textAlignment w:val="auto"/>
              <w:rPr>
                <w:rFonts w:hint="eastAsia" w:ascii="仿宋" w:hAnsi="仿宋" w:eastAsia="仿宋" w:cs="仿宋"/>
                <w:color w:val="auto"/>
                <w:sz w:val="24"/>
                <w:szCs w:val="24"/>
                <w:highlight w:val="none"/>
              </w:rPr>
            </w:pPr>
            <w:r>
              <w:rPr>
                <w:rFonts w:hint="eastAsia" w:ascii="仿宋" w:hAnsi="仿宋" w:eastAsia="仿宋" w:cs="仿宋"/>
                <w:b/>
                <w:color w:val="auto"/>
                <w:sz w:val="24"/>
                <w:szCs w:val="24"/>
                <w:highlight w:val="none"/>
              </w:rPr>
              <w:t>2.3建安工程费用计算方法：</w:t>
            </w:r>
          </w:p>
          <w:p w14:paraId="4B0C5B4A">
            <w:pPr>
              <w:keepNext w:val="0"/>
              <w:keepLines w:val="0"/>
              <w:pageBreakBefore w:val="0"/>
              <w:widowControl/>
              <w:kinsoku/>
              <w:wordWrap/>
              <w:overflowPunct/>
              <w:autoSpaceDE/>
              <w:autoSpaceDN/>
              <w:bidi w:val="0"/>
              <w:snapToGrid w:val="0"/>
              <w:spacing w:line="360" w:lineRule="auto"/>
              <w:ind w:firstLine="0" w:firstLineChars="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⑴工程量计算规则：执行《建设工程工程量清单计价规范（GB50500-2013）及2017年《辽宁省建设工程计价依据》中的各专业计算规则。</w:t>
            </w:r>
          </w:p>
          <w:p w14:paraId="1721C7C3">
            <w:pPr>
              <w:keepNext w:val="0"/>
              <w:keepLines w:val="0"/>
              <w:pageBreakBefore w:val="0"/>
              <w:widowControl/>
              <w:kinsoku/>
              <w:wordWrap/>
              <w:overflowPunct/>
              <w:autoSpaceDE/>
              <w:autoSpaceDN/>
              <w:bidi w:val="0"/>
              <w:snapToGrid w:val="0"/>
              <w:spacing w:line="360" w:lineRule="auto"/>
              <w:ind w:firstLine="0" w:firstLineChars="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⑵计价依据中的定额有相同项按定额执行，没有相同项目有类似项目的按类似项执行，没有类似项目的按市场价执行。</w:t>
            </w:r>
          </w:p>
          <w:p w14:paraId="13415819">
            <w:pPr>
              <w:keepNext w:val="0"/>
              <w:keepLines w:val="0"/>
              <w:pageBreakBefore w:val="0"/>
              <w:widowControl/>
              <w:kinsoku/>
              <w:wordWrap/>
              <w:overflowPunct/>
              <w:autoSpaceDE/>
              <w:autoSpaceDN/>
              <w:bidi w:val="0"/>
              <w:snapToGrid w:val="0"/>
              <w:spacing w:line="360" w:lineRule="auto"/>
              <w:ind w:firstLine="0" w:firstLineChars="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⑶材料费：以辽宁省住房和城乡建设厅发布的网刊价格为参考，按施工期的平均价格计取，网刊上有价格的按网刊价格执行；网刊上都没有可参照数据的，参照市场价格或由监理单位、发包人共同选样及确定价格。</w:t>
            </w:r>
          </w:p>
          <w:p w14:paraId="3988CDD0">
            <w:pPr>
              <w:keepNext w:val="0"/>
              <w:keepLines w:val="0"/>
              <w:pageBreakBefore w:val="0"/>
              <w:widowControl/>
              <w:kinsoku/>
              <w:wordWrap/>
              <w:overflowPunct/>
              <w:autoSpaceDE/>
              <w:autoSpaceDN/>
              <w:bidi w:val="0"/>
              <w:snapToGrid w:val="0"/>
              <w:spacing w:line="360" w:lineRule="auto"/>
              <w:ind w:firstLine="0" w:firstLineChars="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⑷管理费、利润以及可以按系数计取的措施费按2017年辽宁省建设工程费用标准中的基础费率执行。</w:t>
            </w:r>
          </w:p>
          <w:p w14:paraId="2793392B">
            <w:pPr>
              <w:keepNext w:val="0"/>
              <w:keepLines w:val="0"/>
              <w:pageBreakBefore w:val="0"/>
              <w:widowControl/>
              <w:kinsoku/>
              <w:wordWrap/>
              <w:overflowPunct/>
              <w:autoSpaceDE/>
              <w:autoSpaceDN/>
              <w:bidi w:val="0"/>
              <w:snapToGrid w:val="0"/>
              <w:spacing w:line="360" w:lineRule="auto"/>
              <w:ind w:firstLine="0" w:firstLineChars="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⑸不能按系数计取的措施费如夜间施工增加费、已完工程及设备保护费、二次搬运费、以及其他不能按系数计取的措施费等，在招标工作结束、计算实际签约合同价时按经发包人及监理审定同意的施工组织设计及施工方案计算，在竣工结算阶段按发包人审定意见计算。</w:t>
            </w:r>
          </w:p>
          <w:p w14:paraId="7DCDAA63">
            <w:pPr>
              <w:keepNext w:val="0"/>
              <w:keepLines w:val="0"/>
              <w:pageBreakBefore w:val="0"/>
              <w:widowControl/>
              <w:kinsoku/>
              <w:wordWrap/>
              <w:overflowPunct/>
              <w:autoSpaceDE/>
              <w:autoSpaceDN/>
              <w:bidi w:val="0"/>
              <w:snapToGrid w:val="0"/>
              <w:spacing w:line="360" w:lineRule="auto"/>
              <w:ind w:firstLine="0" w:firstLineChars="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⑹检验试验费：对施工材料、构件、设备和施工成品进行的一般鉴定、检查等必须发生的检验试验费用均含在投标人企业管理费中，由承包人自行支付。发包人明确提出由发包人自行支付的特殊检测费用除外。</w:t>
            </w:r>
          </w:p>
          <w:p w14:paraId="7B45E379">
            <w:pPr>
              <w:keepNext w:val="0"/>
              <w:keepLines w:val="0"/>
              <w:pageBreakBefore w:val="0"/>
              <w:widowControl/>
              <w:kinsoku/>
              <w:wordWrap/>
              <w:overflowPunct/>
              <w:autoSpaceDE/>
              <w:autoSpaceDN/>
              <w:bidi w:val="0"/>
              <w:snapToGrid w:val="0"/>
              <w:spacing w:line="360" w:lineRule="auto"/>
              <w:ind w:firstLine="0" w:firstLineChars="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fldChar w:fldCharType="begin"/>
            </w:r>
            <w:r>
              <w:rPr>
                <w:rFonts w:hint="eastAsia" w:ascii="仿宋" w:hAnsi="仿宋" w:eastAsia="仿宋" w:cs="仿宋"/>
                <w:color w:val="auto"/>
                <w:sz w:val="24"/>
                <w:szCs w:val="24"/>
                <w:highlight w:val="none"/>
              </w:rPr>
              <w:instrText xml:space="preserve"> = 7 \* GB2 \* MERGEFORMAT </w:instrText>
            </w:r>
            <w:r>
              <w:rPr>
                <w:rFonts w:hint="eastAsia" w:ascii="仿宋" w:hAnsi="仿宋" w:eastAsia="仿宋" w:cs="仿宋"/>
                <w:color w:val="auto"/>
                <w:sz w:val="24"/>
                <w:szCs w:val="24"/>
                <w:highlight w:val="none"/>
              </w:rPr>
              <w:fldChar w:fldCharType="separate"/>
            </w:r>
            <w:r>
              <w:rPr>
                <w:rFonts w:hint="eastAsia" w:ascii="仿宋" w:hAnsi="仿宋" w:eastAsia="仿宋" w:cs="仿宋"/>
                <w:color w:val="auto"/>
                <w:sz w:val="24"/>
                <w:szCs w:val="24"/>
                <w:highlight w:val="none"/>
              </w:rPr>
              <w:t>⑺</w:t>
            </w:r>
            <w:r>
              <w:rPr>
                <w:rFonts w:hint="eastAsia" w:ascii="仿宋" w:hAnsi="仿宋" w:eastAsia="仿宋" w:cs="仿宋"/>
                <w:color w:val="auto"/>
                <w:sz w:val="24"/>
                <w:szCs w:val="24"/>
                <w:highlight w:val="none"/>
              </w:rPr>
              <w:fldChar w:fldCharType="end"/>
            </w:r>
            <w:r>
              <w:rPr>
                <w:rFonts w:hint="eastAsia" w:ascii="仿宋" w:hAnsi="仿宋" w:eastAsia="仿宋" w:cs="仿宋"/>
                <w:color w:val="auto"/>
                <w:sz w:val="24"/>
                <w:szCs w:val="24"/>
                <w:highlight w:val="none"/>
              </w:rPr>
              <w:t>规费：不得大于营住建发（2018）73号文件的招标建议费率。</w:t>
            </w:r>
          </w:p>
          <w:p w14:paraId="6040ECA7">
            <w:pPr>
              <w:keepNext w:val="0"/>
              <w:keepLines w:val="0"/>
              <w:pageBreakBefore w:val="0"/>
              <w:widowControl/>
              <w:kinsoku/>
              <w:wordWrap/>
              <w:overflowPunct/>
              <w:autoSpaceDE/>
              <w:autoSpaceDN/>
              <w:bidi w:val="0"/>
              <w:snapToGrid w:val="0"/>
              <w:spacing w:line="360" w:lineRule="auto"/>
              <w:ind w:firstLine="0" w:firstLineChars="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fldChar w:fldCharType="begin"/>
            </w:r>
            <w:r>
              <w:rPr>
                <w:rFonts w:hint="eastAsia" w:ascii="仿宋" w:hAnsi="仿宋" w:eastAsia="仿宋" w:cs="仿宋"/>
                <w:color w:val="auto"/>
                <w:sz w:val="24"/>
                <w:szCs w:val="24"/>
                <w:highlight w:val="none"/>
              </w:rPr>
              <w:instrText xml:space="preserve"> = 8 \* GB2 \* MERGEFORMAT </w:instrText>
            </w:r>
            <w:r>
              <w:rPr>
                <w:rFonts w:hint="eastAsia" w:ascii="仿宋" w:hAnsi="仿宋" w:eastAsia="仿宋" w:cs="仿宋"/>
                <w:color w:val="auto"/>
                <w:sz w:val="24"/>
                <w:szCs w:val="24"/>
                <w:highlight w:val="none"/>
              </w:rPr>
              <w:fldChar w:fldCharType="separate"/>
            </w:r>
            <w:r>
              <w:rPr>
                <w:rFonts w:hint="eastAsia" w:ascii="仿宋" w:hAnsi="仿宋" w:eastAsia="仿宋" w:cs="仿宋"/>
                <w:color w:val="auto"/>
                <w:sz w:val="24"/>
                <w:szCs w:val="24"/>
                <w:highlight w:val="none"/>
              </w:rPr>
              <w:t>⑻</w:t>
            </w:r>
            <w:r>
              <w:rPr>
                <w:rFonts w:hint="eastAsia" w:ascii="仿宋" w:hAnsi="仿宋" w:eastAsia="仿宋" w:cs="仿宋"/>
                <w:color w:val="auto"/>
                <w:sz w:val="24"/>
                <w:szCs w:val="24"/>
                <w:highlight w:val="none"/>
              </w:rPr>
              <w:fldChar w:fldCharType="end"/>
            </w:r>
            <w:r>
              <w:rPr>
                <w:rFonts w:hint="eastAsia" w:ascii="仿宋" w:hAnsi="仿宋" w:eastAsia="仿宋" w:cs="仿宋"/>
                <w:color w:val="auto"/>
                <w:sz w:val="24"/>
                <w:szCs w:val="24"/>
                <w:highlight w:val="none"/>
              </w:rPr>
              <w:t>由承包人造成的施工现场出现赶工、窝工以及特殊天气等特殊情况造成的人工和机械降效，不额外给予费用补偿，但由发包人原因造成的，经甲方、监理确认后施工期顺延。</w:t>
            </w:r>
          </w:p>
          <w:p w14:paraId="2975AC53">
            <w:pPr>
              <w:keepNext w:val="0"/>
              <w:keepLines w:val="0"/>
              <w:pageBreakBefore w:val="0"/>
              <w:widowControl/>
              <w:kinsoku/>
              <w:wordWrap/>
              <w:overflowPunct/>
              <w:autoSpaceDE/>
              <w:autoSpaceDN/>
              <w:bidi w:val="0"/>
              <w:snapToGrid w:val="0"/>
              <w:spacing w:line="360" w:lineRule="auto"/>
              <w:ind w:firstLine="0" w:firstLineChars="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5、投标报价风险：</w:t>
            </w:r>
          </w:p>
          <w:p w14:paraId="3A3239F2">
            <w:pPr>
              <w:keepNext w:val="0"/>
              <w:keepLines w:val="0"/>
              <w:pageBreakBefore w:val="0"/>
              <w:widowControl/>
              <w:kinsoku/>
              <w:wordWrap/>
              <w:overflowPunct/>
              <w:autoSpaceDE/>
              <w:autoSpaceDN/>
              <w:bidi w:val="0"/>
              <w:snapToGrid w:val="0"/>
              <w:spacing w:line="360" w:lineRule="auto"/>
              <w:ind w:firstLine="0" w:firstLineChars="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⑴投标人依据招标文件自行考虑风险因素进行投标报价，一旦中标，结算方式将不会因市场变化因素而得到调整。</w:t>
            </w:r>
          </w:p>
          <w:p w14:paraId="076DA77D">
            <w:pPr>
              <w:keepNext w:val="0"/>
              <w:keepLines w:val="0"/>
              <w:pageBreakBefore w:val="0"/>
              <w:widowControl/>
              <w:kinsoku/>
              <w:wordWrap/>
              <w:overflowPunct/>
              <w:autoSpaceDE/>
              <w:autoSpaceDN/>
              <w:bidi w:val="0"/>
              <w:snapToGrid w:val="0"/>
              <w:spacing w:line="360" w:lineRule="auto"/>
              <w:ind w:firstLine="0" w:firstLineChars="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⑵投标报价中应包括完成施工项目所发生的人工费、材料费、机械费、管理费、安装调试费、利润、措施费、规费、税金以及合同包含的所有风险、责任等各项应有费用。</w:t>
            </w:r>
          </w:p>
          <w:p w14:paraId="40A88CDB">
            <w:pPr>
              <w:keepNext w:val="0"/>
              <w:keepLines w:val="0"/>
              <w:pageBreakBefore w:val="0"/>
              <w:widowControl/>
              <w:kinsoku/>
              <w:wordWrap/>
              <w:overflowPunct/>
              <w:autoSpaceDE/>
              <w:autoSpaceDN/>
              <w:bidi w:val="0"/>
              <w:snapToGrid w:val="0"/>
              <w:spacing w:line="360" w:lineRule="auto"/>
              <w:ind w:firstLine="0" w:firstLineChars="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⑶投标人应充分考虑料场、进场道路、施工道路及工程建设中一切与第三方纠纷的组织、协调，发包人不负责组织和协调工作。</w:t>
            </w:r>
          </w:p>
          <w:p w14:paraId="07307BE9">
            <w:pPr>
              <w:keepNext w:val="0"/>
              <w:keepLines w:val="0"/>
              <w:pageBreakBefore w:val="0"/>
              <w:widowControl/>
              <w:kinsoku/>
              <w:wordWrap/>
              <w:overflowPunct/>
              <w:autoSpaceDE/>
              <w:autoSpaceDN/>
              <w:bidi w:val="0"/>
              <w:adjustRightInd w:val="0"/>
              <w:snapToGrid w:val="0"/>
              <w:spacing w:line="360" w:lineRule="auto"/>
              <w:ind w:firstLine="0" w:firstLineChars="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⑷投标人应充分保证施工期间对周边环境和人、畜、建、构筑物的安全及影响，满足招标人及当地政府环保要求，所发生费用均包含在投标价格中，做好一切必备保护保障措施，造成一切损失及索赔均由中标人赔付。</w:t>
            </w:r>
          </w:p>
          <w:p w14:paraId="0E10E025">
            <w:pPr>
              <w:keepNext w:val="0"/>
              <w:keepLines w:val="0"/>
              <w:pageBreakBefore w:val="0"/>
              <w:widowControl/>
              <w:numPr>
                <w:ilvl w:val="0"/>
                <w:numId w:val="0"/>
              </w:numPr>
              <w:kinsoku/>
              <w:wordWrap/>
              <w:overflowPunct/>
              <w:autoSpaceDE/>
              <w:autoSpaceDN/>
              <w:bidi w:val="0"/>
              <w:adjustRightInd w:val="0"/>
              <w:snapToGrid w:val="0"/>
              <w:spacing w:line="360" w:lineRule="auto"/>
              <w:ind w:firstLine="0" w:firstLineChars="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施工过程中现场发生一切安全风险及费用包含在投标报价中，均由中标单位负责，投标人应自行考虑。</w:t>
            </w:r>
          </w:p>
          <w:p w14:paraId="5070221A">
            <w:pPr>
              <w:adjustRightInd w:val="0"/>
              <w:snapToGrid w:val="0"/>
              <w:spacing w:line="360" w:lineRule="auto"/>
              <w:ind w:firstLine="0" w:firstLineChars="0"/>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lang w:val="en-US" w:eastAsia="zh-CN"/>
              </w:rPr>
              <w:t xml:space="preserve">三、  </w:t>
            </w:r>
            <w:r>
              <w:rPr>
                <w:rFonts w:hint="eastAsia" w:ascii="仿宋" w:hAnsi="仿宋" w:eastAsia="仿宋" w:cs="仿宋"/>
                <w:b/>
                <w:bCs/>
                <w:color w:val="auto"/>
                <w:sz w:val="24"/>
                <w:szCs w:val="24"/>
                <w:highlight w:val="none"/>
              </w:rPr>
              <w:t>设备集成供货及服务费用报价要求</w:t>
            </w:r>
          </w:p>
          <w:p w14:paraId="2DDE9AE3">
            <w:pPr>
              <w:adjustRightInd w:val="0"/>
              <w:snapToGrid w:val="0"/>
              <w:spacing w:line="360" w:lineRule="auto"/>
              <w:ind w:firstLine="0" w:firstLineChars="0"/>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lang w:val="en-US" w:eastAsia="zh-CN"/>
              </w:rPr>
              <w:t>3.1</w:t>
            </w:r>
            <w:r>
              <w:rPr>
                <w:rFonts w:hint="eastAsia" w:ascii="仿宋" w:hAnsi="仿宋" w:eastAsia="仿宋" w:cs="仿宋"/>
                <w:b/>
                <w:bCs/>
                <w:color w:val="auto"/>
                <w:sz w:val="24"/>
                <w:szCs w:val="24"/>
                <w:highlight w:val="none"/>
              </w:rPr>
              <w:t>设备集成供货及服务费用报价要求</w:t>
            </w:r>
          </w:p>
          <w:p w14:paraId="3260B918">
            <w:pPr>
              <w:keepNext w:val="0"/>
              <w:keepLines w:val="0"/>
              <w:pageBreakBefore w:val="0"/>
              <w:widowControl/>
              <w:kinsoku/>
              <w:wordWrap/>
              <w:overflowPunct/>
              <w:autoSpaceDE/>
              <w:autoSpaceDN/>
              <w:bidi w:val="0"/>
              <w:snapToGrid w:val="0"/>
              <w:spacing w:line="360" w:lineRule="auto"/>
              <w:ind w:firstLine="0" w:firstLineChars="0"/>
              <w:jc w:val="left"/>
              <w:textAlignment w:val="auto"/>
              <w:rPr>
                <w:rFonts w:hint="eastAsia" w:ascii="仿宋" w:hAnsi="仿宋" w:eastAsia="仿宋" w:cs="仿宋"/>
                <w:b/>
                <w:bCs/>
                <w:color w:val="auto"/>
                <w:sz w:val="24"/>
                <w:szCs w:val="24"/>
                <w:highlight w:val="none"/>
              </w:rPr>
            </w:pPr>
            <w:r>
              <w:rPr>
                <w:rFonts w:hint="eastAsia" w:ascii="仿宋" w:hAnsi="仿宋" w:eastAsia="仿宋" w:cs="仿宋"/>
                <w:color w:val="auto"/>
                <w:sz w:val="24"/>
                <w:szCs w:val="24"/>
                <w:highlight w:val="none"/>
              </w:rPr>
              <w:t>各投标人应</w:t>
            </w:r>
            <w:r>
              <w:rPr>
                <w:rFonts w:hint="eastAsia" w:ascii="仿宋" w:hAnsi="仿宋" w:eastAsia="仿宋" w:cs="仿宋"/>
                <w:color w:val="auto"/>
                <w:sz w:val="24"/>
                <w:szCs w:val="24"/>
                <w:highlight w:val="none"/>
                <w:lang w:val="en-US" w:eastAsia="zh-CN"/>
              </w:rPr>
              <w:t>根据</w:t>
            </w:r>
            <w:r>
              <w:rPr>
                <w:rFonts w:hint="eastAsia" w:ascii="仿宋" w:hAnsi="仿宋" w:eastAsia="仿宋" w:cs="仿宋"/>
                <w:color w:val="auto"/>
                <w:sz w:val="24"/>
                <w:szCs w:val="24"/>
                <w:highlight w:val="none"/>
              </w:rPr>
              <w:t>实际情况、根据发包人的要求、招标文件、补充通知澄清(答疑)纪要中提出的</w:t>
            </w:r>
            <w:r>
              <w:rPr>
                <w:rFonts w:hint="eastAsia" w:ascii="仿宋" w:hAnsi="仿宋" w:eastAsia="仿宋" w:cs="仿宋"/>
                <w:color w:val="auto"/>
                <w:sz w:val="24"/>
                <w:szCs w:val="24"/>
                <w:highlight w:val="none"/>
                <w:lang w:val="en-US" w:eastAsia="zh-CN"/>
              </w:rPr>
              <w:t>技术要求</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供货周期</w:t>
            </w:r>
            <w:r>
              <w:rPr>
                <w:rFonts w:hint="eastAsia" w:ascii="仿宋" w:hAnsi="仿宋" w:eastAsia="仿宋" w:cs="仿宋"/>
                <w:color w:val="auto"/>
                <w:sz w:val="24"/>
                <w:szCs w:val="24"/>
                <w:highlight w:val="none"/>
              </w:rPr>
              <w:t>要求等，并</w:t>
            </w:r>
            <w:r>
              <w:rPr>
                <w:rFonts w:hint="eastAsia" w:ascii="仿宋" w:hAnsi="仿宋" w:eastAsia="仿宋" w:cs="仿宋"/>
                <w:color w:val="auto"/>
                <w:sz w:val="24"/>
                <w:szCs w:val="24"/>
                <w:highlight w:val="none"/>
                <w:lang w:val="en-US" w:eastAsia="zh-CN"/>
              </w:rPr>
              <w:t>综合考虑运输费、税费、设备费、安装调试费等所有费用</w:t>
            </w:r>
            <w:r>
              <w:rPr>
                <w:rFonts w:hint="eastAsia" w:ascii="仿宋" w:hAnsi="仿宋" w:eastAsia="仿宋" w:cs="仿宋"/>
                <w:color w:val="auto"/>
                <w:sz w:val="24"/>
                <w:szCs w:val="24"/>
                <w:highlight w:val="none"/>
              </w:rPr>
              <w:t>，</w:t>
            </w:r>
            <w:r>
              <w:rPr>
                <w:rFonts w:hint="eastAsia" w:ascii="仿宋" w:hAnsi="仿宋" w:eastAsia="仿宋" w:cs="仿宋"/>
                <w:b/>
                <w:bCs/>
                <w:color w:val="auto"/>
                <w:sz w:val="24"/>
                <w:szCs w:val="24"/>
                <w:highlight w:val="none"/>
              </w:rPr>
              <w:t>报出设备集成供货及服务费用。</w:t>
            </w:r>
          </w:p>
          <w:p w14:paraId="3795A3DE">
            <w:pPr>
              <w:adjustRightInd w:val="0"/>
              <w:snapToGrid w:val="0"/>
              <w:spacing w:line="360" w:lineRule="auto"/>
              <w:ind w:firstLine="0" w:firstLineChars="0"/>
              <w:rPr>
                <w:rFonts w:hint="eastAsia"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3.2设备集成供货及服务费用上报约定：</w:t>
            </w:r>
          </w:p>
          <w:p w14:paraId="5FD1ABF6">
            <w:pPr>
              <w:adjustRightInd w:val="0"/>
              <w:snapToGrid w:val="0"/>
              <w:spacing w:line="360" w:lineRule="auto"/>
              <w:ind w:firstLine="0" w:firstLineChars="0"/>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中标价为设备的签约合同价，中标后由投标人进行图纸优化设计。</w:t>
            </w:r>
          </w:p>
          <w:p w14:paraId="7AEDDFE3">
            <w:pPr>
              <w:adjustRightInd w:val="0"/>
              <w:snapToGrid w:val="0"/>
              <w:spacing w:line="360" w:lineRule="auto"/>
              <w:ind w:firstLine="0" w:firstLineChars="0"/>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中标人按设计要求进行设备报价，由发包人审核后，按下述第3.3条约定的计算方法进行，最终以发包人审核结果为准。</w:t>
            </w:r>
          </w:p>
          <w:p w14:paraId="084F7DF2">
            <w:pPr>
              <w:adjustRightInd w:val="0"/>
              <w:snapToGrid w:val="0"/>
              <w:spacing w:line="360" w:lineRule="auto"/>
              <w:ind w:firstLine="0" w:firstLineChars="0"/>
              <w:rPr>
                <w:rFonts w:hint="eastAsia"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3.3设备集成供货及服务费用计算方法</w:t>
            </w:r>
          </w:p>
          <w:p w14:paraId="4EE47B42">
            <w:pPr>
              <w:adjustRightInd w:val="0"/>
              <w:snapToGrid w:val="0"/>
              <w:spacing w:line="360" w:lineRule="auto"/>
              <w:ind w:firstLine="0" w:firstLineChars="0"/>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中标人上报设备报价后，发包人将进行市场询价，若市场询价高于中标时的设备集成供货及服务费用，则按中标时的设备集成供货及服务费用结算，低于中标时的设备集成供货及服务费用，则按发包人审核为准。</w:t>
            </w:r>
          </w:p>
          <w:p w14:paraId="611A2FE6">
            <w:pPr>
              <w:adjustRightInd w:val="0"/>
              <w:snapToGrid w:val="0"/>
              <w:spacing w:line="360" w:lineRule="auto"/>
              <w:ind w:firstLine="0" w:firstLineChars="0"/>
              <w:rPr>
                <w:rFonts w:hint="default" w:ascii="仿宋" w:hAnsi="仿宋" w:eastAsia="仿宋" w:cs="仿宋"/>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因发包人需求、项目边界、技术边界等非承包人问题导致的设计调整，由发包人确认后，则按照项目管理程序办理相关调整手续，追加相应费用后双方签订补充协议安排供货。因上述原因造成的设计调整，或图纸深化设计导致设计变动、项目内容改变、技术参数发生改变，出现经评审概算中没有的设备或开项，则按市场询价并经</w:t>
            </w:r>
            <w:r>
              <w:rPr>
                <w:rFonts w:hint="eastAsia" w:ascii="仿宋" w:hAnsi="仿宋" w:eastAsia="仿宋" w:cs="仿宋"/>
                <w:bCs/>
                <w:color w:val="auto"/>
                <w:sz w:val="24"/>
                <w:szCs w:val="24"/>
                <w:highlight w:val="none"/>
              </w:rPr>
              <w:t>由监理单位、</w:t>
            </w:r>
            <w:r>
              <w:rPr>
                <w:rFonts w:hint="eastAsia" w:ascii="仿宋" w:hAnsi="仿宋" w:eastAsia="仿宋" w:cs="仿宋"/>
                <w:bCs/>
                <w:color w:val="auto"/>
                <w:sz w:val="24"/>
                <w:szCs w:val="24"/>
                <w:highlight w:val="none"/>
                <w:lang w:eastAsia="zh-CN"/>
              </w:rPr>
              <w:t>咨询单位、</w:t>
            </w:r>
            <w:r>
              <w:rPr>
                <w:rFonts w:hint="eastAsia" w:ascii="仿宋" w:hAnsi="仿宋" w:eastAsia="仿宋" w:cs="仿宋"/>
                <w:bCs/>
                <w:color w:val="auto"/>
                <w:sz w:val="24"/>
                <w:szCs w:val="24"/>
                <w:highlight w:val="none"/>
              </w:rPr>
              <w:t>发包人共同</w:t>
            </w:r>
            <w:r>
              <w:rPr>
                <w:rFonts w:hint="eastAsia" w:ascii="仿宋" w:hAnsi="仿宋" w:eastAsia="仿宋" w:cs="仿宋"/>
                <w:bCs/>
                <w:color w:val="auto"/>
                <w:sz w:val="24"/>
                <w:szCs w:val="24"/>
                <w:highlight w:val="none"/>
                <w:lang w:val="en-US" w:eastAsia="zh-CN"/>
              </w:rPr>
              <w:t>审定</w:t>
            </w:r>
            <w:r>
              <w:rPr>
                <w:rFonts w:hint="eastAsia" w:ascii="仿宋" w:hAnsi="仿宋" w:eastAsia="仿宋" w:cs="仿宋"/>
                <w:bCs/>
                <w:color w:val="auto"/>
                <w:sz w:val="24"/>
                <w:szCs w:val="24"/>
                <w:highlight w:val="none"/>
              </w:rPr>
              <w:t>价格</w:t>
            </w:r>
            <w:r>
              <w:rPr>
                <w:rFonts w:hint="eastAsia" w:ascii="仿宋" w:hAnsi="仿宋" w:eastAsia="仿宋" w:cs="仿宋"/>
                <w:b w:val="0"/>
                <w:bCs w:val="0"/>
                <w:color w:val="auto"/>
                <w:sz w:val="24"/>
                <w:szCs w:val="24"/>
                <w:highlight w:val="none"/>
                <w:lang w:val="en-US" w:eastAsia="zh-CN"/>
              </w:rPr>
              <w:t>，并结合投标下浮率下浮后作为设备合同价。最终以结算价为准。</w:t>
            </w:r>
            <w:r>
              <w:rPr>
                <w:rFonts w:hint="eastAsia" w:ascii="仿宋" w:hAnsi="仿宋" w:cs="仿宋"/>
                <w:b/>
                <w:bCs/>
                <w:color w:val="auto"/>
                <w:sz w:val="24"/>
                <w:szCs w:val="24"/>
                <w:highlight w:val="none"/>
                <w:lang w:val="en-US" w:eastAsia="zh-CN"/>
              </w:rPr>
              <w:t>所有设备集成供货及服务费的最终结算价不能超过该项概算价。</w:t>
            </w:r>
          </w:p>
          <w:p w14:paraId="7A0464C0">
            <w:pPr>
              <w:adjustRightInd w:val="0"/>
              <w:snapToGrid w:val="0"/>
              <w:spacing w:line="360" w:lineRule="auto"/>
              <w:ind w:firstLine="0" w:firstLineChars="0"/>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lang w:val="en-US" w:eastAsia="zh-CN"/>
              </w:rPr>
              <w:t>四、</w:t>
            </w:r>
            <w:r>
              <w:rPr>
                <w:rFonts w:hint="eastAsia" w:ascii="仿宋" w:hAnsi="仿宋" w:eastAsia="仿宋" w:cs="仿宋"/>
                <w:b/>
                <w:bCs/>
                <w:color w:val="auto"/>
                <w:sz w:val="24"/>
                <w:szCs w:val="24"/>
                <w:highlight w:val="none"/>
              </w:rPr>
              <w:t>运营服务费用报价要求</w:t>
            </w:r>
          </w:p>
          <w:p w14:paraId="51A03007">
            <w:pPr>
              <w:adjustRightInd w:val="0"/>
              <w:snapToGrid w:val="0"/>
              <w:spacing w:line="360" w:lineRule="auto"/>
              <w:ind w:firstLine="0" w:firstLineChars="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（1）运营服务费用报价的组成：包含污水处理厂</w:t>
            </w:r>
            <w:bookmarkStart w:id="26" w:name="_Hlk190868933"/>
            <w:r>
              <w:rPr>
                <w:rFonts w:hint="eastAsia" w:ascii="仿宋" w:hAnsi="仿宋" w:eastAsia="仿宋" w:cs="仿宋"/>
                <w:color w:val="auto"/>
                <w:sz w:val="24"/>
                <w:szCs w:val="24"/>
                <w:highlight w:val="none"/>
              </w:rPr>
              <w:t>和配套管网的</w:t>
            </w:r>
            <w:bookmarkEnd w:id="26"/>
            <w:r>
              <w:rPr>
                <w:rFonts w:hint="eastAsia" w:ascii="仿宋" w:hAnsi="仿宋" w:eastAsia="仿宋" w:cs="仿宋"/>
                <w:color w:val="auto"/>
                <w:sz w:val="24"/>
                <w:szCs w:val="24"/>
                <w:highlight w:val="none"/>
              </w:rPr>
              <w:t>运行费用：能源及资源费、化学药剂费、日常检修维护费、工资及福利费、财务费用、管理费及其他（含日常办公等管理费）等。</w:t>
            </w:r>
          </w:p>
          <w:p w14:paraId="43B895E5">
            <w:pPr>
              <w:keepNext w:val="0"/>
              <w:keepLines w:val="0"/>
              <w:pageBreakBefore w:val="0"/>
              <w:widowControl/>
              <w:kinsoku/>
              <w:wordWrap/>
              <w:overflowPunct/>
              <w:autoSpaceDE/>
              <w:autoSpaceDN/>
              <w:bidi w:val="0"/>
              <w:adjustRightInd w:val="0"/>
              <w:snapToGrid w:val="0"/>
              <w:spacing w:line="360" w:lineRule="auto"/>
              <w:ind w:firstLine="0" w:firstLineChars="0"/>
              <w:jc w:val="left"/>
              <w:textAlignment w:val="auto"/>
              <w:rPr>
                <w:rFonts w:hint="eastAsia" w:ascii="仿宋" w:hAnsi="仿宋" w:eastAsia="仿宋" w:cs="仿宋"/>
                <w:color w:val="auto"/>
                <w:sz w:val="24"/>
                <w:szCs w:val="24"/>
                <w:highlight w:val="none"/>
              </w:rPr>
            </w:pPr>
            <w:r>
              <w:rPr>
                <w:rFonts w:hint="eastAsia" w:ascii="仿宋" w:hAnsi="仿宋" w:eastAsia="仿宋" w:cs="仿宋"/>
                <w:b/>
                <w:color w:val="auto"/>
                <w:sz w:val="24"/>
                <w:szCs w:val="24"/>
                <w:highlight w:val="none"/>
              </w:rPr>
              <w:t>三、其他要求</w:t>
            </w:r>
          </w:p>
          <w:p w14:paraId="6FC2EFB1">
            <w:pPr>
              <w:keepNext w:val="0"/>
              <w:keepLines w:val="0"/>
              <w:pageBreakBefore w:val="0"/>
              <w:widowControl/>
              <w:kinsoku/>
              <w:wordWrap/>
              <w:overflowPunct/>
              <w:autoSpaceDE/>
              <w:autoSpaceDN/>
              <w:bidi w:val="0"/>
              <w:adjustRightInd w:val="0"/>
              <w:snapToGrid w:val="0"/>
              <w:spacing w:line="360" w:lineRule="auto"/>
              <w:ind w:firstLine="0" w:firstLineChars="0"/>
              <w:jc w:val="lef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1.竣工验收后，承包人按照最终实际实施的施工图纸、设计变更（如有）、实际发生的工程量、审定的综合单价以及实际发生的各项措施费用，计算出用结算价，并按中标时的下浮比例同比例下浮，其结果高于中标时的建安工程费用及设备集成供货及服务费用，按中标时的建安工程费用及设备集成供货及服务费用计算，低于中标时的建安工程费用及设备集成供货及服务费用，按发包人审核为准。</w:t>
            </w:r>
          </w:p>
          <w:p w14:paraId="316A5805">
            <w:pPr>
              <w:adjustRightInd w:val="0"/>
              <w:snapToGrid w:val="0"/>
              <w:spacing w:line="360" w:lineRule="auto"/>
              <w:ind w:firstLine="0" w:firstLineChars="0"/>
              <w:rPr>
                <w:rFonts w:hint="eastAsia"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lang w:val="en-US" w:eastAsia="zh-CN"/>
              </w:rPr>
              <w:t>2.根据政府和行业主管部门对甲方当季进水浓度等方面考核结论和协议约定相关事项进行支付，原则上按中标价每月进行支付运营服务费 100%。</w:t>
            </w:r>
          </w:p>
          <w:p w14:paraId="174827C2">
            <w:pPr>
              <w:adjustRightInd w:val="0"/>
              <w:snapToGrid w:val="0"/>
              <w:spacing w:line="360" w:lineRule="auto"/>
              <w:ind w:firstLine="0" w:firstLineChars="0"/>
              <w:rPr>
                <w:rFonts w:hint="eastAsia" w:ascii="仿宋" w:hAnsi="仿宋" w:eastAsia="仿宋" w:cs="仿宋"/>
                <w:bCs/>
                <w:color w:val="auto"/>
                <w:sz w:val="24"/>
                <w:szCs w:val="24"/>
                <w:highlight w:val="none"/>
                <w:lang w:val="en-US" w:eastAsia="zh-CN"/>
              </w:rPr>
            </w:pPr>
            <w:r>
              <w:rPr>
                <w:rFonts w:hint="eastAsia" w:ascii="仿宋" w:hAnsi="仿宋" w:cs="仿宋"/>
                <w:bCs/>
                <w:color w:val="auto"/>
                <w:sz w:val="24"/>
                <w:szCs w:val="24"/>
                <w:highlight w:val="none"/>
                <w:lang w:val="en-US" w:eastAsia="zh-CN"/>
              </w:rPr>
              <w:t>3.场地准备及临时设施费用经发包人、监理单位、承包人共同确认后，按实际发生进行最终结算。</w:t>
            </w:r>
          </w:p>
          <w:p w14:paraId="6641FC8A">
            <w:pPr>
              <w:adjustRightInd w:val="0"/>
              <w:snapToGrid w:val="0"/>
              <w:spacing w:line="360" w:lineRule="auto"/>
              <w:ind w:firstLine="0" w:firstLineChars="0"/>
              <w:rPr>
                <w:rFonts w:hint="eastAsia" w:ascii="仿宋" w:hAnsi="仿宋" w:eastAsia="仿宋" w:cs="仿宋"/>
                <w:color w:val="auto"/>
                <w:sz w:val="24"/>
                <w:szCs w:val="24"/>
                <w:highlight w:val="none"/>
                <w:lang w:val="en-US" w:eastAsia="zh-CN"/>
              </w:rPr>
            </w:pPr>
            <w:r>
              <w:rPr>
                <w:rFonts w:hint="eastAsia" w:ascii="仿宋" w:hAnsi="仿宋" w:cs="仿宋"/>
                <w:b/>
                <w:bCs w:val="0"/>
                <w:color w:val="auto"/>
                <w:sz w:val="24"/>
                <w:szCs w:val="24"/>
                <w:highlight w:val="none"/>
                <w:lang w:val="en-US" w:eastAsia="zh-CN"/>
              </w:rPr>
              <w:t>4</w:t>
            </w:r>
            <w:r>
              <w:rPr>
                <w:rFonts w:hint="eastAsia" w:ascii="仿宋" w:hAnsi="仿宋" w:eastAsia="仿宋" w:cs="仿宋"/>
                <w:b/>
                <w:bCs w:val="0"/>
                <w:color w:val="auto"/>
                <w:sz w:val="24"/>
                <w:szCs w:val="24"/>
                <w:highlight w:val="none"/>
              </w:rPr>
              <w:t>.投标报价均保留小数点后两位，小数点后第三位四舍五入。</w:t>
            </w:r>
          </w:p>
        </w:tc>
      </w:tr>
      <w:tr w14:paraId="39C986A3">
        <w:tblPrEx>
          <w:tblCellMar>
            <w:top w:w="0" w:type="dxa"/>
            <w:left w:w="108" w:type="dxa"/>
            <w:bottom w:w="0" w:type="dxa"/>
            <w:right w:w="108" w:type="dxa"/>
          </w:tblCellMar>
        </w:tblPrEx>
        <w:trPr>
          <w:jc w:val="center"/>
        </w:trPr>
        <w:tc>
          <w:tcPr>
            <w:tcW w:w="1165" w:type="dxa"/>
            <w:tcBorders>
              <w:top w:val="single" w:color="auto" w:sz="4" w:space="0"/>
              <w:left w:val="single" w:color="auto" w:sz="4" w:space="0"/>
              <w:bottom w:val="single" w:color="auto" w:sz="4" w:space="0"/>
              <w:right w:val="single" w:color="auto" w:sz="4" w:space="0"/>
            </w:tcBorders>
            <w:noWrap w:val="0"/>
            <w:vAlign w:val="center"/>
          </w:tcPr>
          <w:p w14:paraId="55E781AE">
            <w:pPr>
              <w:keepNext w:val="0"/>
              <w:keepLines w:val="0"/>
              <w:pageBreakBefore w:val="0"/>
              <w:widowControl/>
              <w:kinsoku/>
              <w:wordWrap/>
              <w:overflowPunct/>
              <w:autoSpaceDE/>
              <w:autoSpaceDN/>
              <w:bidi w:val="0"/>
              <w:spacing w:line="440" w:lineRule="exact"/>
              <w:ind w:firstLine="0" w:firstLineChars="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3.3.1</w:t>
            </w:r>
          </w:p>
        </w:tc>
        <w:tc>
          <w:tcPr>
            <w:tcW w:w="2091" w:type="dxa"/>
            <w:tcBorders>
              <w:top w:val="single" w:color="auto" w:sz="4" w:space="0"/>
              <w:left w:val="single" w:color="auto" w:sz="4" w:space="0"/>
              <w:bottom w:val="single" w:color="auto" w:sz="4" w:space="0"/>
              <w:right w:val="single" w:color="auto" w:sz="4" w:space="0"/>
            </w:tcBorders>
            <w:noWrap w:val="0"/>
            <w:vAlign w:val="center"/>
          </w:tcPr>
          <w:p w14:paraId="3A8CD76E">
            <w:pPr>
              <w:keepNext w:val="0"/>
              <w:keepLines w:val="0"/>
              <w:pageBreakBefore w:val="0"/>
              <w:widowControl/>
              <w:kinsoku/>
              <w:wordWrap/>
              <w:overflowPunct/>
              <w:autoSpaceDE/>
              <w:autoSpaceDN/>
              <w:bidi w:val="0"/>
              <w:spacing w:line="440" w:lineRule="exact"/>
              <w:ind w:firstLine="0" w:firstLineChars="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投标有效期</w:t>
            </w:r>
          </w:p>
        </w:tc>
        <w:tc>
          <w:tcPr>
            <w:tcW w:w="6345" w:type="dxa"/>
            <w:tcBorders>
              <w:top w:val="single" w:color="auto" w:sz="4" w:space="0"/>
              <w:left w:val="single" w:color="auto" w:sz="4" w:space="0"/>
              <w:bottom w:val="single" w:color="auto" w:sz="4" w:space="0"/>
              <w:right w:val="single" w:color="auto" w:sz="4" w:space="0"/>
            </w:tcBorders>
            <w:noWrap w:val="0"/>
            <w:vAlign w:val="center"/>
          </w:tcPr>
          <w:p w14:paraId="4A14CF7E">
            <w:pPr>
              <w:keepNext w:val="0"/>
              <w:keepLines w:val="0"/>
              <w:pageBreakBefore w:val="0"/>
              <w:widowControl/>
              <w:kinsoku/>
              <w:wordWrap/>
              <w:overflowPunct/>
              <w:autoSpaceDE/>
              <w:autoSpaceDN/>
              <w:bidi w:val="0"/>
              <w:spacing w:line="440" w:lineRule="exact"/>
              <w:ind w:firstLine="0" w:firstLineChars="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90个日历天。(从投标截止之日算起)</w:t>
            </w:r>
          </w:p>
        </w:tc>
      </w:tr>
      <w:tr w14:paraId="21B0F497">
        <w:tblPrEx>
          <w:tblCellMar>
            <w:top w:w="0" w:type="dxa"/>
            <w:left w:w="108" w:type="dxa"/>
            <w:bottom w:w="0" w:type="dxa"/>
            <w:right w:w="108" w:type="dxa"/>
          </w:tblCellMar>
        </w:tblPrEx>
        <w:trPr>
          <w:jc w:val="center"/>
        </w:trPr>
        <w:tc>
          <w:tcPr>
            <w:tcW w:w="1165" w:type="dxa"/>
            <w:tcBorders>
              <w:top w:val="single" w:color="auto" w:sz="4" w:space="0"/>
              <w:left w:val="single" w:color="auto" w:sz="4" w:space="0"/>
              <w:bottom w:val="single" w:color="auto" w:sz="4" w:space="0"/>
              <w:right w:val="single" w:color="auto" w:sz="4" w:space="0"/>
            </w:tcBorders>
            <w:noWrap w:val="0"/>
            <w:vAlign w:val="center"/>
          </w:tcPr>
          <w:p w14:paraId="446B9C29">
            <w:pPr>
              <w:keepNext w:val="0"/>
              <w:keepLines w:val="0"/>
              <w:pageBreakBefore w:val="0"/>
              <w:widowControl/>
              <w:kinsoku/>
              <w:wordWrap/>
              <w:overflowPunct/>
              <w:autoSpaceDE/>
              <w:autoSpaceDN/>
              <w:bidi w:val="0"/>
              <w:spacing w:line="440" w:lineRule="exact"/>
              <w:ind w:firstLine="0" w:firstLineChars="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3.4.1</w:t>
            </w:r>
          </w:p>
        </w:tc>
        <w:tc>
          <w:tcPr>
            <w:tcW w:w="2091" w:type="dxa"/>
            <w:tcBorders>
              <w:top w:val="single" w:color="auto" w:sz="4" w:space="0"/>
              <w:left w:val="single" w:color="auto" w:sz="4" w:space="0"/>
              <w:bottom w:val="single" w:color="auto" w:sz="4" w:space="0"/>
              <w:right w:val="single" w:color="auto" w:sz="4" w:space="0"/>
            </w:tcBorders>
            <w:noWrap w:val="0"/>
            <w:vAlign w:val="center"/>
          </w:tcPr>
          <w:p w14:paraId="6B83B6C2">
            <w:pPr>
              <w:keepNext w:val="0"/>
              <w:keepLines w:val="0"/>
              <w:pageBreakBefore w:val="0"/>
              <w:widowControl/>
              <w:kinsoku/>
              <w:wordWrap/>
              <w:overflowPunct/>
              <w:autoSpaceDE/>
              <w:autoSpaceDN/>
              <w:bidi w:val="0"/>
              <w:spacing w:line="440" w:lineRule="exact"/>
              <w:ind w:firstLine="0" w:firstLineChars="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投标保证金</w:t>
            </w:r>
          </w:p>
        </w:tc>
        <w:tc>
          <w:tcPr>
            <w:tcW w:w="6345" w:type="dxa"/>
            <w:tcBorders>
              <w:top w:val="single" w:color="auto" w:sz="4" w:space="0"/>
              <w:left w:val="single" w:color="auto" w:sz="4" w:space="0"/>
              <w:bottom w:val="single" w:color="auto" w:sz="4" w:space="0"/>
              <w:right w:val="single" w:color="auto" w:sz="4" w:space="0"/>
            </w:tcBorders>
            <w:noWrap w:val="0"/>
            <w:vAlign w:val="center"/>
          </w:tcPr>
          <w:p w14:paraId="4F919460">
            <w:pPr>
              <w:keepNext w:val="0"/>
              <w:keepLines w:val="0"/>
              <w:pageBreakBefore w:val="0"/>
              <w:widowControl/>
              <w:kinsoku/>
              <w:wordWrap/>
              <w:overflowPunct/>
              <w:autoSpaceDE/>
              <w:autoSpaceDN/>
              <w:bidi w:val="0"/>
              <w:adjustRightInd w:val="0"/>
              <w:snapToGrid w:val="0"/>
              <w:spacing w:line="360" w:lineRule="auto"/>
              <w:ind w:firstLine="0" w:firstLineChars="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投标保证金的形式：电汇或保函</w:t>
            </w:r>
          </w:p>
          <w:p w14:paraId="2656F051">
            <w:pPr>
              <w:keepNext w:val="0"/>
              <w:keepLines w:val="0"/>
              <w:pageBreakBefore w:val="0"/>
              <w:widowControl/>
              <w:kinsoku/>
              <w:wordWrap/>
              <w:overflowPunct/>
              <w:autoSpaceDE/>
              <w:autoSpaceDN/>
              <w:bidi w:val="0"/>
              <w:adjustRightInd w:val="0"/>
              <w:snapToGrid w:val="0"/>
              <w:spacing w:line="360" w:lineRule="auto"/>
              <w:ind w:firstLine="0" w:firstLineChars="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投标保证金金额：50.00万元</w:t>
            </w:r>
          </w:p>
          <w:p w14:paraId="4DBF49A7">
            <w:pPr>
              <w:keepNext w:val="0"/>
              <w:keepLines w:val="0"/>
              <w:pageBreakBefore w:val="0"/>
              <w:widowControl/>
              <w:kinsoku/>
              <w:wordWrap/>
              <w:overflowPunct/>
              <w:autoSpaceDE/>
              <w:autoSpaceDN/>
              <w:bidi w:val="0"/>
              <w:adjustRightInd w:val="0"/>
              <w:snapToGrid w:val="0"/>
              <w:spacing w:line="360" w:lineRule="auto"/>
              <w:ind w:firstLine="0" w:firstLineChars="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1.1采用电汇方式缴纳的，应在投标截止时间前通过企业基本户缴纳至以下账户，并按照招标文件中投标文件格式要求填写缴纳信息和上传缴纳凭证、基本户开户许可证证明材料：</w:t>
            </w:r>
          </w:p>
          <w:p w14:paraId="497EE7B6">
            <w:pPr>
              <w:keepNext w:val="0"/>
              <w:keepLines w:val="0"/>
              <w:pageBreakBefore w:val="0"/>
              <w:widowControl/>
              <w:kinsoku/>
              <w:wordWrap/>
              <w:overflowPunct/>
              <w:autoSpaceDE/>
              <w:autoSpaceDN/>
              <w:bidi w:val="0"/>
              <w:adjustRightInd w:val="0"/>
              <w:snapToGrid w:val="0"/>
              <w:spacing w:line="360" w:lineRule="auto"/>
              <w:ind w:firstLine="0" w:firstLineChars="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收款单位：辽宁国信建设工程管理有限公司</w:t>
            </w:r>
          </w:p>
          <w:p w14:paraId="3CC16812">
            <w:pPr>
              <w:keepNext w:val="0"/>
              <w:keepLines w:val="0"/>
              <w:pageBreakBefore w:val="0"/>
              <w:widowControl/>
              <w:kinsoku/>
              <w:wordWrap/>
              <w:overflowPunct/>
              <w:autoSpaceDE/>
              <w:autoSpaceDN/>
              <w:bidi w:val="0"/>
              <w:adjustRightInd w:val="0"/>
              <w:snapToGrid w:val="0"/>
              <w:spacing w:line="360" w:lineRule="auto"/>
              <w:ind w:firstLine="0" w:firstLineChars="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开户银行：招商银行营口分行营业部</w:t>
            </w:r>
          </w:p>
          <w:p w14:paraId="366B1EED">
            <w:pPr>
              <w:keepNext w:val="0"/>
              <w:keepLines w:val="0"/>
              <w:pageBreakBefore w:val="0"/>
              <w:widowControl/>
              <w:kinsoku/>
              <w:wordWrap/>
              <w:overflowPunct/>
              <w:autoSpaceDE/>
              <w:autoSpaceDN/>
              <w:bidi w:val="0"/>
              <w:adjustRightInd w:val="0"/>
              <w:snapToGrid w:val="0"/>
              <w:spacing w:line="360" w:lineRule="auto"/>
              <w:ind w:firstLine="0" w:firstLineChars="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汇款账号：4179 0015 6710 302</w:t>
            </w:r>
          </w:p>
          <w:p w14:paraId="3E7B6A50">
            <w:pPr>
              <w:keepNext w:val="0"/>
              <w:keepLines w:val="0"/>
              <w:pageBreakBefore w:val="0"/>
              <w:widowControl/>
              <w:kinsoku/>
              <w:wordWrap/>
              <w:overflowPunct/>
              <w:autoSpaceDE/>
              <w:autoSpaceDN/>
              <w:bidi w:val="0"/>
              <w:adjustRightInd w:val="0"/>
              <w:snapToGrid w:val="0"/>
              <w:spacing w:line="360" w:lineRule="auto"/>
              <w:ind w:firstLine="0" w:firstLineChars="0"/>
              <w:jc w:val="left"/>
              <w:textAlignment w:val="auto"/>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投标保证金交纳单位必须与投标单位名称保持一致，并注明“ 项目编号+投标保证金”字样，否则，因款项用途不明导致投标无效等后果由投标人自行承担。</w:t>
            </w:r>
          </w:p>
          <w:p w14:paraId="27376FCA">
            <w:pPr>
              <w:keepNext w:val="0"/>
              <w:keepLines w:val="0"/>
              <w:pageBreakBefore w:val="0"/>
              <w:widowControl/>
              <w:kinsoku/>
              <w:wordWrap/>
              <w:overflowPunct/>
              <w:autoSpaceDE/>
              <w:autoSpaceDN/>
              <w:bidi w:val="0"/>
              <w:adjustRightInd w:val="0"/>
              <w:snapToGrid w:val="0"/>
              <w:spacing w:line="360" w:lineRule="auto"/>
              <w:ind w:firstLine="0" w:firstLineChars="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1.2采用辽宁省建设工程领域电子保函保险基础公共服务平台电子保函方式缴纳的，应在投标截止时间前开具完成，并按照招标文件中投标文件格式（系统内）要求上传相关开具信息，省建设工程领域电子保函保险基础公共服务平台电子保函开具数据已与统一开标评标系统实现数据互通，可以直接查询电子保函文书和基本户缴纳信息，无需另行上传其他证明材料。</w:t>
            </w:r>
          </w:p>
          <w:p w14:paraId="6051F381">
            <w:pPr>
              <w:keepNext w:val="0"/>
              <w:keepLines w:val="0"/>
              <w:pageBreakBefore w:val="0"/>
              <w:widowControl/>
              <w:kinsoku/>
              <w:wordWrap/>
              <w:overflowPunct/>
              <w:autoSpaceDE/>
              <w:autoSpaceDN/>
              <w:bidi w:val="0"/>
              <w:adjustRightInd w:val="0"/>
              <w:snapToGrid w:val="0"/>
              <w:spacing w:line="360" w:lineRule="auto"/>
              <w:ind w:firstLine="0" w:firstLineChars="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1.3采用其他电子保函或纸质保函方式缴纳的，应在投标截止时间前开具完成，按照招标文件中投标文件格式要求填写缴纳信息和上传担保文书、保函财务费用支付凭证、基本户开户许可证等证明材料。</w:t>
            </w:r>
          </w:p>
          <w:p w14:paraId="184EFD8F">
            <w:pPr>
              <w:keepNext w:val="0"/>
              <w:keepLines w:val="0"/>
              <w:pageBreakBefore w:val="0"/>
              <w:widowControl/>
              <w:kinsoku/>
              <w:wordWrap/>
              <w:overflowPunct/>
              <w:autoSpaceDE/>
              <w:autoSpaceDN/>
              <w:bidi w:val="0"/>
              <w:adjustRightInd w:val="0"/>
              <w:snapToGrid w:val="0"/>
              <w:spacing w:line="360" w:lineRule="auto"/>
              <w:ind w:firstLine="0" w:firstLineChars="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1.4采用汇票方式缴纳的，应在投标截止时间前递交至招标文件指定地点，按照招标文件中投标文件格式要求填写缴纳信息和上传汇票文书（汇票签收证明）、基本户开户许可证等证明材料。</w:t>
            </w:r>
          </w:p>
          <w:p w14:paraId="498BD6ED">
            <w:pPr>
              <w:keepNext w:val="0"/>
              <w:keepLines w:val="0"/>
              <w:pageBreakBefore w:val="0"/>
              <w:widowControl/>
              <w:kinsoku/>
              <w:wordWrap/>
              <w:overflowPunct/>
              <w:autoSpaceDE/>
              <w:autoSpaceDN/>
              <w:bidi w:val="0"/>
              <w:adjustRightInd w:val="0"/>
              <w:snapToGrid w:val="0"/>
              <w:spacing w:line="360" w:lineRule="auto"/>
              <w:ind w:firstLine="0" w:firstLineChars="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2.投标保证金以实际到账或实际缴纳为准，现金投标保证金和保函财务费用均应从企业基本账户支出，且为响应招标文件实质性条件。</w:t>
            </w:r>
          </w:p>
          <w:p w14:paraId="4E059392">
            <w:pPr>
              <w:keepNext w:val="0"/>
              <w:keepLines w:val="0"/>
              <w:pageBreakBefore w:val="0"/>
              <w:widowControl/>
              <w:kinsoku/>
              <w:wordWrap/>
              <w:overflowPunct/>
              <w:autoSpaceDE/>
              <w:autoSpaceDN/>
              <w:bidi w:val="0"/>
              <w:adjustRightInd w:val="0"/>
              <w:snapToGrid w:val="0"/>
              <w:spacing w:line="360" w:lineRule="auto"/>
              <w:ind w:firstLine="0" w:firstLineChars="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3.投标人应按照招标文件中给定的投标文件格式完整准确填写投标保证金缴纳信息、缴纳凭证等证明材料，否则由此造成的不一致或错误由投标人自行承担。</w:t>
            </w:r>
          </w:p>
          <w:p w14:paraId="66E365BF">
            <w:pPr>
              <w:keepNext w:val="0"/>
              <w:keepLines w:val="0"/>
              <w:pageBreakBefore w:val="0"/>
              <w:widowControl/>
              <w:kinsoku/>
              <w:wordWrap/>
              <w:overflowPunct/>
              <w:autoSpaceDE/>
              <w:autoSpaceDN/>
              <w:bidi w:val="0"/>
              <w:adjustRightInd w:val="0"/>
              <w:snapToGrid w:val="0"/>
              <w:spacing w:line="360" w:lineRule="auto"/>
              <w:ind w:firstLine="0" w:firstLineChars="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4.各类保函均应提供电子化保函验真渠道，开标时将对投标保证金缴纳信息进行查验核实，由于无法查验核实造成的一切后果由投标人自行承担。</w:t>
            </w:r>
          </w:p>
          <w:p w14:paraId="34D80595">
            <w:pPr>
              <w:pStyle w:val="17"/>
              <w:keepNext w:val="0"/>
              <w:keepLines w:val="0"/>
              <w:pageBreakBefore w:val="0"/>
              <w:widowControl/>
              <w:kinsoku/>
              <w:wordWrap/>
              <w:overflowPunct/>
              <w:autoSpaceDE/>
              <w:autoSpaceDN/>
              <w:bidi w:val="0"/>
              <w:ind w:firstLine="0" w:firstLineChars="0"/>
              <w:jc w:val="left"/>
              <w:textAlignment w:val="auto"/>
              <w:rPr>
                <w:rFonts w:hint="eastAsia" w:ascii="仿宋" w:hAnsi="仿宋" w:eastAsia="仿宋" w:cs="仿宋"/>
                <w:color w:val="auto"/>
                <w:sz w:val="24"/>
                <w:szCs w:val="24"/>
                <w:highlight w:val="none"/>
              </w:rPr>
            </w:pPr>
            <w:r>
              <w:rPr>
                <w:rFonts w:hint="eastAsia" w:ascii="仿宋" w:hAnsi="仿宋" w:eastAsia="仿宋" w:cs="仿宋"/>
                <w:b/>
                <w:bCs/>
                <w:color w:val="auto"/>
                <w:sz w:val="24"/>
                <w:szCs w:val="24"/>
                <w:highlight w:val="none"/>
              </w:rPr>
              <w:t>5.联合体参与投标的，投标保证金须由联合体牵头人缴纳。</w:t>
            </w:r>
          </w:p>
        </w:tc>
      </w:tr>
      <w:tr w14:paraId="5BD00296">
        <w:tblPrEx>
          <w:tblCellMar>
            <w:top w:w="0" w:type="dxa"/>
            <w:left w:w="108" w:type="dxa"/>
            <w:bottom w:w="0" w:type="dxa"/>
            <w:right w:w="108" w:type="dxa"/>
          </w:tblCellMar>
        </w:tblPrEx>
        <w:trPr>
          <w:jc w:val="center"/>
        </w:trPr>
        <w:tc>
          <w:tcPr>
            <w:tcW w:w="1165" w:type="dxa"/>
            <w:tcBorders>
              <w:top w:val="single" w:color="auto" w:sz="4" w:space="0"/>
              <w:left w:val="single" w:color="auto" w:sz="4" w:space="0"/>
              <w:bottom w:val="single" w:color="auto" w:sz="4" w:space="0"/>
              <w:right w:val="single" w:color="auto" w:sz="4" w:space="0"/>
            </w:tcBorders>
            <w:noWrap w:val="0"/>
            <w:vAlign w:val="center"/>
          </w:tcPr>
          <w:p w14:paraId="76707620">
            <w:pPr>
              <w:keepNext w:val="0"/>
              <w:keepLines w:val="0"/>
              <w:pageBreakBefore w:val="0"/>
              <w:widowControl/>
              <w:kinsoku/>
              <w:wordWrap/>
              <w:overflowPunct/>
              <w:autoSpaceDE/>
              <w:autoSpaceDN/>
              <w:bidi w:val="0"/>
              <w:spacing w:line="440" w:lineRule="exact"/>
              <w:ind w:firstLine="0" w:firstLineChars="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3.5.2</w:t>
            </w:r>
          </w:p>
        </w:tc>
        <w:tc>
          <w:tcPr>
            <w:tcW w:w="2091" w:type="dxa"/>
            <w:tcBorders>
              <w:top w:val="single" w:color="auto" w:sz="4" w:space="0"/>
              <w:left w:val="single" w:color="auto" w:sz="4" w:space="0"/>
              <w:bottom w:val="single" w:color="auto" w:sz="4" w:space="0"/>
              <w:right w:val="single" w:color="auto" w:sz="4" w:space="0"/>
            </w:tcBorders>
            <w:noWrap w:val="0"/>
            <w:vAlign w:val="center"/>
          </w:tcPr>
          <w:p w14:paraId="69C6F5AC">
            <w:pPr>
              <w:keepNext w:val="0"/>
              <w:keepLines w:val="0"/>
              <w:pageBreakBefore w:val="0"/>
              <w:widowControl/>
              <w:kinsoku/>
              <w:wordWrap/>
              <w:overflowPunct/>
              <w:autoSpaceDE/>
              <w:autoSpaceDN/>
              <w:bidi w:val="0"/>
              <w:spacing w:line="440" w:lineRule="exact"/>
              <w:ind w:firstLine="0" w:firstLineChars="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近年财务状况</w:t>
            </w:r>
          </w:p>
        </w:tc>
        <w:tc>
          <w:tcPr>
            <w:tcW w:w="6345" w:type="dxa"/>
            <w:tcBorders>
              <w:top w:val="single" w:color="auto" w:sz="4" w:space="0"/>
              <w:left w:val="single" w:color="auto" w:sz="4" w:space="0"/>
              <w:bottom w:val="single" w:color="auto" w:sz="4" w:space="0"/>
              <w:right w:val="single" w:color="auto" w:sz="4" w:space="0"/>
            </w:tcBorders>
            <w:noWrap w:val="0"/>
            <w:vAlign w:val="center"/>
          </w:tcPr>
          <w:p w14:paraId="000AFBFB">
            <w:pPr>
              <w:keepNext w:val="0"/>
              <w:keepLines w:val="0"/>
              <w:pageBreakBefore w:val="0"/>
              <w:widowControl/>
              <w:kinsoku/>
              <w:wordWrap/>
              <w:overflowPunct/>
              <w:autoSpaceDE/>
              <w:autoSpaceDN/>
              <w:bidi w:val="0"/>
              <w:spacing w:line="440" w:lineRule="exact"/>
              <w:ind w:firstLine="0" w:firstLineChars="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年</w:t>
            </w:r>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color w:val="auto"/>
                <w:sz w:val="24"/>
                <w:szCs w:val="24"/>
                <w:highlight w:val="none"/>
              </w:rPr>
              <w:t>月</w:t>
            </w:r>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color w:val="auto"/>
                <w:sz w:val="24"/>
                <w:szCs w:val="24"/>
                <w:highlight w:val="none"/>
              </w:rPr>
              <w:t>日至</w:t>
            </w:r>
            <w:r>
              <w:rPr>
                <w:rFonts w:hint="eastAsia" w:ascii="仿宋" w:hAnsi="仿宋" w:eastAsia="仿宋" w:cs="仿宋"/>
                <w:color w:val="auto"/>
                <w:sz w:val="24"/>
                <w:szCs w:val="24"/>
                <w:highlight w:val="none"/>
                <w:u w:val="single"/>
              </w:rPr>
              <w:t>今</w:t>
            </w:r>
          </w:p>
        </w:tc>
      </w:tr>
      <w:tr w14:paraId="0A4FE9B1">
        <w:tblPrEx>
          <w:tblCellMar>
            <w:top w:w="0" w:type="dxa"/>
            <w:left w:w="108" w:type="dxa"/>
            <w:bottom w:w="0" w:type="dxa"/>
            <w:right w:w="108" w:type="dxa"/>
          </w:tblCellMar>
        </w:tblPrEx>
        <w:trPr>
          <w:trHeight w:val="795" w:hRule="atLeast"/>
          <w:jc w:val="center"/>
        </w:trPr>
        <w:tc>
          <w:tcPr>
            <w:tcW w:w="1165" w:type="dxa"/>
            <w:tcBorders>
              <w:top w:val="single" w:color="auto" w:sz="4" w:space="0"/>
              <w:left w:val="single" w:color="auto" w:sz="4" w:space="0"/>
              <w:bottom w:val="single" w:color="auto" w:sz="4" w:space="0"/>
              <w:right w:val="single" w:color="auto" w:sz="4" w:space="0"/>
            </w:tcBorders>
            <w:noWrap w:val="0"/>
            <w:vAlign w:val="center"/>
          </w:tcPr>
          <w:p w14:paraId="6E35B536">
            <w:pPr>
              <w:keepNext w:val="0"/>
              <w:keepLines w:val="0"/>
              <w:pageBreakBefore w:val="0"/>
              <w:widowControl/>
              <w:kinsoku/>
              <w:wordWrap/>
              <w:overflowPunct/>
              <w:autoSpaceDE/>
              <w:autoSpaceDN/>
              <w:bidi w:val="0"/>
              <w:spacing w:line="440" w:lineRule="exact"/>
              <w:ind w:firstLine="0" w:firstLineChars="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3.5.3</w:t>
            </w:r>
          </w:p>
        </w:tc>
        <w:tc>
          <w:tcPr>
            <w:tcW w:w="2091" w:type="dxa"/>
            <w:tcBorders>
              <w:top w:val="single" w:color="auto" w:sz="4" w:space="0"/>
              <w:left w:val="single" w:color="auto" w:sz="4" w:space="0"/>
              <w:bottom w:val="single" w:color="auto" w:sz="4" w:space="0"/>
              <w:right w:val="single" w:color="auto" w:sz="4" w:space="0"/>
            </w:tcBorders>
            <w:noWrap w:val="0"/>
            <w:vAlign w:val="center"/>
          </w:tcPr>
          <w:p w14:paraId="1EBF05CF">
            <w:pPr>
              <w:keepNext w:val="0"/>
              <w:keepLines w:val="0"/>
              <w:pageBreakBefore w:val="0"/>
              <w:widowControl/>
              <w:kinsoku/>
              <w:wordWrap/>
              <w:overflowPunct/>
              <w:autoSpaceDE/>
              <w:autoSpaceDN/>
              <w:bidi w:val="0"/>
              <w:spacing w:line="440" w:lineRule="exact"/>
              <w:ind w:firstLine="0" w:firstLineChars="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近年完成的类似项目</w:t>
            </w:r>
          </w:p>
        </w:tc>
        <w:tc>
          <w:tcPr>
            <w:tcW w:w="6345" w:type="dxa"/>
            <w:tcBorders>
              <w:top w:val="single" w:color="auto" w:sz="4" w:space="0"/>
              <w:left w:val="single" w:color="auto" w:sz="4" w:space="0"/>
              <w:bottom w:val="single" w:color="auto" w:sz="4" w:space="0"/>
              <w:right w:val="single" w:color="auto" w:sz="4" w:space="0"/>
            </w:tcBorders>
            <w:noWrap w:val="0"/>
            <w:vAlign w:val="center"/>
          </w:tcPr>
          <w:p w14:paraId="3ACCCBC1">
            <w:pPr>
              <w:keepNext w:val="0"/>
              <w:keepLines w:val="0"/>
              <w:pageBreakBefore w:val="0"/>
              <w:widowControl/>
              <w:kinsoku/>
              <w:wordWrap/>
              <w:overflowPunct/>
              <w:autoSpaceDE/>
              <w:autoSpaceDN/>
              <w:bidi w:val="0"/>
              <w:spacing w:line="440" w:lineRule="exact"/>
              <w:ind w:firstLine="0" w:firstLineChars="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u w:val="single"/>
              </w:rPr>
              <w:t xml:space="preserve"> 2020 </w:t>
            </w:r>
            <w:r>
              <w:rPr>
                <w:rFonts w:hint="eastAsia" w:ascii="仿宋" w:hAnsi="仿宋" w:eastAsia="仿宋" w:cs="仿宋"/>
                <w:color w:val="auto"/>
                <w:sz w:val="24"/>
                <w:szCs w:val="24"/>
                <w:highlight w:val="none"/>
              </w:rPr>
              <w:t>年</w:t>
            </w:r>
            <w:r>
              <w:rPr>
                <w:rFonts w:hint="eastAsia" w:ascii="仿宋" w:hAnsi="仿宋" w:eastAsia="仿宋" w:cs="仿宋"/>
                <w:color w:val="auto"/>
                <w:sz w:val="24"/>
                <w:szCs w:val="24"/>
                <w:highlight w:val="none"/>
                <w:u w:val="single"/>
              </w:rPr>
              <w:t>1</w:t>
            </w:r>
            <w:r>
              <w:rPr>
                <w:rFonts w:hint="eastAsia" w:ascii="仿宋" w:hAnsi="仿宋" w:eastAsia="仿宋" w:cs="仿宋"/>
                <w:color w:val="auto"/>
                <w:sz w:val="24"/>
                <w:szCs w:val="24"/>
                <w:highlight w:val="none"/>
              </w:rPr>
              <w:t>月</w:t>
            </w:r>
            <w:r>
              <w:rPr>
                <w:rFonts w:hint="eastAsia" w:ascii="仿宋" w:hAnsi="仿宋" w:eastAsia="仿宋" w:cs="仿宋"/>
                <w:color w:val="auto"/>
                <w:sz w:val="24"/>
                <w:szCs w:val="24"/>
                <w:highlight w:val="none"/>
                <w:u w:val="single"/>
              </w:rPr>
              <w:t>1</w:t>
            </w:r>
            <w:r>
              <w:rPr>
                <w:rFonts w:hint="eastAsia" w:ascii="仿宋" w:hAnsi="仿宋" w:eastAsia="仿宋" w:cs="仿宋"/>
                <w:color w:val="auto"/>
                <w:sz w:val="24"/>
                <w:szCs w:val="24"/>
                <w:highlight w:val="none"/>
              </w:rPr>
              <w:t>日至</w:t>
            </w:r>
            <w:r>
              <w:rPr>
                <w:rFonts w:hint="eastAsia" w:ascii="仿宋" w:hAnsi="仿宋" w:eastAsia="仿宋" w:cs="仿宋"/>
                <w:color w:val="auto"/>
                <w:sz w:val="24"/>
                <w:szCs w:val="24"/>
                <w:highlight w:val="none"/>
                <w:u w:val="single"/>
              </w:rPr>
              <w:t>今</w:t>
            </w:r>
          </w:p>
        </w:tc>
      </w:tr>
      <w:tr w14:paraId="05DA191B">
        <w:tblPrEx>
          <w:tblCellMar>
            <w:top w:w="0" w:type="dxa"/>
            <w:left w:w="108" w:type="dxa"/>
            <w:bottom w:w="0" w:type="dxa"/>
            <w:right w:w="108" w:type="dxa"/>
          </w:tblCellMar>
        </w:tblPrEx>
        <w:trPr>
          <w:trHeight w:val="618" w:hRule="atLeast"/>
          <w:jc w:val="center"/>
        </w:trPr>
        <w:tc>
          <w:tcPr>
            <w:tcW w:w="1165" w:type="dxa"/>
            <w:tcBorders>
              <w:top w:val="single" w:color="auto" w:sz="4" w:space="0"/>
              <w:left w:val="single" w:color="auto" w:sz="4" w:space="0"/>
              <w:bottom w:val="single" w:color="auto" w:sz="4" w:space="0"/>
              <w:right w:val="single" w:color="auto" w:sz="4" w:space="0"/>
            </w:tcBorders>
            <w:noWrap w:val="0"/>
            <w:vAlign w:val="center"/>
          </w:tcPr>
          <w:p w14:paraId="23237676">
            <w:pPr>
              <w:keepNext w:val="0"/>
              <w:keepLines w:val="0"/>
              <w:pageBreakBefore w:val="0"/>
              <w:widowControl/>
              <w:kinsoku/>
              <w:wordWrap/>
              <w:overflowPunct/>
              <w:autoSpaceDE/>
              <w:autoSpaceDN/>
              <w:bidi w:val="0"/>
              <w:spacing w:line="440" w:lineRule="exact"/>
              <w:ind w:firstLine="0" w:firstLineChars="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3.5.5</w:t>
            </w:r>
          </w:p>
        </w:tc>
        <w:tc>
          <w:tcPr>
            <w:tcW w:w="2091" w:type="dxa"/>
            <w:tcBorders>
              <w:top w:val="single" w:color="auto" w:sz="4" w:space="0"/>
              <w:left w:val="single" w:color="auto" w:sz="4" w:space="0"/>
              <w:bottom w:val="single" w:color="auto" w:sz="4" w:space="0"/>
              <w:right w:val="single" w:color="auto" w:sz="4" w:space="0"/>
            </w:tcBorders>
            <w:noWrap w:val="0"/>
            <w:vAlign w:val="center"/>
          </w:tcPr>
          <w:p w14:paraId="723EA979">
            <w:pPr>
              <w:keepNext w:val="0"/>
              <w:keepLines w:val="0"/>
              <w:pageBreakBefore w:val="0"/>
              <w:widowControl/>
              <w:kinsoku/>
              <w:wordWrap/>
              <w:overflowPunct/>
              <w:autoSpaceDE/>
              <w:autoSpaceDN/>
              <w:bidi w:val="0"/>
              <w:spacing w:line="440" w:lineRule="exact"/>
              <w:ind w:firstLine="0" w:firstLineChars="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近年发生的重大诉讼及仲裁情况</w:t>
            </w:r>
          </w:p>
        </w:tc>
        <w:tc>
          <w:tcPr>
            <w:tcW w:w="6345" w:type="dxa"/>
            <w:tcBorders>
              <w:top w:val="single" w:color="auto" w:sz="4" w:space="0"/>
              <w:left w:val="single" w:color="auto" w:sz="4" w:space="0"/>
              <w:bottom w:val="single" w:color="auto" w:sz="4" w:space="0"/>
              <w:right w:val="single" w:color="auto" w:sz="4" w:space="0"/>
            </w:tcBorders>
            <w:noWrap w:val="0"/>
            <w:vAlign w:val="center"/>
          </w:tcPr>
          <w:p w14:paraId="415A1604">
            <w:pPr>
              <w:keepNext w:val="0"/>
              <w:keepLines w:val="0"/>
              <w:pageBreakBefore w:val="0"/>
              <w:widowControl/>
              <w:kinsoku/>
              <w:wordWrap/>
              <w:overflowPunct/>
              <w:autoSpaceDE/>
              <w:autoSpaceDN/>
              <w:bidi w:val="0"/>
              <w:spacing w:line="440" w:lineRule="exact"/>
              <w:ind w:firstLine="0" w:firstLineChars="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年</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rPr>
              <w:t>月</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rPr>
              <w:t>日至</w:t>
            </w:r>
            <w:r>
              <w:rPr>
                <w:rFonts w:hint="eastAsia" w:ascii="仿宋" w:hAnsi="仿宋" w:eastAsia="仿宋" w:cs="仿宋"/>
                <w:color w:val="auto"/>
                <w:sz w:val="24"/>
                <w:szCs w:val="24"/>
                <w:highlight w:val="none"/>
                <w:u w:val="single"/>
              </w:rPr>
              <w:t>今</w:t>
            </w:r>
          </w:p>
        </w:tc>
      </w:tr>
      <w:tr w14:paraId="3E4F2832">
        <w:tblPrEx>
          <w:tblCellMar>
            <w:top w:w="0" w:type="dxa"/>
            <w:left w:w="108" w:type="dxa"/>
            <w:bottom w:w="0" w:type="dxa"/>
            <w:right w:w="108" w:type="dxa"/>
          </w:tblCellMar>
        </w:tblPrEx>
        <w:trPr>
          <w:jc w:val="center"/>
        </w:trPr>
        <w:tc>
          <w:tcPr>
            <w:tcW w:w="1165" w:type="dxa"/>
            <w:tcBorders>
              <w:top w:val="single" w:color="auto" w:sz="4" w:space="0"/>
              <w:left w:val="single" w:color="auto" w:sz="4" w:space="0"/>
              <w:bottom w:val="single" w:color="auto" w:sz="4" w:space="0"/>
              <w:right w:val="single" w:color="auto" w:sz="4" w:space="0"/>
            </w:tcBorders>
            <w:noWrap w:val="0"/>
            <w:vAlign w:val="center"/>
          </w:tcPr>
          <w:p w14:paraId="38295B78">
            <w:pPr>
              <w:keepNext w:val="0"/>
              <w:keepLines w:val="0"/>
              <w:pageBreakBefore w:val="0"/>
              <w:widowControl/>
              <w:kinsoku/>
              <w:wordWrap/>
              <w:overflowPunct/>
              <w:autoSpaceDE/>
              <w:autoSpaceDN/>
              <w:bidi w:val="0"/>
              <w:spacing w:line="440" w:lineRule="exact"/>
              <w:ind w:firstLine="0" w:firstLineChars="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3.6</w:t>
            </w:r>
          </w:p>
        </w:tc>
        <w:tc>
          <w:tcPr>
            <w:tcW w:w="2091" w:type="dxa"/>
            <w:tcBorders>
              <w:top w:val="single" w:color="auto" w:sz="4" w:space="0"/>
              <w:left w:val="single" w:color="auto" w:sz="4" w:space="0"/>
              <w:bottom w:val="single" w:color="auto" w:sz="4" w:space="0"/>
              <w:right w:val="single" w:color="auto" w:sz="4" w:space="0"/>
            </w:tcBorders>
            <w:noWrap w:val="0"/>
            <w:vAlign w:val="center"/>
          </w:tcPr>
          <w:p w14:paraId="5335A528">
            <w:pPr>
              <w:keepNext w:val="0"/>
              <w:keepLines w:val="0"/>
              <w:pageBreakBefore w:val="0"/>
              <w:widowControl/>
              <w:kinsoku/>
              <w:wordWrap/>
              <w:overflowPunct/>
              <w:autoSpaceDE/>
              <w:autoSpaceDN/>
              <w:bidi w:val="0"/>
              <w:spacing w:line="440" w:lineRule="exact"/>
              <w:ind w:firstLine="0" w:firstLineChars="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是否允许递交备选投标方案</w:t>
            </w:r>
          </w:p>
        </w:tc>
        <w:tc>
          <w:tcPr>
            <w:tcW w:w="6345" w:type="dxa"/>
            <w:tcBorders>
              <w:top w:val="single" w:color="auto" w:sz="4" w:space="0"/>
              <w:left w:val="single" w:color="auto" w:sz="4" w:space="0"/>
              <w:bottom w:val="single" w:color="auto" w:sz="4" w:space="0"/>
              <w:right w:val="single" w:color="auto" w:sz="4" w:space="0"/>
            </w:tcBorders>
            <w:noWrap w:val="0"/>
            <w:vAlign w:val="center"/>
          </w:tcPr>
          <w:p w14:paraId="58F951C0">
            <w:pPr>
              <w:pStyle w:val="16"/>
              <w:keepNext w:val="0"/>
              <w:keepLines w:val="0"/>
              <w:pageBreakBefore w:val="0"/>
              <w:widowControl/>
              <w:kinsoku/>
              <w:wordWrap/>
              <w:overflowPunct/>
              <w:topLinePunct/>
              <w:autoSpaceDE/>
              <w:autoSpaceDN/>
              <w:bidi w:val="0"/>
              <w:spacing w:line="400" w:lineRule="exact"/>
              <w:ind w:firstLine="0" w:firstLineChars="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√不允许</w:t>
            </w:r>
          </w:p>
          <w:p w14:paraId="11B4AC8E">
            <w:pPr>
              <w:keepNext w:val="0"/>
              <w:keepLines w:val="0"/>
              <w:pageBreakBefore w:val="0"/>
              <w:widowControl/>
              <w:kinsoku/>
              <w:wordWrap/>
              <w:overflowPunct/>
              <w:autoSpaceDE/>
              <w:autoSpaceDN/>
              <w:bidi w:val="0"/>
              <w:spacing w:line="440" w:lineRule="exact"/>
              <w:ind w:firstLine="0" w:firstLineChars="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□允许</w:t>
            </w:r>
          </w:p>
        </w:tc>
      </w:tr>
      <w:tr w14:paraId="44B7F13D">
        <w:tblPrEx>
          <w:tblCellMar>
            <w:top w:w="0" w:type="dxa"/>
            <w:left w:w="108" w:type="dxa"/>
            <w:bottom w:w="0" w:type="dxa"/>
            <w:right w:w="108" w:type="dxa"/>
          </w:tblCellMar>
        </w:tblPrEx>
        <w:trPr>
          <w:jc w:val="center"/>
        </w:trPr>
        <w:tc>
          <w:tcPr>
            <w:tcW w:w="1165" w:type="dxa"/>
            <w:tcBorders>
              <w:top w:val="single" w:color="auto" w:sz="4" w:space="0"/>
              <w:left w:val="single" w:color="auto" w:sz="4" w:space="0"/>
              <w:bottom w:val="single" w:color="auto" w:sz="4" w:space="0"/>
              <w:right w:val="single" w:color="auto" w:sz="4" w:space="0"/>
            </w:tcBorders>
            <w:noWrap w:val="0"/>
            <w:vAlign w:val="center"/>
          </w:tcPr>
          <w:p w14:paraId="63DFADA6">
            <w:pPr>
              <w:keepNext w:val="0"/>
              <w:keepLines w:val="0"/>
              <w:pageBreakBefore w:val="0"/>
              <w:widowControl/>
              <w:kinsoku/>
              <w:wordWrap/>
              <w:overflowPunct/>
              <w:autoSpaceDE/>
              <w:autoSpaceDN/>
              <w:bidi w:val="0"/>
              <w:spacing w:line="440" w:lineRule="exact"/>
              <w:ind w:firstLine="0" w:firstLineChars="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3.7.3</w:t>
            </w:r>
          </w:p>
        </w:tc>
        <w:tc>
          <w:tcPr>
            <w:tcW w:w="2091" w:type="dxa"/>
            <w:tcBorders>
              <w:top w:val="single" w:color="auto" w:sz="4" w:space="0"/>
              <w:left w:val="single" w:color="auto" w:sz="4" w:space="0"/>
              <w:bottom w:val="single" w:color="auto" w:sz="4" w:space="0"/>
              <w:right w:val="single" w:color="auto" w:sz="4" w:space="0"/>
            </w:tcBorders>
            <w:noWrap w:val="0"/>
            <w:vAlign w:val="center"/>
          </w:tcPr>
          <w:p w14:paraId="1F1C2D0C">
            <w:pPr>
              <w:keepNext w:val="0"/>
              <w:keepLines w:val="0"/>
              <w:pageBreakBefore w:val="0"/>
              <w:widowControl/>
              <w:kinsoku/>
              <w:wordWrap/>
              <w:overflowPunct/>
              <w:autoSpaceDE/>
              <w:autoSpaceDN/>
              <w:bidi w:val="0"/>
              <w:spacing w:line="440" w:lineRule="exact"/>
              <w:ind w:firstLine="0" w:firstLineChars="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签字或盖章要求</w:t>
            </w:r>
          </w:p>
        </w:tc>
        <w:tc>
          <w:tcPr>
            <w:tcW w:w="6345" w:type="dxa"/>
            <w:tcBorders>
              <w:top w:val="single" w:color="auto" w:sz="4" w:space="0"/>
              <w:left w:val="single" w:color="auto" w:sz="4" w:space="0"/>
              <w:bottom w:val="single" w:color="auto" w:sz="4" w:space="0"/>
              <w:right w:val="single" w:color="auto" w:sz="4" w:space="0"/>
            </w:tcBorders>
            <w:noWrap w:val="0"/>
            <w:vAlign w:val="center"/>
          </w:tcPr>
          <w:p w14:paraId="59A25478">
            <w:pPr>
              <w:keepNext w:val="0"/>
              <w:keepLines w:val="0"/>
              <w:pageBreakBefore w:val="0"/>
              <w:widowControl/>
              <w:kinsoku/>
              <w:wordWrap/>
              <w:overflowPunct/>
              <w:autoSpaceDE/>
              <w:autoSpaceDN/>
              <w:bidi w:val="0"/>
              <w:ind w:firstLine="0" w:firstLineChars="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
              </w:rPr>
              <w:t>如为联合体投标的，投标文件除招标文件中规定需要联合体各方均须签字盖章的，其余均可只由联合体牵头人按照招标文件要求签字盖章即可。</w:t>
            </w:r>
            <w:r>
              <w:rPr>
                <w:rFonts w:hint="eastAsia" w:ascii="仿宋" w:hAnsi="仿宋" w:eastAsia="仿宋" w:cs="仿宋"/>
                <w:b/>
                <w:bCs/>
                <w:color w:val="auto"/>
                <w:kern w:val="0"/>
                <w:sz w:val="24"/>
                <w:szCs w:val="24"/>
                <w:highlight w:val="none"/>
                <w:lang w:bidi="ar"/>
              </w:rPr>
              <w:t xml:space="preserve"> </w:t>
            </w:r>
          </w:p>
        </w:tc>
      </w:tr>
      <w:tr w14:paraId="48E8FD04">
        <w:tblPrEx>
          <w:tblCellMar>
            <w:top w:w="0" w:type="dxa"/>
            <w:left w:w="108" w:type="dxa"/>
            <w:bottom w:w="0" w:type="dxa"/>
            <w:right w:w="108" w:type="dxa"/>
          </w:tblCellMar>
        </w:tblPrEx>
        <w:trPr>
          <w:jc w:val="center"/>
        </w:trPr>
        <w:tc>
          <w:tcPr>
            <w:tcW w:w="1165" w:type="dxa"/>
            <w:tcBorders>
              <w:top w:val="single" w:color="auto" w:sz="4" w:space="0"/>
              <w:left w:val="single" w:color="auto" w:sz="4" w:space="0"/>
              <w:bottom w:val="single" w:color="auto" w:sz="4" w:space="0"/>
              <w:right w:val="single" w:color="auto" w:sz="4" w:space="0"/>
            </w:tcBorders>
            <w:noWrap w:val="0"/>
            <w:vAlign w:val="center"/>
          </w:tcPr>
          <w:p w14:paraId="3FA36FD9">
            <w:pPr>
              <w:keepNext w:val="0"/>
              <w:keepLines w:val="0"/>
              <w:pageBreakBefore w:val="0"/>
              <w:widowControl/>
              <w:kinsoku/>
              <w:wordWrap/>
              <w:overflowPunct/>
              <w:autoSpaceDE/>
              <w:autoSpaceDN/>
              <w:bidi w:val="0"/>
              <w:spacing w:line="440" w:lineRule="exact"/>
              <w:ind w:firstLine="0" w:firstLineChars="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3.7.4</w:t>
            </w:r>
          </w:p>
        </w:tc>
        <w:tc>
          <w:tcPr>
            <w:tcW w:w="2091" w:type="dxa"/>
            <w:tcBorders>
              <w:top w:val="single" w:color="auto" w:sz="4" w:space="0"/>
              <w:left w:val="single" w:color="auto" w:sz="4" w:space="0"/>
              <w:bottom w:val="single" w:color="auto" w:sz="4" w:space="0"/>
              <w:right w:val="single" w:color="auto" w:sz="4" w:space="0"/>
            </w:tcBorders>
            <w:noWrap w:val="0"/>
            <w:vAlign w:val="center"/>
          </w:tcPr>
          <w:p w14:paraId="5F4A7359">
            <w:pPr>
              <w:keepNext w:val="0"/>
              <w:keepLines w:val="0"/>
              <w:pageBreakBefore w:val="0"/>
              <w:widowControl/>
              <w:kinsoku/>
              <w:wordWrap/>
              <w:overflowPunct/>
              <w:autoSpaceDE/>
              <w:autoSpaceDN/>
              <w:bidi w:val="0"/>
              <w:spacing w:line="440" w:lineRule="exact"/>
              <w:ind w:firstLine="0" w:firstLineChars="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投标文件份数</w:t>
            </w:r>
          </w:p>
        </w:tc>
        <w:tc>
          <w:tcPr>
            <w:tcW w:w="6345" w:type="dxa"/>
            <w:tcBorders>
              <w:top w:val="single" w:color="auto" w:sz="4" w:space="0"/>
              <w:left w:val="single" w:color="auto" w:sz="4" w:space="0"/>
              <w:bottom w:val="single" w:color="auto" w:sz="4" w:space="0"/>
              <w:right w:val="single" w:color="auto" w:sz="4" w:space="0"/>
            </w:tcBorders>
            <w:noWrap w:val="0"/>
            <w:vAlign w:val="center"/>
          </w:tcPr>
          <w:p w14:paraId="56D45963">
            <w:pPr>
              <w:keepNext w:val="0"/>
              <w:keepLines w:val="0"/>
              <w:pageBreakBefore w:val="0"/>
              <w:widowControl/>
              <w:kinsoku/>
              <w:wordWrap/>
              <w:overflowPunct/>
              <w:autoSpaceDE/>
              <w:autoSpaceDN/>
              <w:bidi w:val="0"/>
              <w:spacing w:line="440" w:lineRule="exact"/>
              <w:ind w:firstLine="0" w:firstLineChars="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投标人中标后须提交与网络上传文件内容一致的纸质投标文件六份，电子版二份（U盘）。</w:t>
            </w:r>
          </w:p>
        </w:tc>
      </w:tr>
      <w:tr w14:paraId="6FECD0F2">
        <w:tblPrEx>
          <w:tblCellMar>
            <w:top w:w="0" w:type="dxa"/>
            <w:left w:w="108" w:type="dxa"/>
            <w:bottom w:w="0" w:type="dxa"/>
            <w:right w:w="108" w:type="dxa"/>
          </w:tblCellMar>
        </w:tblPrEx>
        <w:trPr>
          <w:jc w:val="center"/>
        </w:trPr>
        <w:tc>
          <w:tcPr>
            <w:tcW w:w="1165" w:type="dxa"/>
            <w:tcBorders>
              <w:top w:val="single" w:color="auto" w:sz="4" w:space="0"/>
              <w:left w:val="single" w:color="auto" w:sz="4" w:space="0"/>
              <w:bottom w:val="single" w:color="auto" w:sz="4" w:space="0"/>
              <w:right w:val="single" w:color="auto" w:sz="4" w:space="0"/>
            </w:tcBorders>
            <w:noWrap w:val="0"/>
            <w:vAlign w:val="center"/>
          </w:tcPr>
          <w:p w14:paraId="028390A2">
            <w:pPr>
              <w:keepNext w:val="0"/>
              <w:keepLines w:val="0"/>
              <w:pageBreakBefore w:val="0"/>
              <w:widowControl/>
              <w:kinsoku/>
              <w:wordWrap/>
              <w:overflowPunct/>
              <w:autoSpaceDE/>
              <w:autoSpaceDN/>
              <w:bidi w:val="0"/>
              <w:spacing w:line="440" w:lineRule="exact"/>
              <w:ind w:firstLine="0" w:firstLineChars="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3.7.5</w:t>
            </w:r>
          </w:p>
        </w:tc>
        <w:tc>
          <w:tcPr>
            <w:tcW w:w="2091" w:type="dxa"/>
            <w:tcBorders>
              <w:top w:val="single" w:color="auto" w:sz="4" w:space="0"/>
              <w:left w:val="single" w:color="auto" w:sz="4" w:space="0"/>
              <w:bottom w:val="single" w:color="auto" w:sz="4" w:space="0"/>
              <w:right w:val="single" w:color="auto" w:sz="4" w:space="0"/>
            </w:tcBorders>
            <w:noWrap w:val="0"/>
            <w:vAlign w:val="center"/>
          </w:tcPr>
          <w:p w14:paraId="4F6B10D0">
            <w:pPr>
              <w:keepNext w:val="0"/>
              <w:keepLines w:val="0"/>
              <w:pageBreakBefore w:val="0"/>
              <w:widowControl/>
              <w:kinsoku/>
              <w:wordWrap/>
              <w:overflowPunct/>
              <w:autoSpaceDE/>
              <w:autoSpaceDN/>
              <w:bidi w:val="0"/>
              <w:spacing w:line="440" w:lineRule="exact"/>
              <w:ind w:firstLine="0" w:firstLineChars="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装订要求</w:t>
            </w:r>
          </w:p>
        </w:tc>
        <w:tc>
          <w:tcPr>
            <w:tcW w:w="6345" w:type="dxa"/>
            <w:tcBorders>
              <w:top w:val="single" w:color="auto" w:sz="4" w:space="0"/>
              <w:left w:val="single" w:color="auto" w:sz="4" w:space="0"/>
              <w:bottom w:val="single" w:color="auto" w:sz="4" w:space="0"/>
              <w:right w:val="single" w:color="auto" w:sz="4" w:space="0"/>
            </w:tcBorders>
            <w:noWrap w:val="0"/>
            <w:vAlign w:val="top"/>
          </w:tcPr>
          <w:p w14:paraId="40B803A9">
            <w:pPr>
              <w:keepNext w:val="0"/>
              <w:keepLines w:val="0"/>
              <w:pageBreakBefore w:val="0"/>
              <w:widowControl/>
              <w:kinsoku/>
              <w:wordWrap/>
              <w:overflowPunct/>
              <w:autoSpaceDE/>
              <w:autoSpaceDN/>
              <w:bidi w:val="0"/>
              <w:spacing w:line="440" w:lineRule="exact"/>
              <w:ind w:firstLine="0" w:firstLineChars="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本项目为电子标，网络递交投标文件，无需装订。</w:t>
            </w:r>
          </w:p>
        </w:tc>
      </w:tr>
      <w:tr w14:paraId="500CD36F">
        <w:tblPrEx>
          <w:tblCellMar>
            <w:top w:w="0" w:type="dxa"/>
            <w:left w:w="108" w:type="dxa"/>
            <w:bottom w:w="0" w:type="dxa"/>
            <w:right w:w="108" w:type="dxa"/>
          </w:tblCellMar>
        </w:tblPrEx>
        <w:trPr>
          <w:jc w:val="center"/>
        </w:trPr>
        <w:tc>
          <w:tcPr>
            <w:tcW w:w="1165" w:type="dxa"/>
            <w:tcBorders>
              <w:top w:val="single" w:color="auto" w:sz="4" w:space="0"/>
              <w:left w:val="single" w:color="auto" w:sz="4" w:space="0"/>
              <w:bottom w:val="single" w:color="auto" w:sz="4" w:space="0"/>
              <w:right w:val="single" w:color="auto" w:sz="4" w:space="0"/>
            </w:tcBorders>
            <w:noWrap w:val="0"/>
            <w:vAlign w:val="center"/>
          </w:tcPr>
          <w:p w14:paraId="0210003E">
            <w:pPr>
              <w:keepNext w:val="0"/>
              <w:keepLines w:val="0"/>
              <w:pageBreakBefore w:val="0"/>
              <w:widowControl/>
              <w:kinsoku/>
              <w:wordWrap/>
              <w:overflowPunct/>
              <w:autoSpaceDE/>
              <w:autoSpaceDN/>
              <w:bidi w:val="0"/>
              <w:spacing w:line="440" w:lineRule="exact"/>
              <w:ind w:firstLine="0" w:firstLineChars="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4.1.2</w:t>
            </w:r>
          </w:p>
        </w:tc>
        <w:tc>
          <w:tcPr>
            <w:tcW w:w="2091" w:type="dxa"/>
            <w:tcBorders>
              <w:top w:val="single" w:color="auto" w:sz="4" w:space="0"/>
              <w:left w:val="single" w:color="auto" w:sz="4" w:space="0"/>
              <w:bottom w:val="single" w:color="auto" w:sz="4" w:space="0"/>
              <w:right w:val="single" w:color="auto" w:sz="4" w:space="0"/>
            </w:tcBorders>
            <w:noWrap w:val="0"/>
            <w:vAlign w:val="center"/>
          </w:tcPr>
          <w:p w14:paraId="63F013B5">
            <w:pPr>
              <w:keepNext w:val="0"/>
              <w:keepLines w:val="0"/>
              <w:pageBreakBefore w:val="0"/>
              <w:widowControl/>
              <w:kinsoku/>
              <w:wordWrap/>
              <w:overflowPunct/>
              <w:autoSpaceDE/>
              <w:autoSpaceDN/>
              <w:bidi w:val="0"/>
              <w:spacing w:line="440" w:lineRule="exact"/>
              <w:ind w:firstLine="0" w:firstLineChars="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封套上应载明的信息</w:t>
            </w:r>
          </w:p>
        </w:tc>
        <w:tc>
          <w:tcPr>
            <w:tcW w:w="6345" w:type="dxa"/>
            <w:tcBorders>
              <w:top w:val="single" w:color="auto" w:sz="4" w:space="0"/>
              <w:left w:val="single" w:color="auto" w:sz="4" w:space="0"/>
              <w:bottom w:val="single" w:color="auto" w:sz="4" w:space="0"/>
              <w:right w:val="single" w:color="auto" w:sz="4" w:space="0"/>
            </w:tcBorders>
            <w:noWrap w:val="0"/>
            <w:vAlign w:val="center"/>
          </w:tcPr>
          <w:p w14:paraId="578BCCA8">
            <w:pPr>
              <w:keepNext w:val="0"/>
              <w:keepLines w:val="0"/>
              <w:pageBreakBefore w:val="0"/>
              <w:widowControl/>
              <w:kinsoku/>
              <w:wordWrap/>
              <w:overflowPunct/>
              <w:autoSpaceDE/>
              <w:autoSpaceDN/>
              <w:bidi w:val="0"/>
              <w:spacing w:line="440" w:lineRule="exact"/>
              <w:ind w:firstLine="0" w:firstLineChars="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w:t>
            </w:r>
          </w:p>
        </w:tc>
      </w:tr>
      <w:tr w14:paraId="1FF4E1DA">
        <w:tblPrEx>
          <w:tblCellMar>
            <w:top w:w="0" w:type="dxa"/>
            <w:left w:w="108" w:type="dxa"/>
            <w:bottom w:w="0" w:type="dxa"/>
            <w:right w:w="108" w:type="dxa"/>
          </w:tblCellMar>
        </w:tblPrEx>
        <w:trPr>
          <w:jc w:val="center"/>
        </w:trPr>
        <w:tc>
          <w:tcPr>
            <w:tcW w:w="1165" w:type="dxa"/>
            <w:tcBorders>
              <w:top w:val="single" w:color="auto" w:sz="4" w:space="0"/>
              <w:left w:val="single" w:color="auto" w:sz="4" w:space="0"/>
              <w:bottom w:val="single" w:color="auto" w:sz="4" w:space="0"/>
              <w:right w:val="single" w:color="auto" w:sz="4" w:space="0"/>
            </w:tcBorders>
            <w:noWrap w:val="0"/>
            <w:vAlign w:val="center"/>
          </w:tcPr>
          <w:p w14:paraId="64ECF91E">
            <w:pPr>
              <w:keepNext w:val="0"/>
              <w:keepLines w:val="0"/>
              <w:pageBreakBefore w:val="0"/>
              <w:widowControl/>
              <w:kinsoku/>
              <w:wordWrap/>
              <w:overflowPunct/>
              <w:autoSpaceDE/>
              <w:autoSpaceDN/>
              <w:bidi w:val="0"/>
              <w:spacing w:line="440" w:lineRule="exact"/>
              <w:ind w:firstLine="0" w:firstLineChars="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4.2.2</w:t>
            </w:r>
          </w:p>
        </w:tc>
        <w:tc>
          <w:tcPr>
            <w:tcW w:w="2091" w:type="dxa"/>
            <w:tcBorders>
              <w:top w:val="single" w:color="auto" w:sz="4" w:space="0"/>
              <w:left w:val="single" w:color="auto" w:sz="4" w:space="0"/>
              <w:bottom w:val="single" w:color="auto" w:sz="4" w:space="0"/>
              <w:right w:val="single" w:color="auto" w:sz="4" w:space="0"/>
            </w:tcBorders>
            <w:noWrap w:val="0"/>
            <w:vAlign w:val="center"/>
          </w:tcPr>
          <w:p w14:paraId="63348246">
            <w:pPr>
              <w:keepNext w:val="0"/>
              <w:keepLines w:val="0"/>
              <w:pageBreakBefore w:val="0"/>
              <w:widowControl/>
              <w:kinsoku/>
              <w:wordWrap/>
              <w:overflowPunct/>
              <w:autoSpaceDE/>
              <w:autoSpaceDN/>
              <w:bidi w:val="0"/>
              <w:spacing w:line="440" w:lineRule="exact"/>
              <w:ind w:firstLine="0" w:firstLineChars="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递交投标文件地点</w:t>
            </w:r>
          </w:p>
        </w:tc>
        <w:tc>
          <w:tcPr>
            <w:tcW w:w="6345" w:type="dxa"/>
            <w:tcBorders>
              <w:top w:val="single" w:color="auto" w:sz="4" w:space="0"/>
              <w:left w:val="single" w:color="auto" w:sz="4" w:space="0"/>
              <w:bottom w:val="single" w:color="auto" w:sz="4" w:space="0"/>
              <w:right w:val="single" w:color="auto" w:sz="4" w:space="0"/>
            </w:tcBorders>
            <w:noWrap w:val="0"/>
            <w:vAlign w:val="center"/>
          </w:tcPr>
          <w:p w14:paraId="78C7BAC7">
            <w:pPr>
              <w:keepNext w:val="0"/>
              <w:keepLines w:val="0"/>
              <w:pageBreakBefore w:val="0"/>
              <w:widowControl/>
              <w:kinsoku/>
              <w:wordWrap/>
              <w:overflowPunct/>
              <w:autoSpaceDE/>
              <w:autoSpaceDN/>
              <w:bidi w:val="0"/>
              <w:spacing w:line="440" w:lineRule="exact"/>
              <w:ind w:firstLine="0" w:firstLineChars="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本项目采用“不见面交易”，即投标人在网上参加开标活动，无需再到开标现场。远程网络开标具体详见辽宁建设工程信息网首页“辽宁省电子招标投标交易综合服务系统不见面开标操作说明”。</w:t>
            </w:r>
          </w:p>
          <w:p w14:paraId="145F2603">
            <w:pPr>
              <w:keepNext w:val="0"/>
              <w:keepLines w:val="0"/>
              <w:pageBreakBefore w:val="0"/>
              <w:widowControl/>
              <w:kinsoku/>
              <w:wordWrap/>
              <w:overflowPunct/>
              <w:autoSpaceDE/>
              <w:autoSpaceDN/>
              <w:bidi w:val="0"/>
              <w:spacing w:line="440" w:lineRule="exact"/>
              <w:ind w:firstLine="0" w:firstLineChars="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网络递交：辽宁省电子招标投标交易综合服务系统</w:t>
            </w:r>
          </w:p>
        </w:tc>
      </w:tr>
      <w:tr w14:paraId="5F7DE1CC">
        <w:tblPrEx>
          <w:tblCellMar>
            <w:top w:w="0" w:type="dxa"/>
            <w:left w:w="108" w:type="dxa"/>
            <w:bottom w:w="0" w:type="dxa"/>
            <w:right w:w="108" w:type="dxa"/>
          </w:tblCellMar>
        </w:tblPrEx>
        <w:trPr>
          <w:jc w:val="center"/>
        </w:trPr>
        <w:tc>
          <w:tcPr>
            <w:tcW w:w="1165" w:type="dxa"/>
            <w:tcBorders>
              <w:top w:val="single" w:color="auto" w:sz="4" w:space="0"/>
              <w:left w:val="single" w:color="auto" w:sz="4" w:space="0"/>
              <w:bottom w:val="single" w:color="auto" w:sz="4" w:space="0"/>
              <w:right w:val="single" w:color="auto" w:sz="4" w:space="0"/>
            </w:tcBorders>
            <w:noWrap w:val="0"/>
            <w:vAlign w:val="center"/>
          </w:tcPr>
          <w:p w14:paraId="395E9093">
            <w:pPr>
              <w:keepNext w:val="0"/>
              <w:keepLines w:val="0"/>
              <w:pageBreakBefore w:val="0"/>
              <w:widowControl/>
              <w:kinsoku/>
              <w:wordWrap/>
              <w:overflowPunct/>
              <w:autoSpaceDE/>
              <w:autoSpaceDN/>
              <w:bidi w:val="0"/>
              <w:spacing w:line="440" w:lineRule="exact"/>
              <w:ind w:firstLine="0" w:firstLineChars="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4.2.3</w:t>
            </w:r>
          </w:p>
        </w:tc>
        <w:tc>
          <w:tcPr>
            <w:tcW w:w="2091" w:type="dxa"/>
            <w:tcBorders>
              <w:top w:val="single" w:color="auto" w:sz="4" w:space="0"/>
              <w:left w:val="single" w:color="auto" w:sz="4" w:space="0"/>
              <w:bottom w:val="single" w:color="auto" w:sz="4" w:space="0"/>
              <w:right w:val="single" w:color="auto" w:sz="4" w:space="0"/>
            </w:tcBorders>
            <w:noWrap w:val="0"/>
            <w:vAlign w:val="center"/>
          </w:tcPr>
          <w:p w14:paraId="70F50BFE">
            <w:pPr>
              <w:keepNext w:val="0"/>
              <w:keepLines w:val="0"/>
              <w:pageBreakBefore w:val="0"/>
              <w:widowControl/>
              <w:kinsoku/>
              <w:wordWrap/>
              <w:overflowPunct/>
              <w:autoSpaceDE/>
              <w:autoSpaceDN/>
              <w:bidi w:val="0"/>
              <w:spacing w:line="440" w:lineRule="exact"/>
              <w:ind w:firstLine="0" w:firstLineChars="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是否退还投标文件</w:t>
            </w:r>
          </w:p>
        </w:tc>
        <w:tc>
          <w:tcPr>
            <w:tcW w:w="6345" w:type="dxa"/>
            <w:tcBorders>
              <w:top w:val="single" w:color="auto" w:sz="4" w:space="0"/>
              <w:left w:val="single" w:color="auto" w:sz="4" w:space="0"/>
              <w:bottom w:val="single" w:color="auto" w:sz="4" w:space="0"/>
              <w:right w:val="single" w:color="auto" w:sz="4" w:space="0"/>
            </w:tcBorders>
            <w:noWrap w:val="0"/>
            <w:vAlign w:val="center"/>
          </w:tcPr>
          <w:p w14:paraId="5C4685C5">
            <w:pPr>
              <w:keepNext w:val="0"/>
              <w:keepLines w:val="0"/>
              <w:pageBreakBefore w:val="0"/>
              <w:widowControl/>
              <w:kinsoku/>
              <w:wordWrap/>
              <w:overflowPunct/>
              <w:autoSpaceDE/>
              <w:autoSpaceDN/>
              <w:bidi w:val="0"/>
              <w:spacing w:line="440" w:lineRule="exact"/>
              <w:ind w:firstLine="0" w:firstLineChars="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w:t>
            </w:r>
          </w:p>
        </w:tc>
      </w:tr>
      <w:tr w14:paraId="0AAB6F1D">
        <w:tblPrEx>
          <w:tblCellMar>
            <w:top w:w="0" w:type="dxa"/>
            <w:left w:w="108" w:type="dxa"/>
            <w:bottom w:w="0" w:type="dxa"/>
            <w:right w:w="108" w:type="dxa"/>
          </w:tblCellMar>
        </w:tblPrEx>
        <w:trPr>
          <w:trHeight w:val="880" w:hRule="atLeast"/>
          <w:jc w:val="center"/>
        </w:trPr>
        <w:tc>
          <w:tcPr>
            <w:tcW w:w="1165" w:type="dxa"/>
            <w:tcBorders>
              <w:top w:val="single" w:color="auto" w:sz="4" w:space="0"/>
              <w:left w:val="single" w:color="auto" w:sz="4" w:space="0"/>
              <w:right w:val="single" w:color="auto" w:sz="4" w:space="0"/>
            </w:tcBorders>
            <w:noWrap w:val="0"/>
            <w:vAlign w:val="center"/>
          </w:tcPr>
          <w:p w14:paraId="2D92562E">
            <w:pPr>
              <w:keepNext w:val="0"/>
              <w:keepLines w:val="0"/>
              <w:pageBreakBefore w:val="0"/>
              <w:widowControl/>
              <w:kinsoku/>
              <w:wordWrap/>
              <w:overflowPunct/>
              <w:autoSpaceDE/>
              <w:autoSpaceDN/>
              <w:bidi w:val="0"/>
              <w:spacing w:line="440" w:lineRule="exact"/>
              <w:ind w:firstLine="0" w:firstLineChars="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5.1</w:t>
            </w:r>
          </w:p>
        </w:tc>
        <w:tc>
          <w:tcPr>
            <w:tcW w:w="2091" w:type="dxa"/>
            <w:tcBorders>
              <w:top w:val="single" w:color="auto" w:sz="4" w:space="0"/>
              <w:left w:val="single" w:color="auto" w:sz="4" w:space="0"/>
              <w:right w:val="single" w:color="auto" w:sz="4" w:space="0"/>
            </w:tcBorders>
            <w:noWrap w:val="0"/>
            <w:vAlign w:val="center"/>
          </w:tcPr>
          <w:p w14:paraId="4783D7DB">
            <w:pPr>
              <w:keepNext w:val="0"/>
              <w:keepLines w:val="0"/>
              <w:pageBreakBefore w:val="0"/>
              <w:widowControl/>
              <w:kinsoku/>
              <w:wordWrap/>
              <w:overflowPunct/>
              <w:autoSpaceDE/>
              <w:autoSpaceDN/>
              <w:bidi w:val="0"/>
              <w:spacing w:line="440" w:lineRule="exact"/>
              <w:ind w:firstLine="0" w:firstLineChars="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开标时间和地点</w:t>
            </w:r>
          </w:p>
        </w:tc>
        <w:tc>
          <w:tcPr>
            <w:tcW w:w="6345" w:type="dxa"/>
            <w:tcBorders>
              <w:top w:val="single" w:color="auto" w:sz="4" w:space="0"/>
              <w:left w:val="single" w:color="auto" w:sz="4" w:space="0"/>
              <w:right w:val="single" w:color="auto" w:sz="4" w:space="0"/>
            </w:tcBorders>
            <w:noWrap w:val="0"/>
            <w:vAlign w:val="center"/>
          </w:tcPr>
          <w:p w14:paraId="63678F16">
            <w:pPr>
              <w:keepNext w:val="0"/>
              <w:keepLines w:val="0"/>
              <w:pageBreakBefore w:val="0"/>
              <w:widowControl/>
              <w:kinsoku/>
              <w:wordWrap/>
              <w:overflowPunct/>
              <w:autoSpaceDE/>
              <w:autoSpaceDN/>
              <w:bidi w:val="0"/>
              <w:spacing w:line="440" w:lineRule="exact"/>
              <w:ind w:firstLine="0" w:firstLineChars="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开标时间：同投标截止时间</w:t>
            </w:r>
          </w:p>
          <w:p w14:paraId="62270B29">
            <w:pPr>
              <w:keepNext w:val="0"/>
              <w:keepLines w:val="0"/>
              <w:pageBreakBefore w:val="0"/>
              <w:widowControl/>
              <w:kinsoku/>
              <w:wordWrap/>
              <w:overflowPunct/>
              <w:autoSpaceDE/>
              <w:autoSpaceDN/>
              <w:bidi w:val="0"/>
              <w:spacing w:line="440" w:lineRule="exact"/>
              <w:ind w:firstLine="0" w:firstLineChars="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开标地点： </w:t>
            </w:r>
          </w:p>
        </w:tc>
      </w:tr>
      <w:tr w14:paraId="2DF7056F">
        <w:tblPrEx>
          <w:tblCellMar>
            <w:top w:w="0" w:type="dxa"/>
            <w:left w:w="108" w:type="dxa"/>
            <w:bottom w:w="0" w:type="dxa"/>
            <w:right w:w="108" w:type="dxa"/>
          </w:tblCellMar>
        </w:tblPrEx>
        <w:trPr>
          <w:trHeight w:val="381" w:hRule="atLeast"/>
          <w:jc w:val="center"/>
        </w:trPr>
        <w:tc>
          <w:tcPr>
            <w:tcW w:w="1165" w:type="dxa"/>
            <w:tcBorders>
              <w:top w:val="single" w:color="auto" w:sz="4" w:space="0"/>
              <w:left w:val="single" w:color="auto" w:sz="4" w:space="0"/>
              <w:right w:val="single" w:color="auto" w:sz="4" w:space="0"/>
            </w:tcBorders>
            <w:noWrap w:val="0"/>
            <w:vAlign w:val="center"/>
          </w:tcPr>
          <w:p w14:paraId="600F1F37">
            <w:pPr>
              <w:keepNext w:val="0"/>
              <w:keepLines w:val="0"/>
              <w:pageBreakBefore w:val="0"/>
              <w:widowControl/>
              <w:kinsoku/>
              <w:wordWrap/>
              <w:overflowPunct/>
              <w:autoSpaceDE/>
              <w:autoSpaceDN/>
              <w:bidi w:val="0"/>
              <w:spacing w:line="440" w:lineRule="exact"/>
              <w:ind w:firstLine="0" w:firstLineChars="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5.2</w:t>
            </w:r>
          </w:p>
        </w:tc>
        <w:tc>
          <w:tcPr>
            <w:tcW w:w="2091" w:type="dxa"/>
            <w:tcBorders>
              <w:top w:val="single" w:color="auto" w:sz="4" w:space="0"/>
              <w:left w:val="single" w:color="auto" w:sz="4" w:space="0"/>
              <w:right w:val="single" w:color="auto" w:sz="4" w:space="0"/>
            </w:tcBorders>
            <w:noWrap w:val="0"/>
            <w:vAlign w:val="center"/>
          </w:tcPr>
          <w:p w14:paraId="713F4E90">
            <w:pPr>
              <w:keepNext w:val="0"/>
              <w:keepLines w:val="0"/>
              <w:pageBreakBefore w:val="0"/>
              <w:widowControl/>
              <w:kinsoku/>
              <w:wordWrap/>
              <w:overflowPunct/>
              <w:autoSpaceDE/>
              <w:autoSpaceDN/>
              <w:bidi w:val="0"/>
              <w:spacing w:line="440" w:lineRule="exact"/>
              <w:ind w:firstLine="0" w:firstLineChars="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开标程序</w:t>
            </w:r>
          </w:p>
        </w:tc>
        <w:tc>
          <w:tcPr>
            <w:tcW w:w="6345" w:type="dxa"/>
            <w:tcBorders>
              <w:top w:val="single" w:color="auto" w:sz="4" w:space="0"/>
              <w:left w:val="single" w:color="auto" w:sz="4" w:space="0"/>
              <w:right w:val="single" w:color="auto" w:sz="4" w:space="0"/>
            </w:tcBorders>
            <w:noWrap w:val="0"/>
            <w:vAlign w:val="center"/>
          </w:tcPr>
          <w:p w14:paraId="61D3206C">
            <w:pPr>
              <w:keepNext w:val="0"/>
              <w:keepLines w:val="0"/>
              <w:pageBreakBefore w:val="0"/>
              <w:widowControl/>
              <w:kinsoku/>
              <w:wordWrap/>
              <w:overflowPunct/>
              <w:autoSpaceDE/>
              <w:autoSpaceDN/>
              <w:bidi w:val="0"/>
              <w:spacing w:line="440" w:lineRule="exact"/>
              <w:ind w:firstLine="0" w:firstLineChars="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开标顺序：按照投标文件递交顺序</w:t>
            </w:r>
          </w:p>
        </w:tc>
      </w:tr>
      <w:tr w14:paraId="3A9297EC">
        <w:tblPrEx>
          <w:tblCellMar>
            <w:top w:w="0" w:type="dxa"/>
            <w:left w:w="108" w:type="dxa"/>
            <w:bottom w:w="0" w:type="dxa"/>
            <w:right w:w="108" w:type="dxa"/>
          </w:tblCellMar>
        </w:tblPrEx>
        <w:trPr>
          <w:trHeight w:val="880" w:hRule="atLeast"/>
          <w:jc w:val="center"/>
        </w:trPr>
        <w:tc>
          <w:tcPr>
            <w:tcW w:w="1165" w:type="dxa"/>
            <w:tcBorders>
              <w:top w:val="single" w:color="auto" w:sz="4" w:space="0"/>
              <w:left w:val="single" w:color="auto" w:sz="4" w:space="0"/>
              <w:bottom w:val="single" w:color="auto" w:sz="4" w:space="0"/>
              <w:right w:val="single" w:color="auto" w:sz="4" w:space="0"/>
            </w:tcBorders>
            <w:noWrap w:val="0"/>
            <w:vAlign w:val="center"/>
          </w:tcPr>
          <w:p w14:paraId="01525F0E">
            <w:pPr>
              <w:keepNext w:val="0"/>
              <w:keepLines w:val="0"/>
              <w:pageBreakBefore w:val="0"/>
              <w:widowControl/>
              <w:kinsoku/>
              <w:wordWrap/>
              <w:overflowPunct/>
              <w:autoSpaceDE/>
              <w:autoSpaceDN/>
              <w:bidi w:val="0"/>
              <w:spacing w:line="440" w:lineRule="exact"/>
              <w:ind w:firstLine="0" w:firstLineChars="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6.1.1</w:t>
            </w:r>
          </w:p>
        </w:tc>
        <w:tc>
          <w:tcPr>
            <w:tcW w:w="2091" w:type="dxa"/>
            <w:tcBorders>
              <w:top w:val="single" w:color="auto" w:sz="4" w:space="0"/>
              <w:left w:val="single" w:color="auto" w:sz="4" w:space="0"/>
              <w:bottom w:val="single" w:color="auto" w:sz="4" w:space="0"/>
              <w:right w:val="single" w:color="auto" w:sz="4" w:space="0"/>
            </w:tcBorders>
            <w:noWrap w:val="0"/>
            <w:vAlign w:val="center"/>
          </w:tcPr>
          <w:p w14:paraId="19500D66">
            <w:pPr>
              <w:keepNext w:val="0"/>
              <w:keepLines w:val="0"/>
              <w:pageBreakBefore w:val="0"/>
              <w:widowControl/>
              <w:kinsoku/>
              <w:wordWrap/>
              <w:overflowPunct/>
              <w:autoSpaceDE/>
              <w:autoSpaceDN/>
              <w:bidi w:val="0"/>
              <w:spacing w:line="440" w:lineRule="exact"/>
              <w:ind w:firstLine="0" w:firstLineChars="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评标委员会的组建</w:t>
            </w:r>
          </w:p>
        </w:tc>
        <w:tc>
          <w:tcPr>
            <w:tcW w:w="6345" w:type="dxa"/>
            <w:tcBorders>
              <w:top w:val="single" w:color="auto" w:sz="4" w:space="0"/>
              <w:left w:val="single" w:color="auto" w:sz="4" w:space="0"/>
              <w:bottom w:val="single" w:color="auto" w:sz="4" w:space="0"/>
              <w:right w:val="single" w:color="auto" w:sz="4" w:space="0"/>
            </w:tcBorders>
            <w:noWrap w:val="0"/>
            <w:vAlign w:val="center"/>
          </w:tcPr>
          <w:p w14:paraId="49776C61">
            <w:pPr>
              <w:keepNext w:val="0"/>
              <w:keepLines w:val="0"/>
              <w:pageBreakBefore w:val="0"/>
              <w:widowControl/>
              <w:kinsoku/>
              <w:wordWrap/>
              <w:overflowPunct/>
              <w:autoSpaceDE/>
              <w:autoSpaceDN/>
              <w:bidi w:val="0"/>
              <w:spacing w:line="440" w:lineRule="exact"/>
              <w:ind w:firstLine="0" w:firstLineChars="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评标委员会依法由招标人组建，由招标人或其委托的招标代理机构熟悉相关业务的代表，以及有关技术、经济等方面的专家五人及以上单数组成，其中技术、经济等方面的专家不得少于成员总数的三分之二。</w:t>
            </w:r>
          </w:p>
        </w:tc>
      </w:tr>
      <w:tr w14:paraId="7BC7BC5E">
        <w:tblPrEx>
          <w:tblCellMar>
            <w:top w:w="0" w:type="dxa"/>
            <w:left w:w="108" w:type="dxa"/>
            <w:bottom w:w="0" w:type="dxa"/>
            <w:right w:w="108" w:type="dxa"/>
          </w:tblCellMar>
        </w:tblPrEx>
        <w:trPr>
          <w:trHeight w:val="880" w:hRule="atLeast"/>
          <w:jc w:val="center"/>
        </w:trPr>
        <w:tc>
          <w:tcPr>
            <w:tcW w:w="1165" w:type="dxa"/>
            <w:tcBorders>
              <w:top w:val="single" w:color="auto" w:sz="4" w:space="0"/>
              <w:left w:val="single" w:color="auto" w:sz="4" w:space="0"/>
              <w:bottom w:val="single" w:color="auto" w:sz="4" w:space="0"/>
              <w:right w:val="single" w:color="auto" w:sz="4" w:space="0"/>
            </w:tcBorders>
            <w:noWrap w:val="0"/>
            <w:vAlign w:val="center"/>
          </w:tcPr>
          <w:p w14:paraId="66A65651">
            <w:pPr>
              <w:keepNext w:val="0"/>
              <w:keepLines w:val="0"/>
              <w:pageBreakBefore w:val="0"/>
              <w:widowControl/>
              <w:kinsoku/>
              <w:wordWrap/>
              <w:overflowPunct/>
              <w:autoSpaceDE/>
              <w:autoSpaceDN/>
              <w:bidi w:val="0"/>
              <w:spacing w:line="440" w:lineRule="exact"/>
              <w:ind w:firstLine="0" w:firstLineChars="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7.1</w:t>
            </w:r>
          </w:p>
        </w:tc>
        <w:tc>
          <w:tcPr>
            <w:tcW w:w="2091" w:type="dxa"/>
            <w:tcBorders>
              <w:top w:val="single" w:color="auto" w:sz="4" w:space="0"/>
              <w:left w:val="single" w:color="auto" w:sz="4" w:space="0"/>
              <w:bottom w:val="single" w:color="auto" w:sz="4" w:space="0"/>
              <w:right w:val="single" w:color="auto" w:sz="4" w:space="0"/>
            </w:tcBorders>
            <w:noWrap w:val="0"/>
            <w:vAlign w:val="center"/>
          </w:tcPr>
          <w:p w14:paraId="6754F7B5">
            <w:pPr>
              <w:keepNext w:val="0"/>
              <w:keepLines w:val="0"/>
              <w:pageBreakBefore w:val="0"/>
              <w:widowControl/>
              <w:kinsoku/>
              <w:wordWrap/>
              <w:overflowPunct/>
              <w:autoSpaceDE/>
              <w:autoSpaceDN/>
              <w:bidi w:val="0"/>
              <w:spacing w:line="440" w:lineRule="exact"/>
              <w:ind w:firstLine="0" w:firstLineChars="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是否授权评标委员会确定中标人</w:t>
            </w:r>
          </w:p>
        </w:tc>
        <w:tc>
          <w:tcPr>
            <w:tcW w:w="6345" w:type="dxa"/>
            <w:tcBorders>
              <w:top w:val="single" w:color="auto" w:sz="4" w:space="0"/>
              <w:left w:val="single" w:color="auto" w:sz="4" w:space="0"/>
              <w:bottom w:val="single" w:color="auto" w:sz="4" w:space="0"/>
              <w:right w:val="single" w:color="auto" w:sz="4" w:space="0"/>
            </w:tcBorders>
            <w:noWrap w:val="0"/>
            <w:vAlign w:val="center"/>
          </w:tcPr>
          <w:p w14:paraId="7CDE662C">
            <w:pPr>
              <w:keepNext w:val="0"/>
              <w:keepLines w:val="0"/>
              <w:pageBreakBefore w:val="0"/>
              <w:widowControl/>
              <w:kinsoku/>
              <w:wordWrap/>
              <w:overflowPunct/>
              <w:autoSpaceDE/>
              <w:autoSpaceDN/>
              <w:bidi w:val="0"/>
              <w:spacing w:line="440" w:lineRule="exact"/>
              <w:ind w:firstLine="0" w:firstLineChars="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□是</w:t>
            </w:r>
          </w:p>
          <w:p w14:paraId="141D3284">
            <w:pPr>
              <w:keepNext w:val="0"/>
              <w:keepLines w:val="0"/>
              <w:pageBreakBefore w:val="0"/>
              <w:widowControl/>
              <w:kinsoku/>
              <w:wordWrap/>
              <w:overflowPunct/>
              <w:autoSpaceDE/>
              <w:autoSpaceDN/>
              <w:bidi w:val="0"/>
              <w:spacing w:line="440" w:lineRule="exact"/>
              <w:ind w:firstLine="0" w:firstLineChars="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√否，推荐的中标候选人数：3人</w:t>
            </w:r>
          </w:p>
        </w:tc>
      </w:tr>
      <w:tr w14:paraId="7612F355">
        <w:tblPrEx>
          <w:tblCellMar>
            <w:top w:w="0" w:type="dxa"/>
            <w:left w:w="108" w:type="dxa"/>
            <w:bottom w:w="0" w:type="dxa"/>
            <w:right w:w="108" w:type="dxa"/>
          </w:tblCellMar>
        </w:tblPrEx>
        <w:trPr>
          <w:trHeight w:val="880" w:hRule="atLeast"/>
          <w:jc w:val="center"/>
        </w:trPr>
        <w:tc>
          <w:tcPr>
            <w:tcW w:w="1165" w:type="dxa"/>
            <w:tcBorders>
              <w:top w:val="single" w:color="auto" w:sz="4" w:space="0"/>
              <w:left w:val="single" w:color="auto" w:sz="4" w:space="0"/>
              <w:right w:val="single" w:color="auto" w:sz="4" w:space="0"/>
            </w:tcBorders>
            <w:noWrap w:val="0"/>
            <w:vAlign w:val="center"/>
          </w:tcPr>
          <w:p w14:paraId="6D90C229">
            <w:pPr>
              <w:keepNext w:val="0"/>
              <w:keepLines w:val="0"/>
              <w:pageBreakBefore w:val="0"/>
              <w:widowControl/>
              <w:kinsoku/>
              <w:wordWrap/>
              <w:overflowPunct/>
              <w:autoSpaceDE/>
              <w:autoSpaceDN/>
              <w:bidi w:val="0"/>
              <w:spacing w:line="440" w:lineRule="exact"/>
              <w:ind w:firstLine="0" w:firstLineChars="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7.2</w:t>
            </w:r>
          </w:p>
        </w:tc>
        <w:tc>
          <w:tcPr>
            <w:tcW w:w="2091" w:type="dxa"/>
            <w:tcBorders>
              <w:top w:val="single" w:color="auto" w:sz="4" w:space="0"/>
              <w:left w:val="single" w:color="auto" w:sz="4" w:space="0"/>
              <w:right w:val="single" w:color="auto" w:sz="4" w:space="0"/>
            </w:tcBorders>
            <w:noWrap w:val="0"/>
            <w:vAlign w:val="center"/>
          </w:tcPr>
          <w:p w14:paraId="572F240F">
            <w:pPr>
              <w:keepNext w:val="0"/>
              <w:keepLines w:val="0"/>
              <w:pageBreakBefore w:val="0"/>
              <w:widowControl/>
              <w:kinsoku/>
              <w:wordWrap/>
              <w:overflowPunct/>
              <w:autoSpaceDE/>
              <w:autoSpaceDN/>
              <w:bidi w:val="0"/>
              <w:spacing w:line="440" w:lineRule="exact"/>
              <w:ind w:firstLine="0" w:firstLineChars="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中标候选人公示媒介</w:t>
            </w:r>
          </w:p>
        </w:tc>
        <w:tc>
          <w:tcPr>
            <w:tcW w:w="6345" w:type="dxa"/>
            <w:tcBorders>
              <w:top w:val="single" w:color="auto" w:sz="4" w:space="0"/>
              <w:left w:val="single" w:color="auto" w:sz="4" w:space="0"/>
              <w:right w:val="single" w:color="auto" w:sz="4" w:space="0"/>
            </w:tcBorders>
            <w:noWrap w:val="0"/>
            <w:vAlign w:val="center"/>
          </w:tcPr>
          <w:p w14:paraId="4B2B6E34">
            <w:pPr>
              <w:keepNext w:val="0"/>
              <w:keepLines w:val="0"/>
              <w:pageBreakBefore w:val="0"/>
              <w:widowControl/>
              <w:kinsoku/>
              <w:wordWrap/>
              <w:overflowPunct/>
              <w:autoSpaceDE/>
              <w:autoSpaceDN/>
              <w:bidi w:val="0"/>
              <w:spacing w:line="440" w:lineRule="exact"/>
              <w:ind w:firstLine="0" w:firstLineChars="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辽宁省招标投标监管网、《辽宁建设工程信息网（需点击“新网站入口”）》（http://www.lnzb.cn/lnzbtb/）《辽宁工程咨询招投标交易平台》上发布。</w:t>
            </w:r>
          </w:p>
        </w:tc>
      </w:tr>
      <w:tr w14:paraId="44DA6E48">
        <w:tblPrEx>
          <w:tblCellMar>
            <w:top w:w="0" w:type="dxa"/>
            <w:left w:w="108" w:type="dxa"/>
            <w:bottom w:w="0" w:type="dxa"/>
            <w:right w:w="108" w:type="dxa"/>
          </w:tblCellMar>
        </w:tblPrEx>
        <w:trPr>
          <w:jc w:val="center"/>
        </w:trPr>
        <w:tc>
          <w:tcPr>
            <w:tcW w:w="1165" w:type="dxa"/>
            <w:tcBorders>
              <w:top w:val="single" w:color="auto" w:sz="4" w:space="0"/>
              <w:left w:val="single" w:color="auto" w:sz="4" w:space="0"/>
              <w:bottom w:val="single" w:color="auto" w:sz="4" w:space="0"/>
              <w:right w:val="single" w:color="auto" w:sz="4" w:space="0"/>
            </w:tcBorders>
            <w:noWrap w:val="0"/>
            <w:vAlign w:val="center"/>
          </w:tcPr>
          <w:p w14:paraId="204EF479">
            <w:pPr>
              <w:keepNext w:val="0"/>
              <w:keepLines w:val="0"/>
              <w:pageBreakBefore w:val="0"/>
              <w:widowControl/>
              <w:kinsoku/>
              <w:wordWrap/>
              <w:overflowPunct/>
              <w:autoSpaceDE/>
              <w:autoSpaceDN/>
              <w:bidi w:val="0"/>
              <w:spacing w:line="440" w:lineRule="exact"/>
              <w:ind w:firstLine="0" w:firstLineChars="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7.4.1</w:t>
            </w:r>
          </w:p>
        </w:tc>
        <w:tc>
          <w:tcPr>
            <w:tcW w:w="2091" w:type="dxa"/>
            <w:tcBorders>
              <w:top w:val="single" w:color="auto" w:sz="4" w:space="0"/>
              <w:left w:val="single" w:color="auto" w:sz="4" w:space="0"/>
              <w:bottom w:val="single" w:color="auto" w:sz="4" w:space="0"/>
              <w:right w:val="single" w:color="auto" w:sz="4" w:space="0"/>
            </w:tcBorders>
            <w:noWrap w:val="0"/>
            <w:vAlign w:val="center"/>
          </w:tcPr>
          <w:p w14:paraId="2FFF7395">
            <w:pPr>
              <w:keepNext w:val="0"/>
              <w:keepLines w:val="0"/>
              <w:pageBreakBefore w:val="0"/>
              <w:widowControl/>
              <w:kinsoku/>
              <w:wordWrap/>
              <w:overflowPunct/>
              <w:autoSpaceDE/>
              <w:autoSpaceDN/>
              <w:bidi w:val="0"/>
              <w:spacing w:line="440" w:lineRule="exact"/>
              <w:ind w:firstLine="0" w:firstLineChars="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履约担保</w:t>
            </w:r>
          </w:p>
        </w:tc>
        <w:tc>
          <w:tcPr>
            <w:tcW w:w="6345" w:type="dxa"/>
            <w:tcBorders>
              <w:top w:val="single" w:color="auto" w:sz="4" w:space="0"/>
              <w:left w:val="single" w:color="auto" w:sz="4" w:space="0"/>
              <w:bottom w:val="single" w:color="auto" w:sz="4" w:space="0"/>
              <w:right w:val="single" w:color="auto" w:sz="4" w:space="0"/>
            </w:tcBorders>
            <w:noWrap w:val="0"/>
            <w:vAlign w:val="center"/>
          </w:tcPr>
          <w:p w14:paraId="5BCCD762">
            <w:pPr>
              <w:keepNext w:val="0"/>
              <w:keepLines w:val="0"/>
              <w:pageBreakBefore w:val="0"/>
              <w:widowControl/>
              <w:kinsoku/>
              <w:wordWrap/>
              <w:overflowPunct/>
              <w:autoSpaceDE/>
              <w:autoSpaceDN/>
              <w:bidi w:val="0"/>
              <w:spacing w:line="440" w:lineRule="exact"/>
              <w:ind w:firstLine="0" w:firstLineChars="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履约担保形式：电汇或保函。</w:t>
            </w:r>
          </w:p>
          <w:p w14:paraId="6473300B">
            <w:pPr>
              <w:keepNext w:val="0"/>
              <w:keepLines w:val="0"/>
              <w:pageBreakBefore w:val="0"/>
              <w:widowControl/>
              <w:kinsoku/>
              <w:wordWrap/>
              <w:overflowPunct/>
              <w:autoSpaceDE/>
              <w:autoSpaceDN/>
              <w:bidi w:val="0"/>
              <w:spacing w:line="440" w:lineRule="exact"/>
              <w:ind w:firstLine="0" w:firstLineChars="0"/>
              <w:jc w:val="left"/>
              <w:textAlignment w:val="auto"/>
              <w:rPr>
                <w:rFonts w:hint="eastAsia" w:ascii="仿宋" w:hAnsi="仿宋" w:eastAsia="仿宋" w:cs="仿宋"/>
                <w:color w:val="auto"/>
                <w:sz w:val="24"/>
                <w:szCs w:val="24"/>
                <w:highlight w:val="none"/>
              </w:rPr>
            </w:pPr>
            <w:r>
              <w:rPr>
                <w:rFonts w:hint="eastAsia" w:ascii="仿宋" w:hAnsi="仿宋" w:cs="仿宋"/>
                <w:color w:val="auto"/>
                <w:sz w:val="24"/>
                <w:szCs w:val="24"/>
                <w:highlight w:val="none"/>
                <w:lang w:val="en-US" w:eastAsia="zh-CN"/>
              </w:rPr>
              <w:t>施工期履约担保：中标施工费（建安工程费+设备集成供货及服务费）的5%（中标人应在取得中标通知书后，签订合同前提交履约担保，承包人应保证其履约担保在运营履约保函开具前有效。否则招标人有权取消其中标资格。）</w:t>
            </w:r>
          </w:p>
          <w:p w14:paraId="6CD6525A">
            <w:pPr>
              <w:keepNext w:val="0"/>
              <w:keepLines w:val="0"/>
              <w:pageBreakBefore w:val="0"/>
              <w:widowControl/>
              <w:kinsoku/>
              <w:wordWrap/>
              <w:overflowPunct/>
              <w:autoSpaceDE/>
              <w:autoSpaceDN/>
              <w:bidi w:val="0"/>
              <w:spacing w:line="440" w:lineRule="exact"/>
              <w:ind w:firstLine="0" w:firstLineChars="0"/>
              <w:jc w:val="left"/>
              <w:textAlignment w:val="auto"/>
              <w:rPr>
                <w:rFonts w:hint="default" w:ascii="仿宋" w:hAnsi="仿宋" w:eastAsia="仿宋" w:cs="仿宋"/>
                <w:color w:val="auto"/>
                <w:sz w:val="24"/>
                <w:szCs w:val="24"/>
                <w:highlight w:val="none"/>
                <w:lang w:val="en-US" w:eastAsia="zh-CN"/>
              </w:rPr>
            </w:pPr>
            <w:r>
              <w:rPr>
                <w:rFonts w:hint="eastAsia" w:ascii="仿宋" w:hAnsi="仿宋" w:cs="仿宋"/>
                <w:color w:val="auto"/>
                <w:sz w:val="24"/>
                <w:szCs w:val="24"/>
                <w:highlight w:val="none"/>
                <w:lang w:val="en-US" w:eastAsia="zh-CN"/>
              </w:rPr>
              <w:t>运营期履约担保：中标运营服务费的5%（中标人应在工程竣工后，运营项目移交前提交履约担保，担保期限至运营期届满。）</w:t>
            </w:r>
          </w:p>
        </w:tc>
      </w:tr>
      <w:tr w14:paraId="5EA46F4E">
        <w:tblPrEx>
          <w:tblCellMar>
            <w:top w:w="0" w:type="dxa"/>
            <w:left w:w="108" w:type="dxa"/>
            <w:bottom w:w="0" w:type="dxa"/>
            <w:right w:w="108" w:type="dxa"/>
          </w:tblCellMar>
        </w:tblPrEx>
        <w:trPr>
          <w:jc w:val="center"/>
        </w:trPr>
        <w:tc>
          <w:tcPr>
            <w:tcW w:w="9601" w:type="dxa"/>
            <w:gridSpan w:val="3"/>
            <w:tcBorders>
              <w:top w:val="single" w:color="auto" w:sz="4" w:space="0"/>
              <w:left w:val="single" w:color="auto" w:sz="4" w:space="0"/>
              <w:bottom w:val="single" w:color="auto" w:sz="4" w:space="0"/>
              <w:right w:val="single" w:color="auto" w:sz="4" w:space="0"/>
            </w:tcBorders>
            <w:noWrap w:val="0"/>
            <w:vAlign w:val="center"/>
          </w:tcPr>
          <w:p w14:paraId="1BBA48FC">
            <w:pPr>
              <w:keepNext w:val="0"/>
              <w:keepLines w:val="0"/>
              <w:pageBreakBefore w:val="0"/>
              <w:widowControl/>
              <w:kinsoku/>
              <w:wordWrap/>
              <w:overflowPunct/>
              <w:autoSpaceDE/>
              <w:autoSpaceDN/>
              <w:bidi w:val="0"/>
              <w:spacing w:line="440" w:lineRule="exact"/>
              <w:ind w:firstLine="0" w:firstLineChars="0"/>
              <w:jc w:val="left"/>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需要补充的其他内容</w:t>
            </w:r>
          </w:p>
        </w:tc>
      </w:tr>
      <w:tr w14:paraId="71996CA4">
        <w:tblPrEx>
          <w:tblCellMar>
            <w:top w:w="0" w:type="dxa"/>
            <w:left w:w="108" w:type="dxa"/>
            <w:bottom w:w="0" w:type="dxa"/>
            <w:right w:w="108" w:type="dxa"/>
          </w:tblCellMar>
        </w:tblPrEx>
        <w:trPr>
          <w:jc w:val="center"/>
        </w:trPr>
        <w:tc>
          <w:tcPr>
            <w:tcW w:w="1165" w:type="dxa"/>
            <w:tcBorders>
              <w:top w:val="single" w:color="auto" w:sz="4" w:space="0"/>
              <w:left w:val="single" w:color="auto" w:sz="4" w:space="0"/>
              <w:bottom w:val="single" w:color="auto" w:sz="4" w:space="0"/>
              <w:right w:val="single" w:color="auto" w:sz="4" w:space="0"/>
            </w:tcBorders>
            <w:noWrap w:val="0"/>
            <w:vAlign w:val="center"/>
          </w:tcPr>
          <w:p w14:paraId="465BEE09">
            <w:pPr>
              <w:keepNext w:val="0"/>
              <w:keepLines w:val="0"/>
              <w:pageBreakBefore w:val="0"/>
              <w:widowControl/>
              <w:kinsoku/>
              <w:wordWrap/>
              <w:overflowPunct/>
              <w:autoSpaceDE/>
              <w:autoSpaceDN/>
              <w:bidi w:val="0"/>
              <w:spacing w:line="440" w:lineRule="exact"/>
              <w:ind w:firstLine="0" w:firstLineChars="0"/>
              <w:jc w:val="left"/>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9</w:t>
            </w:r>
          </w:p>
        </w:tc>
        <w:tc>
          <w:tcPr>
            <w:tcW w:w="8436" w:type="dxa"/>
            <w:gridSpan w:val="2"/>
            <w:tcBorders>
              <w:top w:val="single" w:color="auto" w:sz="4" w:space="0"/>
              <w:left w:val="single" w:color="auto" w:sz="4" w:space="0"/>
              <w:bottom w:val="single" w:color="auto" w:sz="4" w:space="0"/>
              <w:right w:val="single" w:color="auto" w:sz="4" w:space="0"/>
            </w:tcBorders>
            <w:noWrap w:val="0"/>
            <w:vAlign w:val="center"/>
          </w:tcPr>
          <w:p w14:paraId="2E89330B">
            <w:pPr>
              <w:keepNext w:val="0"/>
              <w:keepLines w:val="0"/>
              <w:pageBreakBefore w:val="0"/>
              <w:widowControl/>
              <w:kinsoku/>
              <w:wordWrap/>
              <w:overflowPunct/>
              <w:autoSpaceDE/>
              <w:autoSpaceDN/>
              <w:bidi w:val="0"/>
              <w:spacing w:line="440" w:lineRule="exact"/>
              <w:ind w:firstLine="0" w:firstLineChars="0"/>
              <w:jc w:val="left"/>
              <w:textAlignment w:val="auto"/>
              <w:rPr>
                <w:rFonts w:hint="eastAsia" w:ascii="仿宋" w:hAnsi="仿宋" w:eastAsia="仿宋" w:cs="仿宋"/>
                <w:b/>
                <w:color w:val="auto"/>
                <w:sz w:val="24"/>
                <w:szCs w:val="24"/>
                <w:highlight w:val="none"/>
              </w:rPr>
            </w:pPr>
          </w:p>
        </w:tc>
      </w:tr>
      <w:tr w14:paraId="5D3BCC39">
        <w:tblPrEx>
          <w:tblCellMar>
            <w:top w:w="0" w:type="dxa"/>
            <w:left w:w="108" w:type="dxa"/>
            <w:bottom w:w="0" w:type="dxa"/>
            <w:right w:w="108" w:type="dxa"/>
          </w:tblCellMar>
        </w:tblPrEx>
        <w:trPr>
          <w:jc w:val="center"/>
        </w:trPr>
        <w:tc>
          <w:tcPr>
            <w:tcW w:w="1165" w:type="dxa"/>
            <w:tcBorders>
              <w:top w:val="single" w:color="auto" w:sz="4" w:space="0"/>
              <w:left w:val="single" w:color="auto" w:sz="4" w:space="0"/>
              <w:bottom w:val="single" w:color="auto" w:sz="4" w:space="0"/>
              <w:right w:val="single" w:color="auto" w:sz="4" w:space="0"/>
            </w:tcBorders>
            <w:noWrap w:val="0"/>
            <w:vAlign w:val="center"/>
          </w:tcPr>
          <w:p w14:paraId="035A144E">
            <w:pPr>
              <w:keepNext w:val="0"/>
              <w:keepLines w:val="0"/>
              <w:pageBreakBefore w:val="0"/>
              <w:widowControl/>
              <w:kinsoku/>
              <w:wordWrap/>
              <w:overflowPunct/>
              <w:autoSpaceDE/>
              <w:autoSpaceDN/>
              <w:bidi w:val="0"/>
              <w:spacing w:line="440" w:lineRule="exact"/>
              <w:ind w:firstLine="0" w:firstLineChars="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9.1</w:t>
            </w:r>
          </w:p>
        </w:tc>
        <w:tc>
          <w:tcPr>
            <w:tcW w:w="2091" w:type="dxa"/>
            <w:tcBorders>
              <w:top w:val="single" w:color="auto" w:sz="4" w:space="0"/>
              <w:left w:val="single" w:color="auto" w:sz="4" w:space="0"/>
              <w:bottom w:val="single" w:color="auto" w:sz="4" w:space="0"/>
              <w:right w:val="single" w:color="auto" w:sz="4" w:space="0"/>
            </w:tcBorders>
            <w:noWrap w:val="0"/>
            <w:vAlign w:val="center"/>
          </w:tcPr>
          <w:p w14:paraId="789C985C">
            <w:pPr>
              <w:keepNext w:val="0"/>
              <w:keepLines w:val="0"/>
              <w:pageBreakBefore w:val="0"/>
              <w:widowControl/>
              <w:kinsoku/>
              <w:wordWrap/>
              <w:overflowPunct/>
              <w:autoSpaceDE/>
              <w:autoSpaceDN/>
              <w:bidi w:val="0"/>
              <w:spacing w:line="440" w:lineRule="exact"/>
              <w:ind w:firstLine="0" w:firstLineChars="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电子招标投标</w:t>
            </w:r>
          </w:p>
        </w:tc>
        <w:tc>
          <w:tcPr>
            <w:tcW w:w="6345" w:type="dxa"/>
            <w:tcBorders>
              <w:top w:val="single" w:color="auto" w:sz="4" w:space="0"/>
              <w:left w:val="single" w:color="auto" w:sz="4" w:space="0"/>
              <w:bottom w:val="single" w:color="auto" w:sz="4" w:space="0"/>
              <w:right w:val="single" w:color="auto" w:sz="4" w:space="0"/>
            </w:tcBorders>
            <w:noWrap w:val="0"/>
            <w:vAlign w:val="center"/>
          </w:tcPr>
          <w:p w14:paraId="6B93A8D7">
            <w:pPr>
              <w:keepNext w:val="0"/>
              <w:keepLines w:val="0"/>
              <w:pageBreakBefore w:val="0"/>
              <w:widowControl/>
              <w:kinsoku/>
              <w:wordWrap/>
              <w:overflowPunct/>
              <w:autoSpaceDE/>
              <w:autoSpaceDN/>
              <w:bidi w:val="0"/>
              <w:spacing w:line="440" w:lineRule="exact"/>
              <w:ind w:firstLine="0" w:firstLineChars="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否</w:t>
            </w:r>
          </w:p>
          <w:p w14:paraId="165E4E8B">
            <w:pPr>
              <w:keepNext w:val="0"/>
              <w:keepLines w:val="0"/>
              <w:pageBreakBefore w:val="0"/>
              <w:widowControl/>
              <w:kinsoku/>
              <w:wordWrap/>
              <w:overflowPunct/>
              <w:autoSpaceDE/>
              <w:autoSpaceDN/>
              <w:bidi w:val="0"/>
              <w:spacing w:line="440" w:lineRule="exact"/>
              <w:ind w:firstLine="0" w:firstLineChars="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√是，</w:t>
            </w:r>
          </w:p>
        </w:tc>
      </w:tr>
      <w:tr w14:paraId="09AB5D48">
        <w:tblPrEx>
          <w:tblCellMar>
            <w:top w:w="0" w:type="dxa"/>
            <w:left w:w="108" w:type="dxa"/>
            <w:bottom w:w="0" w:type="dxa"/>
            <w:right w:w="108" w:type="dxa"/>
          </w:tblCellMar>
        </w:tblPrEx>
        <w:trPr>
          <w:jc w:val="center"/>
        </w:trPr>
        <w:tc>
          <w:tcPr>
            <w:tcW w:w="1165" w:type="dxa"/>
            <w:tcBorders>
              <w:top w:val="single" w:color="auto" w:sz="4" w:space="0"/>
              <w:left w:val="single" w:color="auto" w:sz="4" w:space="0"/>
              <w:bottom w:val="single" w:color="auto" w:sz="4" w:space="0"/>
              <w:right w:val="single" w:color="auto" w:sz="4" w:space="0"/>
            </w:tcBorders>
            <w:noWrap w:val="0"/>
            <w:vAlign w:val="center"/>
          </w:tcPr>
          <w:p w14:paraId="25857CCC">
            <w:pPr>
              <w:keepNext w:val="0"/>
              <w:keepLines w:val="0"/>
              <w:pageBreakBefore w:val="0"/>
              <w:widowControl/>
              <w:kinsoku/>
              <w:wordWrap/>
              <w:overflowPunct/>
              <w:autoSpaceDE/>
              <w:autoSpaceDN/>
              <w:bidi w:val="0"/>
              <w:spacing w:line="440" w:lineRule="exact"/>
              <w:ind w:firstLine="0" w:firstLineChars="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9.2</w:t>
            </w:r>
          </w:p>
        </w:tc>
        <w:tc>
          <w:tcPr>
            <w:tcW w:w="2091" w:type="dxa"/>
            <w:tcBorders>
              <w:top w:val="single" w:color="auto" w:sz="4" w:space="0"/>
              <w:left w:val="single" w:color="auto" w:sz="4" w:space="0"/>
              <w:bottom w:val="single" w:color="auto" w:sz="4" w:space="0"/>
              <w:right w:val="single" w:color="auto" w:sz="4" w:space="0"/>
            </w:tcBorders>
            <w:noWrap w:val="0"/>
            <w:vAlign w:val="center"/>
          </w:tcPr>
          <w:p w14:paraId="1362B376">
            <w:pPr>
              <w:keepNext w:val="0"/>
              <w:keepLines w:val="0"/>
              <w:pageBreakBefore w:val="0"/>
              <w:widowControl/>
              <w:kinsoku/>
              <w:wordWrap/>
              <w:overflowPunct/>
              <w:autoSpaceDE/>
              <w:autoSpaceDN/>
              <w:bidi w:val="0"/>
              <w:spacing w:line="360" w:lineRule="auto"/>
              <w:ind w:firstLine="0" w:firstLineChars="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招标代理服务费、交易中心服务费</w:t>
            </w:r>
          </w:p>
        </w:tc>
        <w:tc>
          <w:tcPr>
            <w:tcW w:w="6345" w:type="dxa"/>
            <w:tcBorders>
              <w:top w:val="single" w:color="auto" w:sz="4" w:space="0"/>
              <w:left w:val="single" w:color="auto" w:sz="4" w:space="0"/>
              <w:bottom w:val="single" w:color="auto" w:sz="4" w:space="0"/>
              <w:right w:val="single" w:color="auto" w:sz="4" w:space="0"/>
            </w:tcBorders>
            <w:noWrap w:val="0"/>
            <w:vAlign w:val="center"/>
          </w:tcPr>
          <w:p w14:paraId="608B75CF">
            <w:pPr>
              <w:keepNext w:val="0"/>
              <w:keepLines w:val="0"/>
              <w:pageBreakBefore w:val="0"/>
              <w:widowControl/>
              <w:kinsoku/>
              <w:wordWrap/>
              <w:overflowPunct/>
              <w:autoSpaceDE/>
              <w:autoSpaceDN/>
              <w:bidi w:val="0"/>
              <w:spacing w:line="360" w:lineRule="auto"/>
              <w:ind w:left="19" w:leftChars="8" w:firstLine="0" w:firstLineChars="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bdr w:val="single" w:color="auto" w:sz="4" w:space="0"/>
              </w:rPr>
              <w:t>√</w:t>
            </w:r>
            <w:r>
              <w:rPr>
                <w:rFonts w:hint="eastAsia" w:ascii="仿宋" w:hAnsi="仿宋" w:eastAsia="仿宋" w:cs="仿宋"/>
                <w:color w:val="auto"/>
                <w:sz w:val="24"/>
                <w:szCs w:val="24"/>
                <w:highlight w:val="none"/>
              </w:rPr>
              <w:t>中标人支付。</w:t>
            </w:r>
          </w:p>
          <w:p w14:paraId="17232017">
            <w:pPr>
              <w:keepNext w:val="0"/>
              <w:keepLines w:val="0"/>
              <w:pageBreakBefore w:val="0"/>
              <w:widowControl/>
              <w:kinsoku/>
              <w:wordWrap/>
              <w:overflowPunct/>
              <w:autoSpaceDE/>
              <w:autoSpaceDN/>
              <w:bidi w:val="0"/>
              <w:spacing w:line="360" w:lineRule="auto"/>
              <w:ind w:left="19" w:leftChars="8" w:firstLine="0" w:firstLineChars="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中标人须向招标代理机构按如下标准和规定缴纳招标代理服务费：</w:t>
            </w:r>
          </w:p>
          <w:p w14:paraId="3ECF1253">
            <w:pPr>
              <w:keepNext w:val="0"/>
              <w:keepLines w:val="0"/>
              <w:pageBreakBefore w:val="0"/>
              <w:widowControl/>
              <w:kinsoku/>
              <w:wordWrap/>
              <w:overflowPunct/>
              <w:autoSpaceDE/>
              <w:autoSpaceDN/>
              <w:bidi w:val="0"/>
              <w:spacing w:line="360" w:lineRule="auto"/>
              <w:ind w:left="19" w:leftChars="8" w:firstLine="0" w:firstLineChars="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（1）招标代理服务费收取标准参照国家发改委“计价格[2002]1980号”文，以中标的EPC+O投标总价为计算基数，按工程类标准向中标人收取服务费。</w:t>
            </w:r>
          </w:p>
          <w:p w14:paraId="36282C1D">
            <w:pPr>
              <w:keepNext w:val="0"/>
              <w:keepLines w:val="0"/>
              <w:pageBreakBefore w:val="0"/>
              <w:widowControl/>
              <w:kinsoku/>
              <w:wordWrap/>
              <w:overflowPunct/>
              <w:autoSpaceDE/>
              <w:autoSpaceDN/>
              <w:bidi w:val="0"/>
              <w:spacing w:line="360" w:lineRule="auto"/>
              <w:ind w:left="19" w:leftChars="8" w:firstLine="0" w:firstLineChars="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（2）招标服务费的交纳形式：在收到《中标通知书》时按以上规定，以电汇或现金形式向招标代理机构一次性缴清招标服务费。</w:t>
            </w:r>
          </w:p>
          <w:p w14:paraId="56C90819">
            <w:pPr>
              <w:keepNext w:val="0"/>
              <w:keepLines w:val="0"/>
              <w:pageBreakBefore w:val="0"/>
              <w:widowControl/>
              <w:kinsoku/>
              <w:wordWrap/>
              <w:overflowPunct/>
              <w:autoSpaceDE/>
              <w:autoSpaceDN/>
              <w:bidi w:val="0"/>
              <w:spacing w:line="360" w:lineRule="auto"/>
              <w:ind w:left="19" w:leftChars="8" w:firstLine="0" w:firstLineChars="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交易中心服务费：根据辽发改价格 (2023) 128 号文件规定计取交易中心服务费，本项目交易中心服务费由中标人支付，但此项费用不得在投标报价中单列。</w:t>
            </w:r>
          </w:p>
        </w:tc>
      </w:tr>
      <w:tr w14:paraId="5BDED608">
        <w:tblPrEx>
          <w:tblCellMar>
            <w:top w:w="0" w:type="dxa"/>
            <w:left w:w="108" w:type="dxa"/>
            <w:bottom w:w="0" w:type="dxa"/>
            <w:right w:w="108" w:type="dxa"/>
          </w:tblCellMar>
        </w:tblPrEx>
        <w:trPr>
          <w:jc w:val="center"/>
        </w:trPr>
        <w:tc>
          <w:tcPr>
            <w:tcW w:w="1165" w:type="dxa"/>
            <w:tcBorders>
              <w:top w:val="single" w:color="auto" w:sz="4" w:space="0"/>
              <w:left w:val="single" w:color="auto" w:sz="4" w:space="0"/>
              <w:bottom w:val="single" w:color="auto" w:sz="4" w:space="0"/>
              <w:right w:val="single" w:color="auto" w:sz="4" w:space="0"/>
            </w:tcBorders>
            <w:noWrap w:val="0"/>
            <w:vAlign w:val="center"/>
          </w:tcPr>
          <w:p w14:paraId="4C46D4D8">
            <w:pPr>
              <w:keepNext w:val="0"/>
              <w:keepLines w:val="0"/>
              <w:pageBreakBefore w:val="0"/>
              <w:widowControl/>
              <w:kinsoku/>
              <w:wordWrap/>
              <w:overflowPunct/>
              <w:autoSpaceDE/>
              <w:autoSpaceDN/>
              <w:bidi w:val="0"/>
              <w:spacing w:line="440" w:lineRule="exact"/>
              <w:ind w:firstLine="0" w:firstLineChars="0"/>
              <w:jc w:val="left"/>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10</w:t>
            </w:r>
          </w:p>
        </w:tc>
        <w:tc>
          <w:tcPr>
            <w:tcW w:w="8436" w:type="dxa"/>
            <w:gridSpan w:val="2"/>
            <w:tcBorders>
              <w:top w:val="single" w:color="auto" w:sz="4" w:space="0"/>
              <w:left w:val="single" w:color="auto" w:sz="4" w:space="0"/>
              <w:bottom w:val="single" w:color="auto" w:sz="4" w:space="0"/>
              <w:right w:val="single" w:color="auto" w:sz="4" w:space="0"/>
            </w:tcBorders>
            <w:noWrap w:val="0"/>
            <w:vAlign w:val="center"/>
          </w:tcPr>
          <w:p w14:paraId="36E16C41">
            <w:pPr>
              <w:keepNext w:val="0"/>
              <w:keepLines w:val="0"/>
              <w:pageBreakBefore w:val="0"/>
              <w:widowControl/>
              <w:kinsoku/>
              <w:wordWrap/>
              <w:overflowPunct/>
              <w:autoSpaceDE/>
              <w:autoSpaceDN/>
              <w:bidi w:val="0"/>
              <w:adjustRightInd w:val="0"/>
              <w:snapToGrid w:val="0"/>
              <w:spacing w:line="360" w:lineRule="auto"/>
              <w:ind w:firstLine="0" w:firstLineChars="0"/>
              <w:jc w:val="left"/>
              <w:textAlignment w:val="auto"/>
              <w:rPr>
                <w:rFonts w:hint="eastAsia" w:ascii="仿宋" w:hAnsi="仿宋" w:eastAsia="仿宋" w:cs="仿宋"/>
                <w:b/>
                <w:color w:val="auto"/>
                <w:sz w:val="24"/>
                <w:szCs w:val="24"/>
                <w:highlight w:val="none"/>
              </w:rPr>
            </w:pPr>
          </w:p>
        </w:tc>
      </w:tr>
      <w:tr w14:paraId="2045F5DE">
        <w:tblPrEx>
          <w:tblCellMar>
            <w:top w:w="0" w:type="dxa"/>
            <w:left w:w="108" w:type="dxa"/>
            <w:bottom w:w="0" w:type="dxa"/>
            <w:right w:w="108" w:type="dxa"/>
          </w:tblCellMar>
        </w:tblPrEx>
        <w:trPr>
          <w:jc w:val="center"/>
        </w:trPr>
        <w:tc>
          <w:tcPr>
            <w:tcW w:w="1165" w:type="dxa"/>
            <w:tcBorders>
              <w:top w:val="single" w:color="auto" w:sz="4" w:space="0"/>
              <w:left w:val="single" w:color="auto" w:sz="4" w:space="0"/>
              <w:bottom w:val="single" w:color="auto" w:sz="4" w:space="0"/>
              <w:right w:val="single" w:color="auto" w:sz="4" w:space="0"/>
            </w:tcBorders>
            <w:noWrap w:val="0"/>
            <w:vAlign w:val="center"/>
          </w:tcPr>
          <w:p w14:paraId="476089FC">
            <w:pPr>
              <w:keepNext w:val="0"/>
              <w:keepLines w:val="0"/>
              <w:pageBreakBefore w:val="0"/>
              <w:widowControl/>
              <w:kinsoku/>
              <w:wordWrap/>
              <w:overflowPunct/>
              <w:autoSpaceDE/>
              <w:autoSpaceDN/>
              <w:bidi w:val="0"/>
              <w:spacing w:line="440" w:lineRule="exact"/>
              <w:ind w:firstLine="0" w:firstLineChars="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10.1</w:t>
            </w:r>
          </w:p>
        </w:tc>
        <w:tc>
          <w:tcPr>
            <w:tcW w:w="8436" w:type="dxa"/>
            <w:gridSpan w:val="2"/>
            <w:tcBorders>
              <w:top w:val="single" w:color="auto" w:sz="4" w:space="0"/>
              <w:left w:val="single" w:color="auto" w:sz="4" w:space="0"/>
              <w:bottom w:val="single" w:color="auto" w:sz="4" w:space="0"/>
              <w:right w:val="single" w:color="auto" w:sz="4" w:space="0"/>
            </w:tcBorders>
            <w:noWrap w:val="0"/>
            <w:vAlign w:val="center"/>
          </w:tcPr>
          <w:p w14:paraId="583C54DE">
            <w:pPr>
              <w:keepNext w:val="0"/>
              <w:keepLines w:val="0"/>
              <w:pageBreakBefore w:val="0"/>
              <w:widowControl/>
              <w:kinsoku/>
              <w:wordWrap/>
              <w:overflowPunct/>
              <w:autoSpaceDE/>
              <w:autoSpaceDN/>
              <w:bidi w:val="0"/>
              <w:adjustRightInd w:val="0"/>
              <w:snapToGrid w:val="0"/>
              <w:spacing w:line="336" w:lineRule="auto"/>
              <w:ind w:firstLine="0" w:firstLineChars="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签约合同价：即投标人投标时填报的EPC+O总包投标总价，由投标人根据投标时填报的设计费、施工费（</w:t>
            </w:r>
            <w:r>
              <w:rPr>
                <w:rFonts w:hint="eastAsia" w:ascii="仿宋" w:hAnsi="仿宋" w:eastAsia="仿宋" w:cs="仿宋"/>
                <w:bCs/>
                <w:color w:val="auto"/>
                <w:sz w:val="24"/>
                <w:szCs w:val="24"/>
                <w:highlight w:val="none"/>
              </w:rPr>
              <w:t>包含建安工程费用、设备集成供货及服务</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eastAsia="zh-CN"/>
              </w:rPr>
              <w:t>、</w:t>
            </w:r>
            <w:r>
              <w:rPr>
                <w:rFonts w:hint="eastAsia" w:ascii="仿宋" w:hAnsi="仿宋" w:eastAsia="仿宋" w:cs="仿宋"/>
                <w:bCs/>
                <w:color w:val="auto"/>
                <w:sz w:val="24"/>
                <w:szCs w:val="24"/>
                <w:highlight w:val="none"/>
              </w:rPr>
              <w:t>运营服务费、预备费</w:t>
            </w:r>
            <w:r>
              <w:rPr>
                <w:rFonts w:hint="eastAsia" w:ascii="仿宋" w:hAnsi="仿宋" w:eastAsia="仿宋" w:cs="仿宋"/>
                <w:color w:val="auto"/>
                <w:sz w:val="24"/>
                <w:szCs w:val="24"/>
                <w:highlight w:val="none"/>
              </w:rPr>
              <w:t>的总计。</w:t>
            </w:r>
          </w:p>
        </w:tc>
      </w:tr>
      <w:tr w14:paraId="7C56CE27">
        <w:tblPrEx>
          <w:tblCellMar>
            <w:top w:w="0" w:type="dxa"/>
            <w:left w:w="108" w:type="dxa"/>
            <w:bottom w:w="0" w:type="dxa"/>
            <w:right w:w="108" w:type="dxa"/>
          </w:tblCellMar>
        </w:tblPrEx>
        <w:trPr>
          <w:jc w:val="center"/>
        </w:trPr>
        <w:tc>
          <w:tcPr>
            <w:tcW w:w="1165" w:type="dxa"/>
            <w:tcBorders>
              <w:top w:val="single" w:color="auto" w:sz="4" w:space="0"/>
              <w:left w:val="single" w:color="auto" w:sz="4" w:space="0"/>
              <w:bottom w:val="single" w:color="auto" w:sz="4" w:space="0"/>
              <w:right w:val="single" w:color="auto" w:sz="4" w:space="0"/>
            </w:tcBorders>
            <w:noWrap w:val="0"/>
            <w:vAlign w:val="center"/>
          </w:tcPr>
          <w:p w14:paraId="7650CCF9">
            <w:pPr>
              <w:keepNext w:val="0"/>
              <w:keepLines w:val="0"/>
              <w:pageBreakBefore w:val="0"/>
              <w:widowControl/>
              <w:kinsoku/>
              <w:wordWrap/>
              <w:overflowPunct/>
              <w:autoSpaceDE/>
              <w:autoSpaceDN/>
              <w:bidi w:val="0"/>
              <w:spacing w:line="440" w:lineRule="exact"/>
              <w:ind w:firstLine="0" w:firstLineChars="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10.2</w:t>
            </w:r>
          </w:p>
        </w:tc>
        <w:tc>
          <w:tcPr>
            <w:tcW w:w="8436" w:type="dxa"/>
            <w:gridSpan w:val="2"/>
            <w:tcBorders>
              <w:top w:val="single" w:color="auto" w:sz="4" w:space="0"/>
              <w:left w:val="single" w:color="auto" w:sz="4" w:space="0"/>
              <w:bottom w:val="single" w:color="auto" w:sz="4" w:space="0"/>
              <w:right w:val="single" w:color="auto" w:sz="4" w:space="0"/>
            </w:tcBorders>
            <w:noWrap w:val="0"/>
            <w:vAlign w:val="center"/>
          </w:tcPr>
          <w:p w14:paraId="5D55FC69">
            <w:pPr>
              <w:keepNext w:val="0"/>
              <w:keepLines w:val="0"/>
              <w:pageBreakBefore w:val="0"/>
              <w:widowControl/>
              <w:kinsoku/>
              <w:wordWrap/>
              <w:overflowPunct/>
              <w:autoSpaceDE/>
              <w:autoSpaceDN/>
              <w:bidi w:val="0"/>
              <w:adjustRightInd w:val="0"/>
              <w:snapToGrid w:val="0"/>
              <w:spacing w:line="336" w:lineRule="auto"/>
              <w:ind w:firstLine="0" w:firstLineChars="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付款方式：详见合同专用条款。</w:t>
            </w:r>
          </w:p>
          <w:p w14:paraId="3B730C38">
            <w:pPr>
              <w:keepNext w:val="0"/>
              <w:keepLines w:val="0"/>
              <w:pageBreakBefore w:val="0"/>
              <w:widowControl/>
              <w:kinsoku/>
              <w:wordWrap/>
              <w:overflowPunct/>
              <w:autoSpaceDE/>
              <w:autoSpaceDN/>
              <w:bidi w:val="0"/>
              <w:adjustRightInd w:val="0"/>
              <w:snapToGrid w:val="0"/>
              <w:spacing w:line="336" w:lineRule="auto"/>
              <w:ind w:firstLine="0" w:firstLineChars="0"/>
              <w:jc w:val="left"/>
              <w:textAlignment w:val="auto"/>
              <w:rPr>
                <w:rFonts w:hint="eastAsia" w:ascii="仿宋" w:hAnsi="仿宋" w:eastAsia="仿宋" w:cs="仿宋"/>
                <w:color w:val="auto"/>
                <w:sz w:val="24"/>
                <w:szCs w:val="24"/>
                <w:highlight w:val="none"/>
              </w:rPr>
            </w:pPr>
            <w:r>
              <w:rPr>
                <w:rFonts w:hint="eastAsia" w:ascii="仿宋" w:hAnsi="仿宋" w:eastAsia="仿宋" w:cs="仿宋"/>
                <w:bCs/>
                <w:color w:val="auto"/>
                <w:sz w:val="24"/>
                <w:szCs w:val="24"/>
                <w:highlight w:val="none"/>
              </w:rPr>
              <w:t>合同方式：本项目为交钥匙工程，合同形式为可调总价合同，</w:t>
            </w:r>
            <w:r>
              <w:rPr>
                <w:rFonts w:hint="eastAsia" w:ascii="仿宋" w:hAnsi="仿宋" w:eastAsia="仿宋" w:cs="仿宋"/>
                <w:color w:val="auto"/>
                <w:sz w:val="24"/>
                <w:szCs w:val="24"/>
                <w:highlight w:val="none"/>
              </w:rPr>
              <w:t>实行</w:t>
            </w:r>
            <w:r>
              <w:rPr>
                <w:rFonts w:hint="eastAsia" w:ascii="仿宋" w:hAnsi="仿宋" w:eastAsia="仿宋" w:cs="仿宋"/>
                <w:bCs/>
                <w:color w:val="auto"/>
                <w:sz w:val="24"/>
                <w:szCs w:val="24"/>
                <w:highlight w:val="none"/>
              </w:rPr>
              <w:t>总价控制，综合单价核算，竣工结算价格不得超过签约合同价，最终以</w:t>
            </w:r>
            <w:r>
              <w:rPr>
                <w:rFonts w:hint="eastAsia" w:ascii="仿宋" w:hAnsi="仿宋" w:cs="仿宋"/>
                <w:bCs/>
                <w:color w:val="auto"/>
                <w:sz w:val="24"/>
                <w:szCs w:val="24"/>
                <w:highlight w:val="none"/>
                <w:lang w:val="en-US" w:eastAsia="zh-CN"/>
              </w:rPr>
              <w:t>发包人</w:t>
            </w:r>
            <w:r>
              <w:rPr>
                <w:rFonts w:hint="eastAsia" w:ascii="仿宋" w:hAnsi="仿宋" w:eastAsia="仿宋" w:cs="仿宋"/>
                <w:bCs/>
                <w:color w:val="auto"/>
                <w:sz w:val="24"/>
                <w:szCs w:val="24"/>
                <w:highlight w:val="none"/>
              </w:rPr>
              <w:t>审定为准。</w:t>
            </w:r>
          </w:p>
          <w:p w14:paraId="4BBFC977">
            <w:pPr>
              <w:keepNext w:val="0"/>
              <w:keepLines w:val="0"/>
              <w:pageBreakBefore w:val="0"/>
              <w:widowControl/>
              <w:kinsoku/>
              <w:wordWrap/>
              <w:overflowPunct/>
              <w:autoSpaceDE/>
              <w:autoSpaceDN/>
              <w:bidi w:val="0"/>
              <w:ind w:firstLine="0" w:firstLineChars="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本次招标采用EPC+O总承包招标，招标人随招标文件提供了本项目的初步设计文本，投标人需在上述提供资料的基础上，对设计内容进行深化（达到施工图深度），并按深化的设计图纸、利用自身经验、结合自身实际情况，填报EPC+O投标总价。</w:t>
            </w:r>
          </w:p>
        </w:tc>
      </w:tr>
      <w:tr w14:paraId="2D984B69">
        <w:tblPrEx>
          <w:tblCellMar>
            <w:top w:w="0" w:type="dxa"/>
            <w:left w:w="108" w:type="dxa"/>
            <w:bottom w:w="0" w:type="dxa"/>
            <w:right w:w="108" w:type="dxa"/>
          </w:tblCellMar>
        </w:tblPrEx>
        <w:trPr>
          <w:jc w:val="center"/>
        </w:trPr>
        <w:tc>
          <w:tcPr>
            <w:tcW w:w="1165" w:type="dxa"/>
            <w:tcBorders>
              <w:top w:val="single" w:color="auto" w:sz="4" w:space="0"/>
              <w:left w:val="single" w:color="auto" w:sz="4" w:space="0"/>
              <w:bottom w:val="single" w:color="auto" w:sz="4" w:space="0"/>
              <w:right w:val="single" w:color="auto" w:sz="4" w:space="0"/>
            </w:tcBorders>
            <w:noWrap w:val="0"/>
            <w:vAlign w:val="center"/>
          </w:tcPr>
          <w:p w14:paraId="642D30D4">
            <w:pPr>
              <w:keepNext w:val="0"/>
              <w:keepLines w:val="0"/>
              <w:pageBreakBefore w:val="0"/>
              <w:widowControl/>
              <w:kinsoku/>
              <w:wordWrap/>
              <w:overflowPunct/>
              <w:autoSpaceDE/>
              <w:autoSpaceDN/>
              <w:bidi w:val="0"/>
              <w:spacing w:line="440" w:lineRule="exact"/>
              <w:ind w:firstLine="0" w:firstLineChars="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10.3</w:t>
            </w:r>
          </w:p>
        </w:tc>
        <w:tc>
          <w:tcPr>
            <w:tcW w:w="8436" w:type="dxa"/>
            <w:gridSpan w:val="2"/>
            <w:tcBorders>
              <w:top w:val="single" w:color="auto" w:sz="4" w:space="0"/>
              <w:left w:val="single" w:color="auto" w:sz="4" w:space="0"/>
              <w:bottom w:val="single" w:color="auto" w:sz="4" w:space="0"/>
              <w:right w:val="single" w:color="auto" w:sz="4" w:space="0"/>
            </w:tcBorders>
            <w:noWrap w:val="0"/>
            <w:vAlign w:val="center"/>
          </w:tcPr>
          <w:p w14:paraId="069ACAC4">
            <w:pPr>
              <w:keepNext w:val="0"/>
              <w:keepLines w:val="0"/>
              <w:pageBreakBefore w:val="0"/>
              <w:widowControl/>
              <w:kinsoku/>
              <w:wordWrap/>
              <w:overflowPunct/>
              <w:autoSpaceDE/>
              <w:autoSpaceDN/>
              <w:bidi w:val="0"/>
              <w:adjustRightInd w:val="0"/>
              <w:snapToGrid w:val="0"/>
              <w:spacing w:line="336" w:lineRule="auto"/>
              <w:ind w:firstLine="0" w:firstLineChars="0"/>
              <w:jc w:val="left"/>
              <w:textAlignment w:val="auto"/>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项目经理（施工负责人、项目负责人）二次身份认证要求：</w:t>
            </w:r>
          </w:p>
          <w:p w14:paraId="32F43C46">
            <w:pPr>
              <w:keepNext w:val="0"/>
              <w:keepLines w:val="0"/>
              <w:pageBreakBefore w:val="0"/>
              <w:widowControl/>
              <w:kinsoku/>
              <w:wordWrap/>
              <w:overflowPunct/>
              <w:autoSpaceDE/>
              <w:autoSpaceDN/>
              <w:bidi w:val="0"/>
              <w:adjustRightInd w:val="0"/>
              <w:snapToGrid w:val="0"/>
              <w:spacing w:line="336" w:lineRule="auto"/>
              <w:ind w:firstLine="0" w:firstLineChars="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投标人在投标文件截止时间前须在辽宁建设工程信息网完成二次刷卡操作，未完成二次刷卡或二次刷卡未通过的根据招标文件要求，交由评标委员会进行处理。认证未通过，其投标文件属无效投标文件。</w:t>
            </w:r>
          </w:p>
        </w:tc>
      </w:tr>
      <w:tr w14:paraId="101F180A">
        <w:tblPrEx>
          <w:tblCellMar>
            <w:top w:w="0" w:type="dxa"/>
            <w:left w:w="108" w:type="dxa"/>
            <w:bottom w:w="0" w:type="dxa"/>
            <w:right w:w="108" w:type="dxa"/>
          </w:tblCellMar>
        </w:tblPrEx>
        <w:trPr>
          <w:jc w:val="center"/>
        </w:trPr>
        <w:tc>
          <w:tcPr>
            <w:tcW w:w="1165" w:type="dxa"/>
            <w:tcBorders>
              <w:top w:val="single" w:color="auto" w:sz="4" w:space="0"/>
              <w:left w:val="single" w:color="auto" w:sz="4" w:space="0"/>
              <w:bottom w:val="single" w:color="auto" w:sz="4" w:space="0"/>
              <w:right w:val="single" w:color="auto" w:sz="4" w:space="0"/>
            </w:tcBorders>
            <w:noWrap w:val="0"/>
            <w:vAlign w:val="center"/>
          </w:tcPr>
          <w:p w14:paraId="7F29D4A1">
            <w:pPr>
              <w:keepNext w:val="0"/>
              <w:keepLines w:val="0"/>
              <w:pageBreakBefore w:val="0"/>
              <w:widowControl/>
              <w:kinsoku/>
              <w:wordWrap/>
              <w:overflowPunct/>
              <w:autoSpaceDE/>
              <w:autoSpaceDN/>
              <w:bidi w:val="0"/>
              <w:spacing w:line="440" w:lineRule="exact"/>
              <w:ind w:firstLine="0" w:firstLineChars="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10.4</w:t>
            </w:r>
          </w:p>
        </w:tc>
        <w:tc>
          <w:tcPr>
            <w:tcW w:w="8436" w:type="dxa"/>
            <w:gridSpan w:val="2"/>
            <w:tcBorders>
              <w:top w:val="single" w:color="auto" w:sz="4" w:space="0"/>
              <w:left w:val="single" w:color="auto" w:sz="4" w:space="0"/>
              <w:bottom w:val="single" w:color="auto" w:sz="4" w:space="0"/>
              <w:right w:val="single" w:color="auto" w:sz="4" w:space="0"/>
            </w:tcBorders>
            <w:noWrap w:val="0"/>
            <w:vAlign w:val="center"/>
          </w:tcPr>
          <w:p w14:paraId="7D6A5355">
            <w:pPr>
              <w:keepNext w:val="0"/>
              <w:keepLines w:val="0"/>
              <w:pageBreakBefore w:val="0"/>
              <w:widowControl/>
              <w:kinsoku/>
              <w:wordWrap/>
              <w:overflowPunct/>
              <w:autoSpaceDE/>
              <w:autoSpaceDN/>
              <w:bidi w:val="0"/>
              <w:adjustRightInd w:val="0"/>
              <w:snapToGrid w:val="0"/>
              <w:spacing w:line="336" w:lineRule="auto"/>
              <w:ind w:firstLine="0" w:firstLineChars="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承包人对工程竣工验收范围内的设计、施工、</w:t>
            </w:r>
            <w:r>
              <w:rPr>
                <w:rFonts w:hint="eastAsia" w:ascii="仿宋" w:hAnsi="仿宋" w:eastAsia="仿宋" w:cs="仿宋"/>
                <w:bCs/>
                <w:color w:val="auto"/>
                <w:sz w:val="24"/>
                <w:szCs w:val="24"/>
                <w:highlight w:val="none"/>
              </w:rPr>
              <w:t>设备集成供货及服务</w:t>
            </w:r>
            <w:r>
              <w:rPr>
                <w:rFonts w:hint="eastAsia" w:ascii="仿宋" w:hAnsi="仿宋" w:eastAsia="仿宋" w:cs="仿宋"/>
                <w:color w:val="auto"/>
                <w:sz w:val="24"/>
                <w:szCs w:val="24"/>
                <w:highlight w:val="none"/>
              </w:rPr>
              <w:t>、运营服务以及竣工验收资料等工作负总责。</w:t>
            </w:r>
          </w:p>
        </w:tc>
      </w:tr>
      <w:tr w14:paraId="7BCD2913">
        <w:tblPrEx>
          <w:tblCellMar>
            <w:top w:w="0" w:type="dxa"/>
            <w:left w:w="108" w:type="dxa"/>
            <w:bottom w:w="0" w:type="dxa"/>
            <w:right w:w="108" w:type="dxa"/>
          </w:tblCellMar>
        </w:tblPrEx>
        <w:trPr>
          <w:jc w:val="center"/>
        </w:trPr>
        <w:tc>
          <w:tcPr>
            <w:tcW w:w="1165" w:type="dxa"/>
            <w:tcBorders>
              <w:top w:val="single" w:color="auto" w:sz="4" w:space="0"/>
              <w:left w:val="single" w:color="auto" w:sz="4" w:space="0"/>
              <w:bottom w:val="single" w:color="auto" w:sz="4" w:space="0"/>
              <w:right w:val="single" w:color="auto" w:sz="4" w:space="0"/>
            </w:tcBorders>
            <w:noWrap w:val="0"/>
            <w:vAlign w:val="center"/>
          </w:tcPr>
          <w:p w14:paraId="3CBF39AF">
            <w:pPr>
              <w:keepNext w:val="0"/>
              <w:keepLines w:val="0"/>
              <w:pageBreakBefore w:val="0"/>
              <w:widowControl/>
              <w:kinsoku/>
              <w:wordWrap/>
              <w:overflowPunct/>
              <w:autoSpaceDE/>
              <w:autoSpaceDN/>
              <w:bidi w:val="0"/>
              <w:spacing w:line="440" w:lineRule="exact"/>
              <w:ind w:firstLine="0" w:firstLineChars="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10.5</w:t>
            </w:r>
          </w:p>
        </w:tc>
        <w:tc>
          <w:tcPr>
            <w:tcW w:w="8436" w:type="dxa"/>
            <w:gridSpan w:val="2"/>
            <w:tcBorders>
              <w:top w:val="single" w:color="auto" w:sz="4" w:space="0"/>
              <w:left w:val="single" w:color="auto" w:sz="4" w:space="0"/>
              <w:bottom w:val="single" w:color="auto" w:sz="4" w:space="0"/>
              <w:right w:val="single" w:color="auto" w:sz="4" w:space="0"/>
            </w:tcBorders>
            <w:noWrap w:val="0"/>
            <w:vAlign w:val="center"/>
          </w:tcPr>
          <w:p w14:paraId="79B89C74">
            <w:pPr>
              <w:keepNext w:val="0"/>
              <w:keepLines w:val="0"/>
              <w:pageBreakBefore w:val="0"/>
              <w:widowControl/>
              <w:kinsoku/>
              <w:wordWrap/>
              <w:overflowPunct/>
              <w:autoSpaceDE/>
              <w:autoSpaceDN/>
              <w:bidi w:val="0"/>
              <w:adjustRightInd w:val="0"/>
              <w:snapToGrid w:val="0"/>
              <w:spacing w:line="336" w:lineRule="auto"/>
              <w:ind w:firstLine="0" w:firstLineChars="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承包人应当根据合同约定和项目特点，制定项目管理计划和项目实施计划，建立工程管理与协调制度，加强设计、采购与施工的协调，完善和优化设计，改进施工方案，合理调配设计、采购和施工力量，实现对工程总承包项目的有效控制。</w:t>
            </w:r>
          </w:p>
        </w:tc>
      </w:tr>
      <w:tr w14:paraId="470FBF24">
        <w:tblPrEx>
          <w:tblCellMar>
            <w:top w:w="0" w:type="dxa"/>
            <w:left w:w="108" w:type="dxa"/>
            <w:bottom w:w="0" w:type="dxa"/>
            <w:right w:w="108" w:type="dxa"/>
          </w:tblCellMar>
        </w:tblPrEx>
        <w:trPr>
          <w:jc w:val="center"/>
        </w:trPr>
        <w:tc>
          <w:tcPr>
            <w:tcW w:w="1165" w:type="dxa"/>
            <w:tcBorders>
              <w:top w:val="single" w:color="auto" w:sz="4" w:space="0"/>
              <w:left w:val="single" w:color="auto" w:sz="4" w:space="0"/>
              <w:bottom w:val="single" w:color="auto" w:sz="4" w:space="0"/>
              <w:right w:val="single" w:color="auto" w:sz="4" w:space="0"/>
            </w:tcBorders>
            <w:noWrap w:val="0"/>
            <w:vAlign w:val="center"/>
          </w:tcPr>
          <w:p w14:paraId="10A0EE55">
            <w:pPr>
              <w:keepNext w:val="0"/>
              <w:keepLines w:val="0"/>
              <w:pageBreakBefore w:val="0"/>
              <w:widowControl/>
              <w:kinsoku/>
              <w:wordWrap/>
              <w:overflowPunct/>
              <w:autoSpaceDE/>
              <w:autoSpaceDN/>
              <w:bidi w:val="0"/>
              <w:spacing w:line="440" w:lineRule="exact"/>
              <w:ind w:firstLine="0" w:firstLineChars="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10.6</w:t>
            </w:r>
          </w:p>
        </w:tc>
        <w:tc>
          <w:tcPr>
            <w:tcW w:w="8436" w:type="dxa"/>
            <w:gridSpan w:val="2"/>
            <w:tcBorders>
              <w:top w:val="single" w:color="auto" w:sz="4" w:space="0"/>
              <w:left w:val="single" w:color="auto" w:sz="4" w:space="0"/>
              <w:bottom w:val="single" w:color="auto" w:sz="4" w:space="0"/>
              <w:right w:val="single" w:color="auto" w:sz="4" w:space="0"/>
            </w:tcBorders>
            <w:noWrap w:val="0"/>
            <w:vAlign w:val="center"/>
          </w:tcPr>
          <w:p w14:paraId="67843B4C">
            <w:pPr>
              <w:keepNext w:val="0"/>
              <w:keepLines w:val="0"/>
              <w:pageBreakBefore w:val="0"/>
              <w:widowControl/>
              <w:kinsoku/>
              <w:wordWrap/>
              <w:overflowPunct/>
              <w:autoSpaceDE/>
              <w:autoSpaceDN/>
              <w:bidi w:val="0"/>
              <w:adjustRightInd w:val="0"/>
              <w:snapToGrid w:val="0"/>
              <w:spacing w:line="336" w:lineRule="auto"/>
              <w:ind w:firstLine="0" w:firstLineChars="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承包人必须充分预料施工现场所发生的一切风险，并在投标报价时充分考虑，一旦中标，在合同实施过程中，在承包合同范围内的一律不予签证。</w:t>
            </w:r>
          </w:p>
        </w:tc>
      </w:tr>
      <w:tr w14:paraId="3B489859">
        <w:tblPrEx>
          <w:tblCellMar>
            <w:top w:w="0" w:type="dxa"/>
            <w:left w:w="108" w:type="dxa"/>
            <w:bottom w:w="0" w:type="dxa"/>
            <w:right w:w="108" w:type="dxa"/>
          </w:tblCellMar>
        </w:tblPrEx>
        <w:trPr>
          <w:jc w:val="center"/>
        </w:trPr>
        <w:tc>
          <w:tcPr>
            <w:tcW w:w="1165" w:type="dxa"/>
            <w:tcBorders>
              <w:top w:val="single" w:color="auto" w:sz="4" w:space="0"/>
              <w:left w:val="single" w:color="auto" w:sz="4" w:space="0"/>
              <w:bottom w:val="single" w:color="auto" w:sz="4" w:space="0"/>
              <w:right w:val="single" w:color="auto" w:sz="4" w:space="0"/>
            </w:tcBorders>
            <w:noWrap w:val="0"/>
            <w:vAlign w:val="center"/>
          </w:tcPr>
          <w:p w14:paraId="7921A986">
            <w:pPr>
              <w:keepNext w:val="0"/>
              <w:keepLines w:val="0"/>
              <w:pageBreakBefore w:val="0"/>
              <w:widowControl/>
              <w:kinsoku/>
              <w:wordWrap/>
              <w:overflowPunct/>
              <w:autoSpaceDE/>
              <w:autoSpaceDN/>
              <w:bidi w:val="0"/>
              <w:spacing w:line="440" w:lineRule="exact"/>
              <w:ind w:firstLine="0" w:firstLineChars="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10.7</w:t>
            </w:r>
          </w:p>
        </w:tc>
        <w:tc>
          <w:tcPr>
            <w:tcW w:w="8436" w:type="dxa"/>
            <w:gridSpan w:val="2"/>
            <w:tcBorders>
              <w:top w:val="single" w:color="auto" w:sz="4" w:space="0"/>
              <w:left w:val="single" w:color="auto" w:sz="4" w:space="0"/>
              <w:bottom w:val="single" w:color="auto" w:sz="4" w:space="0"/>
              <w:right w:val="single" w:color="auto" w:sz="4" w:space="0"/>
            </w:tcBorders>
            <w:noWrap w:val="0"/>
            <w:vAlign w:val="center"/>
          </w:tcPr>
          <w:p w14:paraId="23156564">
            <w:pPr>
              <w:keepNext w:val="0"/>
              <w:keepLines w:val="0"/>
              <w:pageBreakBefore w:val="0"/>
              <w:widowControl/>
              <w:kinsoku/>
              <w:wordWrap/>
              <w:overflowPunct/>
              <w:autoSpaceDE/>
              <w:autoSpaceDN/>
              <w:bidi w:val="0"/>
              <w:adjustRightInd w:val="0"/>
              <w:snapToGrid w:val="0"/>
              <w:spacing w:line="336" w:lineRule="auto"/>
              <w:ind w:firstLine="0" w:firstLineChars="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项目管理人员要求：</w:t>
            </w:r>
          </w:p>
          <w:p w14:paraId="57A6BB2F">
            <w:pPr>
              <w:keepNext w:val="0"/>
              <w:keepLines w:val="0"/>
              <w:pageBreakBefore w:val="0"/>
              <w:widowControl/>
              <w:kinsoku/>
              <w:wordWrap/>
              <w:overflowPunct/>
              <w:autoSpaceDE/>
              <w:autoSpaceDN/>
              <w:bidi w:val="0"/>
              <w:adjustRightInd w:val="0"/>
              <w:snapToGrid w:val="0"/>
              <w:spacing w:line="336" w:lineRule="auto"/>
              <w:ind w:firstLine="0" w:firstLineChars="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1.项目履行期间，项目经理、施工负责人、设计负责人不得随意更换；如需更换须提交书面申请并经招标人同意后更换。未经招标人同意擅自更换的按违约处理，依据合同约定进行处罚；</w:t>
            </w:r>
          </w:p>
          <w:p w14:paraId="3699BC66">
            <w:pPr>
              <w:keepNext w:val="0"/>
              <w:keepLines w:val="0"/>
              <w:pageBreakBefore w:val="0"/>
              <w:widowControl/>
              <w:kinsoku/>
              <w:wordWrap/>
              <w:overflowPunct/>
              <w:autoSpaceDE/>
              <w:autoSpaceDN/>
              <w:bidi w:val="0"/>
              <w:adjustRightInd w:val="0"/>
              <w:snapToGrid w:val="0"/>
              <w:spacing w:line="336" w:lineRule="auto"/>
              <w:ind w:firstLine="0" w:firstLineChars="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2.项目履行期间，主要管理人员不得随意更换，如更换须经招标人同意；</w:t>
            </w:r>
          </w:p>
          <w:p w14:paraId="70E0EA78">
            <w:pPr>
              <w:keepNext w:val="0"/>
              <w:keepLines w:val="0"/>
              <w:pageBreakBefore w:val="0"/>
              <w:widowControl/>
              <w:kinsoku/>
              <w:wordWrap/>
              <w:overflowPunct/>
              <w:autoSpaceDE/>
              <w:autoSpaceDN/>
              <w:bidi w:val="0"/>
              <w:adjustRightInd w:val="0"/>
              <w:snapToGrid w:val="0"/>
              <w:spacing w:line="336" w:lineRule="auto"/>
              <w:ind w:firstLine="0" w:firstLineChars="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3、设计负责人须长期提供跟踪服务，不定期进行现场技术指导，以及按发包人要求进行相关服务，否则按违约处理，依据合同约定进行处罚。</w:t>
            </w:r>
          </w:p>
          <w:p w14:paraId="14F6A75B">
            <w:pPr>
              <w:keepNext w:val="0"/>
              <w:keepLines w:val="0"/>
              <w:pageBreakBefore w:val="0"/>
              <w:widowControl/>
              <w:kinsoku/>
              <w:wordWrap/>
              <w:overflowPunct/>
              <w:autoSpaceDE/>
              <w:autoSpaceDN/>
              <w:bidi w:val="0"/>
              <w:adjustRightInd w:val="0"/>
              <w:snapToGrid w:val="0"/>
              <w:spacing w:line="336" w:lineRule="auto"/>
              <w:ind w:firstLine="0" w:firstLineChars="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4、项目经理（施工负责人、项目负责人）、施工技术负责人未长期驻施工现场（或发现本工程项目经理（施工负责人、项目负责人）、施工技术负责人兼任其他项目），按违约处理，依据合同约定进行处罚；</w:t>
            </w:r>
          </w:p>
          <w:p w14:paraId="36C4FB55">
            <w:pPr>
              <w:keepNext w:val="0"/>
              <w:keepLines w:val="0"/>
              <w:pageBreakBefore w:val="0"/>
              <w:widowControl/>
              <w:kinsoku/>
              <w:wordWrap/>
              <w:overflowPunct/>
              <w:autoSpaceDE/>
              <w:autoSpaceDN/>
              <w:bidi w:val="0"/>
              <w:adjustRightInd w:val="0"/>
              <w:snapToGrid w:val="0"/>
              <w:spacing w:line="336" w:lineRule="auto"/>
              <w:ind w:firstLine="0" w:firstLineChars="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5、相关专业负责人及管理人员未按要求参加工程例会，按违约处理，依据合同约定进行处罚；</w:t>
            </w:r>
          </w:p>
          <w:p w14:paraId="16ADC4D6">
            <w:pPr>
              <w:keepNext w:val="0"/>
              <w:keepLines w:val="0"/>
              <w:pageBreakBefore w:val="0"/>
              <w:widowControl/>
              <w:kinsoku/>
              <w:wordWrap/>
              <w:overflowPunct/>
              <w:autoSpaceDE/>
              <w:autoSpaceDN/>
              <w:bidi w:val="0"/>
              <w:adjustRightInd w:val="0"/>
              <w:snapToGrid w:val="0"/>
              <w:spacing w:line="336" w:lineRule="auto"/>
              <w:ind w:firstLine="0" w:firstLineChars="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6、施工过程中承包人施工项目管理班子成员未经招标人许可不可随意更换、空缺，按违约处理，依据合同约定进行处罚。</w:t>
            </w:r>
          </w:p>
        </w:tc>
      </w:tr>
      <w:tr w14:paraId="6A32183C">
        <w:tblPrEx>
          <w:tblCellMar>
            <w:top w:w="0" w:type="dxa"/>
            <w:left w:w="108" w:type="dxa"/>
            <w:bottom w:w="0" w:type="dxa"/>
            <w:right w:w="108" w:type="dxa"/>
          </w:tblCellMar>
        </w:tblPrEx>
        <w:trPr>
          <w:jc w:val="center"/>
        </w:trPr>
        <w:tc>
          <w:tcPr>
            <w:tcW w:w="1165" w:type="dxa"/>
            <w:tcBorders>
              <w:top w:val="single" w:color="auto" w:sz="4" w:space="0"/>
              <w:left w:val="single" w:color="auto" w:sz="4" w:space="0"/>
              <w:bottom w:val="single" w:color="auto" w:sz="4" w:space="0"/>
              <w:right w:val="single" w:color="auto" w:sz="4" w:space="0"/>
            </w:tcBorders>
            <w:noWrap w:val="0"/>
            <w:vAlign w:val="center"/>
          </w:tcPr>
          <w:p w14:paraId="00C4871E">
            <w:pPr>
              <w:keepNext w:val="0"/>
              <w:keepLines w:val="0"/>
              <w:pageBreakBefore w:val="0"/>
              <w:widowControl/>
              <w:kinsoku/>
              <w:wordWrap/>
              <w:overflowPunct/>
              <w:autoSpaceDE/>
              <w:autoSpaceDN/>
              <w:bidi w:val="0"/>
              <w:spacing w:line="440" w:lineRule="exact"/>
              <w:ind w:firstLine="0" w:firstLineChars="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10.8</w:t>
            </w:r>
          </w:p>
        </w:tc>
        <w:tc>
          <w:tcPr>
            <w:tcW w:w="8436" w:type="dxa"/>
            <w:gridSpan w:val="2"/>
            <w:tcBorders>
              <w:top w:val="single" w:color="auto" w:sz="4" w:space="0"/>
              <w:left w:val="single" w:color="auto" w:sz="4" w:space="0"/>
              <w:bottom w:val="single" w:color="auto" w:sz="4" w:space="0"/>
              <w:right w:val="single" w:color="auto" w:sz="4" w:space="0"/>
            </w:tcBorders>
            <w:noWrap w:val="0"/>
            <w:vAlign w:val="center"/>
          </w:tcPr>
          <w:p w14:paraId="2BCDC6F4">
            <w:pPr>
              <w:keepNext w:val="0"/>
              <w:keepLines w:val="0"/>
              <w:pageBreakBefore w:val="0"/>
              <w:widowControl/>
              <w:kinsoku/>
              <w:wordWrap/>
              <w:overflowPunct/>
              <w:autoSpaceDE/>
              <w:autoSpaceDN/>
              <w:bidi w:val="0"/>
              <w:adjustRightInd w:val="0"/>
              <w:snapToGrid w:val="0"/>
              <w:spacing w:line="336" w:lineRule="auto"/>
              <w:ind w:firstLine="0" w:firstLineChars="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本次招标要求项目经理可以兼任施工负责人，即项目经理和施工负责人可以为同一人。</w:t>
            </w:r>
          </w:p>
        </w:tc>
      </w:tr>
      <w:tr w14:paraId="18066124">
        <w:tblPrEx>
          <w:tblCellMar>
            <w:top w:w="0" w:type="dxa"/>
            <w:left w:w="108" w:type="dxa"/>
            <w:bottom w:w="0" w:type="dxa"/>
            <w:right w:w="108" w:type="dxa"/>
          </w:tblCellMar>
        </w:tblPrEx>
        <w:trPr>
          <w:jc w:val="center"/>
        </w:trPr>
        <w:tc>
          <w:tcPr>
            <w:tcW w:w="1165" w:type="dxa"/>
            <w:tcBorders>
              <w:top w:val="single" w:color="auto" w:sz="4" w:space="0"/>
              <w:left w:val="single" w:color="auto" w:sz="4" w:space="0"/>
              <w:bottom w:val="single" w:color="auto" w:sz="4" w:space="0"/>
              <w:right w:val="single" w:color="auto" w:sz="4" w:space="0"/>
            </w:tcBorders>
            <w:noWrap w:val="0"/>
            <w:vAlign w:val="center"/>
          </w:tcPr>
          <w:p w14:paraId="7B69FFE0">
            <w:pPr>
              <w:keepNext w:val="0"/>
              <w:keepLines w:val="0"/>
              <w:pageBreakBefore w:val="0"/>
              <w:widowControl/>
              <w:kinsoku/>
              <w:wordWrap/>
              <w:overflowPunct/>
              <w:autoSpaceDE/>
              <w:autoSpaceDN/>
              <w:bidi w:val="0"/>
              <w:spacing w:line="440" w:lineRule="exact"/>
              <w:ind w:firstLine="0" w:firstLineChars="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10.9</w:t>
            </w:r>
          </w:p>
        </w:tc>
        <w:tc>
          <w:tcPr>
            <w:tcW w:w="8436" w:type="dxa"/>
            <w:gridSpan w:val="2"/>
            <w:tcBorders>
              <w:top w:val="single" w:color="auto" w:sz="4" w:space="0"/>
              <w:left w:val="single" w:color="auto" w:sz="4" w:space="0"/>
              <w:bottom w:val="single" w:color="auto" w:sz="4" w:space="0"/>
              <w:right w:val="single" w:color="auto" w:sz="4" w:space="0"/>
            </w:tcBorders>
            <w:noWrap w:val="0"/>
            <w:vAlign w:val="center"/>
          </w:tcPr>
          <w:p w14:paraId="0BCB0A0C">
            <w:pPr>
              <w:keepNext w:val="0"/>
              <w:keepLines w:val="0"/>
              <w:pageBreakBefore w:val="0"/>
              <w:widowControl/>
              <w:kinsoku/>
              <w:wordWrap/>
              <w:overflowPunct/>
              <w:autoSpaceDE/>
              <w:autoSpaceDN/>
              <w:bidi w:val="0"/>
              <w:adjustRightInd w:val="0"/>
              <w:snapToGrid w:val="0"/>
              <w:spacing w:line="336" w:lineRule="auto"/>
              <w:ind w:firstLine="0" w:firstLineChars="0"/>
              <w:jc w:val="left"/>
              <w:textAlignment w:val="auto"/>
              <w:rPr>
                <w:rFonts w:hint="eastAsia" w:ascii="仿宋" w:hAnsi="仿宋" w:eastAsia="仿宋" w:cs="仿宋"/>
                <w:b/>
                <w:color w:val="auto"/>
                <w:sz w:val="24"/>
                <w:szCs w:val="24"/>
                <w:highlight w:val="none"/>
              </w:rPr>
            </w:pPr>
            <w:r>
              <w:rPr>
                <w:rFonts w:hint="eastAsia" w:ascii="仿宋" w:hAnsi="仿宋" w:eastAsia="仿宋" w:cs="仿宋"/>
                <w:color w:val="auto"/>
                <w:sz w:val="24"/>
                <w:szCs w:val="24"/>
                <w:highlight w:val="none"/>
              </w:rPr>
              <w:t>中标后，中标人提供的施工图必须通过招标人或招标人聘请的专家评审。</w:t>
            </w:r>
          </w:p>
        </w:tc>
      </w:tr>
      <w:tr w14:paraId="0D13854A">
        <w:tblPrEx>
          <w:tblCellMar>
            <w:top w:w="0" w:type="dxa"/>
            <w:left w:w="108" w:type="dxa"/>
            <w:bottom w:w="0" w:type="dxa"/>
            <w:right w:w="108" w:type="dxa"/>
          </w:tblCellMar>
        </w:tblPrEx>
        <w:trPr>
          <w:jc w:val="center"/>
        </w:trPr>
        <w:tc>
          <w:tcPr>
            <w:tcW w:w="1165" w:type="dxa"/>
            <w:tcBorders>
              <w:top w:val="single" w:color="auto" w:sz="4" w:space="0"/>
              <w:left w:val="single" w:color="auto" w:sz="4" w:space="0"/>
              <w:bottom w:val="single" w:color="auto" w:sz="4" w:space="0"/>
              <w:right w:val="single" w:color="auto" w:sz="4" w:space="0"/>
            </w:tcBorders>
            <w:noWrap w:val="0"/>
            <w:vAlign w:val="center"/>
          </w:tcPr>
          <w:p w14:paraId="58ABA56E">
            <w:pPr>
              <w:keepNext w:val="0"/>
              <w:keepLines w:val="0"/>
              <w:pageBreakBefore w:val="0"/>
              <w:widowControl/>
              <w:kinsoku/>
              <w:wordWrap/>
              <w:overflowPunct/>
              <w:autoSpaceDE/>
              <w:autoSpaceDN/>
              <w:bidi w:val="0"/>
              <w:spacing w:line="440" w:lineRule="exact"/>
              <w:ind w:firstLine="0" w:firstLineChars="0"/>
              <w:jc w:val="left"/>
              <w:textAlignment w:val="auto"/>
              <w:rPr>
                <w:rFonts w:hint="eastAsia" w:ascii="仿宋" w:hAnsi="仿宋" w:eastAsia="仿宋" w:cs="仿宋"/>
                <w:b/>
                <w:color w:val="auto"/>
                <w:sz w:val="24"/>
                <w:szCs w:val="24"/>
                <w:highlight w:val="none"/>
              </w:rPr>
            </w:pPr>
            <w:r>
              <w:rPr>
                <w:rFonts w:hint="eastAsia" w:ascii="仿宋" w:hAnsi="仿宋" w:eastAsia="仿宋" w:cs="仿宋"/>
                <w:color w:val="auto"/>
                <w:sz w:val="24"/>
                <w:szCs w:val="24"/>
                <w:highlight w:val="none"/>
                <w:lang w:val="zh-CN"/>
              </w:rPr>
              <w:t>1</w:t>
            </w:r>
            <w:r>
              <w:rPr>
                <w:rFonts w:hint="eastAsia" w:ascii="仿宋" w:hAnsi="仿宋" w:eastAsia="仿宋" w:cs="仿宋"/>
                <w:color w:val="auto"/>
                <w:sz w:val="24"/>
                <w:szCs w:val="24"/>
                <w:highlight w:val="none"/>
              </w:rPr>
              <w:t>0</w:t>
            </w:r>
            <w:r>
              <w:rPr>
                <w:rFonts w:hint="eastAsia" w:ascii="仿宋" w:hAnsi="仿宋" w:eastAsia="仿宋" w:cs="仿宋"/>
                <w:color w:val="auto"/>
                <w:sz w:val="24"/>
                <w:szCs w:val="24"/>
                <w:highlight w:val="none"/>
                <w:lang w:val="zh-CN"/>
              </w:rPr>
              <w:t>.</w:t>
            </w:r>
            <w:r>
              <w:rPr>
                <w:rFonts w:hint="eastAsia" w:ascii="仿宋" w:hAnsi="仿宋" w:eastAsia="仿宋" w:cs="仿宋"/>
                <w:color w:val="auto"/>
                <w:sz w:val="24"/>
                <w:szCs w:val="24"/>
                <w:highlight w:val="none"/>
              </w:rPr>
              <w:t>10</w:t>
            </w:r>
          </w:p>
        </w:tc>
        <w:tc>
          <w:tcPr>
            <w:tcW w:w="8436" w:type="dxa"/>
            <w:gridSpan w:val="2"/>
            <w:tcBorders>
              <w:top w:val="single" w:color="auto" w:sz="4" w:space="0"/>
              <w:left w:val="single" w:color="auto" w:sz="4" w:space="0"/>
              <w:bottom w:val="single" w:color="auto" w:sz="4" w:space="0"/>
              <w:right w:val="single" w:color="auto" w:sz="4" w:space="0"/>
            </w:tcBorders>
            <w:noWrap w:val="0"/>
            <w:vAlign w:val="center"/>
          </w:tcPr>
          <w:p w14:paraId="3F4FA89C">
            <w:pPr>
              <w:keepNext w:val="0"/>
              <w:keepLines w:val="0"/>
              <w:pageBreakBefore w:val="0"/>
              <w:widowControl/>
              <w:kinsoku/>
              <w:wordWrap/>
              <w:overflowPunct/>
              <w:autoSpaceDE/>
              <w:autoSpaceDN/>
              <w:bidi w:val="0"/>
              <w:adjustRightInd w:val="0"/>
              <w:snapToGrid w:val="0"/>
              <w:spacing w:line="336" w:lineRule="auto"/>
              <w:ind w:firstLine="0" w:firstLineChars="0"/>
              <w:jc w:val="left"/>
              <w:textAlignment w:val="auto"/>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知识产权：</w:t>
            </w:r>
          </w:p>
          <w:p w14:paraId="43B80845">
            <w:pPr>
              <w:keepNext w:val="0"/>
              <w:keepLines w:val="0"/>
              <w:pageBreakBefore w:val="0"/>
              <w:widowControl/>
              <w:kinsoku/>
              <w:wordWrap/>
              <w:overflowPunct/>
              <w:autoSpaceDE/>
              <w:autoSpaceDN/>
              <w:bidi w:val="0"/>
              <w:adjustRightInd w:val="0"/>
              <w:snapToGrid w:val="0"/>
              <w:spacing w:line="336" w:lineRule="auto"/>
              <w:ind w:firstLine="0" w:firstLineChars="0"/>
              <w:jc w:val="left"/>
              <w:textAlignment w:val="auto"/>
              <w:rPr>
                <w:rFonts w:hint="eastAsia" w:ascii="仿宋" w:hAnsi="仿宋" w:eastAsia="仿宋" w:cs="仿宋"/>
                <w:b/>
                <w:color w:val="auto"/>
                <w:sz w:val="24"/>
                <w:szCs w:val="24"/>
                <w:highlight w:val="none"/>
              </w:rPr>
            </w:pPr>
            <w:r>
              <w:rPr>
                <w:rFonts w:hint="eastAsia" w:ascii="仿宋" w:hAnsi="仿宋" w:eastAsia="仿宋" w:cs="仿宋"/>
                <w:color w:val="auto"/>
                <w:sz w:val="24"/>
                <w:szCs w:val="24"/>
                <w:highlight w:val="none"/>
                <w:lang w:val="zh-CN"/>
              </w:rPr>
              <w:t>构成本招标文件各个组成部分的文件，未经招标人书面同意，投标人不得擅自复印和用于非本招标项目所需的其他目的。招标人有权全部或者部分使用未中标人投标文件中的技术成果或技术方案时，并不给予费用补偿。</w:t>
            </w:r>
          </w:p>
        </w:tc>
      </w:tr>
      <w:tr w14:paraId="356B1B86">
        <w:tblPrEx>
          <w:tblCellMar>
            <w:top w:w="0" w:type="dxa"/>
            <w:left w:w="108" w:type="dxa"/>
            <w:bottom w:w="0" w:type="dxa"/>
            <w:right w:w="108" w:type="dxa"/>
          </w:tblCellMar>
        </w:tblPrEx>
        <w:trPr>
          <w:trHeight w:val="1315" w:hRule="atLeast"/>
          <w:jc w:val="center"/>
        </w:trPr>
        <w:tc>
          <w:tcPr>
            <w:tcW w:w="1165" w:type="dxa"/>
            <w:tcBorders>
              <w:top w:val="single" w:color="auto" w:sz="4" w:space="0"/>
              <w:left w:val="single" w:color="auto" w:sz="4" w:space="0"/>
              <w:bottom w:val="single" w:color="auto" w:sz="4" w:space="0"/>
              <w:right w:val="single" w:color="auto" w:sz="4" w:space="0"/>
            </w:tcBorders>
            <w:noWrap w:val="0"/>
            <w:vAlign w:val="center"/>
          </w:tcPr>
          <w:p w14:paraId="767A1A81">
            <w:pPr>
              <w:keepNext w:val="0"/>
              <w:keepLines w:val="0"/>
              <w:pageBreakBefore w:val="0"/>
              <w:widowControl/>
              <w:kinsoku/>
              <w:wordWrap/>
              <w:overflowPunct/>
              <w:autoSpaceDE/>
              <w:autoSpaceDN/>
              <w:bidi w:val="0"/>
              <w:spacing w:line="440" w:lineRule="exact"/>
              <w:ind w:firstLine="0" w:firstLineChars="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10.11</w:t>
            </w:r>
          </w:p>
        </w:tc>
        <w:tc>
          <w:tcPr>
            <w:tcW w:w="8436" w:type="dxa"/>
            <w:gridSpan w:val="2"/>
            <w:tcBorders>
              <w:top w:val="single" w:color="auto" w:sz="4" w:space="0"/>
              <w:left w:val="single" w:color="auto" w:sz="4" w:space="0"/>
              <w:bottom w:val="single" w:color="auto" w:sz="4" w:space="0"/>
              <w:right w:val="single" w:color="auto" w:sz="4" w:space="0"/>
            </w:tcBorders>
            <w:noWrap w:val="0"/>
            <w:vAlign w:val="center"/>
          </w:tcPr>
          <w:p w14:paraId="3C93F150">
            <w:pPr>
              <w:keepNext w:val="0"/>
              <w:keepLines w:val="0"/>
              <w:pageBreakBefore w:val="0"/>
              <w:widowControl/>
              <w:kinsoku/>
              <w:wordWrap/>
              <w:overflowPunct/>
              <w:autoSpaceDE/>
              <w:autoSpaceDN/>
              <w:bidi w:val="0"/>
              <w:adjustRightInd w:val="0"/>
              <w:snapToGrid w:val="0"/>
              <w:spacing w:line="336" w:lineRule="auto"/>
              <w:ind w:firstLine="0" w:firstLineChars="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外省投标人必须在报名前办理企业入库信息库及外埠入辽备案。（办理省外施工企业入辽承揽业务信息报送单相关资料请查阅辽宁省建设厅网站，网址：http://www.lnjst.gov.cn/。）外省投标单位入省备案手续按辽住建【2016】1 号文件办理。由负责施工的单位提供。</w:t>
            </w:r>
          </w:p>
          <w:p w14:paraId="59B1BA58">
            <w:pPr>
              <w:keepNext w:val="0"/>
              <w:keepLines w:val="0"/>
              <w:pageBreakBefore w:val="0"/>
              <w:widowControl/>
              <w:kinsoku/>
              <w:wordWrap/>
              <w:overflowPunct/>
              <w:autoSpaceDE/>
              <w:autoSpaceDN/>
              <w:bidi w:val="0"/>
              <w:adjustRightInd w:val="0"/>
              <w:snapToGrid w:val="0"/>
              <w:spacing w:line="336" w:lineRule="auto"/>
              <w:ind w:firstLine="0" w:firstLineChars="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实名认证：按辽宁省住房和城乡建设厅《关于进一步落实招投标各方主体及从业人员实名制的通知》执行。</w:t>
            </w:r>
          </w:p>
        </w:tc>
      </w:tr>
      <w:tr w14:paraId="54F57F12">
        <w:tblPrEx>
          <w:tblCellMar>
            <w:top w:w="0" w:type="dxa"/>
            <w:left w:w="108" w:type="dxa"/>
            <w:bottom w:w="0" w:type="dxa"/>
            <w:right w:w="108" w:type="dxa"/>
          </w:tblCellMar>
        </w:tblPrEx>
        <w:trPr>
          <w:jc w:val="center"/>
        </w:trPr>
        <w:tc>
          <w:tcPr>
            <w:tcW w:w="1165" w:type="dxa"/>
            <w:tcBorders>
              <w:top w:val="single" w:color="auto" w:sz="4" w:space="0"/>
              <w:left w:val="single" w:color="auto" w:sz="4" w:space="0"/>
              <w:bottom w:val="single" w:color="auto" w:sz="4" w:space="0"/>
              <w:right w:val="single" w:color="auto" w:sz="4" w:space="0"/>
            </w:tcBorders>
            <w:noWrap w:val="0"/>
            <w:vAlign w:val="center"/>
          </w:tcPr>
          <w:p w14:paraId="5147F596">
            <w:pPr>
              <w:keepNext w:val="0"/>
              <w:keepLines w:val="0"/>
              <w:pageBreakBefore w:val="0"/>
              <w:widowControl/>
              <w:kinsoku/>
              <w:wordWrap/>
              <w:overflowPunct/>
              <w:autoSpaceDE/>
              <w:autoSpaceDN/>
              <w:bidi w:val="0"/>
              <w:spacing w:line="440" w:lineRule="exact"/>
              <w:ind w:firstLine="0" w:firstLineChars="0"/>
              <w:jc w:val="lef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10.12</w:t>
            </w:r>
          </w:p>
        </w:tc>
        <w:tc>
          <w:tcPr>
            <w:tcW w:w="8436" w:type="dxa"/>
            <w:gridSpan w:val="2"/>
            <w:tcBorders>
              <w:top w:val="single" w:color="auto" w:sz="4" w:space="0"/>
              <w:left w:val="single" w:color="auto" w:sz="4" w:space="0"/>
              <w:bottom w:val="single" w:color="auto" w:sz="4" w:space="0"/>
              <w:right w:val="single" w:color="auto" w:sz="4" w:space="0"/>
            </w:tcBorders>
            <w:noWrap w:val="0"/>
            <w:vAlign w:val="center"/>
          </w:tcPr>
          <w:p w14:paraId="63BA8620">
            <w:pPr>
              <w:keepNext w:val="0"/>
              <w:keepLines w:val="0"/>
              <w:pageBreakBefore w:val="0"/>
              <w:widowControl/>
              <w:kinsoku/>
              <w:wordWrap/>
              <w:overflowPunct/>
              <w:autoSpaceDE/>
              <w:autoSpaceDN/>
              <w:bidi w:val="0"/>
              <w:spacing w:line="360" w:lineRule="auto"/>
              <w:ind w:firstLine="0" w:firstLineChars="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①、投标人未按要求在规定的时限内下载相关文件，或由于未及时关注补遗、答疑等文件所发布的信息而影响投标的，其责任由投标人自行承担。</w:t>
            </w:r>
          </w:p>
          <w:p w14:paraId="22FDB5C3">
            <w:pPr>
              <w:keepNext w:val="0"/>
              <w:keepLines w:val="0"/>
              <w:pageBreakBefore w:val="0"/>
              <w:widowControl/>
              <w:kinsoku/>
              <w:wordWrap/>
              <w:overflowPunct/>
              <w:autoSpaceDE/>
              <w:autoSpaceDN/>
              <w:bidi w:val="0"/>
              <w:spacing w:line="360" w:lineRule="auto"/>
              <w:ind w:firstLine="0" w:firstLineChars="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②、投标人应按招标文件的要求，编制、提交投标文件。投标人对招标文件有疑问的，须在招标文件规定时限内提出疑问。</w:t>
            </w:r>
          </w:p>
          <w:p w14:paraId="2E284B22">
            <w:pPr>
              <w:keepNext w:val="0"/>
              <w:keepLines w:val="0"/>
              <w:pageBreakBefore w:val="0"/>
              <w:widowControl/>
              <w:kinsoku/>
              <w:wordWrap/>
              <w:overflowPunct/>
              <w:autoSpaceDE/>
              <w:autoSpaceDN/>
              <w:bidi w:val="0"/>
              <w:spacing w:line="360" w:lineRule="auto"/>
              <w:ind w:firstLine="0" w:firstLineChars="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③、投标人应按招标文件约定的时限，随时关注招标人发布的答疑信息，以保证其对招标文件做出正确的响应。</w:t>
            </w:r>
          </w:p>
          <w:p w14:paraId="670E9498">
            <w:pPr>
              <w:keepNext w:val="0"/>
              <w:keepLines w:val="0"/>
              <w:pageBreakBefore w:val="0"/>
              <w:widowControl/>
              <w:kinsoku/>
              <w:wordWrap/>
              <w:overflowPunct/>
              <w:autoSpaceDE/>
              <w:autoSpaceDN/>
              <w:bidi w:val="0"/>
              <w:adjustRightInd w:val="0"/>
              <w:snapToGrid w:val="0"/>
              <w:spacing w:line="336" w:lineRule="auto"/>
              <w:ind w:firstLine="0" w:firstLineChars="0"/>
              <w:jc w:val="left"/>
              <w:textAlignment w:val="auto"/>
              <w:rPr>
                <w:rFonts w:hint="eastAsia" w:ascii="仿宋" w:hAnsi="仿宋" w:eastAsia="仿宋" w:cs="仿宋"/>
                <w:b/>
                <w:color w:val="auto"/>
                <w:sz w:val="24"/>
                <w:szCs w:val="24"/>
                <w:highlight w:val="none"/>
              </w:rPr>
            </w:pPr>
            <w:r>
              <w:rPr>
                <w:rFonts w:hint="eastAsia" w:ascii="仿宋" w:hAnsi="仿宋" w:eastAsia="仿宋" w:cs="仿宋"/>
                <w:color w:val="auto"/>
                <w:spacing w:val="-6"/>
                <w:kern w:val="0"/>
                <w:sz w:val="24"/>
                <w:szCs w:val="24"/>
                <w:highlight w:val="none"/>
              </w:rPr>
              <w:t>④、招标人在中标候选人公示期间，将组织相关人员对中标候选人的信誉、不良记录（辽宁建设工程信息网上且在公布期内）以及投标文件中所提供的业绩、人员等相关资料进行核查，如发现中标候选人在投标文件中提供虚假资料骗取中标，将取消其中标候选人资格或中标资格，不予退还投标保证金，并上报有关部门处理。</w:t>
            </w:r>
          </w:p>
        </w:tc>
      </w:tr>
      <w:tr w14:paraId="612A24AB">
        <w:tblPrEx>
          <w:tblCellMar>
            <w:top w:w="0" w:type="dxa"/>
            <w:left w:w="108" w:type="dxa"/>
            <w:bottom w:w="0" w:type="dxa"/>
            <w:right w:w="108" w:type="dxa"/>
          </w:tblCellMar>
        </w:tblPrEx>
        <w:trPr>
          <w:jc w:val="center"/>
        </w:trPr>
        <w:tc>
          <w:tcPr>
            <w:tcW w:w="1165" w:type="dxa"/>
            <w:tcBorders>
              <w:top w:val="single" w:color="auto" w:sz="4" w:space="0"/>
              <w:left w:val="single" w:color="auto" w:sz="4" w:space="0"/>
              <w:bottom w:val="single" w:color="auto" w:sz="4" w:space="0"/>
              <w:right w:val="single" w:color="auto" w:sz="4" w:space="0"/>
            </w:tcBorders>
            <w:noWrap w:val="0"/>
            <w:vAlign w:val="center"/>
          </w:tcPr>
          <w:p w14:paraId="4EF54154">
            <w:pPr>
              <w:keepNext w:val="0"/>
              <w:keepLines w:val="0"/>
              <w:pageBreakBefore w:val="0"/>
              <w:widowControl/>
              <w:kinsoku/>
              <w:wordWrap/>
              <w:overflowPunct/>
              <w:autoSpaceDE/>
              <w:autoSpaceDN/>
              <w:bidi w:val="0"/>
              <w:spacing w:line="440" w:lineRule="exact"/>
              <w:ind w:firstLine="0" w:firstLineChars="0"/>
              <w:jc w:val="left"/>
              <w:textAlignment w:val="auto"/>
              <w:rPr>
                <w:rFonts w:hint="eastAsia" w:ascii="仿宋" w:hAnsi="仿宋" w:eastAsia="仿宋" w:cs="仿宋"/>
                <w:bCs/>
                <w:color w:val="auto"/>
                <w:sz w:val="24"/>
                <w:szCs w:val="24"/>
                <w:highlight w:val="none"/>
              </w:rPr>
            </w:pPr>
            <w:r>
              <w:rPr>
                <w:rFonts w:hint="eastAsia" w:ascii="仿宋" w:hAnsi="仿宋" w:eastAsia="仿宋" w:cs="仿宋"/>
                <w:color w:val="auto"/>
                <w:sz w:val="24"/>
                <w:szCs w:val="24"/>
                <w:highlight w:val="none"/>
              </w:rPr>
              <w:t>10.13</w:t>
            </w:r>
          </w:p>
        </w:tc>
        <w:tc>
          <w:tcPr>
            <w:tcW w:w="8436" w:type="dxa"/>
            <w:gridSpan w:val="2"/>
            <w:tcBorders>
              <w:top w:val="single" w:color="auto" w:sz="4" w:space="0"/>
              <w:left w:val="single" w:color="auto" w:sz="4" w:space="0"/>
              <w:bottom w:val="single" w:color="auto" w:sz="4" w:space="0"/>
              <w:right w:val="single" w:color="auto" w:sz="4" w:space="0"/>
            </w:tcBorders>
            <w:noWrap w:val="0"/>
            <w:vAlign w:val="center"/>
          </w:tcPr>
          <w:p w14:paraId="0E8A8994">
            <w:pPr>
              <w:keepNext w:val="0"/>
              <w:keepLines w:val="0"/>
              <w:pageBreakBefore w:val="0"/>
              <w:widowControl/>
              <w:kinsoku/>
              <w:wordWrap/>
              <w:overflowPunct/>
              <w:autoSpaceDE/>
              <w:autoSpaceDN/>
              <w:bidi w:val="0"/>
              <w:adjustRightInd w:val="0"/>
              <w:snapToGrid w:val="0"/>
              <w:spacing w:line="336" w:lineRule="auto"/>
              <w:ind w:firstLine="0" w:firstLineChars="0"/>
              <w:jc w:val="left"/>
              <w:textAlignment w:val="auto"/>
              <w:rPr>
                <w:rFonts w:hint="eastAsia" w:ascii="仿宋" w:hAnsi="仿宋" w:eastAsia="仿宋" w:cs="仿宋"/>
                <w:color w:val="auto"/>
                <w:spacing w:val="-6"/>
                <w:kern w:val="0"/>
                <w:sz w:val="24"/>
                <w:szCs w:val="24"/>
                <w:highlight w:val="none"/>
              </w:rPr>
            </w:pPr>
            <w:r>
              <w:rPr>
                <w:rFonts w:hint="eastAsia" w:ascii="仿宋" w:hAnsi="仿宋" w:eastAsia="仿宋" w:cs="仿宋"/>
                <w:color w:val="auto"/>
                <w:spacing w:val="-6"/>
                <w:kern w:val="0"/>
                <w:sz w:val="24"/>
                <w:szCs w:val="24"/>
                <w:highlight w:val="none"/>
              </w:rPr>
              <w:t>工程总承包单位应当对其承包的全部建设工程质量负责，分包单位对其分包工程的质量负责，分包不免除工程总承包单位对其承包的全部建设工程所负的质量责任。工程总承包单位、工程总承包项目经理依法承担质量终身责任。</w:t>
            </w:r>
          </w:p>
        </w:tc>
      </w:tr>
      <w:tr w14:paraId="3CD2DF44">
        <w:tblPrEx>
          <w:tblCellMar>
            <w:top w:w="0" w:type="dxa"/>
            <w:left w:w="108" w:type="dxa"/>
            <w:bottom w:w="0" w:type="dxa"/>
            <w:right w:w="108" w:type="dxa"/>
          </w:tblCellMar>
        </w:tblPrEx>
        <w:trPr>
          <w:trHeight w:val="499" w:hRule="atLeast"/>
          <w:jc w:val="center"/>
        </w:trPr>
        <w:tc>
          <w:tcPr>
            <w:tcW w:w="1165" w:type="dxa"/>
            <w:tcBorders>
              <w:top w:val="single" w:color="auto" w:sz="4" w:space="0"/>
              <w:left w:val="single" w:color="auto" w:sz="4" w:space="0"/>
              <w:bottom w:val="single" w:color="auto" w:sz="4" w:space="0"/>
              <w:right w:val="single" w:color="auto" w:sz="4" w:space="0"/>
            </w:tcBorders>
            <w:noWrap w:val="0"/>
            <w:vAlign w:val="center"/>
          </w:tcPr>
          <w:p w14:paraId="7E4D1B4D">
            <w:pPr>
              <w:keepNext w:val="0"/>
              <w:keepLines w:val="0"/>
              <w:pageBreakBefore w:val="0"/>
              <w:widowControl/>
              <w:kinsoku/>
              <w:wordWrap/>
              <w:overflowPunct/>
              <w:autoSpaceDE/>
              <w:autoSpaceDN/>
              <w:bidi w:val="0"/>
              <w:spacing w:line="440" w:lineRule="exact"/>
              <w:ind w:firstLine="0" w:firstLineChars="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10.14</w:t>
            </w:r>
          </w:p>
        </w:tc>
        <w:tc>
          <w:tcPr>
            <w:tcW w:w="8436" w:type="dxa"/>
            <w:gridSpan w:val="2"/>
            <w:tcBorders>
              <w:top w:val="single" w:color="auto" w:sz="4" w:space="0"/>
              <w:left w:val="single" w:color="auto" w:sz="4" w:space="0"/>
              <w:bottom w:val="single" w:color="auto" w:sz="4" w:space="0"/>
              <w:right w:val="single" w:color="auto" w:sz="4" w:space="0"/>
            </w:tcBorders>
            <w:noWrap w:val="0"/>
            <w:vAlign w:val="center"/>
          </w:tcPr>
          <w:p w14:paraId="55BD9E3F">
            <w:pPr>
              <w:keepNext w:val="0"/>
              <w:keepLines w:val="0"/>
              <w:pageBreakBefore w:val="0"/>
              <w:widowControl/>
              <w:kinsoku/>
              <w:wordWrap/>
              <w:overflowPunct/>
              <w:autoSpaceDE/>
              <w:autoSpaceDN/>
              <w:bidi w:val="0"/>
              <w:ind w:firstLine="0" w:firstLineChars="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中标人不得转包，也不得挂靠式承包。</w:t>
            </w:r>
          </w:p>
        </w:tc>
      </w:tr>
      <w:tr w14:paraId="4BBAE4E7">
        <w:tblPrEx>
          <w:tblCellMar>
            <w:top w:w="0" w:type="dxa"/>
            <w:left w:w="108" w:type="dxa"/>
            <w:bottom w:w="0" w:type="dxa"/>
            <w:right w:w="108" w:type="dxa"/>
          </w:tblCellMar>
        </w:tblPrEx>
        <w:trPr>
          <w:trHeight w:val="499" w:hRule="atLeast"/>
          <w:jc w:val="center"/>
        </w:trPr>
        <w:tc>
          <w:tcPr>
            <w:tcW w:w="1165" w:type="dxa"/>
            <w:tcBorders>
              <w:top w:val="single" w:color="auto" w:sz="4" w:space="0"/>
              <w:left w:val="single" w:color="auto" w:sz="4" w:space="0"/>
              <w:bottom w:val="single" w:color="auto" w:sz="4" w:space="0"/>
              <w:right w:val="single" w:color="auto" w:sz="4" w:space="0"/>
            </w:tcBorders>
            <w:noWrap w:val="0"/>
            <w:vAlign w:val="center"/>
          </w:tcPr>
          <w:p w14:paraId="628C6CE7">
            <w:pPr>
              <w:keepNext w:val="0"/>
              <w:keepLines w:val="0"/>
              <w:pageBreakBefore w:val="0"/>
              <w:widowControl/>
              <w:kinsoku/>
              <w:wordWrap/>
              <w:overflowPunct/>
              <w:autoSpaceDE/>
              <w:autoSpaceDN/>
              <w:bidi w:val="0"/>
              <w:spacing w:line="440" w:lineRule="exact"/>
              <w:ind w:firstLine="0" w:firstLineChars="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10.15</w:t>
            </w:r>
          </w:p>
        </w:tc>
        <w:tc>
          <w:tcPr>
            <w:tcW w:w="8436" w:type="dxa"/>
            <w:gridSpan w:val="2"/>
            <w:tcBorders>
              <w:top w:val="single" w:color="auto" w:sz="4" w:space="0"/>
              <w:left w:val="single" w:color="auto" w:sz="4" w:space="0"/>
              <w:bottom w:val="single" w:color="auto" w:sz="4" w:space="0"/>
              <w:right w:val="single" w:color="auto" w:sz="4" w:space="0"/>
            </w:tcBorders>
            <w:noWrap w:val="0"/>
            <w:vAlign w:val="center"/>
          </w:tcPr>
          <w:p w14:paraId="01878CF9">
            <w:pPr>
              <w:keepNext w:val="0"/>
              <w:keepLines w:val="0"/>
              <w:pageBreakBefore w:val="0"/>
              <w:widowControl/>
              <w:kinsoku/>
              <w:wordWrap/>
              <w:overflowPunct/>
              <w:autoSpaceDE/>
              <w:autoSpaceDN/>
              <w:bidi w:val="0"/>
              <w:ind w:firstLine="0" w:firstLineChars="0"/>
              <w:jc w:val="left"/>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农民工工资保障制度</w:t>
            </w:r>
          </w:p>
          <w:p w14:paraId="4DB42868">
            <w:pPr>
              <w:keepNext w:val="0"/>
              <w:keepLines w:val="0"/>
              <w:pageBreakBefore w:val="0"/>
              <w:widowControl/>
              <w:kinsoku/>
              <w:wordWrap/>
              <w:overflowPunct/>
              <w:autoSpaceDE/>
              <w:autoSpaceDN/>
              <w:bidi w:val="0"/>
              <w:ind w:firstLine="0" w:firstLineChars="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农民工工资保证金制度按照《关于建立建设领域农民工工资保证金制度的通知》（辽人社规【2018】4号）、《关于转发建立建设领域农民工工资保证金制度的通知》（营人社【2018】23号）的相关要求执行，建设单位和施工总承包企业在办理施工许可前，分别按照工程价款的一定比例到工程项目建设所在地人力资源社会保障行政部门核定、储蓄工资保证金。</w:t>
            </w:r>
          </w:p>
          <w:p w14:paraId="1141A344">
            <w:pPr>
              <w:keepNext w:val="0"/>
              <w:keepLines w:val="0"/>
              <w:pageBreakBefore w:val="0"/>
              <w:widowControl/>
              <w:kinsoku/>
              <w:wordWrap/>
              <w:overflowPunct/>
              <w:autoSpaceDE/>
              <w:autoSpaceDN/>
              <w:bidi w:val="0"/>
              <w:ind w:firstLine="0" w:firstLineChars="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工资保证金储蓄实行差异化管理：</w:t>
            </w:r>
          </w:p>
          <w:p w14:paraId="2F6F0A8A">
            <w:pPr>
              <w:keepNext w:val="0"/>
              <w:keepLines w:val="0"/>
              <w:pageBreakBefore w:val="0"/>
              <w:widowControl/>
              <w:kinsoku/>
              <w:wordWrap/>
              <w:overflowPunct/>
              <w:autoSpaceDE/>
              <w:autoSpaceDN/>
              <w:bidi w:val="0"/>
              <w:ind w:firstLine="0" w:firstLineChars="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（一）施工总承包企业2年内未发生过拖欠工资行为的，工资保证金双方均按2%存储。</w:t>
            </w:r>
          </w:p>
          <w:p w14:paraId="32713EBE">
            <w:pPr>
              <w:keepNext w:val="0"/>
              <w:keepLines w:val="0"/>
              <w:pageBreakBefore w:val="0"/>
              <w:widowControl/>
              <w:kinsoku/>
              <w:wordWrap/>
              <w:overflowPunct/>
              <w:autoSpaceDE/>
              <w:autoSpaceDN/>
              <w:bidi w:val="0"/>
              <w:ind w:firstLine="0" w:firstLineChars="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（二）施工总承包企业2年内发生过拖欠工资行为的，工资保证金双方均按3%存储。</w:t>
            </w:r>
          </w:p>
          <w:p w14:paraId="3C688A57">
            <w:pPr>
              <w:keepNext w:val="0"/>
              <w:keepLines w:val="0"/>
              <w:pageBreakBefore w:val="0"/>
              <w:widowControl/>
              <w:kinsoku/>
              <w:wordWrap/>
              <w:overflowPunct/>
              <w:autoSpaceDE/>
              <w:autoSpaceDN/>
              <w:bidi w:val="0"/>
              <w:ind w:firstLine="0" w:firstLineChars="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（三）施工总承包企业2年内未发生过拖欠工资行为的，并实行劳动用工实名制、农民工工资分账制和银行按月代发工资管理的，工资保证金双方均按1%存储，且最多不超过500万元。</w:t>
            </w:r>
          </w:p>
          <w:p w14:paraId="5AA50899">
            <w:pPr>
              <w:keepNext w:val="0"/>
              <w:keepLines w:val="0"/>
              <w:pageBreakBefore w:val="0"/>
              <w:widowControl/>
              <w:kinsoku/>
              <w:wordWrap/>
              <w:overflowPunct/>
              <w:autoSpaceDE/>
              <w:autoSpaceDN/>
              <w:bidi w:val="0"/>
              <w:ind w:firstLine="0" w:firstLineChars="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（四）建设单位2年内因其拖欠工程款（含劳务费）导致施工企业发生拖欠工资行为的，建设单位工资保证金按3%存储。</w:t>
            </w:r>
          </w:p>
          <w:p w14:paraId="472F5196">
            <w:pPr>
              <w:keepNext w:val="0"/>
              <w:keepLines w:val="0"/>
              <w:pageBreakBefore w:val="0"/>
              <w:widowControl/>
              <w:kinsoku/>
              <w:wordWrap/>
              <w:overflowPunct/>
              <w:autoSpaceDE/>
              <w:autoSpaceDN/>
              <w:bidi w:val="0"/>
              <w:ind w:firstLine="0" w:firstLineChars="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（五）因拖欠工资行为引发群体性上访事件，造成较大不良社会影响的，或因欠薪被纳入黑名单的，建设单位、施工总承包企业工资保证金按4%存储。</w:t>
            </w:r>
          </w:p>
          <w:p w14:paraId="1A22A6B9">
            <w:pPr>
              <w:keepNext w:val="0"/>
              <w:keepLines w:val="0"/>
              <w:pageBreakBefore w:val="0"/>
              <w:widowControl/>
              <w:kinsoku/>
              <w:wordWrap/>
              <w:overflowPunct/>
              <w:autoSpaceDE/>
              <w:autoSpaceDN/>
              <w:bidi w:val="0"/>
              <w:ind w:firstLine="0" w:firstLineChars="0"/>
              <w:jc w:val="left"/>
              <w:textAlignment w:val="auto"/>
              <w:rPr>
                <w:rFonts w:hint="eastAsia" w:ascii="仿宋" w:hAnsi="仿宋" w:eastAsia="仿宋" w:cs="仿宋"/>
                <w:color w:val="auto"/>
                <w:sz w:val="24"/>
                <w:szCs w:val="24"/>
                <w:highlight w:val="none"/>
              </w:rPr>
            </w:pPr>
            <w:r>
              <w:rPr>
                <w:rFonts w:hint="eastAsia" w:ascii="仿宋" w:hAnsi="仿宋" w:eastAsia="仿宋" w:cs="仿宋"/>
                <w:b/>
                <w:color w:val="auto"/>
                <w:sz w:val="24"/>
                <w:szCs w:val="24"/>
                <w:highlight w:val="none"/>
              </w:rPr>
              <w:t>关于“农民工工资保证金制度”以有关部门发布的最新文件规定执行（如有）。</w:t>
            </w:r>
          </w:p>
        </w:tc>
      </w:tr>
    </w:tbl>
    <w:p w14:paraId="7D64C6AD">
      <w:pPr>
        <w:spacing w:line="400" w:lineRule="exact"/>
        <w:jc w:val="left"/>
        <w:rPr>
          <w:rFonts w:hint="eastAsia" w:ascii="仿宋" w:hAnsi="仿宋" w:eastAsia="仿宋" w:cs="仿宋"/>
          <w:color w:val="auto"/>
          <w:highlight w:val="none"/>
        </w:rPr>
      </w:pPr>
      <w:r>
        <w:rPr>
          <w:rFonts w:hint="eastAsia" w:ascii="仿宋" w:hAnsi="仿宋" w:eastAsia="仿宋" w:cs="仿宋"/>
          <w:color w:val="auto"/>
          <w:highlight w:val="none"/>
        </w:rPr>
        <w:br w:type="page"/>
      </w:r>
    </w:p>
    <w:p w14:paraId="7D97AAC7">
      <w:pPr>
        <w:pStyle w:val="4"/>
        <w:jc w:val="left"/>
        <w:rPr>
          <w:rFonts w:hint="eastAsia" w:ascii="仿宋" w:hAnsi="仿宋" w:eastAsia="仿宋" w:cs="仿宋"/>
          <w:color w:val="auto"/>
          <w:highlight w:val="none"/>
        </w:rPr>
      </w:pPr>
      <w:bookmarkStart w:id="27" w:name="_Toc144974497"/>
      <w:bookmarkStart w:id="28" w:name="_Toc152042305"/>
      <w:bookmarkStart w:id="29" w:name="_Toc152045529"/>
      <w:bookmarkStart w:id="30" w:name="_Toc7956574"/>
      <w:bookmarkStart w:id="31" w:name="_Toc247527553"/>
      <w:bookmarkStart w:id="32" w:name="_Toc106997944"/>
      <w:bookmarkStart w:id="33" w:name="_Toc247513952"/>
      <w:r>
        <w:rPr>
          <w:rFonts w:hint="eastAsia" w:ascii="仿宋" w:hAnsi="仿宋" w:eastAsia="仿宋" w:cs="仿宋"/>
          <w:color w:val="auto"/>
          <w:highlight w:val="none"/>
        </w:rPr>
        <w:t>1. 总则</w:t>
      </w:r>
      <w:bookmarkEnd w:id="27"/>
      <w:bookmarkEnd w:id="28"/>
      <w:bookmarkEnd w:id="29"/>
      <w:bookmarkEnd w:id="30"/>
      <w:bookmarkEnd w:id="31"/>
      <w:bookmarkEnd w:id="32"/>
      <w:bookmarkEnd w:id="33"/>
    </w:p>
    <w:p w14:paraId="2DC4DC4B">
      <w:pPr>
        <w:pStyle w:val="5"/>
        <w:jc w:val="left"/>
        <w:rPr>
          <w:rFonts w:hint="eastAsia" w:ascii="仿宋" w:hAnsi="仿宋" w:eastAsia="仿宋" w:cs="仿宋"/>
          <w:color w:val="auto"/>
          <w:highlight w:val="none"/>
        </w:rPr>
      </w:pPr>
      <w:bookmarkStart w:id="34" w:name="_Toc152045530"/>
      <w:bookmarkStart w:id="35" w:name="_Toc152042306"/>
      <w:bookmarkStart w:id="36" w:name="_Toc247513953"/>
      <w:bookmarkStart w:id="37" w:name="_Toc247527554"/>
      <w:bookmarkStart w:id="38" w:name="_Toc144974498"/>
      <w:bookmarkStart w:id="39" w:name="_Toc7956575"/>
      <w:bookmarkStart w:id="40" w:name="_Toc106997945"/>
      <w:r>
        <w:rPr>
          <w:rFonts w:hint="eastAsia" w:ascii="仿宋" w:hAnsi="仿宋" w:eastAsia="仿宋" w:cs="仿宋"/>
          <w:color w:val="auto"/>
          <w:highlight w:val="none"/>
        </w:rPr>
        <w:t>1.1项目概况</w:t>
      </w:r>
      <w:bookmarkEnd w:id="34"/>
      <w:bookmarkEnd w:id="35"/>
      <w:bookmarkEnd w:id="36"/>
      <w:bookmarkEnd w:id="37"/>
      <w:bookmarkEnd w:id="38"/>
      <w:bookmarkEnd w:id="39"/>
      <w:bookmarkEnd w:id="40"/>
    </w:p>
    <w:p w14:paraId="143A7890">
      <w:pPr>
        <w:spacing w:line="400" w:lineRule="exact"/>
        <w:ind w:firstLine="480" w:firstLineChars="200"/>
        <w:jc w:val="left"/>
        <w:rPr>
          <w:rFonts w:hint="eastAsia" w:ascii="仿宋" w:hAnsi="仿宋" w:eastAsia="仿宋" w:cs="仿宋"/>
          <w:color w:val="auto"/>
          <w:highlight w:val="none"/>
        </w:rPr>
      </w:pPr>
      <w:r>
        <w:rPr>
          <w:rFonts w:hint="eastAsia" w:ascii="仿宋" w:hAnsi="仿宋" w:eastAsia="仿宋" w:cs="仿宋"/>
          <w:color w:val="auto"/>
          <w:highlight w:val="none"/>
        </w:rPr>
        <w:t>1.1.1根据《中华人民共和国招标投标法》等有关法律、法规和规章的规定，本招标项目已具备招标条件，现对该项目EPC+O总承包招标。</w:t>
      </w:r>
    </w:p>
    <w:p w14:paraId="46D6E0A0">
      <w:pPr>
        <w:spacing w:line="400" w:lineRule="exact"/>
        <w:ind w:firstLine="480" w:firstLineChars="200"/>
        <w:jc w:val="left"/>
        <w:rPr>
          <w:rFonts w:hint="eastAsia" w:ascii="仿宋" w:hAnsi="仿宋" w:eastAsia="仿宋" w:cs="仿宋"/>
          <w:color w:val="auto"/>
          <w:highlight w:val="none"/>
        </w:rPr>
      </w:pPr>
      <w:r>
        <w:rPr>
          <w:rFonts w:hint="eastAsia" w:ascii="仿宋" w:hAnsi="仿宋" w:eastAsia="仿宋" w:cs="仿宋"/>
          <w:color w:val="auto"/>
          <w:highlight w:val="none"/>
        </w:rPr>
        <w:t>1.1.2 招标人：见投标人须知前附表。</w:t>
      </w:r>
    </w:p>
    <w:p w14:paraId="3BF716C3">
      <w:pPr>
        <w:spacing w:line="400" w:lineRule="exact"/>
        <w:ind w:firstLine="480" w:firstLineChars="200"/>
        <w:jc w:val="left"/>
        <w:rPr>
          <w:rFonts w:hint="eastAsia" w:ascii="仿宋" w:hAnsi="仿宋" w:eastAsia="仿宋" w:cs="仿宋"/>
          <w:color w:val="auto"/>
          <w:highlight w:val="none"/>
        </w:rPr>
      </w:pPr>
      <w:r>
        <w:rPr>
          <w:rFonts w:hint="eastAsia" w:ascii="仿宋" w:hAnsi="仿宋" w:eastAsia="仿宋" w:cs="仿宋"/>
          <w:color w:val="auto"/>
          <w:highlight w:val="none"/>
        </w:rPr>
        <w:t>1.1.3 招标代理机构：见投标人须知前附表。</w:t>
      </w:r>
    </w:p>
    <w:p w14:paraId="19AE9682">
      <w:pPr>
        <w:spacing w:line="400" w:lineRule="exact"/>
        <w:ind w:firstLine="480" w:firstLineChars="200"/>
        <w:jc w:val="left"/>
        <w:rPr>
          <w:rFonts w:hint="eastAsia" w:ascii="仿宋" w:hAnsi="仿宋" w:eastAsia="仿宋" w:cs="仿宋"/>
          <w:color w:val="auto"/>
          <w:highlight w:val="none"/>
        </w:rPr>
      </w:pPr>
      <w:r>
        <w:rPr>
          <w:rFonts w:hint="eastAsia" w:ascii="仿宋" w:hAnsi="仿宋" w:eastAsia="仿宋" w:cs="仿宋"/>
          <w:color w:val="auto"/>
          <w:highlight w:val="none"/>
        </w:rPr>
        <w:t>1.1.4 招标项目名称：见投标人须知前附表。</w:t>
      </w:r>
    </w:p>
    <w:p w14:paraId="06750094">
      <w:pPr>
        <w:spacing w:line="400" w:lineRule="exact"/>
        <w:ind w:firstLine="480" w:firstLineChars="200"/>
        <w:jc w:val="left"/>
        <w:rPr>
          <w:rFonts w:hint="eastAsia" w:ascii="仿宋" w:hAnsi="仿宋" w:eastAsia="仿宋" w:cs="仿宋"/>
          <w:color w:val="auto"/>
          <w:highlight w:val="none"/>
        </w:rPr>
      </w:pPr>
      <w:r>
        <w:rPr>
          <w:rFonts w:hint="eastAsia" w:ascii="仿宋" w:hAnsi="仿宋" w:eastAsia="仿宋" w:cs="仿宋"/>
          <w:color w:val="auto"/>
          <w:highlight w:val="none"/>
        </w:rPr>
        <w:t>1.1.5 项目建设地点：见投标人须知前附表。</w:t>
      </w:r>
    </w:p>
    <w:p w14:paraId="61B436FD">
      <w:pPr>
        <w:pStyle w:val="5"/>
        <w:jc w:val="left"/>
        <w:rPr>
          <w:rFonts w:hint="eastAsia" w:ascii="仿宋" w:hAnsi="仿宋" w:eastAsia="仿宋" w:cs="仿宋"/>
          <w:color w:val="auto"/>
          <w:highlight w:val="none"/>
        </w:rPr>
      </w:pPr>
      <w:bookmarkStart w:id="41" w:name="_Toc7956576"/>
      <w:bookmarkStart w:id="42" w:name="_Toc144974499"/>
      <w:bookmarkStart w:id="43" w:name="_Toc152042307"/>
      <w:bookmarkStart w:id="44" w:name="_Toc152045531"/>
      <w:bookmarkStart w:id="45" w:name="_Toc106997946"/>
      <w:bookmarkStart w:id="46" w:name="_Toc247513954"/>
      <w:bookmarkStart w:id="47" w:name="_Toc247527555"/>
      <w:r>
        <w:rPr>
          <w:rFonts w:hint="eastAsia" w:ascii="仿宋" w:hAnsi="仿宋" w:eastAsia="仿宋" w:cs="仿宋"/>
          <w:color w:val="auto"/>
          <w:highlight w:val="none"/>
        </w:rPr>
        <w:t>1.2 项目的资金来源和落实情况</w:t>
      </w:r>
      <w:bookmarkEnd w:id="41"/>
      <w:bookmarkEnd w:id="42"/>
      <w:bookmarkEnd w:id="43"/>
      <w:bookmarkEnd w:id="44"/>
      <w:bookmarkEnd w:id="45"/>
      <w:bookmarkEnd w:id="46"/>
      <w:bookmarkEnd w:id="47"/>
    </w:p>
    <w:p w14:paraId="33D977AF">
      <w:pPr>
        <w:spacing w:line="400" w:lineRule="exact"/>
        <w:ind w:firstLine="480" w:firstLineChars="200"/>
        <w:jc w:val="left"/>
        <w:rPr>
          <w:rFonts w:hint="eastAsia" w:ascii="仿宋" w:hAnsi="仿宋" w:eastAsia="仿宋" w:cs="仿宋"/>
          <w:color w:val="auto"/>
          <w:highlight w:val="none"/>
        </w:rPr>
      </w:pPr>
      <w:r>
        <w:rPr>
          <w:rFonts w:hint="eastAsia" w:ascii="仿宋" w:hAnsi="仿宋" w:eastAsia="仿宋" w:cs="仿宋"/>
          <w:color w:val="auto"/>
          <w:highlight w:val="none"/>
        </w:rPr>
        <w:t>1.2.1 资金来源及比例：见投标人须知前附表。</w:t>
      </w:r>
    </w:p>
    <w:p w14:paraId="2D55233B">
      <w:pPr>
        <w:spacing w:line="400" w:lineRule="exact"/>
        <w:ind w:firstLine="480" w:firstLineChars="200"/>
        <w:jc w:val="left"/>
        <w:rPr>
          <w:rFonts w:hint="eastAsia" w:ascii="仿宋" w:hAnsi="仿宋" w:eastAsia="仿宋" w:cs="仿宋"/>
          <w:color w:val="auto"/>
          <w:highlight w:val="none"/>
        </w:rPr>
      </w:pPr>
      <w:r>
        <w:rPr>
          <w:rFonts w:hint="eastAsia" w:ascii="仿宋" w:hAnsi="仿宋" w:eastAsia="仿宋" w:cs="仿宋"/>
          <w:color w:val="auto"/>
          <w:highlight w:val="none"/>
        </w:rPr>
        <w:t>1.2.2 资金落实情况：见投标人须知前附表。</w:t>
      </w:r>
    </w:p>
    <w:p w14:paraId="63449058">
      <w:pPr>
        <w:pStyle w:val="5"/>
        <w:jc w:val="left"/>
        <w:rPr>
          <w:rFonts w:hint="eastAsia" w:ascii="仿宋" w:hAnsi="仿宋" w:eastAsia="仿宋" w:cs="仿宋"/>
          <w:color w:val="auto"/>
          <w:highlight w:val="none"/>
        </w:rPr>
      </w:pPr>
      <w:bookmarkStart w:id="48" w:name="_Toc247513955"/>
      <w:bookmarkStart w:id="49" w:name="_Toc247527556"/>
      <w:bookmarkStart w:id="50" w:name="_Toc152042308"/>
      <w:bookmarkStart w:id="51" w:name="_Toc144974500"/>
      <w:bookmarkStart w:id="52" w:name="_Toc152045532"/>
      <w:bookmarkStart w:id="53" w:name="_Toc7956577"/>
      <w:bookmarkStart w:id="54" w:name="_Toc106997947"/>
      <w:r>
        <w:rPr>
          <w:rFonts w:hint="eastAsia" w:ascii="仿宋" w:hAnsi="仿宋" w:eastAsia="仿宋" w:cs="仿宋"/>
          <w:color w:val="auto"/>
          <w:highlight w:val="none"/>
        </w:rPr>
        <w:t>1.3招标范围、计划工期和</w:t>
      </w:r>
      <w:bookmarkEnd w:id="48"/>
      <w:bookmarkEnd w:id="49"/>
      <w:bookmarkEnd w:id="50"/>
      <w:bookmarkEnd w:id="51"/>
      <w:bookmarkEnd w:id="52"/>
      <w:r>
        <w:rPr>
          <w:rFonts w:hint="eastAsia" w:ascii="仿宋" w:hAnsi="仿宋" w:eastAsia="仿宋" w:cs="仿宋"/>
          <w:color w:val="auto"/>
          <w:highlight w:val="none"/>
        </w:rPr>
        <w:t>质量标准</w:t>
      </w:r>
      <w:bookmarkEnd w:id="53"/>
      <w:bookmarkEnd w:id="54"/>
    </w:p>
    <w:p w14:paraId="6B0A204B">
      <w:pPr>
        <w:spacing w:line="400" w:lineRule="exact"/>
        <w:ind w:firstLine="480" w:firstLineChars="200"/>
        <w:jc w:val="left"/>
        <w:rPr>
          <w:rFonts w:hint="eastAsia" w:ascii="仿宋" w:hAnsi="仿宋" w:eastAsia="仿宋" w:cs="仿宋"/>
          <w:color w:val="auto"/>
          <w:highlight w:val="none"/>
        </w:rPr>
      </w:pPr>
      <w:r>
        <w:rPr>
          <w:rFonts w:hint="eastAsia" w:ascii="仿宋" w:hAnsi="仿宋" w:eastAsia="仿宋" w:cs="仿宋"/>
          <w:color w:val="auto"/>
          <w:highlight w:val="none"/>
        </w:rPr>
        <w:t>1.3.1 招标范围：见投标人须知前附表。</w:t>
      </w:r>
    </w:p>
    <w:p w14:paraId="5CED4CDA">
      <w:pPr>
        <w:spacing w:line="400" w:lineRule="exact"/>
        <w:ind w:firstLine="480" w:firstLineChars="200"/>
        <w:jc w:val="left"/>
        <w:rPr>
          <w:rFonts w:hint="eastAsia" w:ascii="仿宋" w:hAnsi="仿宋" w:eastAsia="仿宋" w:cs="仿宋"/>
          <w:color w:val="auto"/>
          <w:highlight w:val="none"/>
        </w:rPr>
      </w:pPr>
      <w:r>
        <w:rPr>
          <w:rFonts w:hint="eastAsia" w:ascii="仿宋" w:hAnsi="仿宋" w:eastAsia="仿宋" w:cs="仿宋"/>
          <w:color w:val="auto"/>
          <w:highlight w:val="none"/>
        </w:rPr>
        <w:t>1.3.2 计划工期：见投标人须知前附表。</w:t>
      </w:r>
    </w:p>
    <w:p w14:paraId="2154917D">
      <w:pPr>
        <w:spacing w:line="400" w:lineRule="exact"/>
        <w:ind w:firstLine="480" w:firstLineChars="200"/>
        <w:jc w:val="left"/>
        <w:rPr>
          <w:rFonts w:hint="eastAsia" w:ascii="仿宋" w:hAnsi="仿宋" w:eastAsia="仿宋" w:cs="仿宋"/>
          <w:color w:val="auto"/>
          <w:highlight w:val="none"/>
        </w:rPr>
      </w:pPr>
      <w:r>
        <w:rPr>
          <w:rFonts w:hint="eastAsia" w:ascii="仿宋" w:hAnsi="仿宋" w:eastAsia="仿宋" w:cs="仿宋"/>
          <w:color w:val="auto"/>
          <w:highlight w:val="none"/>
        </w:rPr>
        <w:t>1.3.3 质量标准：见投标人须知前附表。</w:t>
      </w:r>
    </w:p>
    <w:p w14:paraId="44155E02">
      <w:pPr>
        <w:pStyle w:val="5"/>
        <w:jc w:val="left"/>
        <w:rPr>
          <w:rFonts w:hint="eastAsia" w:ascii="仿宋" w:hAnsi="仿宋" w:eastAsia="仿宋" w:cs="仿宋"/>
          <w:color w:val="auto"/>
          <w:highlight w:val="none"/>
        </w:rPr>
      </w:pPr>
      <w:bookmarkStart w:id="55" w:name="_Toc144974502"/>
      <w:bookmarkStart w:id="56" w:name="_Toc106997948"/>
      <w:bookmarkStart w:id="57" w:name="_Toc247527558"/>
      <w:bookmarkStart w:id="58" w:name="_Toc247513957"/>
      <w:bookmarkStart w:id="59" w:name="_Toc152045534"/>
      <w:bookmarkStart w:id="60" w:name="_Toc152042310"/>
      <w:bookmarkStart w:id="61" w:name="_Toc7956578"/>
      <w:r>
        <w:rPr>
          <w:rFonts w:hint="eastAsia" w:ascii="仿宋" w:hAnsi="仿宋" w:eastAsia="仿宋" w:cs="仿宋"/>
          <w:color w:val="auto"/>
          <w:highlight w:val="none"/>
        </w:rPr>
        <w:t>1.4投标人资格要求</w:t>
      </w:r>
      <w:bookmarkEnd w:id="55"/>
      <w:bookmarkEnd w:id="56"/>
      <w:bookmarkEnd w:id="57"/>
      <w:bookmarkEnd w:id="58"/>
      <w:bookmarkEnd w:id="59"/>
      <w:bookmarkEnd w:id="60"/>
      <w:bookmarkEnd w:id="61"/>
    </w:p>
    <w:p w14:paraId="34B37028">
      <w:pPr>
        <w:spacing w:line="400" w:lineRule="exact"/>
        <w:ind w:firstLine="480" w:firstLineChars="200"/>
        <w:jc w:val="left"/>
        <w:rPr>
          <w:rFonts w:hint="eastAsia" w:ascii="仿宋" w:hAnsi="仿宋" w:eastAsia="仿宋" w:cs="仿宋"/>
          <w:color w:val="auto"/>
          <w:highlight w:val="none"/>
        </w:rPr>
      </w:pPr>
      <w:r>
        <w:rPr>
          <w:rFonts w:hint="eastAsia" w:ascii="仿宋" w:hAnsi="仿宋" w:eastAsia="仿宋" w:cs="仿宋"/>
          <w:color w:val="auto"/>
          <w:highlight w:val="none"/>
        </w:rPr>
        <w:t>1.4.1 投标人应具备承担本招标项目资质条件、能力和信誉。</w:t>
      </w:r>
    </w:p>
    <w:p w14:paraId="461789D6">
      <w:pPr>
        <w:spacing w:line="400" w:lineRule="exact"/>
        <w:ind w:firstLine="360" w:firstLineChars="150"/>
        <w:jc w:val="left"/>
        <w:rPr>
          <w:rFonts w:hint="eastAsia" w:ascii="仿宋" w:hAnsi="仿宋" w:eastAsia="仿宋" w:cs="仿宋"/>
          <w:color w:val="auto"/>
          <w:highlight w:val="none"/>
        </w:rPr>
      </w:pPr>
      <w:r>
        <w:rPr>
          <w:rFonts w:hint="eastAsia" w:ascii="仿宋" w:hAnsi="仿宋" w:eastAsia="仿宋" w:cs="仿宋"/>
          <w:color w:val="auto"/>
          <w:highlight w:val="none"/>
        </w:rPr>
        <w:t>（1）资质要求：见投标人须知前附表；</w:t>
      </w:r>
    </w:p>
    <w:p w14:paraId="1C6C7E49">
      <w:pPr>
        <w:spacing w:line="400" w:lineRule="exact"/>
        <w:ind w:firstLine="360" w:firstLineChars="150"/>
        <w:jc w:val="left"/>
        <w:rPr>
          <w:rFonts w:hint="eastAsia" w:ascii="仿宋" w:hAnsi="仿宋" w:eastAsia="仿宋" w:cs="仿宋"/>
          <w:color w:val="auto"/>
          <w:highlight w:val="none"/>
        </w:rPr>
      </w:pPr>
      <w:r>
        <w:rPr>
          <w:rFonts w:hint="eastAsia" w:ascii="仿宋" w:hAnsi="仿宋" w:eastAsia="仿宋" w:cs="仿宋"/>
          <w:color w:val="auto"/>
          <w:highlight w:val="none"/>
        </w:rPr>
        <w:t>（2）财务要求：见投标人须知前附表；</w:t>
      </w:r>
    </w:p>
    <w:p w14:paraId="11AD93BA">
      <w:pPr>
        <w:spacing w:line="400" w:lineRule="exact"/>
        <w:ind w:firstLine="360" w:firstLineChars="150"/>
        <w:jc w:val="left"/>
        <w:rPr>
          <w:rFonts w:hint="eastAsia" w:ascii="仿宋" w:hAnsi="仿宋" w:eastAsia="仿宋" w:cs="仿宋"/>
          <w:color w:val="auto"/>
          <w:highlight w:val="none"/>
        </w:rPr>
      </w:pPr>
      <w:r>
        <w:rPr>
          <w:rFonts w:hint="eastAsia" w:ascii="仿宋" w:hAnsi="仿宋" w:eastAsia="仿宋" w:cs="仿宋"/>
          <w:color w:val="auto"/>
          <w:highlight w:val="none"/>
        </w:rPr>
        <w:t>（3）业绩要求：见投标人须知前附表；</w:t>
      </w:r>
    </w:p>
    <w:p w14:paraId="07AA1FEF">
      <w:pPr>
        <w:spacing w:line="400" w:lineRule="exact"/>
        <w:ind w:firstLine="360" w:firstLineChars="150"/>
        <w:jc w:val="left"/>
        <w:rPr>
          <w:rFonts w:hint="eastAsia" w:ascii="仿宋" w:hAnsi="仿宋" w:eastAsia="仿宋" w:cs="仿宋"/>
          <w:color w:val="auto"/>
          <w:highlight w:val="none"/>
        </w:rPr>
      </w:pPr>
      <w:r>
        <w:rPr>
          <w:rFonts w:hint="eastAsia" w:ascii="仿宋" w:hAnsi="仿宋" w:eastAsia="仿宋" w:cs="仿宋"/>
          <w:color w:val="auto"/>
          <w:highlight w:val="none"/>
        </w:rPr>
        <w:t>（4）信誉要求：见投标人须知前附表；</w:t>
      </w:r>
    </w:p>
    <w:p w14:paraId="04E1AA8D">
      <w:pPr>
        <w:spacing w:line="400" w:lineRule="exact"/>
        <w:ind w:firstLine="360" w:firstLineChars="150"/>
        <w:jc w:val="left"/>
        <w:rPr>
          <w:rFonts w:hint="eastAsia" w:ascii="仿宋" w:hAnsi="仿宋" w:eastAsia="仿宋" w:cs="仿宋"/>
          <w:color w:val="auto"/>
          <w:highlight w:val="none"/>
        </w:rPr>
      </w:pPr>
      <w:r>
        <w:rPr>
          <w:rFonts w:hint="eastAsia" w:ascii="仿宋" w:hAnsi="仿宋" w:eastAsia="仿宋" w:cs="仿宋"/>
          <w:color w:val="auto"/>
          <w:highlight w:val="none"/>
        </w:rPr>
        <w:t>（5）</w:t>
      </w:r>
      <w:r>
        <w:rPr>
          <w:rFonts w:hint="eastAsia" w:ascii="仿宋" w:hAnsi="仿宋" w:eastAsia="仿宋" w:cs="仿宋"/>
          <w:bCs/>
          <w:color w:val="auto"/>
          <w:szCs w:val="21"/>
          <w:highlight w:val="none"/>
        </w:rPr>
        <w:t>项目经理（施工负责人、项目负责人）</w:t>
      </w:r>
      <w:r>
        <w:rPr>
          <w:rFonts w:hint="eastAsia" w:ascii="仿宋" w:hAnsi="仿宋" w:eastAsia="仿宋" w:cs="仿宋"/>
          <w:color w:val="auto"/>
          <w:highlight w:val="none"/>
        </w:rPr>
        <w:t>的资格要求：具体要求见投标人须知前附表；</w:t>
      </w:r>
    </w:p>
    <w:p w14:paraId="002B3CEA">
      <w:pPr>
        <w:spacing w:line="400" w:lineRule="exact"/>
        <w:ind w:firstLine="360" w:firstLineChars="150"/>
        <w:jc w:val="left"/>
        <w:rPr>
          <w:rFonts w:hint="eastAsia" w:ascii="仿宋" w:hAnsi="仿宋" w:eastAsia="仿宋" w:cs="仿宋"/>
          <w:color w:val="auto"/>
          <w:highlight w:val="none"/>
        </w:rPr>
      </w:pPr>
      <w:r>
        <w:rPr>
          <w:rFonts w:hint="eastAsia" w:ascii="仿宋" w:hAnsi="仿宋" w:eastAsia="仿宋" w:cs="仿宋"/>
          <w:color w:val="auto"/>
          <w:highlight w:val="none"/>
        </w:rPr>
        <w:t>（6）施工负责人的资格要求：具体要求见投标人须知前附表；</w:t>
      </w:r>
    </w:p>
    <w:p w14:paraId="2EEED777">
      <w:pPr>
        <w:spacing w:line="400" w:lineRule="exact"/>
        <w:ind w:firstLine="360" w:firstLineChars="150"/>
        <w:jc w:val="left"/>
        <w:rPr>
          <w:rFonts w:hint="eastAsia" w:ascii="仿宋" w:hAnsi="仿宋" w:eastAsia="仿宋" w:cs="仿宋"/>
          <w:color w:val="auto"/>
          <w:highlight w:val="none"/>
        </w:rPr>
      </w:pPr>
      <w:r>
        <w:rPr>
          <w:rFonts w:hint="eastAsia" w:ascii="仿宋" w:hAnsi="仿宋" w:eastAsia="仿宋" w:cs="仿宋"/>
          <w:color w:val="auto"/>
          <w:highlight w:val="none"/>
        </w:rPr>
        <w:t>（7）施工机械设备：见投标人须知前附表；</w:t>
      </w:r>
    </w:p>
    <w:p w14:paraId="6FCB8A02">
      <w:pPr>
        <w:spacing w:line="400" w:lineRule="exact"/>
        <w:ind w:firstLine="360" w:firstLineChars="150"/>
        <w:jc w:val="left"/>
        <w:rPr>
          <w:rFonts w:hint="eastAsia" w:ascii="仿宋" w:hAnsi="仿宋" w:eastAsia="仿宋" w:cs="仿宋"/>
          <w:color w:val="auto"/>
          <w:highlight w:val="none"/>
        </w:rPr>
      </w:pPr>
      <w:r>
        <w:rPr>
          <w:rFonts w:hint="eastAsia" w:ascii="仿宋" w:hAnsi="仿宋" w:eastAsia="仿宋" w:cs="仿宋"/>
          <w:color w:val="auto"/>
          <w:highlight w:val="none"/>
        </w:rPr>
        <w:t>（8）项目管理机构及人员：见投标人须知前附表；</w:t>
      </w:r>
    </w:p>
    <w:p w14:paraId="68F8BBFC">
      <w:pPr>
        <w:spacing w:line="400" w:lineRule="exact"/>
        <w:ind w:firstLine="360" w:firstLineChars="150"/>
        <w:jc w:val="left"/>
        <w:rPr>
          <w:rFonts w:hint="eastAsia" w:ascii="仿宋" w:hAnsi="仿宋" w:eastAsia="仿宋" w:cs="仿宋"/>
          <w:color w:val="auto"/>
          <w:highlight w:val="none"/>
        </w:rPr>
      </w:pPr>
      <w:r>
        <w:rPr>
          <w:rFonts w:hint="eastAsia" w:ascii="仿宋" w:hAnsi="仿宋" w:eastAsia="仿宋" w:cs="仿宋"/>
          <w:color w:val="auto"/>
          <w:highlight w:val="none"/>
        </w:rPr>
        <w:t>（9）其他要求：见投标人须知前附表。</w:t>
      </w:r>
    </w:p>
    <w:p w14:paraId="28289D4B">
      <w:pPr>
        <w:spacing w:line="400" w:lineRule="exact"/>
        <w:ind w:firstLine="480" w:firstLineChars="200"/>
        <w:jc w:val="left"/>
        <w:rPr>
          <w:rFonts w:hint="eastAsia" w:ascii="仿宋" w:hAnsi="仿宋" w:eastAsia="仿宋" w:cs="仿宋"/>
          <w:color w:val="auto"/>
          <w:highlight w:val="none"/>
        </w:rPr>
      </w:pPr>
      <w:r>
        <w:rPr>
          <w:rFonts w:hint="eastAsia" w:ascii="仿宋" w:hAnsi="仿宋" w:eastAsia="仿宋" w:cs="仿宋"/>
          <w:color w:val="auto"/>
          <w:highlight w:val="none"/>
        </w:rPr>
        <w:t>1.4.2 投标人须知前附表规定接受联合体投标的，除应符合本章第1.4.1项和投标人须知前附表的要求外，还应遵守以下规定：</w:t>
      </w:r>
    </w:p>
    <w:p w14:paraId="33466BBC">
      <w:pPr>
        <w:spacing w:line="400" w:lineRule="exact"/>
        <w:ind w:firstLine="360" w:firstLineChars="150"/>
        <w:jc w:val="left"/>
        <w:rPr>
          <w:rFonts w:hint="eastAsia" w:ascii="仿宋" w:hAnsi="仿宋" w:eastAsia="仿宋" w:cs="仿宋"/>
          <w:color w:val="auto"/>
          <w:highlight w:val="none"/>
        </w:rPr>
      </w:pPr>
      <w:r>
        <w:rPr>
          <w:rFonts w:hint="eastAsia" w:ascii="仿宋" w:hAnsi="仿宋" w:eastAsia="仿宋" w:cs="仿宋"/>
          <w:color w:val="auto"/>
          <w:highlight w:val="none"/>
        </w:rPr>
        <w:t>（1）联合体各方应按招标文件提供的格式签订联合体协议书，明确联合体牵头人和各方权利义务；</w:t>
      </w:r>
    </w:p>
    <w:p w14:paraId="7C13880B">
      <w:pPr>
        <w:spacing w:line="400" w:lineRule="exact"/>
        <w:ind w:firstLine="360" w:firstLineChars="150"/>
        <w:jc w:val="left"/>
        <w:rPr>
          <w:rFonts w:hint="eastAsia" w:ascii="仿宋" w:hAnsi="仿宋" w:eastAsia="仿宋" w:cs="仿宋"/>
          <w:color w:val="auto"/>
          <w:highlight w:val="none"/>
        </w:rPr>
      </w:pPr>
      <w:r>
        <w:rPr>
          <w:rFonts w:hint="eastAsia" w:ascii="仿宋" w:hAnsi="仿宋" w:eastAsia="仿宋" w:cs="仿宋"/>
          <w:color w:val="auto"/>
          <w:highlight w:val="none"/>
        </w:rPr>
        <w:t>（2）由同一专业的单位组成的联合体，按照资质等级较低的单位确定资质等级；</w:t>
      </w:r>
    </w:p>
    <w:p w14:paraId="6F2B6EDE">
      <w:pPr>
        <w:spacing w:line="400" w:lineRule="exact"/>
        <w:ind w:firstLine="360" w:firstLineChars="150"/>
        <w:jc w:val="left"/>
        <w:rPr>
          <w:rFonts w:hint="eastAsia" w:ascii="仿宋" w:hAnsi="仿宋" w:eastAsia="仿宋" w:cs="仿宋"/>
          <w:color w:val="auto"/>
          <w:highlight w:val="none"/>
        </w:rPr>
      </w:pPr>
      <w:r>
        <w:rPr>
          <w:rFonts w:hint="eastAsia" w:ascii="仿宋" w:hAnsi="仿宋" w:eastAsia="仿宋" w:cs="仿宋"/>
          <w:color w:val="auto"/>
          <w:highlight w:val="none"/>
        </w:rPr>
        <w:t>（3）联合体各方不得再以自己名义单独或参加其他联合体在本招标项目中投标。</w:t>
      </w:r>
    </w:p>
    <w:p w14:paraId="06D02842">
      <w:pPr>
        <w:spacing w:line="400" w:lineRule="exact"/>
        <w:ind w:firstLine="480" w:firstLineChars="200"/>
        <w:jc w:val="left"/>
        <w:rPr>
          <w:rFonts w:hint="eastAsia" w:ascii="仿宋" w:hAnsi="仿宋" w:eastAsia="仿宋" w:cs="仿宋"/>
          <w:color w:val="auto"/>
          <w:highlight w:val="none"/>
        </w:rPr>
      </w:pPr>
      <w:r>
        <w:rPr>
          <w:rFonts w:hint="eastAsia" w:ascii="仿宋" w:hAnsi="仿宋" w:eastAsia="仿宋" w:cs="仿宋"/>
          <w:color w:val="auto"/>
          <w:highlight w:val="none"/>
        </w:rPr>
        <w:t>1.4.3 投标人不得存在下列情形之一：</w:t>
      </w:r>
    </w:p>
    <w:p w14:paraId="20205B2E">
      <w:pPr>
        <w:adjustRightInd w:val="0"/>
        <w:snapToGrid w:val="0"/>
        <w:spacing w:line="400" w:lineRule="exact"/>
        <w:ind w:firstLine="48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(1)为招标人不具有独立法人资格的附属机构(单位)；</w:t>
      </w:r>
    </w:p>
    <w:p w14:paraId="6CE03F82">
      <w:pPr>
        <w:adjustRightInd w:val="0"/>
        <w:snapToGrid w:val="0"/>
        <w:spacing w:line="400" w:lineRule="exact"/>
        <w:ind w:firstLine="48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(2)为本项目的监理人；</w:t>
      </w:r>
    </w:p>
    <w:p w14:paraId="3B31B7C1">
      <w:pPr>
        <w:adjustRightInd w:val="0"/>
        <w:snapToGrid w:val="0"/>
        <w:spacing w:line="400" w:lineRule="exact"/>
        <w:ind w:firstLine="48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(3)为本项目的代建人；</w:t>
      </w:r>
    </w:p>
    <w:p w14:paraId="14CE6099">
      <w:pPr>
        <w:adjustRightInd w:val="0"/>
        <w:snapToGrid w:val="0"/>
        <w:spacing w:line="400" w:lineRule="exact"/>
        <w:ind w:firstLine="48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(4)为本项目提供招标代理服务的；</w:t>
      </w:r>
    </w:p>
    <w:p w14:paraId="43DDDA8D">
      <w:pPr>
        <w:adjustRightInd w:val="0"/>
        <w:snapToGrid w:val="0"/>
        <w:spacing w:line="400" w:lineRule="exact"/>
        <w:ind w:firstLine="48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(5)与本项目的监理人或代建人或招标代理机构同为一个法定代表人的；</w:t>
      </w:r>
    </w:p>
    <w:p w14:paraId="46A83104">
      <w:pPr>
        <w:adjustRightInd w:val="0"/>
        <w:snapToGrid w:val="0"/>
        <w:spacing w:line="400" w:lineRule="exact"/>
        <w:ind w:firstLine="48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(6)与本项目的监理人或代建人或招标代理机构相互控股或参股的；</w:t>
      </w:r>
    </w:p>
    <w:p w14:paraId="7AE5225D">
      <w:pPr>
        <w:adjustRightInd w:val="0"/>
        <w:snapToGrid w:val="0"/>
        <w:spacing w:line="400" w:lineRule="exact"/>
        <w:ind w:firstLine="48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(7)与本项目的监理人或代建人或招标代理机构相互任职或工作的；</w:t>
      </w:r>
    </w:p>
    <w:p w14:paraId="144C781B">
      <w:pPr>
        <w:spacing w:line="400" w:lineRule="exact"/>
        <w:ind w:firstLine="480" w:firstLineChars="200"/>
        <w:jc w:val="left"/>
        <w:rPr>
          <w:rFonts w:hint="eastAsia" w:ascii="仿宋" w:hAnsi="仿宋" w:eastAsia="仿宋" w:cs="仿宋"/>
          <w:color w:val="auto"/>
          <w:highlight w:val="none"/>
        </w:rPr>
      </w:pPr>
      <w:r>
        <w:rPr>
          <w:rFonts w:hint="eastAsia" w:ascii="仿宋" w:hAnsi="仿宋" w:eastAsia="仿宋" w:cs="仿宋"/>
          <w:color w:val="auto"/>
          <w:highlight w:val="none"/>
        </w:rPr>
        <w:t>(8)被责令停业的；</w:t>
      </w:r>
    </w:p>
    <w:p w14:paraId="6997ACE0">
      <w:pPr>
        <w:spacing w:line="400" w:lineRule="exact"/>
        <w:ind w:firstLine="480" w:firstLineChars="200"/>
        <w:jc w:val="left"/>
        <w:rPr>
          <w:rFonts w:hint="eastAsia" w:ascii="仿宋" w:hAnsi="仿宋" w:eastAsia="仿宋" w:cs="仿宋"/>
          <w:color w:val="auto"/>
          <w:highlight w:val="none"/>
        </w:rPr>
      </w:pPr>
      <w:r>
        <w:rPr>
          <w:rFonts w:hint="eastAsia" w:ascii="仿宋" w:hAnsi="仿宋" w:eastAsia="仿宋" w:cs="仿宋"/>
          <w:color w:val="auto"/>
          <w:highlight w:val="none"/>
        </w:rPr>
        <w:t>(9)被暂停或取消投标资格的；</w:t>
      </w:r>
    </w:p>
    <w:p w14:paraId="031543EF">
      <w:pPr>
        <w:spacing w:line="400" w:lineRule="exact"/>
        <w:ind w:firstLine="480" w:firstLineChars="200"/>
        <w:jc w:val="left"/>
        <w:rPr>
          <w:rFonts w:hint="eastAsia" w:ascii="仿宋" w:hAnsi="仿宋" w:eastAsia="仿宋" w:cs="仿宋"/>
          <w:color w:val="auto"/>
          <w:highlight w:val="none"/>
        </w:rPr>
      </w:pPr>
      <w:r>
        <w:rPr>
          <w:rFonts w:hint="eastAsia" w:ascii="仿宋" w:hAnsi="仿宋" w:eastAsia="仿宋" w:cs="仿宋"/>
          <w:color w:val="auto"/>
          <w:highlight w:val="none"/>
        </w:rPr>
        <w:t>(10)财产被接管或冻结的；</w:t>
      </w:r>
    </w:p>
    <w:p w14:paraId="21B57C5F">
      <w:pPr>
        <w:spacing w:line="400" w:lineRule="exact"/>
        <w:ind w:firstLine="480" w:firstLineChars="200"/>
        <w:jc w:val="left"/>
        <w:rPr>
          <w:rFonts w:hint="eastAsia" w:ascii="仿宋" w:hAnsi="仿宋" w:eastAsia="仿宋" w:cs="仿宋"/>
          <w:color w:val="auto"/>
          <w:highlight w:val="none"/>
        </w:rPr>
      </w:pPr>
      <w:r>
        <w:rPr>
          <w:rFonts w:hint="eastAsia" w:ascii="仿宋" w:hAnsi="仿宋" w:eastAsia="仿宋" w:cs="仿宋"/>
          <w:color w:val="auto"/>
          <w:highlight w:val="none"/>
        </w:rPr>
        <w:t>(11)在最近三年内有骗取中标或严重违约或重大工程质量问题的；</w:t>
      </w:r>
    </w:p>
    <w:p w14:paraId="536A9318">
      <w:pPr>
        <w:spacing w:line="400" w:lineRule="exact"/>
        <w:ind w:firstLine="480" w:firstLineChars="200"/>
        <w:jc w:val="left"/>
        <w:rPr>
          <w:rFonts w:hint="eastAsia" w:ascii="仿宋" w:hAnsi="仿宋" w:eastAsia="仿宋" w:cs="仿宋"/>
          <w:color w:val="auto"/>
          <w:highlight w:val="none"/>
        </w:rPr>
      </w:pPr>
      <w:r>
        <w:rPr>
          <w:rFonts w:hint="eastAsia" w:ascii="仿宋" w:hAnsi="仿宋" w:eastAsia="仿宋" w:cs="仿宋"/>
          <w:color w:val="auto"/>
          <w:highlight w:val="none"/>
        </w:rPr>
        <w:t>(12)近半年内有招投标和合同履行过程中有被监督部门行政处罚的；</w:t>
      </w:r>
    </w:p>
    <w:p w14:paraId="79310C6E">
      <w:pPr>
        <w:spacing w:line="400" w:lineRule="exact"/>
        <w:ind w:firstLine="480" w:firstLineChars="200"/>
        <w:jc w:val="left"/>
        <w:rPr>
          <w:rFonts w:hint="eastAsia" w:ascii="仿宋" w:hAnsi="仿宋" w:eastAsia="仿宋" w:cs="仿宋"/>
          <w:color w:val="auto"/>
          <w:highlight w:val="none"/>
        </w:rPr>
      </w:pPr>
      <w:r>
        <w:rPr>
          <w:rFonts w:hint="eastAsia" w:ascii="仿宋" w:hAnsi="仿宋" w:eastAsia="仿宋" w:cs="仿宋"/>
          <w:color w:val="auto"/>
          <w:highlight w:val="none"/>
        </w:rPr>
        <w:t>(13) 近三年内在招投标和合同履行过程中有腐败行为并被司法机关认定为犯罪的；</w:t>
      </w:r>
    </w:p>
    <w:p w14:paraId="012721BC">
      <w:pPr>
        <w:spacing w:line="400" w:lineRule="exact"/>
        <w:ind w:firstLine="480" w:firstLineChars="200"/>
        <w:jc w:val="left"/>
        <w:rPr>
          <w:rFonts w:hint="eastAsia" w:ascii="仿宋" w:hAnsi="仿宋" w:eastAsia="仿宋" w:cs="仿宋"/>
          <w:color w:val="auto"/>
          <w:highlight w:val="none"/>
        </w:rPr>
      </w:pPr>
      <w:r>
        <w:rPr>
          <w:rFonts w:hint="eastAsia" w:ascii="仿宋" w:hAnsi="仿宋" w:eastAsia="仿宋" w:cs="仿宋"/>
          <w:color w:val="auto"/>
          <w:highlight w:val="none"/>
        </w:rPr>
        <w:t>(14)近三年内，在招标人（包括与本项目招标人有股权或隶属关系的招标人）的既往项目合同履行过程中，被监督部门或司法机关认定投标人不履行合同、项目经理或主要技术负责人被招标人撤换的；</w:t>
      </w:r>
    </w:p>
    <w:p w14:paraId="10AC7161">
      <w:pPr>
        <w:spacing w:line="400" w:lineRule="exact"/>
        <w:ind w:firstLine="480" w:firstLineChars="200"/>
        <w:jc w:val="left"/>
        <w:rPr>
          <w:rFonts w:hint="eastAsia" w:ascii="仿宋" w:hAnsi="仿宋" w:eastAsia="仿宋" w:cs="仿宋"/>
          <w:color w:val="auto"/>
          <w:highlight w:val="none"/>
        </w:rPr>
      </w:pPr>
      <w:r>
        <w:rPr>
          <w:rFonts w:hint="eastAsia" w:ascii="仿宋" w:hAnsi="仿宋" w:eastAsia="仿宋" w:cs="仿宋"/>
          <w:color w:val="auto"/>
          <w:highlight w:val="none"/>
        </w:rPr>
        <w:t>(15)投标人与招标人相互参股或相互任职；</w:t>
      </w:r>
    </w:p>
    <w:p w14:paraId="2B323AFF">
      <w:pPr>
        <w:spacing w:line="400" w:lineRule="exact"/>
        <w:ind w:firstLine="480" w:firstLineChars="200"/>
        <w:jc w:val="left"/>
        <w:rPr>
          <w:rFonts w:hint="eastAsia" w:ascii="仿宋" w:hAnsi="仿宋" w:eastAsia="仿宋" w:cs="仿宋"/>
          <w:color w:val="auto"/>
          <w:highlight w:val="none"/>
        </w:rPr>
      </w:pPr>
      <w:r>
        <w:rPr>
          <w:rFonts w:hint="eastAsia" w:ascii="仿宋" w:hAnsi="仿宋" w:eastAsia="仿宋" w:cs="仿宋"/>
          <w:color w:val="auto"/>
          <w:highlight w:val="none"/>
        </w:rPr>
        <w:t>（16）投标人为本招标项目前期准备提供设计或者咨询服务的。</w:t>
      </w:r>
    </w:p>
    <w:p w14:paraId="1342F1F7">
      <w:pPr>
        <w:adjustRightInd w:val="0"/>
        <w:snapToGrid w:val="0"/>
        <w:spacing w:line="400" w:lineRule="exact"/>
        <w:ind w:firstLine="435"/>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有下列情形之一，不得在本项目中同时投标：</w:t>
      </w:r>
    </w:p>
    <w:p w14:paraId="28AD5672">
      <w:pPr>
        <w:adjustRightInd w:val="0"/>
        <w:snapToGrid w:val="0"/>
        <w:spacing w:line="400" w:lineRule="exact"/>
        <w:ind w:firstLine="435"/>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（1）法定代表人为同一人；</w:t>
      </w:r>
    </w:p>
    <w:p w14:paraId="625CB27A">
      <w:pPr>
        <w:adjustRightInd w:val="0"/>
        <w:snapToGrid w:val="0"/>
        <w:spacing w:line="400" w:lineRule="exact"/>
        <w:ind w:firstLine="435"/>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（2）母公司与其全资子公司；</w:t>
      </w:r>
    </w:p>
    <w:p w14:paraId="0B95056A">
      <w:pPr>
        <w:adjustRightInd w:val="0"/>
        <w:snapToGrid w:val="0"/>
        <w:spacing w:line="400" w:lineRule="exact"/>
        <w:ind w:firstLine="435"/>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（3）母公司与其控股公司（直接或间接持股不低于50%）；</w:t>
      </w:r>
    </w:p>
    <w:p w14:paraId="5505BCEE">
      <w:pPr>
        <w:spacing w:line="440" w:lineRule="exact"/>
        <w:ind w:firstLine="482" w:firstLineChars="200"/>
        <w:jc w:val="left"/>
        <w:rPr>
          <w:rFonts w:hint="eastAsia" w:ascii="仿宋" w:hAnsi="仿宋" w:eastAsia="仿宋" w:cs="仿宋"/>
          <w:color w:val="auto"/>
          <w:szCs w:val="21"/>
          <w:highlight w:val="none"/>
        </w:rPr>
      </w:pPr>
      <w:r>
        <w:rPr>
          <w:rFonts w:hint="eastAsia" w:ascii="仿宋" w:hAnsi="仿宋" w:eastAsia="仿宋" w:cs="仿宋"/>
          <w:b/>
          <w:color w:val="auto"/>
          <w:highlight w:val="none"/>
        </w:rPr>
        <w:t>投标单位存在以上情形，其投标无效。</w:t>
      </w:r>
    </w:p>
    <w:p w14:paraId="089DE1C0">
      <w:pPr>
        <w:spacing w:line="440" w:lineRule="exact"/>
        <w:ind w:firstLine="48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1.4.4 单位负责人为同一人或者存在控股、管理关系的不同单位，不得同时参加本招标项目投标。</w:t>
      </w:r>
    </w:p>
    <w:p w14:paraId="57539F0A">
      <w:pPr>
        <w:spacing w:line="400" w:lineRule="exact"/>
        <w:ind w:firstLine="482" w:firstLineChars="200"/>
        <w:jc w:val="left"/>
        <w:rPr>
          <w:rFonts w:hint="eastAsia" w:ascii="仿宋" w:hAnsi="仿宋" w:eastAsia="仿宋" w:cs="仿宋"/>
          <w:color w:val="auto"/>
          <w:highlight w:val="none"/>
        </w:rPr>
      </w:pPr>
      <w:r>
        <w:rPr>
          <w:rFonts w:hint="eastAsia" w:ascii="仿宋" w:hAnsi="仿宋" w:eastAsia="仿宋" w:cs="仿宋"/>
          <w:b/>
          <w:color w:val="auto"/>
          <w:highlight w:val="none"/>
        </w:rPr>
        <w:t>投标单位存在以上情形，其投标无效。</w:t>
      </w:r>
    </w:p>
    <w:p w14:paraId="0A81320C">
      <w:pPr>
        <w:pStyle w:val="5"/>
        <w:jc w:val="left"/>
        <w:rPr>
          <w:rFonts w:hint="eastAsia" w:ascii="仿宋" w:hAnsi="仿宋" w:eastAsia="仿宋" w:cs="仿宋"/>
          <w:color w:val="auto"/>
          <w:highlight w:val="none"/>
        </w:rPr>
      </w:pPr>
      <w:bookmarkStart w:id="62" w:name="_Toc247527559"/>
      <w:bookmarkStart w:id="63" w:name="_Toc144974503"/>
      <w:bookmarkStart w:id="64" w:name="_Toc152045535"/>
      <w:bookmarkStart w:id="65" w:name="_Toc152042311"/>
      <w:bookmarkStart w:id="66" w:name="_Toc247513958"/>
      <w:bookmarkStart w:id="67" w:name="_Toc7956579"/>
      <w:bookmarkStart w:id="68" w:name="_Toc106997949"/>
      <w:r>
        <w:rPr>
          <w:rFonts w:hint="eastAsia" w:ascii="仿宋" w:hAnsi="仿宋" w:eastAsia="仿宋" w:cs="仿宋"/>
          <w:color w:val="auto"/>
          <w:highlight w:val="none"/>
        </w:rPr>
        <w:t>1.5费用承担</w:t>
      </w:r>
      <w:bookmarkEnd w:id="62"/>
      <w:bookmarkEnd w:id="63"/>
      <w:bookmarkEnd w:id="64"/>
      <w:bookmarkEnd w:id="65"/>
      <w:bookmarkEnd w:id="66"/>
      <w:r>
        <w:rPr>
          <w:rFonts w:hint="eastAsia" w:ascii="仿宋" w:hAnsi="仿宋" w:eastAsia="仿宋" w:cs="仿宋"/>
          <w:color w:val="auto"/>
          <w:highlight w:val="none"/>
        </w:rPr>
        <w:t>和设计成果补偿</w:t>
      </w:r>
      <w:bookmarkEnd w:id="67"/>
      <w:bookmarkEnd w:id="68"/>
    </w:p>
    <w:p w14:paraId="3FB3B25F">
      <w:pPr>
        <w:spacing w:line="400" w:lineRule="exact"/>
        <w:ind w:firstLine="480" w:firstLineChars="200"/>
        <w:jc w:val="left"/>
        <w:rPr>
          <w:rFonts w:hint="eastAsia" w:ascii="仿宋" w:hAnsi="仿宋" w:eastAsia="仿宋" w:cs="仿宋"/>
          <w:color w:val="auto"/>
          <w:highlight w:val="none"/>
        </w:rPr>
      </w:pPr>
      <w:r>
        <w:rPr>
          <w:rFonts w:hint="eastAsia" w:ascii="仿宋" w:hAnsi="仿宋" w:eastAsia="仿宋" w:cs="仿宋"/>
          <w:color w:val="auto"/>
          <w:highlight w:val="none"/>
        </w:rPr>
        <w:t>1.5.1 投标人准备和参加投标活动发生的费用自理。</w:t>
      </w:r>
    </w:p>
    <w:p w14:paraId="4331A817">
      <w:pPr>
        <w:spacing w:line="400" w:lineRule="exact"/>
        <w:ind w:firstLine="480" w:firstLineChars="200"/>
        <w:jc w:val="left"/>
        <w:rPr>
          <w:rFonts w:hint="eastAsia" w:ascii="仿宋" w:hAnsi="仿宋" w:eastAsia="仿宋" w:cs="仿宋"/>
          <w:color w:val="auto"/>
          <w:highlight w:val="none"/>
        </w:rPr>
      </w:pPr>
      <w:r>
        <w:rPr>
          <w:rFonts w:hint="eastAsia" w:ascii="仿宋" w:hAnsi="仿宋" w:eastAsia="仿宋" w:cs="仿宋"/>
          <w:color w:val="auto"/>
          <w:highlight w:val="none"/>
        </w:rPr>
        <w:t>1.5.2 招标人对符合招标文件规定的未中标人的设计成果进行补偿的，按投标人须知前附表规定给予补偿，并有权免费使用未中标人设计成果。</w:t>
      </w:r>
    </w:p>
    <w:p w14:paraId="667F6C06">
      <w:pPr>
        <w:pStyle w:val="5"/>
        <w:jc w:val="left"/>
        <w:rPr>
          <w:rFonts w:hint="eastAsia" w:ascii="仿宋" w:hAnsi="仿宋" w:eastAsia="仿宋" w:cs="仿宋"/>
          <w:color w:val="auto"/>
          <w:highlight w:val="none"/>
        </w:rPr>
      </w:pPr>
      <w:bookmarkStart w:id="69" w:name="_Toc152045536"/>
      <w:bookmarkStart w:id="70" w:name="_Toc106997950"/>
      <w:bookmarkStart w:id="71" w:name="_Toc247527560"/>
      <w:bookmarkStart w:id="72" w:name="_Toc7956580"/>
      <w:bookmarkStart w:id="73" w:name="_Toc152042312"/>
      <w:bookmarkStart w:id="74" w:name="_Toc144974504"/>
      <w:bookmarkStart w:id="75" w:name="_Toc247513959"/>
      <w:r>
        <w:rPr>
          <w:rFonts w:hint="eastAsia" w:ascii="仿宋" w:hAnsi="仿宋" w:eastAsia="仿宋" w:cs="仿宋"/>
          <w:color w:val="auto"/>
          <w:highlight w:val="none"/>
        </w:rPr>
        <w:t>1.6 保密</w:t>
      </w:r>
      <w:bookmarkEnd w:id="69"/>
      <w:bookmarkEnd w:id="70"/>
      <w:bookmarkEnd w:id="71"/>
      <w:bookmarkEnd w:id="72"/>
      <w:bookmarkEnd w:id="73"/>
      <w:bookmarkEnd w:id="74"/>
      <w:bookmarkEnd w:id="75"/>
    </w:p>
    <w:p w14:paraId="27201AC5">
      <w:pPr>
        <w:spacing w:line="400" w:lineRule="exact"/>
        <w:ind w:firstLine="480" w:firstLineChars="200"/>
        <w:jc w:val="left"/>
        <w:rPr>
          <w:rFonts w:hint="eastAsia" w:ascii="仿宋" w:hAnsi="仿宋" w:eastAsia="仿宋" w:cs="仿宋"/>
          <w:color w:val="auto"/>
          <w:highlight w:val="none"/>
        </w:rPr>
      </w:pPr>
      <w:r>
        <w:rPr>
          <w:rFonts w:hint="eastAsia" w:ascii="仿宋" w:hAnsi="仿宋" w:eastAsia="仿宋" w:cs="仿宋"/>
          <w:color w:val="auto"/>
          <w:highlight w:val="none"/>
        </w:rPr>
        <w:t>参与招标投标活动的各方应对招标文件和投标文件中的商业和技术等秘密保密，否则应承担相应的法律责任。</w:t>
      </w:r>
    </w:p>
    <w:p w14:paraId="59E10EFE">
      <w:pPr>
        <w:pStyle w:val="5"/>
        <w:jc w:val="left"/>
        <w:rPr>
          <w:rFonts w:hint="eastAsia" w:ascii="仿宋" w:hAnsi="仿宋" w:eastAsia="仿宋" w:cs="仿宋"/>
          <w:color w:val="auto"/>
          <w:highlight w:val="none"/>
        </w:rPr>
      </w:pPr>
      <w:bookmarkStart w:id="76" w:name="_Toc144974505"/>
      <w:bookmarkStart w:id="77" w:name="_Toc7956581"/>
      <w:bookmarkStart w:id="78" w:name="_Toc152042313"/>
      <w:bookmarkStart w:id="79" w:name="_Toc106997951"/>
      <w:bookmarkStart w:id="80" w:name="_Toc152045537"/>
      <w:bookmarkStart w:id="81" w:name="_Toc247527561"/>
      <w:bookmarkStart w:id="82" w:name="_Toc247513960"/>
      <w:r>
        <w:rPr>
          <w:rFonts w:hint="eastAsia" w:ascii="仿宋" w:hAnsi="仿宋" w:eastAsia="仿宋" w:cs="仿宋"/>
          <w:color w:val="auto"/>
          <w:highlight w:val="none"/>
        </w:rPr>
        <w:t>1.7语言</w:t>
      </w:r>
      <w:bookmarkEnd w:id="76"/>
      <w:r>
        <w:rPr>
          <w:rFonts w:hint="eastAsia" w:ascii="仿宋" w:hAnsi="仿宋" w:eastAsia="仿宋" w:cs="仿宋"/>
          <w:color w:val="auto"/>
          <w:highlight w:val="none"/>
        </w:rPr>
        <w:t>文字</w:t>
      </w:r>
      <w:bookmarkEnd w:id="77"/>
      <w:bookmarkEnd w:id="78"/>
      <w:bookmarkEnd w:id="79"/>
      <w:bookmarkEnd w:id="80"/>
      <w:bookmarkEnd w:id="81"/>
      <w:bookmarkEnd w:id="82"/>
    </w:p>
    <w:p w14:paraId="50ACB516">
      <w:pPr>
        <w:spacing w:line="400" w:lineRule="exact"/>
        <w:ind w:firstLine="480" w:firstLineChars="200"/>
        <w:jc w:val="left"/>
        <w:rPr>
          <w:rFonts w:hint="eastAsia" w:ascii="仿宋" w:hAnsi="仿宋" w:eastAsia="仿宋" w:cs="仿宋"/>
          <w:color w:val="auto"/>
          <w:highlight w:val="none"/>
        </w:rPr>
      </w:pPr>
      <w:r>
        <w:rPr>
          <w:rFonts w:hint="eastAsia" w:ascii="仿宋" w:hAnsi="仿宋" w:eastAsia="仿宋" w:cs="仿宋"/>
          <w:color w:val="auto"/>
          <w:highlight w:val="none"/>
        </w:rPr>
        <w:t>招标投标文件使用的语言文字为中文。专用术语使用外文的，应附有中文注释。</w:t>
      </w:r>
    </w:p>
    <w:p w14:paraId="60D5B524">
      <w:pPr>
        <w:pStyle w:val="5"/>
        <w:jc w:val="left"/>
        <w:rPr>
          <w:rFonts w:hint="eastAsia" w:ascii="仿宋" w:hAnsi="仿宋" w:eastAsia="仿宋" w:cs="仿宋"/>
          <w:color w:val="auto"/>
          <w:highlight w:val="none"/>
        </w:rPr>
      </w:pPr>
      <w:bookmarkStart w:id="83" w:name="_Toc247527562"/>
      <w:bookmarkStart w:id="84" w:name="_Toc7956582"/>
      <w:bookmarkStart w:id="85" w:name="_Toc152042314"/>
      <w:bookmarkStart w:id="86" w:name="_Toc247513961"/>
      <w:bookmarkStart w:id="87" w:name="_Toc106997952"/>
      <w:bookmarkStart w:id="88" w:name="_Toc144974506"/>
      <w:bookmarkStart w:id="89" w:name="_Toc152045538"/>
      <w:r>
        <w:rPr>
          <w:rFonts w:hint="eastAsia" w:ascii="仿宋" w:hAnsi="仿宋" w:eastAsia="仿宋" w:cs="仿宋"/>
          <w:color w:val="auto"/>
          <w:highlight w:val="none"/>
        </w:rPr>
        <w:t>1.8 计量单位</w:t>
      </w:r>
      <w:bookmarkEnd w:id="83"/>
      <w:bookmarkEnd w:id="84"/>
      <w:bookmarkEnd w:id="85"/>
      <w:bookmarkEnd w:id="86"/>
      <w:bookmarkEnd w:id="87"/>
      <w:bookmarkEnd w:id="88"/>
      <w:bookmarkEnd w:id="89"/>
    </w:p>
    <w:p w14:paraId="2D2153F3">
      <w:pPr>
        <w:spacing w:line="400" w:lineRule="exact"/>
        <w:ind w:firstLine="480" w:firstLineChars="200"/>
        <w:jc w:val="left"/>
        <w:rPr>
          <w:rFonts w:hint="eastAsia" w:ascii="仿宋" w:hAnsi="仿宋" w:eastAsia="仿宋" w:cs="仿宋"/>
          <w:color w:val="auto"/>
          <w:highlight w:val="none"/>
        </w:rPr>
      </w:pPr>
      <w:r>
        <w:rPr>
          <w:rFonts w:hint="eastAsia" w:ascii="仿宋" w:hAnsi="仿宋" w:eastAsia="仿宋" w:cs="仿宋"/>
          <w:color w:val="auto"/>
          <w:highlight w:val="none"/>
        </w:rPr>
        <w:t>所有计量均采用中华人民共和国法定计量单位。</w:t>
      </w:r>
    </w:p>
    <w:p w14:paraId="511CA5BA">
      <w:pPr>
        <w:pStyle w:val="5"/>
        <w:jc w:val="left"/>
        <w:rPr>
          <w:rFonts w:hint="eastAsia" w:ascii="仿宋" w:hAnsi="仿宋" w:eastAsia="仿宋" w:cs="仿宋"/>
          <w:color w:val="auto"/>
          <w:highlight w:val="none"/>
        </w:rPr>
      </w:pPr>
      <w:bookmarkStart w:id="90" w:name="_Toc247527563"/>
      <w:bookmarkStart w:id="91" w:name="_Toc247513962"/>
      <w:bookmarkStart w:id="92" w:name="_Toc152042315"/>
      <w:bookmarkStart w:id="93" w:name="_Toc106997953"/>
      <w:bookmarkStart w:id="94" w:name="_Toc7956583"/>
      <w:bookmarkStart w:id="95" w:name="_Toc144974507"/>
      <w:bookmarkStart w:id="96" w:name="_Toc152045539"/>
      <w:r>
        <w:rPr>
          <w:rFonts w:hint="eastAsia" w:ascii="仿宋" w:hAnsi="仿宋" w:eastAsia="仿宋" w:cs="仿宋"/>
          <w:color w:val="auto"/>
          <w:highlight w:val="none"/>
        </w:rPr>
        <w:t>1.9踏勘现场</w:t>
      </w:r>
      <w:bookmarkEnd w:id="90"/>
      <w:bookmarkEnd w:id="91"/>
      <w:bookmarkEnd w:id="92"/>
      <w:bookmarkEnd w:id="93"/>
      <w:bookmarkEnd w:id="94"/>
      <w:bookmarkEnd w:id="95"/>
      <w:bookmarkEnd w:id="96"/>
    </w:p>
    <w:p w14:paraId="4A7679E3">
      <w:pPr>
        <w:spacing w:line="400" w:lineRule="exact"/>
        <w:jc w:val="left"/>
        <w:rPr>
          <w:rFonts w:hint="eastAsia" w:ascii="仿宋" w:hAnsi="仿宋" w:eastAsia="仿宋" w:cs="仿宋"/>
          <w:color w:val="auto"/>
          <w:highlight w:val="none"/>
        </w:rPr>
      </w:pPr>
      <w:r>
        <w:rPr>
          <w:rFonts w:hint="eastAsia" w:ascii="仿宋" w:hAnsi="仿宋" w:eastAsia="仿宋" w:cs="仿宋"/>
          <w:color w:val="auto"/>
          <w:highlight w:val="none"/>
        </w:rPr>
        <w:t>1.9.1 投标人须知前附表规定组织踏勘现场的，招标人按投标人须知前附表规定的时间、地点组织投标人踏勘项目现场。</w:t>
      </w:r>
    </w:p>
    <w:p w14:paraId="2AFE67A4">
      <w:pPr>
        <w:spacing w:line="400" w:lineRule="exact"/>
        <w:ind w:firstLine="480" w:firstLineChars="200"/>
        <w:jc w:val="left"/>
        <w:rPr>
          <w:rFonts w:hint="eastAsia" w:ascii="仿宋" w:hAnsi="仿宋" w:eastAsia="仿宋" w:cs="仿宋"/>
          <w:color w:val="auto"/>
          <w:highlight w:val="none"/>
        </w:rPr>
      </w:pPr>
      <w:r>
        <w:rPr>
          <w:rFonts w:hint="eastAsia" w:ascii="仿宋" w:hAnsi="仿宋" w:eastAsia="仿宋" w:cs="仿宋"/>
          <w:color w:val="auto"/>
          <w:highlight w:val="none"/>
        </w:rPr>
        <w:t>1.9.2 投标人踏勘现场发生的费用自理。</w:t>
      </w:r>
    </w:p>
    <w:p w14:paraId="1E1C6C3B">
      <w:pPr>
        <w:spacing w:line="400" w:lineRule="exact"/>
        <w:ind w:firstLine="480" w:firstLineChars="200"/>
        <w:jc w:val="left"/>
        <w:rPr>
          <w:rFonts w:hint="eastAsia" w:ascii="仿宋" w:hAnsi="仿宋" w:eastAsia="仿宋" w:cs="仿宋"/>
          <w:color w:val="auto"/>
          <w:highlight w:val="none"/>
        </w:rPr>
      </w:pPr>
      <w:r>
        <w:rPr>
          <w:rFonts w:hint="eastAsia" w:ascii="仿宋" w:hAnsi="仿宋" w:eastAsia="仿宋" w:cs="仿宋"/>
          <w:color w:val="auto"/>
          <w:highlight w:val="none"/>
        </w:rPr>
        <w:t>1.9.3 除招标人的原因外，投标人自行负责在踏勘现场中所发生的人员伤亡和财产损失。</w:t>
      </w:r>
    </w:p>
    <w:p w14:paraId="68381CFD">
      <w:pPr>
        <w:spacing w:line="400" w:lineRule="exact"/>
        <w:ind w:firstLine="480" w:firstLineChars="200"/>
        <w:jc w:val="left"/>
        <w:rPr>
          <w:rFonts w:hint="eastAsia" w:ascii="仿宋" w:hAnsi="仿宋" w:eastAsia="仿宋" w:cs="仿宋"/>
          <w:color w:val="auto"/>
          <w:highlight w:val="none"/>
        </w:rPr>
      </w:pPr>
      <w:r>
        <w:rPr>
          <w:rFonts w:hint="eastAsia" w:ascii="仿宋" w:hAnsi="仿宋" w:eastAsia="仿宋" w:cs="仿宋"/>
          <w:color w:val="auto"/>
          <w:highlight w:val="none"/>
        </w:rPr>
        <w:t>1.9.4 招标人在踏勘现场中介绍的工程场地和相关的周边环境情况，供投标人在编制投标文件时参考，招标人不对投标人据此作出的判断和决策负责。</w:t>
      </w:r>
    </w:p>
    <w:p w14:paraId="67EC441B">
      <w:pPr>
        <w:pStyle w:val="5"/>
        <w:jc w:val="left"/>
        <w:rPr>
          <w:rFonts w:hint="eastAsia" w:ascii="仿宋" w:hAnsi="仿宋" w:eastAsia="仿宋" w:cs="仿宋"/>
          <w:color w:val="auto"/>
          <w:highlight w:val="none"/>
        </w:rPr>
      </w:pPr>
      <w:bookmarkStart w:id="97" w:name="_Toc106997954"/>
      <w:bookmarkStart w:id="98" w:name="_Toc144974508"/>
      <w:bookmarkStart w:id="99" w:name="_Toc152045540"/>
      <w:bookmarkStart w:id="100" w:name="_Toc152042316"/>
      <w:bookmarkStart w:id="101" w:name="_Toc247513963"/>
      <w:bookmarkStart w:id="102" w:name="_Toc247527564"/>
      <w:bookmarkStart w:id="103" w:name="_Toc7956584"/>
      <w:r>
        <w:rPr>
          <w:rFonts w:hint="eastAsia" w:ascii="仿宋" w:hAnsi="仿宋" w:eastAsia="仿宋" w:cs="仿宋"/>
          <w:color w:val="auto"/>
          <w:highlight w:val="none"/>
        </w:rPr>
        <w:t>1.10投标预备会</w:t>
      </w:r>
      <w:bookmarkEnd w:id="97"/>
      <w:bookmarkEnd w:id="98"/>
      <w:bookmarkEnd w:id="99"/>
      <w:bookmarkEnd w:id="100"/>
      <w:bookmarkEnd w:id="101"/>
      <w:bookmarkEnd w:id="102"/>
      <w:bookmarkEnd w:id="103"/>
    </w:p>
    <w:p w14:paraId="798FA0D8">
      <w:pPr>
        <w:spacing w:line="400" w:lineRule="exact"/>
        <w:ind w:firstLine="480" w:firstLineChars="200"/>
        <w:jc w:val="left"/>
        <w:rPr>
          <w:rFonts w:hint="eastAsia" w:ascii="仿宋" w:hAnsi="仿宋" w:eastAsia="仿宋" w:cs="仿宋"/>
          <w:color w:val="auto"/>
          <w:highlight w:val="none"/>
        </w:rPr>
      </w:pPr>
      <w:r>
        <w:rPr>
          <w:rFonts w:hint="eastAsia" w:ascii="仿宋" w:hAnsi="仿宋" w:eastAsia="仿宋" w:cs="仿宋"/>
          <w:color w:val="auto"/>
          <w:highlight w:val="none"/>
        </w:rPr>
        <w:t>1.10.1 投标人须知前附表规定召开投标预备会的，招标人按投标人须知前附表规定的时间和地点召开投标预备会，澄清投标人提出的问题。</w:t>
      </w:r>
    </w:p>
    <w:p w14:paraId="74F71AD0">
      <w:pPr>
        <w:spacing w:line="400" w:lineRule="exact"/>
        <w:ind w:firstLine="480" w:firstLineChars="200"/>
        <w:jc w:val="left"/>
        <w:rPr>
          <w:rFonts w:hint="eastAsia" w:ascii="仿宋" w:hAnsi="仿宋" w:eastAsia="仿宋" w:cs="仿宋"/>
          <w:color w:val="auto"/>
          <w:highlight w:val="none"/>
        </w:rPr>
      </w:pPr>
      <w:r>
        <w:rPr>
          <w:rFonts w:hint="eastAsia" w:ascii="仿宋" w:hAnsi="仿宋" w:eastAsia="仿宋" w:cs="仿宋"/>
          <w:color w:val="auto"/>
          <w:highlight w:val="none"/>
        </w:rPr>
        <w:t>1.10.2 投标人应在投标人须知前附表规定的时间前，以书面形式将提出的问题送达招标人，以便招标人在会议期间澄清。</w:t>
      </w:r>
    </w:p>
    <w:p w14:paraId="42BB8074">
      <w:pPr>
        <w:spacing w:line="400" w:lineRule="exact"/>
        <w:ind w:firstLine="480" w:firstLineChars="200"/>
        <w:jc w:val="left"/>
        <w:rPr>
          <w:rFonts w:hint="eastAsia" w:ascii="仿宋" w:hAnsi="仿宋" w:eastAsia="仿宋" w:cs="仿宋"/>
          <w:color w:val="auto"/>
          <w:highlight w:val="none"/>
        </w:rPr>
      </w:pPr>
      <w:r>
        <w:rPr>
          <w:rFonts w:hint="eastAsia" w:ascii="仿宋" w:hAnsi="仿宋" w:eastAsia="仿宋" w:cs="仿宋"/>
          <w:color w:val="auto"/>
          <w:highlight w:val="none"/>
        </w:rPr>
        <w:t>1.10.3 投标预备会后，招标人在投标人须知前附表规定的时间内，将对投标人所提问题的澄清，以书面形式通知所有购买招标文件的投标人。该澄清内容为招标文件的组成部分。</w:t>
      </w:r>
    </w:p>
    <w:p w14:paraId="23E2F2EF">
      <w:pPr>
        <w:pStyle w:val="5"/>
        <w:jc w:val="left"/>
        <w:rPr>
          <w:rFonts w:hint="eastAsia" w:ascii="仿宋" w:hAnsi="仿宋" w:eastAsia="仿宋" w:cs="仿宋"/>
          <w:color w:val="auto"/>
          <w:highlight w:val="none"/>
        </w:rPr>
      </w:pPr>
      <w:bookmarkStart w:id="104" w:name="_Toc7956585"/>
      <w:bookmarkStart w:id="105" w:name="_Toc152045541"/>
      <w:bookmarkStart w:id="106" w:name="_Toc247527565"/>
      <w:bookmarkStart w:id="107" w:name="_Toc152042317"/>
      <w:bookmarkStart w:id="108" w:name="_Toc144974509"/>
      <w:bookmarkStart w:id="109" w:name="_Toc247513964"/>
      <w:bookmarkStart w:id="110" w:name="_Toc106997955"/>
      <w:r>
        <w:rPr>
          <w:rFonts w:hint="eastAsia" w:ascii="仿宋" w:hAnsi="仿宋" w:eastAsia="仿宋" w:cs="仿宋"/>
          <w:color w:val="auto"/>
          <w:highlight w:val="none"/>
        </w:rPr>
        <w:t>1.11 分包</w:t>
      </w:r>
      <w:bookmarkEnd w:id="104"/>
      <w:bookmarkEnd w:id="105"/>
      <w:bookmarkEnd w:id="106"/>
      <w:bookmarkEnd w:id="107"/>
      <w:bookmarkEnd w:id="108"/>
      <w:bookmarkEnd w:id="109"/>
      <w:bookmarkEnd w:id="110"/>
    </w:p>
    <w:p w14:paraId="0F41921D">
      <w:pPr>
        <w:spacing w:line="400" w:lineRule="exact"/>
        <w:ind w:firstLine="648" w:firstLineChars="270"/>
        <w:jc w:val="left"/>
        <w:rPr>
          <w:rFonts w:hint="eastAsia" w:ascii="仿宋" w:hAnsi="仿宋" w:eastAsia="仿宋" w:cs="仿宋"/>
          <w:color w:val="auto"/>
          <w:highlight w:val="none"/>
        </w:rPr>
      </w:pPr>
      <w:r>
        <w:rPr>
          <w:rFonts w:hint="eastAsia" w:ascii="仿宋" w:hAnsi="仿宋" w:eastAsia="仿宋" w:cs="仿宋"/>
          <w:color w:val="auto"/>
          <w:highlight w:val="none"/>
        </w:rPr>
        <w:t>1.11.1 投标人须知前附表规定应当由分包人实施的非主体、非关键性工作，投标人应当按照第五章“发包人要求”的规定提供分包人侯选名单及其相应资料。</w:t>
      </w:r>
    </w:p>
    <w:p w14:paraId="0B2D608B">
      <w:pPr>
        <w:spacing w:line="400" w:lineRule="exact"/>
        <w:ind w:firstLine="648" w:firstLineChars="270"/>
        <w:jc w:val="left"/>
        <w:rPr>
          <w:rFonts w:hint="eastAsia" w:ascii="仿宋" w:hAnsi="仿宋" w:eastAsia="仿宋" w:cs="仿宋"/>
          <w:color w:val="auto"/>
          <w:highlight w:val="none"/>
        </w:rPr>
      </w:pPr>
      <w:r>
        <w:rPr>
          <w:rFonts w:hint="eastAsia" w:ascii="仿宋" w:hAnsi="仿宋" w:eastAsia="仿宋" w:cs="仿宋"/>
          <w:color w:val="auto"/>
          <w:highlight w:val="none"/>
        </w:rPr>
        <w:t>1.11.2 投标人拟在中标后将中标项目的部分非主体、非关键性工作进行分包的，应符合投标人须知前附表规定的分包内容、分包金额和资质要求等限制性条件。</w:t>
      </w:r>
    </w:p>
    <w:p w14:paraId="5BD9EFBB">
      <w:pPr>
        <w:pStyle w:val="5"/>
        <w:jc w:val="left"/>
        <w:rPr>
          <w:rFonts w:hint="eastAsia" w:ascii="仿宋" w:hAnsi="仿宋" w:eastAsia="仿宋" w:cs="仿宋"/>
          <w:color w:val="auto"/>
          <w:highlight w:val="none"/>
        </w:rPr>
      </w:pPr>
      <w:bookmarkStart w:id="111" w:name="_Toc106997956"/>
      <w:bookmarkStart w:id="112" w:name="_Toc7956586"/>
      <w:bookmarkStart w:id="113" w:name="_Toc247527566"/>
      <w:bookmarkStart w:id="114" w:name="_Toc247513965"/>
      <w:r>
        <w:rPr>
          <w:rFonts w:hint="eastAsia" w:ascii="仿宋" w:hAnsi="仿宋" w:eastAsia="仿宋" w:cs="仿宋"/>
          <w:color w:val="auto"/>
          <w:highlight w:val="none"/>
        </w:rPr>
        <w:t>1.12偏离</w:t>
      </w:r>
      <w:bookmarkEnd w:id="111"/>
      <w:bookmarkEnd w:id="112"/>
      <w:bookmarkEnd w:id="113"/>
      <w:bookmarkEnd w:id="114"/>
    </w:p>
    <w:p w14:paraId="66AD3B6D">
      <w:pPr>
        <w:spacing w:line="400" w:lineRule="exact"/>
        <w:ind w:firstLine="410" w:firstLineChars="171"/>
        <w:jc w:val="left"/>
        <w:rPr>
          <w:rFonts w:hint="eastAsia" w:ascii="仿宋" w:hAnsi="仿宋" w:eastAsia="仿宋" w:cs="仿宋"/>
          <w:color w:val="auto"/>
          <w:highlight w:val="none"/>
        </w:rPr>
      </w:pPr>
      <w:r>
        <w:rPr>
          <w:rFonts w:hint="eastAsia" w:ascii="仿宋" w:hAnsi="仿宋" w:eastAsia="仿宋" w:cs="仿宋"/>
          <w:color w:val="auto"/>
          <w:highlight w:val="none"/>
        </w:rPr>
        <w:t>投标人须知前附表允许投标文件偏离招标文件某些要求的，偏离应当符合招标文件规定的偏离范围和幅度。</w:t>
      </w:r>
    </w:p>
    <w:p w14:paraId="24F19EE6">
      <w:pPr>
        <w:pStyle w:val="4"/>
        <w:jc w:val="left"/>
        <w:rPr>
          <w:rFonts w:hint="eastAsia" w:ascii="仿宋" w:hAnsi="仿宋" w:eastAsia="仿宋" w:cs="仿宋"/>
          <w:color w:val="auto"/>
          <w:highlight w:val="none"/>
        </w:rPr>
      </w:pPr>
      <w:bookmarkStart w:id="115" w:name="_Toc152045542"/>
      <w:bookmarkStart w:id="116" w:name="_Toc247513966"/>
      <w:bookmarkStart w:id="117" w:name="_Toc152042318"/>
      <w:bookmarkStart w:id="118" w:name="_Toc106997957"/>
      <w:bookmarkStart w:id="119" w:name="_Toc7956587"/>
      <w:bookmarkStart w:id="120" w:name="_Toc247527567"/>
      <w:bookmarkStart w:id="121" w:name="_Toc144974510"/>
      <w:r>
        <w:rPr>
          <w:rFonts w:hint="eastAsia" w:ascii="仿宋" w:hAnsi="仿宋" w:eastAsia="仿宋" w:cs="仿宋"/>
          <w:color w:val="auto"/>
          <w:highlight w:val="none"/>
        </w:rPr>
        <w:t>2. 招标文件</w:t>
      </w:r>
      <w:bookmarkEnd w:id="115"/>
      <w:bookmarkEnd w:id="116"/>
      <w:bookmarkEnd w:id="117"/>
      <w:bookmarkEnd w:id="118"/>
      <w:bookmarkEnd w:id="119"/>
      <w:bookmarkEnd w:id="120"/>
      <w:bookmarkEnd w:id="121"/>
    </w:p>
    <w:p w14:paraId="7B4023FA">
      <w:pPr>
        <w:pStyle w:val="5"/>
        <w:jc w:val="left"/>
        <w:rPr>
          <w:rFonts w:hint="eastAsia" w:ascii="仿宋" w:hAnsi="仿宋" w:eastAsia="仿宋" w:cs="仿宋"/>
          <w:color w:val="auto"/>
          <w:highlight w:val="none"/>
        </w:rPr>
      </w:pPr>
      <w:bookmarkStart w:id="122" w:name="_Toc152042319"/>
      <w:bookmarkStart w:id="123" w:name="_Toc247527568"/>
      <w:bookmarkStart w:id="124" w:name="_Toc106997958"/>
      <w:bookmarkStart w:id="125" w:name="_Toc247513967"/>
      <w:bookmarkStart w:id="126" w:name="_Toc152045543"/>
      <w:bookmarkStart w:id="127" w:name="_Toc144974511"/>
      <w:bookmarkStart w:id="128" w:name="_Toc7956588"/>
      <w:r>
        <w:rPr>
          <w:rFonts w:hint="eastAsia" w:ascii="仿宋" w:hAnsi="仿宋" w:eastAsia="仿宋" w:cs="仿宋"/>
          <w:color w:val="auto"/>
          <w:highlight w:val="none"/>
        </w:rPr>
        <w:t>2.1招标文件的组成</w:t>
      </w:r>
      <w:bookmarkEnd w:id="122"/>
      <w:bookmarkEnd w:id="123"/>
      <w:bookmarkEnd w:id="124"/>
      <w:bookmarkEnd w:id="125"/>
      <w:bookmarkEnd w:id="126"/>
      <w:bookmarkEnd w:id="127"/>
      <w:bookmarkEnd w:id="128"/>
    </w:p>
    <w:p w14:paraId="3D21631B">
      <w:pPr>
        <w:spacing w:line="400" w:lineRule="exact"/>
        <w:jc w:val="left"/>
        <w:rPr>
          <w:rFonts w:hint="eastAsia" w:ascii="仿宋" w:hAnsi="仿宋" w:eastAsia="仿宋" w:cs="仿宋"/>
          <w:color w:val="auto"/>
          <w:highlight w:val="none"/>
        </w:rPr>
      </w:pPr>
      <w:r>
        <w:rPr>
          <w:rFonts w:hint="eastAsia" w:ascii="仿宋" w:hAnsi="仿宋" w:eastAsia="仿宋" w:cs="仿宋"/>
          <w:color w:val="auto"/>
          <w:highlight w:val="none"/>
        </w:rPr>
        <w:t>　　本招标文件包括：</w:t>
      </w:r>
    </w:p>
    <w:p w14:paraId="575D6F08">
      <w:pPr>
        <w:spacing w:line="400" w:lineRule="exact"/>
        <w:ind w:firstLine="410" w:firstLineChars="171"/>
        <w:jc w:val="left"/>
        <w:rPr>
          <w:rFonts w:hint="eastAsia" w:ascii="仿宋" w:hAnsi="仿宋" w:eastAsia="仿宋" w:cs="仿宋"/>
          <w:color w:val="auto"/>
          <w:highlight w:val="none"/>
        </w:rPr>
      </w:pPr>
      <w:r>
        <w:rPr>
          <w:rFonts w:hint="eastAsia" w:ascii="仿宋" w:hAnsi="仿宋" w:eastAsia="仿宋" w:cs="仿宋"/>
          <w:color w:val="auto"/>
          <w:highlight w:val="none"/>
        </w:rPr>
        <w:t>（1）招标公告（或投标邀请书）；</w:t>
      </w:r>
    </w:p>
    <w:p w14:paraId="7221D3FF">
      <w:pPr>
        <w:spacing w:line="400" w:lineRule="exact"/>
        <w:ind w:firstLine="410" w:firstLineChars="171"/>
        <w:jc w:val="left"/>
        <w:rPr>
          <w:rFonts w:hint="eastAsia" w:ascii="仿宋" w:hAnsi="仿宋" w:eastAsia="仿宋" w:cs="仿宋"/>
          <w:color w:val="auto"/>
          <w:highlight w:val="none"/>
        </w:rPr>
      </w:pPr>
      <w:r>
        <w:rPr>
          <w:rFonts w:hint="eastAsia" w:ascii="仿宋" w:hAnsi="仿宋" w:eastAsia="仿宋" w:cs="仿宋"/>
          <w:color w:val="auto"/>
          <w:highlight w:val="none"/>
        </w:rPr>
        <w:t>（2）投标人须知；</w:t>
      </w:r>
    </w:p>
    <w:p w14:paraId="6CF49F57">
      <w:pPr>
        <w:spacing w:line="400" w:lineRule="exact"/>
        <w:ind w:firstLine="410" w:firstLineChars="171"/>
        <w:jc w:val="left"/>
        <w:rPr>
          <w:rFonts w:hint="eastAsia" w:ascii="仿宋" w:hAnsi="仿宋" w:eastAsia="仿宋" w:cs="仿宋"/>
          <w:color w:val="auto"/>
          <w:highlight w:val="none"/>
        </w:rPr>
      </w:pPr>
      <w:r>
        <w:rPr>
          <w:rFonts w:hint="eastAsia" w:ascii="仿宋" w:hAnsi="仿宋" w:eastAsia="仿宋" w:cs="仿宋"/>
          <w:color w:val="auto"/>
          <w:highlight w:val="none"/>
        </w:rPr>
        <w:t>（3）评标办法；</w:t>
      </w:r>
    </w:p>
    <w:p w14:paraId="620D6363">
      <w:pPr>
        <w:spacing w:line="400" w:lineRule="exact"/>
        <w:ind w:firstLine="410" w:firstLineChars="171"/>
        <w:jc w:val="left"/>
        <w:rPr>
          <w:rFonts w:hint="eastAsia" w:ascii="仿宋" w:hAnsi="仿宋" w:eastAsia="仿宋" w:cs="仿宋"/>
          <w:color w:val="auto"/>
          <w:highlight w:val="none"/>
        </w:rPr>
      </w:pPr>
      <w:r>
        <w:rPr>
          <w:rFonts w:hint="eastAsia" w:ascii="仿宋" w:hAnsi="仿宋" w:eastAsia="仿宋" w:cs="仿宋"/>
          <w:color w:val="auto"/>
          <w:highlight w:val="none"/>
        </w:rPr>
        <w:t>（4）合同条款及格式；</w:t>
      </w:r>
    </w:p>
    <w:p w14:paraId="466511D8">
      <w:pPr>
        <w:spacing w:line="400" w:lineRule="exact"/>
        <w:ind w:firstLine="410" w:firstLineChars="171"/>
        <w:jc w:val="left"/>
        <w:rPr>
          <w:rFonts w:hint="eastAsia" w:ascii="仿宋" w:hAnsi="仿宋" w:eastAsia="仿宋" w:cs="仿宋"/>
          <w:color w:val="auto"/>
          <w:highlight w:val="none"/>
        </w:rPr>
      </w:pPr>
      <w:r>
        <w:rPr>
          <w:rFonts w:hint="eastAsia" w:ascii="仿宋" w:hAnsi="仿宋" w:eastAsia="仿宋" w:cs="仿宋"/>
          <w:color w:val="auto"/>
          <w:highlight w:val="none"/>
        </w:rPr>
        <w:t>（5）发包人要求；</w:t>
      </w:r>
    </w:p>
    <w:p w14:paraId="36F1AFCD">
      <w:pPr>
        <w:spacing w:line="400" w:lineRule="exact"/>
        <w:ind w:firstLine="410" w:firstLineChars="171"/>
        <w:jc w:val="left"/>
        <w:rPr>
          <w:rFonts w:hint="eastAsia" w:ascii="仿宋" w:hAnsi="仿宋" w:eastAsia="仿宋" w:cs="仿宋"/>
          <w:color w:val="auto"/>
          <w:highlight w:val="none"/>
        </w:rPr>
      </w:pPr>
      <w:r>
        <w:rPr>
          <w:rFonts w:hint="eastAsia" w:ascii="仿宋" w:hAnsi="仿宋" w:eastAsia="仿宋" w:cs="仿宋"/>
          <w:color w:val="auto"/>
          <w:highlight w:val="none"/>
        </w:rPr>
        <w:t>（6）发包人提供的资料；</w:t>
      </w:r>
    </w:p>
    <w:p w14:paraId="11553F0D">
      <w:pPr>
        <w:spacing w:line="400" w:lineRule="exact"/>
        <w:ind w:firstLine="410" w:firstLineChars="171"/>
        <w:jc w:val="left"/>
        <w:rPr>
          <w:rFonts w:hint="eastAsia" w:ascii="仿宋" w:hAnsi="仿宋" w:eastAsia="仿宋" w:cs="仿宋"/>
          <w:color w:val="auto"/>
          <w:highlight w:val="none"/>
        </w:rPr>
      </w:pPr>
      <w:r>
        <w:rPr>
          <w:rFonts w:hint="eastAsia" w:ascii="仿宋" w:hAnsi="仿宋" w:eastAsia="仿宋" w:cs="仿宋"/>
          <w:color w:val="auto"/>
          <w:highlight w:val="none"/>
        </w:rPr>
        <w:t>（7）投标文件格式；</w:t>
      </w:r>
    </w:p>
    <w:p w14:paraId="2329E03B">
      <w:pPr>
        <w:spacing w:line="400" w:lineRule="exact"/>
        <w:ind w:firstLine="410" w:firstLineChars="171"/>
        <w:jc w:val="left"/>
        <w:rPr>
          <w:rFonts w:hint="eastAsia" w:ascii="仿宋" w:hAnsi="仿宋" w:eastAsia="仿宋" w:cs="仿宋"/>
          <w:color w:val="auto"/>
          <w:highlight w:val="none"/>
        </w:rPr>
      </w:pPr>
      <w:r>
        <w:rPr>
          <w:rFonts w:hint="eastAsia" w:ascii="仿宋" w:hAnsi="仿宋" w:eastAsia="仿宋" w:cs="仿宋"/>
          <w:color w:val="auto"/>
          <w:highlight w:val="none"/>
        </w:rPr>
        <w:t>（8）投标人须知前附表规定的其他资料。</w:t>
      </w:r>
    </w:p>
    <w:p w14:paraId="4786F243">
      <w:pPr>
        <w:spacing w:line="400" w:lineRule="exact"/>
        <w:ind w:firstLine="480" w:firstLineChars="200"/>
        <w:jc w:val="left"/>
        <w:rPr>
          <w:rFonts w:hint="eastAsia" w:ascii="仿宋" w:hAnsi="仿宋" w:eastAsia="仿宋" w:cs="仿宋"/>
          <w:color w:val="auto"/>
          <w:highlight w:val="none"/>
        </w:rPr>
      </w:pPr>
      <w:r>
        <w:rPr>
          <w:rFonts w:hint="eastAsia" w:ascii="仿宋" w:hAnsi="仿宋" w:eastAsia="仿宋" w:cs="仿宋"/>
          <w:color w:val="auto"/>
          <w:highlight w:val="none"/>
        </w:rPr>
        <w:t>根据本章第1.10款、第2.2款和第2.3款对招标文件所作的澄清、修改，构成招标文件的组成部分。</w:t>
      </w:r>
    </w:p>
    <w:p w14:paraId="63EAEF90">
      <w:pPr>
        <w:pStyle w:val="5"/>
        <w:jc w:val="left"/>
        <w:rPr>
          <w:rFonts w:hint="eastAsia" w:ascii="仿宋" w:hAnsi="仿宋" w:eastAsia="仿宋" w:cs="仿宋"/>
          <w:color w:val="auto"/>
          <w:highlight w:val="none"/>
        </w:rPr>
      </w:pPr>
      <w:bookmarkStart w:id="129" w:name="_Toc106997959"/>
      <w:bookmarkStart w:id="130" w:name="_Toc247527569"/>
      <w:bookmarkStart w:id="131" w:name="_Toc144974512"/>
      <w:bookmarkStart w:id="132" w:name="_Toc152042320"/>
      <w:bookmarkStart w:id="133" w:name="_Toc247513968"/>
      <w:bookmarkStart w:id="134" w:name="_Toc152045544"/>
      <w:bookmarkStart w:id="135" w:name="_Toc7956589"/>
      <w:r>
        <w:rPr>
          <w:rFonts w:hint="eastAsia" w:ascii="仿宋" w:hAnsi="仿宋" w:eastAsia="仿宋" w:cs="仿宋"/>
          <w:color w:val="auto"/>
          <w:highlight w:val="none"/>
        </w:rPr>
        <w:t>2.2招标文件的澄清</w:t>
      </w:r>
      <w:bookmarkEnd w:id="129"/>
      <w:bookmarkEnd w:id="130"/>
      <w:bookmarkEnd w:id="131"/>
      <w:bookmarkEnd w:id="132"/>
      <w:bookmarkEnd w:id="133"/>
      <w:bookmarkEnd w:id="134"/>
      <w:bookmarkEnd w:id="135"/>
    </w:p>
    <w:p w14:paraId="4AED57FF">
      <w:pPr>
        <w:spacing w:line="400" w:lineRule="exact"/>
        <w:ind w:firstLine="480" w:firstLineChars="200"/>
        <w:jc w:val="left"/>
        <w:rPr>
          <w:rFonts w:hint="eastAsia" w:ascii="仿宋" w:hAnsi="仿宋" w:eastAsia="仿宋" w:cs="仿宋"/>
          <w:color w:val="auto"/>
          <w:highlight w:val="none"/>
        </w:rPr>
      </w:pPr>
      <w:r>
        <w:rPr>
          <w:rFonts w:hint="eastAsia" w:ascii="仿宋" w:hAnsi="仿宋" w:eastAsia="仿宋" w:cs="仿宋"/>
          <w:color w:val="auto"/>
          <w:highlight w:val="none"/>
        </w:rPr>
        <w:t>2.2.1 投标人应仔细阅读和检查招标文件的全部内容。</w:t>
      </w:r>
      <w:r>
        <w:rPr>
          <w:rFonts w:hint="eastAsia" w:ascii="仿宋" w:hAnsi="仿宋" w:eastAsia="仿宋" w:cs="仿宋"/>
          <w:color w:val="auto"/>
          <w:szCs w:val="21"/>
          <w:highlight w:val="none"/>
        </w:rPr>
        <w:t>如发现缺页或附件不全，应及时向招标人提出，以便补齐。</w:t>
      </w:r>
      <w:r>
        <w:rPr>
          <w:rFonts w:hint="eastAsia" w:ascii="仿宋" w:hAnsi="仿宋" w:eastAsia="仿宋" w:cs="仿宋"/>
          <w:color w:val="auto"/>
          <w:highlight w:val="none"/>
        </w:rPr>
        <w:t>如有疑问，应在投标人须知前附表规定的时间前以书面形式（包括信函、电报、传真等可以有形地表现所载内容的形式，下同），要求招标人对招标文件予以澄清。</w:t>
      </w:r>
    </w:p>
    <w:p w14:paraId="674E265E">
      <w:pPr>
        <w:spacing w:line="400" w:lineRule="exact"/>
        <w:ind w:firstLine="480" w:firstLineChars="200"/>
        <w:jc w:val="left"/>
        <w:rPr>
          <w:rFonts w:hint="eastAsia" w:ascii="仿宋" w:hAnsi="仿宋" w:eastAsia="仿宋" w:cs="仿宋"/>
          <w:color w:val="auto"/>
          <w:highlight w:val="none"/>
        </w:rPr>
      </w:pPr>
      <w:r>
        <w:rPr>
          <w:rFonts w:hint="eastAsia" w:ascii="仿宋" w:hAnsi="仿宋" w:eastAsia="仿宋" w:cs="仿宋"/>
          <w:color w:val="auto"/>
          <w:highlight w:val="none"/>
        </w:rPr>
        <w:t>2.2.2 招标文件的澄清以书面形式发给所有购买招标文件的投标人，但不指明澄清问题的来源。澄清发出的时间距投标人须知前附表规定的投标截止时间不足15天的，并且澄清内容影响投标文件编制的，将相应延长投标截止时间。</w:t>
      </w:r>
    </w:p>
    <w:p w14:paraId="529C42BE">
      <w:pPr>
        <w:spacing w:line="400" w:lineRule="exact"/>
        <w:ind w:firstLine="480" w:firstLineChars="200"/>
        <w:jc w:val="left"/>
        <w:rPr>
          <w:rFonts w:hint="eastAsia" w:ascii="仿宋" w:hAnsi="仿宋" w:eastAsia="仿宋" w:cs="仿宋"/>
          <w:color w:val="auto"/>
          <w:highlight w:val="none"/>
        </w:rPr>
      </w:pPr>
      <w:r>
        <w:rPr>
          <w:rFonts w:hint="eastAsia" w:ascii="仿宋" w:hAnsi="仿宋" w:eastAsia="仿宋" w:cs="仿宋"/>
          <w:color w:val="auto"/>
          <w:highlight w:val="none"/>
        </w:rPr>
        <w:t>2.2.3 投标人在收到澄清后，应在投标人须知前附表规定的时间内以书面形式通知招标人，确认已收到该澄清。</w:t>
      </w:r>
    </w:p>
    <w:p w14:paraId="3530A4C4">
      <w:pPr>
        <w:spacing w:line="400" w:lineRule="exact"/>
        <w:ind w:firstLine="480" w:firstLineChars="200"/>
        <w:jc w:val="left"/>
        <w:rPr>
          <w:rFonts w:hint="eastAsia" w:ascii="仿宋" w:hAnsi="仿宋" w:eastAsia="仿宋" w:cs="仿宋"/>
          <w:color w:val="auto"/>
          <w:highlight w:val="none"/>
        </w:rPr>
      </w:pPr>
      <w:r>
        <w:rPr>
          <w:rFonts w:hint="eastAsia" w:ascii="仿宋" w:hAnsi="仿宋" w:eastAsia="仿宋" w:cs="仿宋"/>
          <w:color w:val="auto"/>
          <w:highlight w:val="none"/>
        </w:rPr>
        <w:t>投标人或者其他利害关系人认为招标投标活动不符合法律、行政法规规定的，须在法定时间内以‘异议’的形式提出。</w:t>
      </w:r>
    </w:p>
    <w:p w14:paraId="78A79F9E">
      <w:pPr>
        <w:pStyle w:val="5"/>
        <w:jc w:val="left"/>
        <w:rPr>
          <w:rFonts w:hint="eastAsia" w:ascii="仿宋" w:hAnsi="仿宋" w:eastAsia="仿宋" w:cs="仿宋"/>
          <w:color w:val="auto"/>
          <w:highlight w:val="none"/>
        </w:rPr>
      </w:pPr>
      <w:bookmarkStart w:id="136" w:name="_Toc7956590"/>
      <w:bookmarkStart w:id="137" w:name="_Toc152042321"/>
      <w:bookmarkStart w:id="138" w:name="_Toc247527570"/>
      <w:bookmarkStart w:id="139" w:name="_Toc152045545"/>
      <w:bookmarkStart w:id="140" w:name="_Toc106997960"/>
      <w:bookmarkStart w:id="141" w:name="_Toc247513969"/>
      <w:bookmarkStart w:id="142" w:name="_Toc144974513"/>
      <w:r>
        <w:rPr>
          <w:rFonts w:hint="eastAsia" w:ascii="仿宋" w:hAnsi="仿宋" w:eastAsia="仿宋" w:cs="仿宋"/>
          <w:color w:val="auto"/>
          <w:highlight w:val="none"/>
        </w:rPr>
        <w:t>2.3招标文件的修改</w:t>
      </w:r>
      <w:bookmarkEnd w:id="136"/>
      <w:bookmarkEnd w:id="137"/>
      <w:bookmarkEnd w:id="138"/>
      <w:bookmarkEnd w:id="139"/>
      <w:bookmarkEnd w:id="140"/>
      <w:bookmarkEnd w:id="141"/>
      <w:bookmarkEnd w:id="142"/>
    </w:p>
    <w:p w14:paraId="759D8648">
      <w:pPr>
        <w:spacing w:line="400" w:lineRule="exact"/>
        <w:ind w:firstLine="480" w:firstLineChars="200"/>
        <w:jc w:val="left"/>
        <w:rPr>
          <w:rFonts w:hint="eastAsia" w:ascii="仿宋" w:hAnsi="仿宋" w:eastAsia="仿宋" w:cs="仿宋"/>
          <w:color w:val="auto"/>
          <w:highlight w:val="none"/>
        </w:rPr>
      </w:pPr>
      <w:r>
        <w:rPr>
          <w:rFonts w:hint="eastAsia" w:ascii="仿宋" w:hAnsi="仿宋" w:eastAsia="仿宋" w:cs="仿宋"/>
          <w:color w:val="auto"/>
          <w:highlight w:val="none"/>
        </w:rPr>
        <w:t>2.3.1 招标人可以书面形式修改招标文件，并通知所有已购买招标文件的投标人。修改招标文件的时间距投标人须知前附表规定的投标截止时间不足15天的，并且澄清内容影响投标文件编制的，将相应延长投标截止时间。</w:t>
      </w:r>
    </w:p>
    <w:p w14:paraId="5EE93B4D">
      <w:pPr>
        <w:spacing w:line="400" w:lineRule="exact"/>
        <w:ind w:firstLine="480" w:firstLineChars="200"/>
        <w:jc w:val="left"/>
        <w:rPr>
          <w:rFonts w:hint="eastAsia" w:ascii="仿宋" w:hAnsi="仿宋" w:eastAsia="仿宋" w:cs="仿宋"/>
          <w:color w:val="auto"/>
          <w:highlight w:val="none"/>
        </w:rPr>
      </w:pPr>
      <w:r>
        <w:rPr>
          <w:rFonts w:hint="eastAsia" w:ascii="仿宋" w:hAnsi="仿宋" w:eastAsia="仿宋" w:cs="仿宋"/>
          <w:color w:val="auto"/>
          <w:highlight w:val="none"/>
        </w:rPr>
        <w:t>2.3.2 投标人收到修改内容后，应在投标人须知前附表规定的时间内以书面形式通知招标人，确认已收到该修改。</w:t>
      </w:r>
    </w:p>
    <w:p w14:paraId="27887685">
      <w:pPr>
        <w:pStyle w:val="4"/>
        <w:jc w:val="left"/>
        <w:rPr>
          <w:rFonts w:hint="eastAsia" w:ascii="仿宋" w:hAnsi="仿宋" w:eastAsia="仿宋" w:cs="仿宋"/>
          <w:color w:val="auto"/>
          <w:highlight w:val="none"/>
        </w:rPr>
      </w:pPr>
      <w:bookmarkStart w:id="143" w:name="_Toc247527571"/>
      <w:bookmarkStart w:id="144" w:name="_Toc152042322"/>
      <w:bookmarkStart w:id="145" w:name="_Toc152045546"/>
      <w:bookmarkStart w:id="146" w:name="_Toc144974514"/>
      <w:bookmarkStart w:id="147" w:name="_Toc7956591"/>
      <w:bookmarkStart w:id="148" w:name="_Toc106997961"/>
      <w:bookmarkStart w:id="149" w:name="_Toc247513970"/>
      <w:r>
        <w:rPr>
          <w:rFonts w:hint="eastAsia" w:ascii="仿宋" w:hAnsi="仿宋" w:eastAsia="仿宋" w:cs="仿宋"/>
          <w:color w:val="auto"/>
          <w:highlight w:val="none"/>
        </w:rPr>
        <w:t>3. 投标文件</w:t>
      </w:r>
      <w:bookmarkEnd w:id="143"/>
      <w:bookmarkEnd w:id="144"/>
      <w:bookmarkEnd w:id="145"/>
      <w:bookmarkEnd w:id="146"/>
      <w:bookmarkEnd w:id="147"/>
      <w:bookmarkEnd w:id="148"/>
      <w:bookmarkEnd w:id="149"/>
    </w:p>
    <w:p w14:paraId="676538C1">
      <w:pPr>
        <w:pStyle w:val="5"/>
        <w:jc w:val="left"/>
        <w:rPr>
          <w:rFonts w:hint="eastAsia" w:ascii="仿宋" w:hAnsi="仿宋" w:eastAsia="仿宋" w:cs="仿宋"/>
          <w:color w:val="auto"/>
          <w:highlight w:val="none"/>
        </w:rPr>
      </w:pPr>
      <w:bookmarkStart w:id="150" w:name="_Toc144974515"/>
      <w:bookmarkStart w:id="151" w:name="_Toc247513971"/>
      <w:bookmarkStart w:id="152" w:name="_Toc152045547"/>
      <w:bookmarkStart w:id="153" w:name="_Toc106997962"/>
      <w:bookmarkStart w:id="154" w:name="_Toc7956592"/>
      <w:bookmarkStart w:id="155" w:name="_Toc152042323"/>
      <w:bookmarkStart w:id="156" w:name="_Toc247527572"/>
      <w:r>
        <w:rPr>
          <w:rFonts w:hint="eastAsia" w:ascii="仿宋" w:hAnsi="仿宋" w:eastAsia="仿宋" w:cs="仿宋"/>
          <w:color w:val="auto"/>
          <w:highlight w:val="none"/>
        </w:rPr>
        <w:t>3.1投标文件的组成</w:t>
      </w:r>
      <w:bookmarkEnd w:id="150"/>
      <w:bookmarkEnd w:id="151"/>
      <w:bookmarkEnd w:id="152"/>
      <w:bookmarkEnd w:id="153"/>
      <w:bookmarkEnd w:id="154"/>
      <w:bookmarkEnd w:id="155"/>
      <w:bookmarkEnd w:id="156"/>
    </w:p>
    <w:p w14:paraId="786CD2A0">
      <w:pPr>
        <w:spacing w:line="400" w:lineRule="exact"/>
        <w:jc w:val="left"/>
        <w:rPr>
          <w:rFonts w:hint="eastAsia" w:ascii="仿宋" w:hAnsi="仿宋" w:eastAsia="仿宋" w:cs="仿宋"/>
          <w:color w:val="auto"/>
          <w:highlight w:val="none"/>
        </w:rPr>
      </w:pPr>
      <w:r>
        <w:rPr>
          <w:rFonts w:hint="eastAsia" w:ascii="仿宋" w:hAnsi="仿宋" w:eastAsia="仿宋" w:cs="仿宋"/>
          <w:color w:val="auto"/>
          <w:highlight w:val="none"/>
        </w:rPr>
        <w:t>　　3.1.1 投标文件应包括下列内容：</w:t>
      </w:r>
    </w:p>
    <w:p w14:paraId="76BF74DF">
      <w:pPr>
        <w:spacing w:line="400" w:lineRule="exact"/>
        <w:ind w:firstLine="410" w:firstLineChars="171"/>
        <w:jc w:val="left"/>
        <w:rPr>
          <w:rFonts w:hint="eastAsia" w:ascii="仿宋" w:hAnsi="仿宋" w:eastAsia="仿宋" w:cs="仿宋"/>
          <w:color w:val="auto"/>
          <w:highlight w:val="none"/>
        </w:rPr>
      </w:pPr>
      <w:r>
        <w:rPr>
          <w:rFonts w:hint="eastAsia" w:ascii="仿宋" w:hAnsi="仿宋" w:eastAsia="仿宋" w:cs="仿宋"/>
          <w:color w:val="auto"/>
          <w:highlight w:val="none"/>
        </w:rPr>
        <w:t>（1）投标函及投标函附录；</w:t>
      </w:r>
    </w:p>
    <w:p w14:paraId="2A17F515">
      <w:pPr>
        <w:spacing w:line="400" w:lineRule="exact"/>
        <w:ind w:firstLine="410" w:firstLineChars="171"/>
        <w:jc w:val="left"/>
        <w:rPr>
          <w:rFonts w:hint="eastAsia" w:ascii="仿宋" w:hAnsi="仿宋" w:eastAsia="仿宋" w:cs="仿宋"/>
          <w:color w:val="auto"/>
          <w:highlight w:val="none"/>
        </w:rPr>
      </w:pPr>
      <w:r>
        <w:rPr>
          <w:rFonts w:hint="eastAsia" w:ascii="仿宋" w:hAnsi="仿宋" w:eastAsia="仿宋" w:cs="仿宋"/>
          <w:color w:val="auto"/>
          <w:highlight w:val="none"/>
        </w:rPr>
        <w:t>（2）法定代表人身份证明或附有法定代表人身份证明的授权委托书；</w:t>
      </w:r>
    </w:p>
    <w:p w14:paraId="3AE4F807">
      <w:pPr>
        <w:spacing w:line="400" w:lineRule="exact"/>
        <w:ind w:firstLine="410" w:firstLineChars="171"/>
        <w:jc w:val="left"/>
        <w:rPr>
          <w:rFonts w:hint="eastAsia" w:ascii="仿宋" w:hAnsi="仿宋" w:eastAsia="仿宋" w:cs="仿宋"/>
          <w:color w:val="auto"/>
          <w:highlight w:val="none"/>
        </w:rPr>
      </w:pPr>
      <w:r>
        <w:rPr>
          <w:rFonts w:hint="eastAsia" w:ascii="仿宋" w:hAnsi="仿宋" w:eastAsia="仿宋" w:cs="仿宋"/>
          <w:color w:val="auto"/>
          <w:highlight w:val="none"/>
        </w:rPr>
        <w:t>（3）投标保证金；</w:t>
      </w:r>
    </w:p>
    <w:p w14:paraId="7A33242B">
      <w:pPr>
        <w:spacing w:line="400" w:lineRule="exact"/>
        <w:ind w:firstLine="410" w:firstLineChars="171"/>
        <w:jc w:val="left"/>
        <w:rPr>
          <w:rFonts w:hint="eastAsia" w:ascii="仿宋" w:hAnsi="仿宋" w:eastAsia="仿宋" w:cs="仿宋"/>
          <w:color w:val="auto"/>
          <w:highlight w:val="none"/>
        </w:rPr>
      </w:pPr>
      <w:r>
        <w:rPr>
          <w:rFonts w:hint="eastAsia" w:ascii="仿宋" w:hAnsi="仿宋" w:eastAsia="仿宋" w:cs="仿宋"/>
          <w:color w:val="auto"/>
          <w:highlight w:val="none"/>
        </w:rPr>
        <w:t>（4）联合体协议书；</w:t>
      </w:r>
    </w:p>
    <w:p w14:paraId="45F1D2B5">
      <w:pPr>
        <w:spacing w:line="400" w:lineRule="exact"/>
        <w:ind w:firstLine="410" w:firstLineChars="171"/>
        <w:jc w:val="left"/>
        <w:rPr>
          <w:rFonts w:hint="eastAsia" w:ascii="仿宋" w:hAnsi="仿宋" w:eastAsia="仿宋" w:cs="仿宋"/>
          <w:color w:val="auto"/>
          <w:highlight w:val="none"/>
        </w:rPr>
      </w:pPr>
      <w:r>
        <w:rPr>
          <w:rFonts w:hint="eastAsia" w:ascii="仿宋" w:hAnsi="仿宋" w:eastAsia="仿宋" w:cs="仿宋"/>
          <w:color w:val="auto"/>
          <w:highlight w:val="none"/>
        </w:rPr>
        <w:t>（5）投标报价汇总表</w:t>
      </w:r>
    </w:p>
    <w:p w14:paraId="661CE102">
      <w:pPr>
        <w:spacing w:line="400" w:lineRule="exact"/>
        <w:ind w:firstLine="410" w:firstLineChars="171"/>
        <w:jc w:val="left"/>
        <w:rPr>
          <w:rFonts w:hint="eastAsia" w:ascii="仿宋" w:hAnsi="仿宋" w:eastAsia="仿宋" w:cs="仿宋"/>
          <w:color w:val="auto"/>
          <w:highlight w:val="none"/>
        </w:rPr>
      </w:pPr>
      <w:r>
        <w:rPr>
          <w:rFonts w:hint="eastAsia" w:ascii="仿宋" w:hAnsi="仿宋" w:eastAsia="仿宋" w:cs="仿宋"/>
          <w:color w:val="auto"/>
          <w:highlight w:val="none"/>
        </w:rPr>
        <w:t>（6）</w:t>
      </w:r>
      <w:r>
        <w:rPr>
          <w:rFonts w:hint="eastAsia" w:ascii="仿宋" w:hAnsi="仿宋" w:eastAsia="仿宋" w:cs="仿宋"/>
          <w:color w:val="auto"/>
          <w:szCs w:val="21"/>
          <w:highlight w:val="none"/>
        </w:rPr>
        <w:t>实施方案</w:t>
      </w:r>
      <w:r>
        <w:rPr>
          <w:rFonts w:hint="eastAsia" w:ascii="仿宋" w:hAnsi="仿宋" w:eastAsia="仿宋" w:cs="仿宋"/>
          <w:color w:val="auto"/>
          <w:highlight w:val="none"/>
        </w:rPr>
        <w:t>；</w:t>
      </w:r>
    </w:p>
    <w:p w14:paraId="4A2879D9">
      <w:pPr>
        <w:spacing w:line="400" w:lineRule="exact"/>
        <w:ind w:firstLine="410" w:firstLineChars="171"/>
        <w:jc w:val="left"/>
        <w:rPr>
          <w:rFonts w:hint="eastAsia" w:ascii="仿宋" w:hAnsi="仿宋" w:eastAsia="仿宋" w:cs="仿宋"/>
          <w:color w:val="auto"/>
          <w:highlight w:val="none"/>
        </w:rPr>
      </w:pPr>
      <w:r>
        <w:rPr>
          <w:rFonts w:hint="eastAsia" w:ascii="仿宋" w:hAnsi="仿宋" w:eastAsia="仿宋" w:cs="仿宋"/>
          <w:color w:val="auto"/>
          <w:highlight w:val="none"/>
        </w:rPr>
        <w:t>（7）建议书及相关方案评审；</w:t>
      </w:r>
    </w:p>
    <w:p w14:paraId="0C818A4C">
      <w:pPr>
        <w:spacing w:line="400" w:lineRule="exact"/>
        <w:ind w:firstLine="410" w:firstLineChars="171"/>
        <w:jc w:val="left"/>
        <w:rPr>
          <w:rFonts w:hint="eastAsia" w:ascii="仿宋" w:hAnsi="仿宋" w:eastAsia="仿宋" w:cs="仿宋"/>
          <w:color w:val="auto"/>
          <w:highlight w:val="none"/>
        </w:rPr>
      </w:pPr>
      <w:r>
        <w:rPr>
          <w:rFonts w:hint="eastAsia" w:ascii="仿宋" w:hAnsi="仿宋" w:eastAsia="仿宋" w:cs="仿宋"/>
          <w:color w:val="auto"/>
          <w:highlight w:val="none"/>
        </w:rPr>
        <w:t>（8）资格审查资料；</w:t>
      </w:r>
    </w:p>
    <w:p w14:paraId="0D75F6FB">
      <w:pPr>
        <w:spacing w:line="400" w:lineRule="exact"/>
        <w:ind w:firstLine="410" w:firstLineChars="171"/>
        <w:jc w:val="left"/>
        <w:rPr>
          <w:rFonts w:hint="eastAsia" w:ascii="仿宋" w:hAnsi="仿宋" w:eastAsia="仿宋" w:cs="仿宋"/>
          <w:color w:val="auto"/>
          <w:highlight w:val="none"/>
        </w:rPr>
      </w:pPr>
      <w:r>
        <w:rPr>
          <w:rFonts w:hint="eastAsia" w:ascii="仿宋" w:hAnsi="仿宋" w:eastAsia="仿宋" w:cs="仿宋"/>
          <w:color w:val="auto"/>
          <w:highlight w:val="none"/>
        </w:rPr>
        <w:t>（9）企业其他资料；</w:t>
      </w:r>
    </w:p>
    <w:p w14:paraId="7836E83C">
      <w:pPr>
        <w:spacing w:line="400" w:lineRule="exact"/>
        <w:ind w:firstLine="410" w:firstLineChars="171"/>
        <w:jc w:val="left"/>
        <w:rPr>
          <w:rFonts w:hint="eastAsia" w:ascii="仿宋" w:hAnsi="仿宋" w:eastAsia="仿宋" w:cs="仿宋"/>
          <w:color w:val="auto"/>
          <w:highlight w:val="none"/>
        </w:rPr>
      </w:pPr>
      <w:r>
        <w:rPr>
          <w:rFonts w:hint="eastAsia" w:ascii="仿宋" w:hAnsi="仿宋" w:eastAsia="仿宋" w:cs="仿宋"/>
          <w:color w:val="auto"/>
          <w:highlight w:val="none"/>
        </w:rPr>
        <w:t>（10）环保要求承诺书；</w:t>
      </w:r>
    </w:p>
    <w:p w14:paraId="0F9D09E3">
      <w:pPr>
        <w:spacing w:line="400" w:lineRule="exact"/>
        <w:ind w:firstLine="410" w:firstLineChars="171"/>
        <w:jc w:val="left"/>
        <w:rPr>
          <w:rFonts w:hint="eastAsia" w:ascii="仿宋" w:hAnsi="仿宋" w:eastAsia="仿宋" w:cs="仿宋"/>
          <w:color w:val="auto"/>
          <w:highlight w:val="none"/>
        </w:rPr>
      </w:pPr>
      <w:r>
        <w:rPr>
          <w:rFonts w:hint="eastAsia" w:ascii="仿宋" w:hAnsi="仿宋" w:eastAsia="仿宋" w:cs="仿宋"/>
          <w:color w:val="auto"/>
          <w:highlight w:val="none"/>
        </w:rPr>
        <w:t>（11）项目经理驻场证明；</w:t>
      </w:r>
    </w:p>
    <w:p w14:paraId="7E676FA8">
      <w:pPr>
        <w:spacing w:line="400" w:lineRule="exact"/>
        <w:ind w:firstLine="410" w:firstLineChars="171"/>
        <w:jc w:val="left"/>
        <w:rPr>
          <w:rFonts w:hint="eastAsia" w:ascii="仿宋" w:hAnsi="仿宋" w:eastAsia="仿宋" w:cs="仿宋"/>
          <w:color w:val="auto"/>
          <w:highlight w:val="none"/>
        </w:rPr>
      </w:pPr>
      <w:r>
        <w:rPr>
          <w:rFonts w:hint="eastAsia" w:ascii="仿宋" w:hAnsi="仿宋" w:eastAsia="仿宋" w:cs="仿宋"/>
          <w:color w:val="auto"/>
          <w:highlight w:val="none"/>
        </w:rPr>
        <w:t>（12）投标人告知承诺函；</w:t>
      </w:r>
    </w:p>
    <w:p w14:paraId="30A1ACF3">
      <w:pPr>
        <w:spacing w:line="400" w:lineRule="exact"/>
        <w:ind w:firstLine="410" w:firstLineChars="171"/>
        <w:jc w:val="left"/>
        <w:rPr>
          <w:rFonts w:hint="eastAsia" w:ascii="仿宋" w:hAnsi="仿宋" w:eastAsia="仿宋" w:cs="仿宋"/>
          <w:color w:val="auto"/>
          <w:highlight w:val="none"/>
        </w:rPr>
      </w:pPr>
      <w:r>
        <w:rPr>
          <w:rFonts w:hint="eastAsia" w:ascii="仿宋" w:hAnsi="仿宋" w:eastAsia="仿宋" w:cs="仿宋"/>
          <w:color w:val="auto"/>
          <w:highlight w:val="none"/>
        </w:rPr>
        <w:t>（13）其他资料。</w:t>
      </w:r>
    </w:p>
    <w:p w14:paraId="553E0DCC">
      <w:pPr>
        <w:pStyle w:val="17"/>
        <w:jc w:val="left"/>
        <w:rPr>
          <w:rFonts w:hint="eastAsia" w:ascii="仿宋" w:hAnsi="仿宋" w:eastAsia="仿宋" w:cs="仿宋"/>
          <w:color w:val="auto"/>
          <w:highlight w:val="none"/>
        </w:rPr>
      </w:pPr>
    </w:p>
    <w:p w14:paraId="0F3678D0">
      <w:pPr>
        <w:spacing w:line="400" w:lineRule="exact"/>
        <w:ind w:firstLine="410" w:firstLineChars="171"/>
        <w:jc w:val="left"/>
        <w:rPr>
          <w:rFonts w:hint="eastAsia" w:ascii="仿宋" w:hAnsi="仿宋" w:eastAsia="仿宋" w:cs="仿宋"/>
          <w:color w:val="auto"/>
          <w:highlight w:val="none"/>
        </w:rPr>
      </w:pPr>
      <w:r>
        <w:rPr>
          <w:rFonts w:hint="eastAsia" w:ascii="仿宋" w:hAnsi="仿宋" w:eastAsia="仿宋" w:cs="仿宋"/>
          <w:color w:val="auto"/>
          <w:highlight w:val="none"/>
        </w:rPr>
        <w:t>3.1.2 投标人须知前附表规定不接受联合体投标的，或投标人没有组成联合体的，投标文件不包括本章第3.1.1（4）目所指的联合体协议书。</w:t>
      </w:r>
    </w:p>
    <w:p w14:paraId="681AE8F2">
      <w:pPr>
        <w:pStyle w:val="5"/>
        <w:jc w:val="left"/>
        <w:rPr>
          <w:rFonts w:hint="eastAsia" w:ascii="仿宋" w:hAnsi="仿宋" w:eastAsia="仿宋" w:cs="仿宋"/>
          <w:color w:val="auto"/>
          <w:highlight w:val="none"/>
        </w:rPr>
      </w:pPr>
      <w:bookmarkStart w:id="157" w:name="_Toc152042324"/>
      <w:bookmarkStart w:id="158" w:name="_Toc247513972"/>
      <w:bookmarkStart w:id="159" w:name="_Toc144974516"/>
      <w:bookmarkStart w:id="160" w:name="_Toc7956593"/>
      <w:bookmarkStart w:id="161" w:name="_Toc106997963"/>
      <w:bookmarkStart w:id="162" w:name="_Toc152045548"/>
      <w:bookmarkStart w:id="163" w:name="_Toc247527573"/>
      <w:r>
        <w:rPr>
          <w:rFonts w:hint="eastAsia" w:ascii="仿宋" w:hAnsi="仿宋" w:eastAsia="仿宋" w:cs="仿宋"/>
          <w:color w:val="auto"/>
          <w:highlight w:val="none"/>
        </w:rPr>
        <w:t>3.2投标报价</w:t>
      </w:r>
      <w:bookmarkEnd w:id="157"/>
      <w:bookmarkEnd w:id="158"/>
      <w:bookmarkEnd w:id="159"/>
      <w:bookmarkEnd w:id="160"/>
      <w:bookmarkEnd w:id="161"/>
      <w:bookmarkEnd w:id="162"/>
      <w:bookmarkEnd w:id="163"/>
    </w:p>
    <w:p w14:paraId="1EDA67E4">
      <w:pPr>
        <w:spacing w:line="440" w:lineRule="exact"/>
        <w:ind w:firstLine="480" w:firstLineChars="200"/>
        <w:jc w:val="left"/>
        <w:rPr>
          <w:rFonts w:hint="eastAsia" w:ascii="仿宋" w:hAnsi="仿宋" w:eastAsia="仿宋" w:cs="仿宋"/>
          <w:color w:val="auto"/>
          <w:szCs w:val="21"/>
          <w:highlight w:val="none"/>
        </w:rPr>
      </w:pPr>
      <w:r>
        <w:rPr>
          <w:rFonts w:hint="eastAsia" w:ascii="仿宋" w:hAnsi="仿宋" w:eastAsia="仿宋" w:cs="仿宋"/>
          <w:color w:val="auto"/>
          <w:highlight w:val="none"/>
        </w:rPr>
        <w:t xml:space="preserve">3.2.1 </w:t>
      </w:r>
      <w:r>
        <w:rPr>
          <w:rFonts w:hint="eastAsia" w:ascii="仿宋" w:hAnsi="仿宋" w:eastAsia="仿宋" w:cs="仿宋"/>
          <w:color w:val="auto"/>
          <w:szCs w:val="21"/>
          <w:highlight w:val="none"/>
        </w:rPr>
        <w:t>投标人应充分了解施工场地的位置、周边环境、道路、装卸、保管、安装限制以及影响投标报价的其他要素。投标人根据投标设计，结合市场情况进行投标报价。</w:t>
      </w:r>
    </w:p>
    <w:p w14:paraId="3911FC39">
      <w:pPr>
        <w:spacing w:line="400" w:lineRule="exact"/>
        <w:ind w:firstLine="480" w:firstLineChars="200"/>
        <w:jc w:val="left"/>
        <w:rPr>
          <w:rFonts w:hint="eastAsia" w:ascii="仿宋" w:hAnsi="仿宋" w:eastAsia="仿宋" w:cs="仿宋"/>
          <w:color w:val="auto"/>
          <w:highlight w:val="none"/>
        </w:rPr>
      </w:pPr>
      <w:r>
        <w:rPr>
          <w:rFonts w:hint="eastAsia" w:ascii="仿宋" w:hAnsi="仿宋" w:eastAsia="仿宋" w:cs="仿宋"/>
          <w:color w:val="auto"/>
          <w:highlight w:val="none"/>
        </w:rPr>
        <w:t>3.2.2 投标人在投标截止时间前修改投标函中的投标报价总额，此修改须符合本章第4.3款的有关要求。</w:t>
      </w:r>
    </w:p>
    <w:p w14:paraId="008547C0">
      <w:pPr>
        <w:spacing w:line="400" w:lineRule="exact"/>
        <w:ind w:firstLine="480" w:firstLineChars="200"/>
        <w:jc w:val="left"/>
        <w:rPr>
          <w:rFonts w:hint="eastAsia" w:ascii="仿宋" w:hAnsi="仿宋" w:eastAsia="仿宋" w:cs="仿宋"/>
          <w:color w:val="auto"/>
          <w:highlight w:val="none"/>
        </w:rPr>
      </w:pPr>
      <w:r>
        <w:rPr>
          <w:rFonts w:hint="eastAsia" w:ascii="仿宋" w:hAnsi="仿宋" w:eastAsia="仿宋" w:cs="仿宋"/>
          <w:color w:val="auto"/>
          <w:highlight w:val="none"/>
        </w:rPr>
        <w:t>3.2.3 招标人设有最高投标限价的，投标人的投标报价不得超过最高投标限价，最高投标限价或其计算方法在投标人须知前附表中载明。</w:t>
      </w:r>
    </w:p>
    <w:p w14:paraId="4A3B8E29">
      <w:pPr>
        <w:spacing w:line="400" w:lineRule="exact"/>
        <w:ind w:firstLine="480" w:firstLineChars="200"/>
        <w:jc w:val="left"/>
        <w:rPr>
          <w:rFonts w:hint="eastAsia" w:ascii="仿宋" w:hAnsi="仿宋" w:eastAsia="仿宋" w:cs="仿宋"/>
          <w:color w:val="auto"/>
          <w:highlight w:val="none"/>
        </w:rPr>
      </w:pPr>
      <w:r>
        <w:rPr>
          <w:rFonts w:hint="eastAsia" w:ascii="仿宋" w:hAnsi="仿宋" w:eastAsia="仿宋" w:cs="仿宋"/>
          <w:color w:val="auto"/>
          <w:highlight w:val="none"/>
        </w:rPr>
        <w:t>3.2.4 投标报价的其他要求见投标人须知前附表。</w:t>
      </w:r>
    </w:p>
    <w:p w14:paraId="0BB486C8">
      <w:pPr>
        <w:pStyle w:val="5"/>
        <w:jc w:val="left"/>
        <w:rPr>
          <w:rFonts w:hint="eastAsia" w:ascii="仿宋" w:hAnsi="仿宋" w:eastAsia="仿宋" w:cs="仿宋"/>
          <w:color w:val="auto"/>
          <w:highlight w:val="none"/>
        </w:rPr>
      </w:pPr>
      <w:bookmarkStart w:id="164" w:name="_Toc7956594"/>
      <w:bookmarkStart w:id="165" w:name="_Toc152045549"/>
      <w:bookmarkStart w:id="166" w:name="_Toc106997964"/>
      <w:bookmarkStart w:id="167" w:name="_Toc152042325"/>
      <w:bookmarkStart w:id="168" w:name="_Toc247513973"/>
      <w:bookmarkStart w:id="169" w:name="_Toc144974517"/>
      <w:bookmarkStart w:id="170" w:name="_Toc247527574"/>
      <w:r>
        <w:rPr>
          <w:rFonts w:hint="eastAsia" w:ascii="仿宋" w:hAnsi="仿宋" w:eastAsia="仿宋" w:cs="仿宋"/>
          <w:color w:val="auto"/>
          <w:highlight w:val="none"/>
        </w:rPr>
        <w:t>3.3投标有效期</w:t>
      </w:r>
      <w:bookmarkEnd w:id="164"/>
      <w:bookmarkEnd w:id="165"/>
      <w:bookmarkEnd w:id="166"/>
      <w:bookmarkEnd w:id="167"/>
      <w:bookmarkEnd w:id="168"/>
      <w:bookmarkEnd w:id="169"/>
      <w:bookmarkEnd w:id="170"/>
    </w:p>
    <w:p w14:paraId="356BB87F">
      <w:pPr>
        <w:spacing w:line="400" w:lineRule="exact"/>
        <w:ind w:firstLine="480" w:firstLineChars="200"/>
        <w:jc w:val="left"/>
        <w:rPr>
          <w:rFonts w:hint="eastAsia" w:ascii="仿宋" w:hAnsi="仿宋" w:eastAsia="仿宋" w:cs="仿宋"/>
          <w:color w:val="auto"/>
          <w:highlight w:val="none"/>
        </w:rPr>
      </w:pPr>
      <w:r>
        <w:rPr>
          <w:rFonts w:hint="eastAsia" w:ascii="仿宋" w:hAnsi="仿宋" w:eastAsia="仿宋" w:cs="仿宋"/>
          <w:color w:val="auto"/>
          <w:highlight w:val="none"/>
        </w:rPr>
        <w:t>3.3.1 除投标人须知前附表另有规定外，投标有效期为90天。</w:t>
      </w:r>
    </w:p>
    <w:p w14:paraId="223C415A">
      <w:pPr>
        <w:spacing w:line="400" w:lineRule="exact"/>
        <w:ind w:firstLine="480" w:firstLineChars="200"/>
        <w:jc w:val="left"/>
        <w:rPr>
          <w:rFonts w:hint="eastAsia" w:ascii="仿宋" w:hAnsi="仿宋" w:eastAsia="仿宋" w:cs="仿宋"/>
          <w:color w:val="auto"/>
          <w:highlight w:val="none"/>
        </w:rPr>
      </w:pPr>
      <w:r>
        <w:rPr>
          <w:rFonts w:hint="eastAsia" w:ascii="仿宋" w:hAnsi="仿宋" w:eastAsia="仿宋" w:cs="仿宋"/>
          <w:color w:val="auto"/>
          <w:highlight w:val="none"/>
        </w:rPr>
        <w:t>3.3.2 在投标有效期内，投标人撤销或修改其投标文件的，应承担招标文件和法律规定的责任。</w:t>
      </w:r>
    </w:p>
    <w:p w14:paraId="4286B856">
      <w:pPr>
        <w:spacing w:line="400" w:lineRule="exact"/>
        <w:ind w:firstLine="480" w:firstLineChars="200"/>
        <w:jc w:val="left"/>
        <w:rPr>
          <w:rFonts w:hint="eastAsia" w:ascii="仿宋" w:hAnsi="仿宋" w:eastAsia="仿宋" w:cs="仿宋"/>
          <w:color w:val="auto"/>
          <w:highlight w:val="none"/>
        </w:rPr>
      </w:pPr>
      <w:r>
        <w:rPr>
          <w:rFonts w:hint="eastAsia" w:ascii="仿宋" w:hAnsi="仿宋" w:eastAsia="仿宋" w:cs="仿宋"/>
          <w:color w:val="auto"/>
          <w:highlight w:val="none"/>
        </w:rPr>
        <w:t>3.3.3 出现特殊情况需要延长投标有效期的，招标人以书面形式通知所有投标人延长投标有效期。投标人同意延长的，应相应延长其投标保证金的有效期，但不得要求或被允许修改或撤销其投标文件；投标人拒绝延长的，其投标失效，但投标人有权收回其投标保证金。</w:t>
      </w:r>
    </w:p>
    <w:p w14:paraId="4170F5B9">
      <w:pPr>
        <w:pStyle w:val="5"/>
        <w:jc w:val="left"/>
        <w:rPr>
          <w:rFonts w:hint="eastAsia" w:ascii="仿宋" w:hAnsi="仿宋" w:eastAsia="仿宋" w:cs="仿宋"/>
          <w:color w:val="auto"/>
          <w:highlight w:val="none"/>
        </w:rPr>
      </w:pPr>
      <w:bookmarkStart w:id="171" w:name="_Toc152045550"/>
      <w:bookmarkStart w:id="172" w:name="_Toc152042326"/>
      <w:bookmarkStart w:id="173" w:name="_Toc247513974"/>
      <w:bookmarkStart w:id="174" w:name="_Toc7956595"/>
      <w:bookmarkStart w:id="175" w:name="_Toc247527575"/>
      <w:bookmarkStart w:id="176" w:name="_Toc106997965"/>
      <w:bookmarkStart w:id="177" w:name="_Toc144974518"/>
      <w:r>
        <w:rPr>
          <w:rFonts w:hint="eastAsia" w:ascii="仿宋" w:hAnsi="仿宋" w:eastAsia="仿宋" w:cs="仿宋"/>
          <w:color w:val="auto"/>
          <w:highlight w:val="none"/>
        </w:rPr>
        <w:t>3.4投标保证金</w:t>
      </w:r>
      <w:bookmarkEnd w:id="171"/>
      <w:bookmarkEnd w:id="172"/>
      <w:bookmarkEnd w:id="173"/>
      <w:bookmarkEnd w:id="174"/>
      <w:bookmarkEnd w:id="175"/>
      <w:bookmarkEnd w:id="176"/>
      <w:bookmarkEnd w:id="177"/>
    </w:p>
    <w:p w14:paraId="2711D463">
      <w:pPr>
        <w:spacing w:line="400" w:lineRule="exact"/>
        <w:ind w:firstLine="480" w:firstLineChars="200"/>
        <w:jc w:val="left"/>
        <w:rPr>
          <w:rFonts w:hint="eastAsia" w:ascii="仿宋" w:hAnsi="仿宋" w:eastAsia="仿宋" w:cs="仿宋"/>
          <w:color w:val="auto"/>
          <w:highlight w:val="none"/>
        </w:rPr>
      </w:pPr>
      <w:r>
        <w:rPr>
          <w:rFonts w:hint="eastAsia" w:ascii="仿宋" w:hAnsi="仿宋" w:eastAsia="仿宋" w:cs="仿宋"/>
          <w:color w:val="auto"/>
          <w:highlight w:val="none"/>
        </w:rPr>
        <w:t>3.4.1 投标人在递交投标文件的同时，应按投标人须知前附表规定的金额、担保形式和第七章“投标文件格式”规定的投标保证金格式递交投标保证金，并作为其投标文件的组成部分。联合体投标的，其投标保证金由牵头人递交，并应符合投标人须知前附表的规定。</w:t>
      </w:r>
    </w:p>
    <w:p w14:paraId="0F44B609">
      <w:pPr>
        <w:spacing w:line="400" w:lineRule="exact"/>
        <w:ind w:firstLine="480" w:firstLineChars="200"/>
        <w:jc w:val="left"/>
        <w:rPr>
          <w:rFonts w:hint="eastAsia" w:ascii="仿宋" w:hAnsi="仿宋" w:eastAsia="仿宋" w:cs="仿宋"/>
          <w:color w:val="auto"/>
          <w:highlight w:val="none"/>
        </w:rPr>
      </w:pPr>
      <w:r>
        <w:rPr>
          <w:rFonts w:hint="eastAsia" w:ascii="仿宋" w:hAnsi="仿宋" w:eastAsia="仿宋" w:cs="仿宋"/>
          <w:color w:val="auto"/>
          <w:highlight w:val="none"/>
        </w:rPr>
        <w:t>3.4.2 投标人不按本章第3.4.1项要求提交投标保证金的，评标委员会将否决其投标。</w:t>
      </w:r>
    </w:p>
    <w:p w14:paraId="742C4CCF">
      <w:pPr>
        <w:spacing w:line="400" w:lineRule="exact"/>
        <w:ind w:firstLine="480" w:firstLineChars="200"/>
        <w:jc w:val="left"/>
        <w:rPr>
          <w:rFonts w:hint="eastAsia" w:ascii="仿宋" w:hAnsi="仿宋" w:eastAsia="仿宋" w:cs="仿宋"/>
          <w:color w:val="auto"/>
          <w:highlight w:val="none"/>
        </w:rPr>
      </w:pPr>
      <w:r>
        <w:rPr>
          <w:rFonts w:hint="eastAsia" w:ascii="仿宋" w:hAnsi="仿宋" w:eastAsia="仿宋" w:cs="仿宋"/>
          <w:color w:val="auto"/>
          <w:highlight w:val="none"/>
        </w:rPr>
        <w:t>3.4.3 招标人与中标人签订合同后5日内，向未中标的投标人和中标人退还投标保证金及同期银行存款利息。</w:t>
      </w:r>
    </w:p>
    <w:p w14:paraId="6EFD5BDD">
      <w:pPr>
        <w:spacing w:line="400" w:lineRule="exact"/>
        <w:ind w:firstLine="480" w:firstLineChars="200"/>
        <w:jc w:val="left"/>
        <w:rPr>
          <w:rFonts w:hint="eastAsia" w:ascii="仿宋" w:hAnsi="仿宋" w:eastAsia="仿宋" w:cs="仿宋"/>
          <w:color w:val="auto"/>
          <w:highlight w:val="none"/>
        </w:rPr>
      </w:pPr>
      <w:r>
        <w:rPr>
          <w:rFonts w:hint="eastAsia" w:ascii="仿宋" w:hAnsi="仿宋" w:eastAsia="仿宋" w:cs="仿宋"/>
          <w:color w:val="auto"/>
          <w:highlight w:val="none"/>
        </w:rPr>
        <w:t>3.4.4 有下列情形之一的，投标保证金将不予退还：</w:t>
      </w:r>
    </w:p>
    <w:p w14:paraId="079F8E85">
      <w:pPr>
        <w:spacing w:line="400" w:lineRule="exact"/>
        <w:ind w:firstLine="360" w:firstLineChars="150"/>
        <w:jc w:val="left"/>
        <w:rPr>
          <w:rFonts w:hint="eastAsia" w:ascii="仿宋" w:hAnsi="仿宋" w:eastAsia="仿宋" w:cs="仿宋"/>
          <w:color w:val="auto"/>
          <w:highlight w:val="none"/>
        </w:rPr>
      </w:pPr>
      <w:r>
        <w:rPr>
          <w:rFonts w:hint="eastAsia" w:ascii="仿宋" w:hAnsi="仿宋" w:eastAsia="仿宋" w:cs="仿宋"/>
          <w:color w:val="auto"/>
          <w:highlight w:val="none"/>
        </w:rPr>
        <w:t>（1）投标人在规定的投标有效期内撤销或修改其投标文件；</w:t>
      </w:r>
    </w:p>
    <w:p w14:paraId="1507AD4F">
      <w:pPr>
        <w:spacing w:line="400" w:lineRule="exact"/>
        <w:ind w:firstLine="360" w:firstLineChars="150"/>
        <w:jc w:val="left"/>
        <w:rPr>
          <w:rFonts w:hint="eastAsia" w:ascii="仿宋" w:hAnsi="仿宋" w:eastAsia="仿宋" w:cs="仿宋"/>
          <w:color w:val="auto"/>
          <w:highlight w:val="none"/>
        </w:rPr>
      </w:pPr>
      <w:r>
        <w:rPr>
          <w:rFonts w:hint="eastAsia" w:ascii="仿宋" w:hAnsi="仿宋" w:eastAsia="仿宋" w:cs="仿宋"/>
          <w:color w:val="auto"/>
          <w:highlight w:val="none"/>
        </w:rPr>
        <w:t>（2）中标人在收到中标通知书后，无正当理由拒签合同或未按招标文件规定提交履约担保。</w:t>
      </w:r>
    </w:p>
    <w:p w14:paraId="7A4E1A65">
      <w:pPr>
        <w:pStyle w:val="5"/>
        <w:jc w:val="left"/>
        <w:rPr>
          <w:rFonts w:hint="eastAsia" w:ascii="仿宋" w:hAnsi="仿宋" w:eastAsia="仿宋" w:cs="仿宋"/>
          <w:color w:val="auto"/>
          <w:highlight w:val="none"/>
        </w:rPr>
      </w:pPr>
      <w:bookmarkStart w:id="178" w:name="_Toc152042327"/>
      <w:bookmarkStart w:id="179" w:name="_Toc144974519"/>
      <w:bookmarkStart w:id="180" w:name="_Toc247527576"/>
      <w:bookmarkStart w:id="181" w:name="_Toc152045551"/>
      <w:bookmarkStart w:id="182" w:name="_Toc247513975"/>
      <w:bookmarkStart w:id="183" w:name="_Toc7956596"/>
      <w:bookmarkStart w:id="184" w:name="_Toc106997966"/>
      <w:r>
        <w:rPr>
          <w:rFonts w:hint="eastAsia" w:ascii="仿宋" w:hAnsi="仿宋" w:eastAsia="仿宋" w:cs="仿宋"/>
          <w:color w:val="auto"/>
          <w:highlight w:val="none"/>
        </w:rPr>
        <w:t>3.5资格审查资料（适用于已进行资格预审的）</w:t>
      </w:r>
      <w:bookmarkEnd w:id="178"/>
      <w:bookmarkEnd w:id="179"/>
      <w:bookmarkEnd w:id="180"/>
      <w:bookmarkEnd w:id="181"/>
      <w:bookmarkEnd w:id="182"/>
      <w:bookmarkEnd w:id="183"/>
      <w:bookmarkEnd w:id="184"/>
    </w:p>
    <w:p w14:paraId="553C5103">
      <w:pPr>
        <w:spacing w:line="400" w:lineRule="exact"/>
        <w:ind w:firstLine="480" w:firstLineChars="200"/>
        <w:jc w:val="left"/>
        <w:rPr>
          <w:rFonts w:hint="eastAsia" w:ascii="仿宋" w:hAnsi="仿宋" w:eastAsia="仿宋" w:cs="仿宋"/>
          <w:color w:val="auto"/>
          <w:highlight w:val="none"/>
        </w:rPr>
      </w:pPr>
      <w:r>
        <w:rPr>
          <w:rFonts w:hint="eastAsia" w:ascii="仿宋" w:hAnsi="仿宋" w:eastAsia="仿宋" w:cs="仿宋"/>
          <w:color w:val="auto"/>
          <w:highlight w:val="none"/>
        </w:rPr>
        <w:t>投标人在递交投标文件前，发生可能影响其投标资格的新情况的，应更新或补充其在申请资格预审时提供的资料，以证实其各项资格条件仍能继续满足资格预审文件的要求，且没有实质性降低。</w:t>
      </w:r>
    </w:p>
    <w:p w14:paraId="4B89264A">
      <w:pPr>
        <w:pStyle w:val="5"/>
        <w:jc w:val="left"/>
        <w:rPr>
          <w:rFonts w:hint="eastAsia" w:ascii="仿宋" w:hAnsi="仿宋" w:eastAsia="仿宋" w:cs="仿宋"/>
          <w:color w:val="auto"/>
          <w:highlight w:val="none"/>
        </w:rPr>
      </w:pPr>
      <w:bookmarkStart w:id="185" w:name="_Toc247513976"/>
      <w:bookmarkStart w:id="186" w:name="_Toc152042328"/>
      <w:bookmarkStart w:id="187" w:name="_Toc106997967"/>
      <w:bookmarkStart w:id="188" w:name="_Toc247527577"/>
      <w:bookmarkStart w:id="189" w:name="_Toc152045552"/>
      <w:bookmarkStart w:id="190" w:name="_Toc144974520"/>
      <w:bookmarkStart w:id="191" w:name="_Toc7956597"/>
      <w:r>
        <w:rPr>
          <w:rFonts w:hint="eastAsia" w:ascii="仿宋" w:hAnsi="仿宋" w:eastAsia="仿宋" w:cs="仿宋"/>
          <w:color w:val="auto"/>
          <w:highlight w:val="none"/>
        </w:rPr>
        <w:t>3.5资格审查资料</w:t>
      </w:r>
      <w:bookmarkEnd w:id="185"/>
      <w:bookmarkEnd w:id="186"/>
      <w:bookmarkEnd w:id="187"/>
      <w:bookmarkEnd w:id="188"/>
      <w:bookmarkEnd w:id="189"/>
      <w:bookmarkEnd w:id="190"/>
      <w:bookmarkEnd w:id="191"/>
      <w:r>
        <w:rPr>
          <w:rFonts w:hint="eastAsia" w:ascii="仿宋" w:hAnsi="仿宋" w:eastAsia="仿宋" w:cs="仿宋"/>
          <w:color w:val="auto"/>
          <w:highlight w:val="none"/>
        </w:rPr>
        <w:t>（具体要求及所附证明材料以第三章评标办法要求为准）</w:t>
      </w:r>
    </w:p>
    <w:p w14:paraId="0A5434C8">
      <w:pPr>
        <w:spacing w:line="400" w:lineRule="exact"/>
        <w:ind w:firstLine="480" w:firstLineChars="200"/>
        <w:jc w:val="left"/>
        <w:rPr>
          <w:rFonts w:hint="eastAsia" w:ascii="仿宋" w:hAnsi="仿宋" w:eastAsia="仿宋" w:cs="仿宋"/>
          <w:color w:val="auto"/>
          <w:highlight w:val="none"/>
        </w:rPr>
      </w:pPr>
      <w:r>
        <w:rPr>
          <w:rFonts w:hint="eastAsia" w:ascii="仿宋" w:hAnsi="仿宋" w:eastAsia="仿宋" w:cs="仿宋"/>
          <w:color w:val="auto"/>
          <w:highlight w:val="none"/>
        </w:rPr>
        <w:t>3.5.1 “投标人基本情况表”应附投标人营业执照及其年检合格的证明材料、资质证书（如有）副本等材料。</w:t>
      </w:r>
    </w:p>
    <w:p w14:paraId="3273D266">
      <w:pPr>
        <w:spacing w:line="400" w:lineRule="exact"/>
        <w:ind w:firstLine="480" w:firstLineChars="200"/>
        <w:jc w:val="left"/>
        <w:rPr>
          <w:rFonts w:hint="eastAsia" w:ascii="仿宋" w:hAnsi="仿宋" w:eastAsia="仿宋" w:cs="仿宋"/>
          <w:color w:val="auto"/>
          <w:highlight w:val="none"/>
        </w:rPr>
      </w:pPr>
      <w:r>
        <w:rPr>
          <w:rFonts w:hint="eastAsia" w:ascii="仿宋" w:hAnsi="仿宋" w:eastAsia="仿宋" w:cs="仿宋"/>
          <w:color w:val="auto"/>
          <w:highlight w:val="none"/>
        </w:rPr>
        <w:t>3.5.2 “近年财务状况表”应附经会计师事务所或审计机构审计的财务会计报表，包括资产负债表、现金流量表、利润表和财务情况说明书等，具体年份要求见投标人须知前附表。</w:t>
      </w:r>
    </w:p>
    <w:p w14:paraId="3BBB94C6">
      <w:pPr>
        <w:spacing w:line="400" w:lineRule="exact"/>
        <w:ind w:firstLine="480" w:firstLineChars="200"/>
        <w:jc w:val="left"/>
        <w:rPr>
          <w:rFonts w:hint="eastAsia" w:ascii="仿宋" w:hAnsi="仿宋" w:eastAsia="仿宋" w:cs="仿宋"/>
          <w:color w:val="auto"/>
          <w:highlight w:val="none"/>
        </w:rPr>
      </w:pPr>
      <w:r>
        <w:rPr>
          <w:rFonts w:hint="eastAsia" w:ascii="仿宋" w:hAnsi="仿宋" w:eastAsia="仿宋" w:cs="仿宋"/>
          <w:color w:val="auto"/>
          <w:highlight w:val="none"/>
        </w:rPr>
        <w:t>3.5.3 “近年完成的类似设计施工总承包项目情况表”应附中标通知书和（或）合同协议书、工程接收证书（工程竣工验收证书）；或“近年完成的类似工程设计项目情况表”应附中标通知书和（或）合同协议书；“近年完成的类似施工项目情况表”应附中标通知书和（或）合同协议书、工程接收证书（工程竣工验收证书）。具体年份要求见投标人须知前附表，每张表格只填写一个项目，并标明序号。</w:t>
      </w:r>
    </w:p>
    <w:p w14:paraId="1230BA11">
      <w:pPr>
        <w:spacing w:line="400" w:lineRule="exact"/>
        <w:ind w:firstLine="480" w:firstLineChars="200"/>
        <w:jc w:val="left"/>
        <w:rPr>
          <w:rFonts w:hint="eastAsia" w:ascii="仿宋" w:hAnsi="仿宋" w:eastAsia="仿宋" w:cs="仿宋"/>
          <w:color w:val="auto"/>
          <w:highlight w:val="none"/>
        </w:rPr>
      </w:pPr>
      <w:r>
        <w:rPr>
          <w:rFonts w:hint="eastAsia" w:ascii="仿宋" w:hAnsi="仿宋" w:eastAsia="仿宋" w:cs="仿宋"/>
          <w:color w:val="auto"/>
          <w:highlight w:val="none"/>
        </w:rPr>
        <w:t>3.5.4 “正在实施和新承接的项目情况表”应附中标通知书和合同协议书。每张表格只填写一个项目，并标明序号。</w:t>
      </w:r>
    </w:p>
    <w:p w14:paraId="1683536D">
      <w:pPr>
        <w:spacing w:line="400" w:lineRule="exact"/>
        <w:ind w:firstLine="480" w:firstLineChars="200"/>
        <w:jc w:val="left"/>
        <w:rPr>
          <w:rFonts w:hint="eastAsia" w:ascii="仿宋" w:hAnsi="仿宋" w:eastAsia="仿宋" w:cs="仿宋"/>
          <w:color w:val="auto"/>
          <w:highlight w:val="none"/>
        </w:rPr>
      </w:pPr>
      <w:r>
        <w:rPr>
          <w:rFonts w:hint="eastAsia" w:ascii="仿宋" w:hAnsi="仿宋" w:eastAsia="仿宋" w:cs="仿宋"/>
          <w:color w:val="auto"/>
          <w:highlight w:val="none"/>
        </w:rPr>
        <w:t>3.5.5 “近年发生的重大诉讼及仲裁情况”应说明相关情况，并附法院或仲裁机构作出的判决、裁决等有关法律文书，具体年份要求见投标人须知前附表。</w:t>
      </w:r>
    </w:p>
    <w:p w14:paraId="5B7F1AAB">
      <w:pPr>
        <w:spacing w:line="400" w:lineRule="exact"/>
        <w:ind w:firstLine="480" w:firstLineChars="200"/>
        <w:jc w:val="left"/>
        <w:rPr>
          <w:rFonts w:hint="eastAsia" w:ascii="仿宋" w:hAnsi="仿宋" w:eastAsia="仿宋" w:cs="仿宋"/>
          <w:color w:val="auto"/>
          <w:highlight w:val="none"/>
        </w:rPr>
      </w:pPr>
      <w:r>
        <w:rPr>
          <w:rFonts w:hint="eastAsia" w:ascii="仿宋" w:hAnsi="仿宋" w:eastAsia="仿宋" w:cs="仿宋"/>
          <w:color w:val="auto"/>
          <w:highlight w:val="none"/>
        </w:rPr>
        <w:t>3.5.6 投标人须知前附表规定接受联合体投标的，本章第3.5.1项至第3.5.5项规定的表格和资料应包括联合体各方相关情况。</w:t>
      </w:r>
    </w:p>
    <w:p w14:paraId="38644587">
      <w:pPr>
        <w:pStyle w:val="5"/>
        <w:jc w:val="left"/>
        <w:rPr>
          <w:rFonts w:hint="eastAsia" w:ascii="仿宋" w:hAnsi="仿宋" w:eastAsia="仿宋" w:cs="仿宋"/>
          <w:color w:val="auto"/>
          <w:highlight w:val="none"/>
        </w:rPr>
      </w:pPr>
      <w:bookmarkStart w:id="192" w:name="_Toc247513977"/>
      <w:bookmarkStart w:id="193" w:name="_Toc247527578"/>
      <w:bookmarkStart w:id="194" w:name="_Toc7956598"/>
      <w:bookmarkStart w:id="195" w:name="_Toc106997968"/>
      <w:bookmarkStart w:id="196" w:name="_Toc152045553"/>
      <w:bookmarkStart w:id="197" w:name="_Toc152042329"/>
      <w:bookmarkStart w:id="198" w:name="_Toc144974521"/>
      <w:r>
        <w:rPr>
          <w:rFonts w:hint="eastAsia" w:ascii="仿宋" w:hAnsi="仿宋" w:eastAsia="仿宋" w:cs="仿宋"/>
          <w:color w:val="auto"/>
          <w:highlight w:val="none"/>
        </w:rPr>
        <w:t>3.6备选投标方案</w:t>
      </w:r>
      <w:bookmarkEnd w:id="192"/>
      <w:bookmarkEnd w:id="193"/>
      <w:bookmarkEnd w:id="194"/>
      <w:bookmarkEnd w:id="195"/>
      <w:bookmarkEnd w:id="196"/>
      <w:bookmarkEnd w:id="197"/>
      <w:bookmarkEnd w:id="198"/>
    </w:p>
    <w:p w14:paraId="44937DC6">
      <w:pPr>
        <w:spacing w:line="400" w:lineRule="exact"/>
        <w:ind w:firstLine="480" w:firstLineChars="200"/>
        <w:jc w:val="left"/>
        <w:rPr>
          <w:rFonts w:hint="eastAsia" w:ascii="仿宋" w:hAnsi="仿宋" w:eastAsia="仿宋" w:cs="仿宋"/>
          <w:color w:val="auto"/>
          <w:highlight w:val="none"/>
        </w:rPr>
      </w:pPr>
      <w:r>
        <w:rPr>
          <w:rFonts w:hint="eastAsia" w:ascii="仿宋" w:hAnsi="仿宋" w:eastAsia="仿宋" w:cs="仿宋"/>
          <w:color w:val="auto"/>
          <w:highlight w:val="none"/>
        </w:rPr>
        <w:t>除投标人须知前附表另有规定外，投标人不得递交备选投标方案。允许投标人递交备选投标方案的，只有中标人所递交的备选投标方案方可予以考虑。评标委员会认为中标人的备选投标方案优于其按照招标文件要求编制的投标方案的，招标人可以接受该备选投标方案。</w:t>
      </w:r>
    </w:p>
    <w:p w14:paraId="6239D591">
      <w:pPr>
        <w:pStyle w:val="5"/>
        <w:jc w:val="left"/>
        <w:rPr>
          <w:rFonts w:hint="eastAsia" w:ascii="仿宋" w:hAnsi="仿宋" w:eastAsia="仿宋" w:cs="仿宋"/>
          <w:color w:val="auto"/>
          <w:highlight w:val="none"/>
        </w:rPr>
      </w:pPr>
      <w:bookmarkStart w:id="199" w:name="_Toc7956599"/>
      <w:bookmarkStart w:id="200" w:name="_Toc247527579"/>
      <w:bookmarkStart w:id="201" w:name="_Toc144974522"/>
      <w:bookmarkStart w:id="202" w:name="_Toc152045554"/>
      <w:bookmarkStart w:id="203" w:name="_Toc106997969"/>
      <w:bookmarkStart w:id="204" w:name="_Toc152042330"/>
      <w:bookmarkStart w:id="205" w:name="_Toc247513978"/>
      <w:r>
        <w:rPr>
          <w:rFonts w:hint="eastAsia" w:ascii="仿宋" w:hAnsi="仿宋" w:eastAsia="仿宋" w:cs="仿宋"/>
          <w:color w:val="auto"/>
          <w:highlight w:val="none"/>
        </w:rPr>
        <w:t>3.7投标文件的编制</w:t>
      </w:r>
      <w:bookmarkEnd w:id="199"/>
      <w:bookmarkEnd w:id="200"/>
      <w:bookmarkEnd w:id="201"/>
      <w:bookmarkEnd w:id="202"/>
      <w:bookmarkEnd w:id="203"/>
      <w:bookmarkEnd w:id="204"/>
      <w:bookmarkEnd w:id="205"/>
    </w:p>
    <w:p w14:paraId="0957CA74">
      <w:pPr>
        <w:spacing w:line="400" w:lineRule="exact"/>
        <w:ind w:firstLine="480" w:firstLineChars="200"/>
        <w:jc w:val="left"/>
        <w:rPr>
          <w:rFonts w:hint="eastAsia" w:ascii="仿宋" w:hAnsi="仿宋" w:eastAsia="仿宋" w:cs="仿宋"/>
          <w:color w:val="auto"/>
          <w:highlight w:val="none"/>
        </w:rPr>
      </w:pPr>
      <w:r>
        <w:rPr>
          <w:rFonts w:hint="eastAsia" w:ascii="仿宋" w:hAnsi="仿宋" w:eastAsia="仿宋" w:cs="仿宋"/>
          <w:color w:val="auto"/>
          <w:highlight w:val="none"/>
        </w:rPr>
        <w:t>3.7.1 投标文件应按第七章“投标文件格式”进行编写，如有必要，可以增加附页，作为投标文件的组成部分。其中，投标函附录在满足招标文件实质性要求的基础上，可以提出比招标文件要求更有利于招标人的承诺。</w:t>
      </w:r>
    </w:p>
    <w:p w14:paraId="10CFCB13">
      <w:pPr>
        <w:spacing w:line="400" w:lineRule="exact"/>
        <w:ind w:firstLine="480" w:firstLineChars="200"/>
        <w:jc w:val="left"/>
        <w:rPr>
          <w:rFonts w:hint="eastAsia" w:ascii="仿宋" w:hAnsi="仿宋" w:eastAsia="仿宋" w:cs="仿宋"/>
          <w:color w:val="auto"/>
          <w:szCs w:val="21"/>
          <w:highlight w:val="none"/>
        </w:rPr>
      </w:pPr>
      <w:r>
        <w:rPr>
          <w:rFonts w:hint="eastAsia" w:ascii="仿宋" w:hAnsi="仿宋" w:eastAsia="仿宋" w:cs="仿宋"/>
          <w:color w:val="auto"/>
          <w:highlight w:val="none"/>
        </w:rPr>
        <w:t>3.7.2 投标文件应当对招标文件有关</w:t>
      </w:r>
      <w:r>
        <w:rPr>
          <w:rFonts w:hint="eastAsia" w:ascii="仿宋" w:hAnsi="仿宋" w:eastAsia="仿宋" w:cs="仿宋"/>
          <w:color w:val="auto"/>
          <w:szCs w:val="21"/>
          <w:highlight w:val="none"/>
        </w:rPr>
        <w:t>招标范围、投标有效期、工期、质量标准、发包人要求等实质性内容作出响应。</w:t>
      </w:r>
    </w:p>
    <w:p w14:paraId="77B11E70">
      <w:pPr>
        <w:spacing w:line="400" w:lineRule="exact"/>
        <w:ind w:firstLine="480" w:firstLineChars="200"/>
        <w:jc w:val="left"/>
        <w:rPr>
          <w:rFonts w:hint="eastAsia" w:ascii="仿宋" w:hAnsi="仿宋" w:eastAsia="仿宋" w:cs="仿宋"/>
          <w:color w:val="auto"/>
          <w:highlight w:val="none"/>
        </w:rPr>
      </w:pPr>
      <w:r>
        <w:rPr>
          <w:rFonts w:hint="eastAsia" w:ascii="仿宋" w:hAnsi="仿宋" w:eastAsia="仿宋" w:cs="仿宋"/>
          <w:color w:val="auto"/>
          <w:highlight w:val="none"/>
        </w:rPr>
        <w:t>3.7.3 投标文件应用不褪色的材料书写或打印，并由投标人的法定代表人或其授权的代理人签字或盖单位章。投标人的法定代表人授权代理人签字的，投标文件应附由法定代表人签署的授权委托书。投标文件应尽量避免涂改、行间插字或删除。如果出现上述情况，改动之处应加盖单位章或由投标人的法定代表人或其授权的代理人签字确认。签字或盖章的具体要求见投标人须知前附表。</w:t>
      </w:r>
    </w:p>
    <w:p w14:paraId="1BC51B89">
      <w:pPr>
        <w:spacing w:line="400" w:lineRule="exact"/>
        <w:ind w:firstLine="480" w:firstLineChars="200"/>
        <w:jc w:val="left"/>
        <w:rPr>
          <w:rFonts w:hint="eastAsia" w:ascii="仿宋" w:hAnsi="仿宋" w:eastAsia="仿宋" w:cs="仿宋"/>
          <w:color w:val="auto"/>
          <w:highlight w:val="none"/>
        </w:rPr>
      </w:pPr>
      <w:r>
        <w:rPr>
          <w:rFonts w:hint="eastAsia" w:ascii="仿宋" w:hAnsi="仿宋" w:eastAsia="仿宋" w:cs="仿宋"/>
          <w:color w:val="auto"/>
          <w:highlight w:val="none"/>
        </w:rPr>
        <w:t>3.7.4 投标文件正本一份, 副本份数见投标人须知前附表。正本和副本的封面上应清楚地标记“正本”或“副本”的字样。当副本和正本不一致时，以正本为准。</w:t>
      </w:r>
    </w:p>
    <w:p w14:paraId="6AC3F822">
      <w:pPr>
        <w:spacing w:line="400" w:lineRule="exact"/>
        <w:ind w:firstLine="480" w:firstLineChars="200"/>
        <w:jc w:val="left"/>
        <w:rPr>
          <w:rFonts w:hint="eastAsia" w:ascii="仿宋" w:hAnsi="仿宋" w:eastAsia="仿宋" w:cs="仿宋"/>
          <w:color w:val="auto"/>
          <w:highlight w:val="none"/>
        </w:rPr>
      </w:pPr>
      <w:r>
        <w:rPr>
          <w:rFonts w:hint="eastAsia" w:ascii="仿宋" w:hAnsi="仿宋" w:eastAsia="仿宋" w:cs="仿宋"/>
          <w:color w:val="auto"/>
          <w:highlight w:val="none"/>
        </w:rPr>
        <w:t>3.7.5 投标文件的正本与副本应分别装订成册，具体装订要求见投标人须知前附表规定。</w:t>
      </w:r>
    </w:p>
    <w:p w14:paraId="20674667">
      <w:pPr>
        <w:pStyle w:val="4"/>
        <w:jc w:val="left"/>
        <w:rPr>
          <w:rFonts w:hint="eastAsia" w:ascii="仿宋" w:hAnsi="仿宋" w:eastAsia="仿宋" w:cs="仿宋"/>
          <w:color w:val="auto"/>
          <w:highlight w:val="none"/>
        </w:rPr>
      </w:pPr>
      <w:bookmarkStart w:id="206" w:name="_Toc7956600"/>
      <w:bookmarkStart w:id="207" w:name="_Toc152042331"/>
      <w:bookmarkStart w:id="208" w:name="_Toc144974523"/>
      <w:bookmarkStart w:id="209" w:name="_Toc152045555"/>
      <w:bookmarkStart w:id="210" w:name="_Toc247527580"/>
      <w:bookmarkStart w:id="211" w:name="_Toc247513979"/>
      <w:bookmarkStart w:id="212" w:name="_Toc106997970"/>
      <w:r>
        <w:rPr>
          <w:rFonts w:hint="eastAsia" w:ascii="仿宋" w:hAnsi="仿宋" w:eastAsia="仿宋" w:cs="仿宋"/>
          <w:color w:val="auto"/>
          <w:highlight w:val="none"/>
        </w:rPr>
        <w:t>4. 投标</w:t>
      </w:r>
      <w:bookmarkEnd w:id="206"/>
      <w:bookmarkEnd w:id="207"/>
      <w:bookmarkEnd w:id="208"/>
      <w:bookmarkEnd w:id="209"/>
      <w:bookmarkEnd w:id="210"/>
      <w:bookmarkEnd w:id="211"/>
      <w:bookmarkEnd w:id="212"/>
    </w:p>
    <w:p w14:paraId="30003A56">
      <w:pPr>
        <w:pStyle w:val="5"/>
        <w:jc w:val="left"/>
        <w:rPr>
          <w:rFonts w:hint="eastAsia" w:ascii="仿宋" w:hAnsi="仿宋" w:eastAsia="仿宋" w:cs="仿宋"/>
          <w:color w:val="auto"/>
          <w:highlight w:val="none"/>
        </w:rPr>
      </w:pPr>
      <w:bookmarkStart w:id="213" w:name="_Toc247513980"/>
      <w:bookmarkStart w:id="214" w:name="_Toc152045556"/>
      <w:bookmarkStart w:id="215" w:name="_Toc152042332"/>
      <w:bookmarkStart w:id="216" w:name="_Toc106997971"/>
      <w:bookmarkStart w:id="217" w:name="_Toc247527581"/>
      <w:bookmarkStart w:id="218" w:name="_Toc144974524"/>
      <w:bookmarkStart w:id="219" w:name="_Toc7956601"/>
      <w:r>
        <w:rPr>
          <w:rFonts w:hint="eastAsia" w:ascii="仿宋" w:hAnsi="仿宋" w:eastAsia="仿宋" w:cs="仿宋"/>
          <w:color w:val="auto"/>
          <w:highlight w:val="none"/>
        </w:rPr>
        <w:t>4.1投标文件的密封和标记</w:t>
      </w:r>
      <w:bookmarkEnd w:id="213"/>
      <w:bookmarkEnd w:id="214"/>
      <w:bookmarkEnd w:id="215"/>
      <w:bookmarkEnd w:id="216"/>
      <w:bookmarkEnd w:id="217"/>
      <w:bookmarkEnd w:id="218"/>
      <w:bookmarkEnd w:id="219"/>
      <w:r>
        <w:rPr>
          <w:rFonts w:hint="eastAsia" w:ascii="仿宋" w:hAnsi="仿宋" w:eastAsia="仿宋" w:cs="仿宋"/>
          <w:color w:val="auto"/>
          <w:highlight w:val="none"/>
        </w:rPr>
        <w:t>(电子标，无需密封和标记)</w:t>
      </w:r>
    </w:p>
    <w:p w14:paraId="700DECC5">
      <w:pPr>
        <w:spacing w:line="400" w:lineRule="exact"/>
        <w:ind w:firstLine="480" w:firstLineChars="200"/>
        <w:jc w:val="left"/>
        <w:rPr>
          <w:rFonts w:hint="eastAsia" w:ascii="仿宋" w:hAnsi="仿宋" w:eastAsia="仿宋" w:cs="仿宋"/>
          <w:color w:val="auto"/>
          <w:highlight w:val="none"/>
        </w:rPr>
      </w:pPr>
      <w:r>
        <w:rPr>
          <w:rFonts w:hint="eastAsia" w:ascii="仿宋" w:hAnsi="仿宋" w:eastAsia="仿宋" w:cs="仿宋"/>
          <w:color w:val="auto"/>
          <w:highlight w:val="none"/>
        </w:rPr>
        <w:t>4.1.1 投标文件应进行包装、加贴封条，并在封套的封口处加盖投标人单位章。</w:t>
      </w:r>
    </w:p>
    <w:p w14:paraId="3565456E">
      <w:pPr>
        <w:spacing w:line="400" w:lineRule="exact"/>
        <w:ind w:firstLine="480" w:firstLineChars="200"/>
        <w:jc w:val="left"/>
        <w:rPr>
          <w:rFonts w:hint="eastAsia" w:ascii="仿宋" w:hAnsi="仿宋" w:eastAsia="仿宋" w:cs="仿宋"/>
          <w:color w:val="auto"/>
          <w:highlight w:val="none"/>
        </w:rPr>
      </w:pPr>
      <w:r>
        <w:rPr>
          <w:rFonts w:hint="eastAsia" w:ascii="仿宋" w:hAnsi="仿宋" w:eastAsia="仿宋" w:cs="仿宋"/>
          <w:color w:val="auto"/>
          <w:highlight w:val="none"/>
        </w:rPr>
        <w:t>4.1.2 投标文件封套上应写明的内容见投标人须知前附表。</w:t>
      </w:r>
    </w:p>
    <w:p w14:paraId="4CC8335B">
      <w:pPr>
        <w:spacing w:line="400" w:lineRule="exact"/>
        <w:ind w:firstLine="480" w:firstLineChars="200"/>
        <w:jc w:val="left"/>
        <w:rPr>
          <w:rFonts w:hint="eastAsia" w:ascii="仿宋" w:hAnsi="仿宋" w:eastAsia="仿宋" w:cs="仿宋"/>
          <w:color w:val="auto"/>
          <w:highlight w:val="none"/>
        </w:rPr>
      </w:pPr>
      <w:r>
        <w:rPr>
          <w:rFonts w:hint="eastAsia" w:ascii="仿宋" w:hAnsi="仿宋" w:eastAsia="仿宋" w:cs="仿宋"/>
          <w:color w:val="auto"/>
          <w:highlight w:val="none"/>
        </w:rPr>
        <w:t>4.1.3 未按本章第4.1.1项或第4.1.2项要求密封和加写标记的投标文件，招标人不予受理。</w:t>
      </w:r>
    </w:p>
    <w:p w14:paraId="12C6665D">
      <w:pPr>
        <w:pStyle w:val="5"/>
        <w:jc w:val="left"/>
        <w:rPr>
          <w:rFonts w:hint="eastAsia" w:ascii="仿宋" w:hAnsi="仿宋" w:eastAsia="仿宋" w:cs="仿宋"/>
          <w:color w:val="auto"/>
          <w:highlight w:val="none"/>
        </w:rPr>
      </w:pPr>
      <w:bookmarkStart w:id="220" w:name="_Toc247513981"/>
      <w:bookmarkStart w:id="221" w:name="_Toc152045557"/>
      <w:bookmarkStart w:id="222" w:name="_Toc7956602"/>
      <w:bookmarkStart w:id="223" w:name="_Toc106997972"/>
      <w:bookmarkStart w:id="224" w:name="_Toc152042333"/>
      <w:bookmarkStart w:id="225" w:name="_Toc247527582"/>
      <w:bookmarkStart w:id="226" w:name="_Toc144974525"/>
      <w:r>
        <w:rPr>
          <w:rFonts w:hint="eastAsia" w:ascii="仿宋" w:hAnsi="仿宋" w:eastAsia="仿宋" w:cs="仿宋"/>
          <w:color w:val="auto"/>
          <w:highlight w:val="none"/>
        </w:rPr>
        <w:t>4.2投标文件的递交</w:t>
      </w:r>
      <w:bookmarkEnd w:id="220"/>
      <w:bookmarkEnd w:id="221"/>
      <w:bookmarkEnd w:id="222"/>
      <w:bookmarkEnd w:id="223"/>
      <w:bookmarkEnd w:id="224"/>
      <w:bookmarkEnd w:id="225"/>
      <w:bookmarkEnd w:id="226"/>
    </w:p>
    <w:p w14:paraId="2B5F1427">
      <w:pPr>
        <w:spacing w:line="400" w:lineRule="exact"/>
        <w:ind w:firstLine="480" w:firstLineChars="200"/>
        <w:jc w:val="left"/>
        <w:rPr>
          <w:rFonts w:hint="eastAsia" w:ascii="仿宋" w:hAnsi="仿宋" w:eastAsia="仿宋" w:cs="仿宋"/>
          <w:color w:val="auto"/>
          <w:highlight w:val="none"/>
        </w:rPr>
      </w:pPr>
      <w:r>
        <w:rPr>
          <w:rFonts w:hint="eastAsia" w:ascii="仿宋" w:hAnsi="仿宋" w:eastAsia="仿宋" w:cs="仿宋"/>
          <w:color w:val="auto"/>
          <w:highlight w:val="none"/>
        </w:rPr>
        <w:t>4.2.1 投标人应在第2.2.2项规定的投标截止时间前递交投标文件。</w:t>
      </w:r>
    </w:p>
    <w:p w14:paraId="63BA002B">
      <w:pPr>
        <w:spacing w:line="400" w:lineRule="exact"/>
        <w:ind w:firstLine="480" w:firstLineChars="200"/>
        <w:jc w:val="left"/>
        <w:rPr>
          <w:rFonts w:hint="eastAsia" w:ascii="仿宋" w:hAnsi="仿宋" w:eastAsia="仿宋" w:cs="仿宋"/>
          <w:color w:val="auto"/>
          <w:highlight w:val="none"/>
        </w:rPr>
      </w:pPr>
      <w:r>
        <w:rPr>
          <w:rFonts w:hint="eastAsia" w:ascii="仿宋" w:hAnsi="仿宋" w:eastAsia="仿宋" w:cs="仿宋"/>
          <w:color w:val="auto"/>
          <w:highlight w:val="none"/>
        </w:rPr>
        <w:t>4.2.2 投标人递交投标文件的地点：见投标人须知前附表。</w:t>
      </w:r>
    </w:p>
    <w:p w14:paraId="64FA0BE7">
      <w:pPr>
        <w:spacing w:line="400" w:lineRule="exact"/>
        <w:ind w:firstLine="480" w:firstLineChars="200"/>
        <w:jc w:val="left"/>
        <w:rPr>
          <w:rFonts w:hint="eastAsia" w:ascii="仿宋" w:hAnsi="仿宋" w:eastAsia="仿宋" w:cs="仿宋"/>
          <w:color w:val="auto"/>
          <w:highlight w:val="none"/>
        </w:rPr>
      </w:pPr>
      <w:r>
        <w:rPr>
          <w:rFonts w:hint="eastAsia" w:ascii="仿宋" w:hAnsi="仿宋" w:eastAsia="仿宋" w:cs="仿宋"/>
          <w:color w:val="auto"/>
          <w:highlight w:val="none"/>
        </w:rPr>
        <w:t>4.2.3 除投标人须知前附表另有规定外，投标人所递交的投标文件不予退还。</w:t>
      </w:r>
    </w:p>
    <w:p w14:paraId="2C1C2EC8">
      <w:pPr>
        <w:spacing w:line="400" w:lineRule="exact"/>
        <w:ind w:firstLine="480" w:firstLineChars="200"/>
        <w:jc w:val="left"/>
        <w:rPr>
          <w:rFonts w:hint="eastAsia" w:ascii="仿宋" w:hAnsi="仿宋" w:eastAsia="仿宋" w:cs="仿宋"/>
          <w:color w:val="auto"/>
          <w:highlight w:val="none"/>
        </w:rPr>
      </w:pPr>
      <w:r>
        <w:rPr>
          <w:rFonts w:hint="eastAsia" w:ascii="仿宋" w:hAnsi="仿宋" w:eastAsia="仿宋" w:cs="仿宋"/>
          <w:color w:val="auto"/>
          <w:highlight w:val="none"/>
        </w:rPr>
        <w:t>4.2.4 招标人收到投标文件后，向投标人出具签收凭证。</w:t>
      </w:r>
    </w:p>
    <w:p w14:paraId="506F50C4">
      <w:pPr>
        <w:spacing w:line="400" w:lineRule="exact"/>
        <w:ind w:firstLine="480" w:firstLineChars="200"/>
        <w:jc w:val="left"/>
        <w:rPr>
          <w:rFonts w:hint="eastAsia" w:ascii="仿宋" w:hAnsi="仿宋" w:eastAsia="仿宋" w:cs="仿宋"/>
          <w:color w:val="auto"/>
          <w:highlight w:val="none"/>
        </w:rPr>
      </w:pPr>
      <w:r>
        <w:rPr>
          <w:rFonts w:hint="eastAsia" w:ascii="仿宋" w:hAnsi="仿宋" w:eastAsia="仿宋" w:cs="仿宋"/>
          <w:color w:val="auto"/>
          <w:highlight w:val="none"/>
        </w:rPr>
        <w:t>4.2.5 逾期送达的或者未送达指定地点的投标文件，招标人不予受理。</w:t>
      </w:r>
    </w:p>
    <w:p w14:paraId="57CE6A3F">
      <w:pPr>
        <w:pStyle w:val="5"/>
        <w:jc w:val="left"/>
        <w:rPr>
          <w:rFonts w:hint="eastAsia" w:ascii="仿宋" w:hAnsi="仿宋" w:eastAsia="仿宋" w:cs="仿宋"/>
          <w:color w:val="auto"/>
          <w:highlight w:val="none"/>
        </w:rPr>
      </w:pPr>
      <w:bookmarkStart w:id="227" w:name="_Toc247527583"/>
      <w:bookmarkStart w:id="228" w:name="_Toc152042334"/>
      <w:bookmarkStart w:id="229" w:name="_Toc106997973"/>
      <w:bookmarkStart w:id="230" w:name="_Toc152045558"/>
      <w:bookmarkStart w:id="231" w:name="_Toc247513982"/>
      <w:bookmarkStart w:id="232" w:name="_Toc7956603"/>
      <w:bookmarkStart w:id="233" w:name="_Toc144974526"/>
      <w:r>
        <w:rPr>
          <w:rFonts w:hint="eastAsia" w:ascii="仿宋" w:hAnsi="仿宋" w:eastAsia="仿宋" w:cs="仿宋"/>
          <w:color w:val="auto"/>
          <w:highlight w:val="none"/>
        </w:rPr>
        <w:t>4.3投标文件的修改与撤回</w:t>
      </w:r>
      <w:bookmarkEnd w:id="227"/>
      <w:bookmarkEnd w:id="228"/>
      <w:bookmarkEnd w:id="229"/>
      <w:bookmarkEnd w:id="230"/>
      <w:bookmarkEnd w:id="231"/>
      <w:bookmarkEnd w:id="232"/>
      <w:bookmarkEnd w:id="233"/>
    </w:p>
    <w:p w14:paraId="3CA0485E">
      <w:pPr>
        <w:spacing w:line="400" w:lineRule="exact"/>
        <w:ind w:firstLine="480" w:firstLineChars="200"/>
        <w:jc w:val="left"/>
        <w:rPr>
          <w:rFonts w:hint="eastAsia" w:ascii="仿宋" w:hAnsi="仿宋" w:eastAsia="仿宋" w:cs="仿宋"/>
          <w:color w:val="auto"/>
          <w:highlight w:val="none"/>
        </w:rPr>
      </w:pPr>
      <w:r>
        <w:rPr>
          <w:rFonts w:hint="eastAsia" w:ascii="仿宋" w:hAnsi="仿宋" w:eastAsia="仿宋" w:cs="仿宋"/>
          <w:color w:val="auto"/>
          <w:highlight w:val="none"/>
        </w:rPr>
        <w:t>4.3.1 在本章第2.2.2项规定的投标截止时间前，投标人可以修改或撤回已递交的投标文件，但应以书面形式通知招标人。</w:t>
      </w:r>
    </w:p>
    <w:p w14:paraId="44850970">
      <w:pPr>
        <w:spacing w:line="400" w:lineRule="exact"/>
        <w:ind w:firstLine="480" w:firstLineChars="200"/>
        <w:jc w:val="left"/>
        <w:rPr>
          <w:rFonts w:hint="eastAsia" w:ascii="仿宋" w:hAnsi="仿宋" w:eastAsia="仿宋" w:cs="仿宋"/>
          <w:color w:val="auto"/>
          <w:highlight w:val="none"/>
        </w:rPr>
      </w:pPr>
      <w:r>
        <w:rPr>
          <w:rFonts w:hint="eastAsia" w:ascii="仿宋" w:hAnsi="仿宋" w:eastAsia="仿宋" w:cs="仿宋"/>
          <w:color w:val="auto"/>
          <w:highlight w:val="none"/>
        </w:rPr>
        <w:t>4.3.2 投标人修改或撤回已递交投标文件的书面通知应按照本章第3.7.3项的要求签字或盖章。招标人收到书面通知后，向投标人出具签收凭证。</w:t>
      </w:r>
    </w:p>
    <w:p w14:paraId="4F55CA99">
      <w:pPr>
        <w:spacing w:line="400" w:lineRule="exact"/>
        <w:ind w:firstLine="480" w:firstLineChars="200"/>
        <w:jc w:val="left"/>
        <w:rPr>
          <w:rFonts w:hint="eastAsia" w:ascii="仿宋" w:hAnsi="仿宋" w:eastAsia="仿宋" w:cs="仿宋"/>
          <w:color w:val="auto"/>
          <w:highlight w:val="none"/>
        </w:rPr>
      </w:pPr>
      <w:r>
        <w:rPr>
          <w:rFonts w:hint="eastAsia" w:ascii="仿宋" w:hAnsi="仿宋" w:eastAsia="仿宋" w:cs="仿宋"/>
          <w:color w:val="auto"/>
          <w:highlight w:val="none"/>
        </w:rPr>
        <w:t>4.3.3 投标人撤回投标文件的，招标人自收到投标人书面撤回通知之日起5日内退还已收取的投标保证金。</w:t>
      </w:r>
    </w:p>
    <w:p w14:paraId="71F46E4E">
      <w:pPr>
        <w:spacing w:line="400" w:lineRule="exact"/>
        <w:ind w:firstLine="480" w:firstLineChars="200"/>
        <w:jc w:val="left"/>
        <w:rPr>
          <w:rFonts w:hint="eastAsia" w:ascii="仿宋" w:hAnsi="仿宋" w:eastAsia="仿宋" w:cs="仿宋"/>
          <w:color w:val="auto"/>
          <w:highlight w:val="none"/>
        </w:rPr>
      </w:pPr>
      <w:r>
        <w:rPr>
          <w:rFonts w:hint="eastAsia" w:ascii="仿宋" w:hAnsi="仿宋" w:eastAsia="仿宋" w:cs="仿宋"/>
          <w:color w:val="auto"/>
          <w:highlight w:val="none"/>
        </w:rPr>
        <w:t>4.3.4 修改的内容为投标文件的组成部分。修改的投标文件应按照本章第3条、第4条规定进行编制、密封、标记和递交，并标明“修改”字样。</w:t>
      </w:r>
    </w:p>
    <w:p w14:paraId="61814E42">
      <w:pPr>
        <w:pStyle w:val="4"/>
        <w:jc w:val="left"/>
        <w:rPr>
          <w:rFonts w:hint="eastAsia" w:ascii="仿宋" w:hAnsi="仿宋" w:eastAsia="仿宋" w:cs="仿宋"/>
          <w:color w:val="auto"/>
          <w:highlight w:val="none"/>
        </w:rPr>
      </w:pPr>
      <w:bookmarkStart w:id="234" w:name="_Toc152045559"/>
      <w:bookmarkStart w:id="235" w:name="_Toc247527584"/>
      <w:bookmarkStart w:id="236" w:name="_Toc106997974"/>
      <w:bookmarkStart w:id="237" w:name="_Toc144974527"/>
      <w:bookmarkStart w:id="238" w:name="_Toc7956604"/>
      <w:bookmarkStart w:id="239" w:name="_Toc247513983"/>
      <w:bookmarkStart w:id="240" w:name="_Toc152042335"/>
      <w:r>
        <w:rPr>
          <w:rFonts w:hint="eastAsia" w:ascii="仿宋" w:hAnsi="仿宋" w:eastAsia="仿宋" w:cs="仿宋"/>
          <w:color w:val="auto"/>
          <w:highlight w:val="none"/>
        </w:rPr>
        <w:t>5. 开标</w:t>
      </w:r>
      <w:bookmarkEnd w:id="234"/>
      <w:bookmarkEnd w:id="235"/>
      <w:bookmarkEnd w:id="236"/>
      <w:bookmarkEnd w:id="237"/>
      <w:bookmarkEnd w:id="238"/>
      <w:bookmarkEnd w:id="239"/>
      <w:bookmarkEnd w:id="240"/>
    </w:p>
    <w:p w14:paraId="1005B795">
      <w:pPr>
        <w:pStyle w:val="5"/>
        <w:jc w:val="left"/>
        <w:rPr>
          <w:rFonts w:hint="eastAsia" w:ascii="仿宋" w:hAnsi="仿宋" w:eastAsia="仿宋" w:cs="仿宋"/>
          <w:color w:val="auto"/>
          <w:highlight w:val="none"/>
        </w:rPr>
      </w:pPr>
      <w:bookmarkStart w:id="241" w:name="_Toc152042336"/>
      <w:bookmarkStart w:id="242" w:name="_Toc152045560"/>
      <w:bookmarkStart w:id="243" w:name="_Toc7956605"/>
      <w:bookmarkStart w:id="244" w:name="_Toc247513984"/>
      <w:bookmarkStart w:id="245" w:name="_Toc106997975"/>
      <w:bookmarkStart w:id="246" w:name="_Toc144974528"/>
      <w:bookmarkStart w:id="247" w:name="_Toc247527585"/>
      <w:r>
        <w:rPr>
          <w:rFonts w:hint="eastAsia" w:ascii="仿宋" w:hAnsi="仿宋" w:eastAsia="仿宋" w:cs="仿宋"/>
          <w:color w:val="auto"/>
          <w:highlight w:val="none"/>
        </w:rPr>
        <w:t>5.1开标时间和地点</w:t>
      </w:r>
      <w:bookmarkEnd w:id="241"/>
      <w:bookmarkEnd w:id="242"/>
      <w:bookmarkEnd w:id="243"/>
      <w:bookmarkEnd w:id="244"/>
      <w:bookmarkEnd w:id="245"/>
      <w:bookmarkEnd w:id="246"/>
      <w:bookmarkEnd w:id="247"/>
    </w:p>
    <w:p w14:paraId="6E79C92E">
      <w:pPr>
        <w:spacing w:line="400" w:lineRule="exact"/>
        <w:ind w:firstLine="480" w:firstLineChars="200"/>
        <w:jc w:val="left"/>
        <w:rPr>
          <w:rFonts w:hint="eastAsia" w:ascii="仿宋" w:hAnsi="仿宋" w:eastAsia="仿宋" w:cs="仿宋"/>
          <w:color w:val="auto"/>
          <w:highlight w:val="none"/>
        </w:rPr>
      </w:pPr>
      <w:r>
        <w:rPr>
          <w:rFonts w:hint="eastAsia" w:ascii="仿宋" w:hAnsi="仿宋" w:eastAsia="仿宋" w:cs="仿宋"/>
          <w:color w:val="auto"/>
          <w:highlight w:val="none"/>
        </w:rPr>
        <w:t>招标人在本章第2.2.2项规定的投标截止时间（开标时间）和投标人须知前附表规定的地点公开开标，并邀请所有投标人的法定代表人或其委托代理人准时参加。</w:t>
      </w:r>
    </w:p>
    <w:p w14:paraId="2513A040">
      <w:pPr>
        <w:pStyle w:val="5"/>
        <w:jc w:val="left"/>
        <w:rPr>
          <w:rFonts w:hint="eastAsia" w:ascii="仿宋" w:hAnsi="仿宋" w:eastAsia="仿宋" w:cs="仿宋"/>
          <w:color w:val="auto"/>
          <w:highlight w:val="none"/>
        </w:rPr>
      </w:pPr>
      <w:bookmarkStart w:id="248" w:name="_Toc7956606"/>
      <w:bookmarkStart w:id="249" w:name="_Toc247527586"/>
      <w:bookmarkStart w:id="250" w:name="_Toc106997976"/>
      <w:bookmarkStart w:id="251" w:name="_Toc152042337"/>
      <w:bookmarkStart w:id="252" w:name="_Toc144974529"/>
      <w:bookmarkStart w:id="253" w:name="_Toc247513985"/>
      <w:bookmarkStart w:id="254" w:name="_Toc152045561"/>
      <w:r>
        <w:rPr>
          <w:rFonts w:hint="eastAsia" w:ascii="仿宋" w:hAnsi="仿宋" w:eastAsia="仿宋" w:cs="仿宋"/>
          <w:color w:val="auto"/>
          <w:highlight w:val="none"/>
        </w:rPr>
        <w:t>5.2开标程序</w:t>
      </w:r>
      <w:bookmarkEnd w:id="248"/>
      <w:bookmarkEnd w:id="249"/>
      <w:bookmarkEnd w:id="250"/>
      <w:bookmarkEnd w:id="251"/>
      <w:bookmarkEnd w:id="252"/>
      <w:bookmarkEnd w:id="253"/>
      <w:bookmarkEnd w:id="254"/>
    </w:p>
    <w:p w14:paraId="6BF55C84">
      <w:pPr>
        <w:spacing w:line="400" w:lineRule="exact"/>
        <w:ind w:firstLine="480" w:firstLineChars="200"/>
        <w:jc w:val="left"/>
        <w:rPr>
          <w:rFonts w:hint="eastAsia" w:ascii="仿宋" w:hAnsi="仿宋" w:eastAsia="仿宋" w:cs="仿宋"/>
          <w:color w:val="auto"/>
          <w:highlight w:val="none"/>
        </w:rPr>
      </w:pPr>
      <w:r>
        <w:rPr>
          <w:rFonts w:hint="eastAsia" w:ascii="仿宋" w:hAnsi="仿宋" w:eastAsia="仿宋" w:cs="仿宋"/>
          <w:color w:val="auto"/>
          <w:highlight w:val="none"/>
        </w:rPr>
        <w:t>主持人按下列程序进行开标：</w:t>
      </w:r>
    </w:p>
    <w:p w14:paraId="58C5902D">
      <w:pPr>
        <w:spacing w:line="400" w:lineRule="exact"/>
        <w:ind w:firstLine="410" w:firstLineChars="171"/>
        <w:jc w:val="left"/>
        <w:rPr>
          <w:rFonts w:hint="eastAsia" w:ascii="仿宋" w:hAnsi="仿宋" w:eastAsia="仿宋" w:cs="仿宋"/>
          <w:color w:val="auto"/>
          <w:highlight w:val="none"/>
        </w:rPr>
      </w:pPr>
      <w:r>
        <w:rPr>
          <w:rFonts w:hint="eastAsia" w:ascii="仿宋" w:hAnsi="仿宋" w:eastAsia="仿宋" w:cs="仿宋"/>
          <w:color w:val="auto"/>
          <w:highlight w:val="none"/>
        </w:rPr>
        <w:t>（1）宣布开标纪律；</w:t>
      </w:r>
    </w:p>
    <w:p w14:paraId="79D6D6B5">
      <w:pPr>
        <w:spacing w:line="400" w:lineRule="exact"/>
        <w:ind w:firstLine="410" w:firstLineChars="171"/>
        <w:jc w:val="left"/>
        <w:rPr>
          <w:rFonts w:hint="eastAsia" w:ascii="仿宋" w:hAnsi="仿宋" w:eastAsia="仿宋" w:cs="仿宋"/>
          <w:color w:val="auto"/>
          <w:highlight w:val="none"/>
        </w:rPr>
      </w:pPr>
      <w:r>
        <w:rPr>
          <w:rFonts w:hint="eastAsia" w:ascii="仿宋" w:hAnsi="仿宋" w:eastAsia="仿宋" w:cs="仿宋"/>
          <w:color w:val="auto"/>
          <w:highlight w:val="none"/>
        </w:rPr>
        <w:t>（2）公布在投标截止时间前递交投标文件的投标人名称；</w:t>
      </w:r>
    </w:p>
    <w:p w14:paraId="39349B3E">
      <w:pPr>
        <w:spacing w:line="400" w:lineRule="exact"/>
        <w:ind w:firstLine="410" w:firstLineChars="171"/>
        <w:jc w:val="left"/>
        <w:rPr>
          <w:rFonts w:hint="eastAsia" w:ascii="仿宋" w:hAnsi="仿宋" w:eastAsia="仿宋" w:cs="仿宋"/>
          <w:color w:val="auto"/>
          <w:highlight w:val="none"/>
        </w:rPr>
      </w:pPr>
      <w:r>
        <w:rPr>
          <w:rFonts w:hint="eastAsia" w:ascii="仿宋" w:hAnsi="仿宋" w:eastAsia="仿宋" w:cs="仿宋"/>
          <w:color w:val="auto"/>
          <w:highlight w:val="none"/>
        </w:rPr>
        <w:t>（3）宣布开标人、唱标人、记录人、监标人等有关人员姓名；</w:t>
      </w:r>
    </w:p>
    <w:p w14:paraId="1491C8E5">
      <w:pPr>
        <w:spacing w:line="400" w:lineRule="exact"/>
        <w:ind w:firstLine="410" w:firstLineChars="171"/>
        <w:jc w:val="left"/>
        <w:rPr>
          <w:rFonts w:hint="eastAsia" w:ascii="仿宋" w:hAnsi="仿宋" w:eastAsia="仿宋" w:cs="仿宋"/>
          <w:color w:val="auto"/>
          <w:highlight w:val="none"/>
        </w:rPr>
      </w:pPr>
      <w:r>
        <w:rPr>
          <w:rFonts w:hint="eastAsia" w:ascii="仿宋" w:hAnsi="仿宋" w:eastAsia="仿宋" w:cs="仿宋"/>
          <w:color w:val="auto"/>
          <w:highlight w:val="none"/>
        </w:rPr>
        <w:t>（4）设有标底的，公布标底；</w:t>
      </w:r>
    </w:p>
    <w:p w14:paraId="7D2515BB">
      <w:pPr>
        <w:spacing w:line="400" w:lineRule="exact"/>
        <w:ind w:firstLine="410" w:firstLineChars="171"/>
        <w:jc w:val="left"/>
        <w:rPr>
          <w:rFonts w:hint="eastAsia" w:ascii="仿宋" w:hAnsi="仿宋" w:eastAsia="仿宋" w:cs="仿宋"/>
          <w:color w:val="auto"/>
          <w:highlight w:val="none"/>
        </w:rPr>
      </w:pPr>
      <w:r>
        <w:rPr>
          <w:rFonts w:hint="eastAsia" w:ascii="仿宋" w:hAnsi="仿宋" w:eastAsia="仿宋" w:cs="仿宋"/>
          <w:color w:val="auto"/>
          <w:highlight w:val="none"/>
        </w:rPr>
        <w:t>（5）按照宣布的开标顺序当众开标，公布投标人名称、项目名称、投标保证金的递交情况、投标报价、质量目标、工期及其他内容，并记录在案；</w:t>
      </w:r>
    </w:p>
    <w:p w14:paraId="19A4ED23">
      <w:pPr>
        <w:spacing w:line="400" w:lineRule="exact"/>
        <w:ind w:firstLine="410" w:firstLineChars="171"/>
        <w:jc w:val="left"/>
        <w:rPr>
          <w:rFonts w:hint="eastAsia" w:ascii="仿宋" w:hAnsi="仿宋" w:eastAsia="仿宋" w:cs="仿宋"/>
          <w:color w:val="auto"/>
          <w:highlight w:val="none"/>
        </w:rPr>
      </w:pPr>
      <w:r>
        <w:rPr>
          <w:rFonts w:hint="eastAsia" w:ascii="仿宋" w:hAnsi="仿宋" w:eastAsia="仿宋" w:cs="仿宋"/>
          <w:color w:val="auto"/>
          <w:highlight w:val="none"/>
        </w:rPr>
        <w:t>（6）规定最高投标限价计算方法的，计算并公布最高投标限价；</w:t>
      </w:r>
    </w:p>
    <w:p w14:paraId="66CF267B">
      <w:pPr>
        <w:spacing w:line="400" w:lineRule="exact"/>
        <w:ind w:firstLine="410" w:firstLineChars="171"/>
        <w:jc w:val="left"/>
        <w:rPr>
          <w:rFonts w:hint="eastAsia" w:ascii="仿宋" w:hAnsi="仿宋" w:eastAsia="仿宋" w:cs="仿宋"/>
          <w:color w:val="auto"/>
          <w:highlight w:val="none"/>
        </w:rPr>
      </w:pPr>
      <w:r>
        <w:rPr>
          <w:rFonts w:hint="eastAsia" w:ascii="仿宋" w:hAnsi="仿宋" w:eastAsia="仿宋" w:cs="仿宋"/>
          <w:color w:val="auto"/>
          <w:highlight w:val="none"/>
        </w:rPr>
        <w:t>（7）开标结束。</w:t>
      </w:r>
    </w:p>
    <w:p w14:paraId="5A9AA057">
      <w:pPr>
        <w:pStyle w:val="5"/>
        <w:jc w:val="left"/>
        <w:rPr>
          <w:rFonts w:hint="eastAsia" w:ascii="仿宋" w:hAnsi="仿宋" w:eastAsia="仿宋" w:cs="仿宋"/>
          <w:color w:val="auto"/>
          <w:highlight w:val="none"/>
        </w:rPr>
      </w:pPr>
      <w:bookmarkStart w:id="255" w:name="_Toc7956607"/>
      <w:bookmarkStart w:id="256" w:name="_Toc106997977"/>
      <w:r>
        <w:rPr>
          <w:rFonts w:hint="eastAsia" w:ascii="仿宋" w:hAnsi="仿宋" w:eastAsia="仿宋" w:cs="仿宋"/>
          <w:color w:val="auto"/>
          <w:highlight w:val="none"/>
        </w:rPr>
        <w:t>5.3开标异议</w:t>
      </w:r>
      <w:bookmarkEnd w:id="255"/>
      <w:bookmarkEnd w:id="256"/>
    </w:p>
    <w:p w14:paraId="447E5A3F">
      <w:pPr>
        <w:spacing w:line="400" w:lineRule="exact"/>
        <w:ind w:firstLine="410" w:firstLineChars="171"/>
        <w:jc w:val="left"/>
        <w:rPr>
          <w:rFonts w:hint="eastAsia" w:ascii="仿宋" w:hAnsi="仿宋" w:eastAsia="仿宋" w:cs="仿宋"/>
          <w:color w:val="auto"/>
          <w:highlight w:val="none"/>
        </w:rPr>
      </w:pPr>
      <w:r>
        <w:rPr>
          <w:rFonts w:hint="eastAsia" w:ascii="仿宋" w:hAnsi="仿宋" w:eastAsia="仿宋" w:cs="仿宋"/>
          <w:color w:val="auto"/>
          <w:highlight w:val="none"/>
        </w:rPr>
        <w:t>投标人对开标有异议的，应当在开标现场提出，招标人当场作出答复，并制作记录。</w:t>
      </w:r>
    </w:p>
    <w:p w14:paraId="775B4A44">
      <w:pPr>
        <w:pStyle w:val="4"/>
        <w:jc w:val="left"/>
        <w:rPr>
          <w:rFonts w:hint="eastAsia" w:ascii="仿宋" w:hAnsi="仿宋" w:eastAsia="仿宋" w:cs="仿宋"/>
          <w:color w:val="auto"/>
          <w:highlight w:val="none"/>
        </w:rPr>
      </w:pPr>
      <w:bookmarkStart w:id="257" w:name="_Toc7956608"/>
      <w:bookmarkStart w:id="258" w:name="_Toc247527587"/>
      <w:bookmarkStart w:id="259" w:name="_Toc152042338"/>
      <w:bookmarkStart w:id="260" w:name="_Toc106997978"/>
      <w:bookmarkStart w:id="261" w:name="_Toc152045562"/>
      <w:bookmarkStart w:id="262" w:name="_Toc247513986"/>
      <w:bookmarkStart w:id="263" w:name="_Toc144974530"/>
      <w:r>
        <w:rPr>
          <w:rFonts w:hint="eastAsia" w:ascii="仿宋" w:hAnsi="仿宋" w:eastAsia="仿宋" w:cs="仿宋"/>
          <w:color w:val="auto"/>
          <w:highlight w:val="none"/>
        </w:rPr>
        <w:t>6. 评标</w:t>
      </w:r>
      <w:bookmarkEnd w:id="257"/>
      <w:bookmarkEnd w:id="258"/>
      <w:bookmarkEnd w:id="259"/>
      <w:bookmarkEnd w:id="260"/>
      <w:bookmarkEnd w:id="261"/>
      <w:bookmarkEnd w:id="262"/>
      <w:bookmarkEnd w:id="263"/>
    </w:p>
    <w:p w14:paraId="67A85010">
      <w:pPr>
        <w:pStyle w:val="5"/>
        <w:jc w:val="left"/>
        <w:rPr>
          <w:rFonts w:hint="eastAsia" w:ascii="仿宋" w:hAnsi="仿宋" w:eastAsia="仿宋" w:cs="仿宋"/>
          <w:color w:val="auto"/>
          <w:highlight w:val="none"/>
        </w:rPr>
      </w:pPr>
      <w:bookmarkStart w:id="264" w:name="_Toc247513987"/>
      <w:bookmarkStart w:id="265" w:name="_Toc152045563"/>
      <w:bookmarkStart w:id="266" w:name="_Toc144974531"/>
      <w:bookmarkStart w:id="267" w:name="_Toc106997979"/>
      <w:bookmarkStart w:id="268" w:name="_Toc7956609"/>
      <w:bookmarkStart w:id="269" w:name="_Toc247527588"/>
      <w:bookmarkStart w:id="270" w:name="_Toc152042339"/>
      <w:r>
        <w:rPr>
          <w:rFonts w:hint="eastAsia" w:ascii="仿宋" w:hAnsi="仿宋" w:eastAsia="仿宋" w:cs="仿宋"/>
          <w:color w:val="auto"/>
          <w:highlight w:val="none"/>
        </w:rPr>
        <w:t>6.1评标委员会</w:t>
      </w:r>
      <w:bookmarkEnd w:id="264"/>
      <w:bookmarkEnd w:id="265"/>
      <w:bookmarkEnd w:id="266"/>
      <w:bookmarkEnd w:id="267"/>
      <w:bookmarkEnd w:id="268"/>
      <w:bookmarkEnd w:id="269"/>
      <w:bookmarkEnd w:id="270"/>
    </w:p>
    <w:p w14:paraId="5896CC7A">
      <w:pPr>
        <w:spacing w:line="400" w:lineRule="exact"/>
        <w:ind w:firstLine="480" w:firstLineChars="200"/>
        <w:jc w:val="left"/>
        <w:rPr>
          <w:rFonts w:hint="eastAsia" w:ascii="仿宋" w:hAnsi="仿宋" w:eastAsia="仿宋" w:cs="仿宋"/>
          <w:color w:val="auto"/>
          <w:highlight w:val="none"/>
        </w:rPr>
      </w:pPr>
      <w:r>
        <w:rPr>
          <w:rFonts w:hint="eastAsia" w:ascii="仿宋" w:hAnsi="仿宋" w:eastAsia="仿宋" w:cs="仿宋"/>
          <w:color w:val="auto"/>
          <w:highlight w:val="none"/>
        </w:rPr>
        <w:t>6.1.1 评标由招标人依法组建的评标委员会负责。评标委员会由招标人或其委托的招标代理机构熟悉相关业务的代表，以及有关技术、经济等方面的专家组成。评标委员会成员人数以及技术、经济等方面专家的确定方式见投标人须知前附表。</w:t>
      </w:r>
    </w:p>
    <w:p w14:paraId="3745FDC4">
      <w:pPr>
        <w:spacing w:line="400" w:lineRule="exact"/>
        <w:ind w:firstLine="480" w:firstLineChars="200"/>
        <w:jc w:val="left"/>
        <w:rPr>
          <w:rFonts w:hint="eastAsia" w:ascii="仿宋" w:hAnsi="仿宋" w:eastAsia="仿宋" w:cs="仿宋"/>
          <w:color w:val="auto"/>
          <w:highlight w:val="none"/>
        </w:rPr>
      </w:pPr>
      <w:r>
        <w:rPr>
          <w:rFonts w:hint="eastAsia" w:ascii="仿宋" w:hAnsi="仿宋" w:eastAsia="仿宋" w:cs="仿宋"/>
          <w:color w:val="auto"/>
          <w:highlight w:val="none"/>
        </w:rPr>
        <w:t>6.1.2 评标委员会成员有下列情形之一的，应当回避：</w:t>
      </w:r>
    </w:p>
    <w:p w14:paraId="6D249A4A">
      <w:pPr>
        <w:spacing w:line="400" w:lineRule="exact"/>
        <w:ind w:firstLine="820" w:firstLineChars="342"/>
        <w:jc w:val="left"/>
        <w:rPr>
          <w:rFonts w:hint="eastAsia" w:ascii="仿宋" w:hAnsi="仿宋" w:eastAsia="仿宋" w:cs="仿宋"/>
          <w:color w:val="auto"/>
          <w:highlight w:val="none"/>
        </w:rPr>
      </w:pPr>
      <w:r>
        <w:rPr>
          <w:rFonts w:hint="eastAsia" w:ascii="仿宋" w:hAnsi="仿宋" w:eastAsia="仿宋" w:cs="仿宋"/>
          <w:color w:val="auto"/>
          <w:highlight w:val="none"/>
        </w:rPr>
        <w:t>（1）投标人或投标人主要负责人的近亲属；</w:t>
      </w:r>
    </w:p>
    <w:p w14:paraId="07690D77">
      <w:pPr>
        <w:spacing w:line="400" w:lineRule="exact"/>
        <w:ind w:firstLine="820" w:firstLineChars="342"/>
        <w:jc w:val="left"/>
        <w:rPr>
          <w:rFonts w:hint="eastAsia" w:ascii="仿宋" w:hAnsi="仿宋" w:eastAsia="仿宋" w:cs="仿宋"/>
          <w:color w:val="auto"/>
          <w:highlight w:val="none"/>
        </w:rPr>
      </w:pPr>
      <w:r>
        <w:rPr>
          <w:rFonts w:hint="eastAsia" w:ascii="仿宋" w:hAnsi="仿宋" w:eastAsia="仿宋" w:cs="仿宋"/>
          <w:color w:val="auto"/>
          <w:highlight w:val="none"/>
        </w:rPr>
        <w:t>（2）项目主管部门或者行政监督部门的人员；</w:t>
      </w:r>
    </w:p>
    <w:p w14:paraId="359CA854">
      <w:pPr>
        <w:spacing w:line="400" w:lineRule="exact"/>
        <w:ind w:firstLine="820" w:firstLineChars="342"/>
        <w:jc w:val="left"/>
        <w:rPr>
          <w:rFonts w:hint="eastAsia" w:ascii="仿宋" w:hAnsi="仿宋" w:eastAsia="仿宋" w:cs="仿宋"/>
          <w:color w:val="auto"/>
          <w:highlight w:val="none"/>
        </w:rPr>
      </w:pPr>
      <w:r>
        <w:rPr>
          <w:rFonts w:hint="eastAsia" w:ascii="仿宋" w:hAnsi="仿宋" w:eastAsia="仿宋" w:cs="仿宋"/>
          <w:color w:val="auto"/>
          <w:highlight w:val="none"/>
        </w:rPr>
        <w:t>（3）与投标人有经济利益关系，可能影响对投标公正评审的；</w:t>
      </w:r>
    </w:p>
    <w:p w14:paraId="5F1AFD8A">
      <w:pPr>
        <w:spacing w:line="400" w:lineRule="exact"/>
        <w:ind w:firstLine="820" w:firstLineChars="342"/>
        <w:jc w:val="left"/>
        <w:rPr>
          <w:rFonts w:hint="eastAsia" w:ascii="仿宋" w:hAnsi="仿宋" w:eastAsia="仿宋" w:cs="仿宋"/>
          <w:color w:val="auto"/>
          <w:highlight w:val="none"/>
        </w:rPr>
      </w:pPr>
      <w:r>
        <w:rPr>
          <w:rFonts w:hint="eastAsia" w:ascii="仿宋" w:hAnsi="仿宋" w:eastAsia="仿宋" w:cs="仿宋"/>
          <w:color w:val="auto"/>
          <w:highlight w:val="none"/>
        </w:rPr>
        <w:t>（4）曾因在招标、评标以及其他与招标投标有关活动中从事违法行为而受过行政处罚或刑事处罚的；</w:t>
      </w:r>
    </w:p>
    <w:p w14:paraId="614B5E05">
      <w:pPr>
        <w:spacing w:line="400" w:lineRule="exact"/>
        <w:ind w:firstLine="820" w:firstLineChars="342"/>
        <w:jc w:val="left"/>
        <w:rPr>
          <w:rFonts w:hint="eastAsia" w:ascii="仿宋" w:hAnsi="仿宋" w:eastAsia="仿宋" w:cs="仿宋"/>
          <w:color w:val="auto"/>
          <w:highlight w:val="none"/>
        </w:rPr>
      </w:pPr>
      <w:r>
        <w:rPr>
          <w:rFonts w:hint="eastAsia" w:ascii="仿宋" w:hAnsi="仿宋" w:eastAsia="仿宋" w:cs="仿宋"/>
          <w:color w:val="auto"/>
          <w:highlight w:val="none"/>
        </w:rPr>
        <w:t>（5）与投标人有其他利害关系。</w:t>
      </w:r>
    </w:p>
    <w:p w14:paraId="2CF51592">
      <w:pPr>
        <w:pStyle w:val="5"/>
        <w:jc w:val="left"/>
        <w:rPr>
          <w:rFonts w:hint="eastAsia" w:ascii="仿宋" w:hAnsi="仿宋" w:eastAsia="仿宋" w:cs="仿宋"/>
          <w:color w:val="auto"/>
          <w:highlight w:val="none"/>
        </w:rPr>
      </w:pPr>
      <w:bookmarkStart w:id="271" w:name="_Toc144974532"/>
      <w:bookmarkStart w:id="272" w:name="_Toc247513988"/>
      <w:bookmarkStart w:id="273" w:name="_Toc152042340"/>
      <w:bookmarkStart w:id="274" w:name="_Toc247527589"/>
      <w:bookmarkStart w:id="275" w:name="_Toc106997980"/>
      <w:bookmarkStart w:id="276" w:name="_Toc152045564"/>
      <w:bookmarkStart w:id="277" w:name="_Toc7956610"/>
      <w:r>
        <w:rPr>
          <w:rFonts w:hint="eastAsia" w:ascii="仿宋" w:hAnsi="仿宋" w:eastAsia="仿宋" w:cs="仿宋"/>
          <w:color w:val="auto"/>
          <w:highlight w:val="none"/>
        </w:rPr>
        <w:t>6.2评标原则</w:t>
      </w:r>
      <w:bookmarkEnd w:id="271"/>
      <w:bookmarkEnd w:id="272"/>
      <w:bookmarkEnd w:id="273"/>
      <w:bookmarkEnd w:id="274"/>
      <w:bookmarkEnd w:id="275"/>
      <w:bookmarkEnd w:id="276"/>
      <w:bookmarkEnd w:id="277"/>
      <w:r>
        <w:rPr>
          <w:rFonts w:hint="eastAsia" w:ascii="仿宋" w:hAnsi="仿宋" w:eastAsia="仿宋" w:cs="仿宋"/>
          <w:color w:val="auto"/>
          <w:highlight w:val="none"/>
        </w:rPr>
        <w:tab/>
      </w:r>
    </w:p>
    <w:p w14:paraId="2BD2CDA2">
      <w:pPr>
        <w:spacing w:line="400" w:lineRule="exact"/>
        <w:ind w:firstLine="480" w:firstLineChars="200"/>
        <w:jc w:val="left"/>
        <w:rPr>
          <w:rFonts w:hint="eastAsia" w:ascii="仿宋" w:hAnsi="仿宋" w:eastAsia="仿宋" w:cs="仿宋"/>
          <w:color w:val="auto"/>
          <w:highlight w:val="none"/>
        </w:rPr>
      </w:pPr>
      <w:r>
        <w:rPr>
          <w:rFonts w:hint="eastAsia" w:ascii="仿宋" w:hAnsi="仿宋" w:eastAsia="仿宋" w:cs="仿宋"/>
          <w:color w:val="auto"/>
          <w:highlight w:val="none"/>
        </w:rPr>
        <w:t>评标活动遵循公平、公正、科学和择优的原则。</w:t>
      </w:r>
    </w:p>
    <w:p w14:paraId="6B1756C3">
      <w:pPr>
        <w:pStyle w:val="5"/>
        <w:jc w:val="left"/>
        <w:rPr>
          <w:rFonts w:hint="eastAsia" w:ascii="仿宋" w:hAnsi="仿宋" w:eastAsia="仿宋" w:cs="仿宋"/>
          <w:color w:val="auto"/>
          <w:highlight w:val="none"/>
        </w:rPr>
      </w:pPr>
      <w:bookmarkStart w:id="278" w:name="_Toc7956611"/>
      <w:bookmarkStart w:id="279" w:name="_Toc144974533"/>
      <w:bookmarkStart w:id="280" w:name="_Toc247527590"/>
      <w:bookmarkStart w:id="281" w:name="_Toc247513989"/>
      <w:bookmarkStart w:id="282" w:name="_Toc106997981"/>
      <w:bookmarkStart w:id="283" w:name="_Toc152042341"/>
      <w:bookmarkStart w:id="284" w:name="_Toc152045565"/>
      <w:r>
        <w:rPr>
          <w:rFonts w:hint="eastAsia" w:ascii="仿宋" w:hAnsi="仿宋" w:eastAsia="仿宋" w:cs="仿宋"/>
          <w:color w:val="auto"/>
          <w:highlight w:val="none"/>
        </w:rPr>
        <w:t>6.3评标</w:t>
      </w:r>
      <w:bookmarkEnd w:id="278"/>
      <w:bookmarkEnd w:id="279"/>
      <w:bookmarkEnd w:id="280"/>
      <w:bookmarkEnd w:id="281"/>
      <w:bookmarkEnd w:id="282"/>
      <w:bookmarkEnd w:id="283"/>
      <w:bookmarkEnd w:id="284"/>
    </w:p>
    <w:p w14:paraId="28447590">
      <w:pPr>
        <w:spacing w:line="400" w:lineRule="exact"/>
        <w:ind w:firstLine="480" w:firstLineChars="200"/>
        <w:jc w:val="left"/>
        <w:rPr>
          <w:rFonts w:hint="eastAsia" w:ascii="仿宋" w:hAnsi="仿宋" w:eastAsia="仿宋" w:cs="仿宋"/>
          <w:color w:val="auto"/>
          <w:highlight w:val="none"/>
        </w:rPr>
      </w:pPr>
      <w:r>
        <w:rPr>
          <w:rFonts w:hint="eastAsia" w:ascii="仿宋" w:hAnsi="仿宋" w:eastAsia="仿宋" w:cs="仿宋"/>
          <w:color w:val="auto"/>
          <w:highlight w:val="none"/>
        </w:rPr>
        <w:t>评标委员会按照第三章“评标办法”规定的方法、评审因素、标准和程序对投标文件进行评审。第三章“评标办法”没有规定的方法、评审因素和标准，不作为评标依据。</w:t>
      </w:r>
    </w:p>
    <w:p w14:paraId="0A9AB97F">
      <w:pPr>
        <w:pStyle w:val="4"/>
        <w:jc w:val="left"/>
        <w:rPr>
          <w:rFonts w:hint="eastAsia" w:ascii="仿宋" w:hAnsi="仿宋" w:eastAsia="仿宋" w:cs="仿宋"/>
          <w:color w:val="auto"/>
          <w:highlight w:val="none"/>
        </w:rPr>
      </w:pPr>
      <w:bookmarkStart w:id="285" w:name="_Toc106997982"/>
      <w:bookmarkStart w:id="286" w:name="_Toc152042342"/>
      <w:bookmarkStart w:id="287" w:name="_Toc152045566"/>
      <w:bookmarkStart w:id="288" w:name="_Toc144974534"/>
      <w:bookmarkStart w:id="289" w:name="_Toc7956612"/>
      <w:bookmarkStart w:id="290" w:name="_Toc247527591"/>
      <w:bookmarkStart w:id="291" w:name="_Toc247513990"/>
      <w:r>
        <w:rPr>
          <w:rFonts w:hint="eastAsia" w:ascii="仿宋" w:hAnsi="仿宋" w:eastAsia="仿宋" w:cs="仿宋"/>
          <w:color w:val="auto"/>
          <w:highlight w:val="none"/>
        </w:rPr>
        <w:t>7. 合同授予</w:t>
      </w:r>
      <w:bookmarkEnd w:id="285"/>
      <w:bookmarkEnd w:id="286"/>
      <w:bookmarkEnd w:id="287"/>
      <w:bookmarkEnd w:id="288"/>
      <w:bookmarkEnd w:id="289"/>
      <w:bookmarkEnd w:id="290"/>
      <w:bookmarkEnd w:id="291"/>
    </w:p>
    <w:p w14:paraId="1D694906">
      <w:pPr>
        <w:pStyle w:val="5"/>
        <w:jc w:val="left"/>
        <w:rPr>
          <w:rFonts w:hint="eastAsia" w:ascii="仿宋" w:hAnsi="仿宋" w:eastAsia="仿宋" w:cs="仿宋"/>
          <w:color w:val="auto"/>
          <w:highlight w:val="none"/>
        </w:rPr>
      </w:pPr>
      <w:bookmarkStart w:id="292" w:name="_Toc106997983"/>
      <w:bookmarkStart w:id="293" w:name="_Toc247513991"/>
      <w:bookmarkStart w:id="294" w:name="_Toc247527592"/>
      <w:bookmarkStart w:id="295" w:name="_Toc144974535"/>
      <w:bookmarkStart w:id="296" w:name="_Toc7956613"/>
      <w:bookmarkStart w:id="297" w:name="_Toc152045567"/>
      <w:bookmarkStart w:id="298" w:name="_Toc152042343"/>
      <w:r>
        <w:rPr>
          <w:rFonts w:hint="eastAsia" w:ascii="仿宋" w:hAnsi="仿宋" w:eastAsia="仿宋" w:cs="仿宋"/>
          <w:color w:val="auto"/>
          <w:highlight w:val="none"/>
        </w:rPr>
        <w:t>7.1定标方式</w:t>
      </w:r>
      <w:bookmarkEnd w:id="292"/>
      <w:bookmarkEnd w:id="293"/>
      <w:bookmarkEnd w:id="294"/>
      <w:bookmarkEnd w:id="295"/>
      <w:bookmarkEnd w:id="296"/>
      <w:bookmarkEnd w:id="297"/>
      <w:bookmarkEnd w:id="298"/>
    </w:p>
    <w:p w14:paraId="3BB0BC4B">
      <w:pPr>
        <w:spacing w:line="400" w:lineRule="exact"/>
        <w:ind w:firstLine="480" w:firstLineChars="200"/>
        <w:jc w:val="left"/>
        <w:rPr>
          <w:rFonts w:hint="eastAsia" w:ascii="仿宋" w:hAnsi="仿宋" w:eastAsia="仿宋" w:cs="仿宋"/>
          <w:color w:val="auto"/>
          <w:highlight w:val="none"/>
        </w:rPr>
      </w:pPr>
      <w:r>
        <w:rPr>
          <w:rFonts w:hint="eastAsia" w:ascii="仿宋" w:hAnsi="仿宋" w:eastAsia="仿宋" w:cs="仿宋"/>
          <w:color w:val="auto"/>
          <w:highlight w:val="none"/>
        </w:rPr>
        <w:t>除投标人须知前附表规定评标委员会直接确定中标人外，招标人依据评标委员会推荐的中标候选人确定中标人，评标委员会推荐中标候选人的人数见投标人须知前附表。</w:t>
      </w:r>
    </w:p>
    <w:p w14:paraId="3E62B21E">
      <w:pPr>
        <w:pStyle w:val="5"/>
        <w:jc w:val="left"/>
        <w:rPr>
          <w:rFonts w:hint="eastAsia" w:ascii="仿宋" w:hAnsi="仿宋" w:eastAsia="仿宋" w:cs="仿宋"/>
          <w:color w:val="auto"/>
          <w:highlight w:val="none"/>
        </w:rPr>
      </w:pPr>
      <w:bookmarkStart w:id="299" w:name="_Toc106997984"/>
      <w:bookmarkStart w:id="300" w:name="_Toc7956614"/>
      <w:r>
        <w:rPr>
          <w:rFonts w:hint="eastAsia" w:ascii="仿宋" w:hAnsi="仿宋" w:eastAsia="仿宋" w:cs="仿宋"/>
          <w:color w:val="auto"/>
          <w:highlight w:val="none"/>
        </w:rPr>
        <w:t>7.2中标候选人公示</w:t>
      </w:r>
      <w:bookmarkEnd w:id="299"/>
      <w:bookmarkEnd w:id="300"/>
    </w:p>
    <w:p w14:paraId="4030AD2F">
      <w:pPr>
        <w:spacing w:line="400" w:lineRule="exact"/>
        <w:ind w:firstLine="480" w:firstLineChars="200"/>
        <w:jc w:val="left"/>
        <w:rPr>
          <w:rFonts w:hint="eastAsia" w:ascii="仿宋" w:hAnsi="仿宋" w:eastAsia="仿宋" w:cs="仿宋"/>
          <w:color w:val="auto"/>
          <w:highlight w:val="none"/>
        </w:rPr>
      </w:pPr>
      <w:r>
        <w:rPr>
          <w:rFonts w:hint="eastAsia" w:ascii="仿宋" w:hAnsi="仿宋" w:eastAsia="仿宋" w:cs="仿宋"/>
          <w:color w:val="auto"/>
          <w:highlight w:val="none"/>
        </w:rPr>
        <w:t>招标人在投标人须知前附表规定的媒介公示中标候选人。</w:t>
      </w:r>
    </w:p>
    <w:p w14:paraId="77A8B4A6">
      <w:pPr>
        <w:pStyle w:val="5"/>
        <w:jc w:val="left"/>
        <w:rPr>
          <w:rFonts w:hint="eastAsia" w:ascii="仿宋" w:hAnsi="仿宋" w:eastAsia="仿宋" w:cs="仿宋"/>
          <w:color w:val="auto"/>
          <w:highlight w:val="none"/>
        </w:rPr>
      </w:pPr>
      <w:bookmarkStart w:id="301" w:name="_Toc152045568"/>
      <w:bookmarkStart w:id="302" w:name="_Toc106997985"/>
      <w:bookmarkStart w:id="303" w:name="_Toc247513992"/>
      <w:bookmarkStart w:id="304" w:name="_Toc7956615"/>
      <w:bookmarkStart w:id="305" w:name="_Toc144974536"/>
      <w:bookmarkStart w:id="306" w:name="_Toc247527593"/>
      <w:bookmarkStart w:id="307" w:name="_Toc152042344"/>
      <w:r>
        <w:rPr>
          <w:rFonts w:hint="eastAsia" w:ascii="仿宋" w:hAnsi="仿宋" w:eastAsia="仿宋" w:cs="仿宋"/>
          <w:color w:val="auto"/>
          <w:highlight w:val="none"/>
        </w:rPr>
        <w:t>7.3中标通知</w:t>
      </w:r>
      <w:bookmarkEnd w:id="301"/>
      <w:bookmarkEnd w:id="302"/>
      <w:bookmarkEnd w:id="303"/>
      <w:bookmarkEnd w:id="304"/>
      <w:bookmarkEnd w:id="305"/>
      <w:bookmarkEnd w:id="306"/>
      <w:bookmarkEnd w:id="307"/>
    </w:p>
    <w:p w14:paraId="56C24F50">
      <w:pPr>
        <w:spacing w:line="400" w:lineRule="exact"/>
        <w:ind w:firstLine="480" w:firstLineChars="200"/>
        <w:jc w:val="left"/>
        <w:rPr>
          <w:rFonts w:hint="eastAsia" w:ascii="仿宋" w:hAnsi="仿宋" w:eastAsia="仿宋" w:cs="仿宋"/>
          <w:color w:val="auto"/>
          <w:highlight w:val="none"/>
        </w:rPr>
      </w:pPr>
      <w:r>
        <w:rPr>
          <w:rFonts w:hint="eastAsia" w:ascii="仿宋" w:hAnsi="仿宋" w:eastAsia="仿宋" w:cs="仿宋"/>
          <w:color w:val="auto"/>
          <w:highlight w:val="none"/>
        </w:rPr>
        <w:t>在本章第3.3款规定的投标有效期内，招标人以书面形式向中标人发出中标通知书，同时将中标结果通知未中标的投标人。中标通知书按本章附表格式填写。</w:t>
      </w:r>
    </w:p>
    <w:p w14:paraId="5DDD58EF">
      <w:pPr>
        <w:pStyle w:val="5"/>
        <w:jc w:val="left"/>
        <w:rPr>
          <w:rFonts w:hint="eastAsia" w:ascii="仿宋" w:hAnsi="仿宋" w:eastAsia="仿宋" w:cs="仿宋"/>
          <w:color w:val="auto"/>
          <w:highlight w:val="none"/>
        </w:rPr>
      </w:pPr>
      <w:bookmarkStart w:id="308" w:name="_Toc106997986"/>
      <w:bookmarkStart w:id="309" w:name="_Toc152045569"/>
      <w:bookmarkStart w:id="310" w:name="_Toc152042345"/>
      <w:bookmarkStart w:id="311" w:name="_Toc7956616"/>
      <w:bookmarkStart w:id="312" w:name="_Toc144974537"/>
      <w:bookmarkStart w:id="313" w:name="_Toc247513993"/>
      <w:bookmarkStart w:id="314" w:name="_Toc247527594"/>
      <w:r>
        <w:rPr>
          <w:rFonts w:hint="eastAsia" w:ascii="仿宋" w:hAnsi="仿宋" w:eastAsia="仿宋" w:cs="仿宋"/>
          <w:color w:val="auto"/>
          <w:highlight w:val="none"/>
        </w:rPr>
        <w:t>7.4履约担保</w:t>
      </w:r>
      <w:bookmarkEnd w:id="308"/>
      <w:bookmarkEnd w:id="309"/>
      <w:bookmarkEnd w:id="310"/>
      <w:bookmarkEnd w:id="311"/>
      <w:bookmarkEnd w:id="312"/>
      <w:bookmarkEnd w:id="313"/>
      <w:bookmarkEnd w:id="314"/>
    </w:p>
    <w:p w14:paraId="0C933A96">
      <w:pPr>
        <w:spacing w:line="400" w:lineRule="exact"/>
        <w:ind w:firstLine="480" w:firstLineChars="200"/>
        <w:jc w:val="left"/>
        <w:rPr>
          <w:rFonts w:hint="eastAsia" w:ascii="仿宋" w:hAnsi="仿宋" w:eastAsia="仿宋" w:cs="仿宋"/>
          <w:color w:val="auto"/>
          <w:highlight w:val="none"/>
        </w:rPr>
      </w:pPr>
      <w:r>
        <w:rPr>
          <w:rFonts w:hint="eastAsia" w:ascii="仿宋" w:hAnsi="仿宋" w:eastAsia="仿宋" w:cs="仿宋"/>
          <w:color w:val="auto"/>
          <w:highlight w:val="none"/>
        </w:rPr>
        <w:t>7.4.1 在签订合同前，中标人应按投标人须知前附表规定的担保形式和招标文件第四章“合同条款及格式”规定的或者事先经过招标人书面认可的履约担保格式向招标人提交履约担保。除投标人须知前附表另有规定外。联合体中标的，其履约担保由联合体各方或者联合体中牵头人的名义提交。</w:t>
      </w:r>
    </w:p>
    <w:p w14:paraId="5CBC58AB">
      <w:pPr>
        <w:spacing w:line="400" w:lineRule="exact"/>
        <w:ind w:firstLine="480" w:firstLineChars="200"/>
        <w:jc w:val="left"/>
        <w:rPr>
          <w:rFonts w:hint="eastAsia" w:ascii="仿宋" w:hAnsi="仿宋" w:eastAsia="仿宋" w:cs="仿宋"/>
          <w:color w:val="auto"/>
          <w:highlight w:val="none"/>
        </w:rPr>
      </w:pPr>
      <w:r>
        <w:rPr>
          <w:rFonts w:hint="eastAsia" w:ascii="仿宋" w:hAnsi="仿宋" w:eastAsia="仿宋" w:cs="仿宋"/>
          <w:color w:val="auto"/>
          <w:highlight w:val="none"/>
        </w:rPr>
        <w:t>7.4.2 中标人不能按本章第7.4.1项要求提交履约担保的，视为放弃中标，其投标保证金不予退还，给招标人造成的损失超过投标保证金数额的，中标人还应当对超过部分予以赔偿。</w:t>
      </w:r>
    </w:p>
    <w:p w14:paraId="654289A1">
      <w:pPr>
        <w:pStyle w:val="5"/>
        <w:jc w:val="left"/>
        <w:rPr>
          <w:rFonts w:hint="eastAsia" w:ascii="仿宋" w:hAnsi="仿宋" w:eastAsia="仿宋" w:cs="仿宋"/>
          <w:color w:val="auto"/>
          <w:highlight w:val="none"/>
        </w:rPr>
      </w:pPr>
      <w:bookmarkStart w:id="315" w:name="_Toc106997987"/>
      <w:bookmarkStart w:id="316" w:name="_Toc247527595"/>
      <w:bookmarkStart w:id="317" w:name="_Toc152042346"/>
      <w:bookmarkStart w:id="318" w:name="_Toc144974538"/>
      <w:bookmarkStart w:id="319" w:name="_Toc247513994"/>
      <w:bookmarkStart w:id="320" w:name="_Toc152045570"/>
      <w:bookmarkStart w:id="321" w:name="_Toc7956617"/>
      <w:r>
        <w:rPr>
          <w:rFonts w:hint="eastAsia" w:ascii="仿宋" w:hAnsi="仿宋" w:eastAsia="仿宋" w:cs="仿宋"/>
          <w:color w:val="auto"/>
          <w:highlight w:val="none"/>
        </w:rPr>
        <w:t>7.5签订合同</w:t>
      </w:r>
      <w:bookmarkEnd w:id="315"/>
      <w:bookmarkEnd w:id="316"/>
      <w:bookmarkEnd w:id="317"/>
      <w:bookmarkEnd w:id="318"/>
      <w:bookmarkEnd w:id="319"/>
      <w:bookmarkEnd w:id="320"/>
      <w:bookmarkEnd w:id="321"/>
    </w:p>
    <w:p w14:paraId="779A7B2A">
      <w:pPr>
        <w:spacing w:line="400" w:lineRule="exact"/>
        <w:ind w:firstLine="480" w:firstLineChars="200"/>
        <w:jc w:val="left"/>
        <w:rPr>
          <w:rFonts w:hint="eastAsia" w:ascii="仿宋" w:hAnsi="仿宋" w:eastAsia="仿宋" w:cs="仿宋"/>
          <w:color w:val="auto"/>
          <w:highlight w:val="none"/>
        </w:rPr>
      </w:pPr>
      <w:r>
        <w:rPr>
          <w:rFonts w:hint="eastAsia" w:ascii="仿宋" w:hAnsi="仿宋" w:eastAsia="仿宋" w:cs="仿宋"/>
          <w:color w:val="auto"/>
          <w:highlight w:val="none"/>
        </w:rPr>
        <w:t>7.5.1 招标人和中标人应当自中标通知书发出之日起30天内，根据招标文件和中标人的投标文件订立书面合同。中标人无正当理由拒签合同的，招标人取消其中标资格，其投标保证金不予退还；给招标人造成的损失超过投标保证金数额的，中标人还应当对超过部分予以赔偿。</w:t>
      </w:r>
    </w:p>
    <w:p w14:paraId="7063E62F">
      <w:pPr>
        <w:spacing w:line="400" w:lineRule="exact"/>
        <w:ind w:firstLine="480" w:firstLineChars="200"/>
        <w:jc w:val="left"/>
        <w:rPr>
          <w:rFonts w:hint="eastAsia" w:ascii="仿宋" w:hAnsi="仿宋" w:eastAsia="仿宋" w:cs="仿宋"/>
          <w:color w:val="auto"/>
          <w:highlight w:val="none"/>
        </w:rPr>
      </w:pPr>
      <w:r>
        <w:rPr>
          <w:rFonts w:hint="eastAsia" w:ascii="仿宋" w:hAnsi="仿宋" w:eastAsia="仿宋" w:cs="仿宋"/>
          <w:color w:val="auto"/>
          <w:highlight w:val="none"/>
        </w:rPr>
        <w:t>7.5.2 发出中标通知书后，招标人无正当理由拒签合同的，招标人向中标人退还投标保证金；给中标人造成损失的，还应当赔偿损失。</w:t>
      </w:r>
    </w:p>
    <w:p w14:paraId="1E2101E0">
      <w:pPr>
        <w:pStyle w:val="4"/>
        <w:jc w:val="left"/>
        <w:rPr>
          <w:rFonts w:hint="eastAsia" w:ascii="仿宋" w:hAnsi="仿宋" w:eastAsia="仿宋" w:cs="仿宋"/>
          <w:color w:val="auto"/>
          <w:highlight w:val="none"/>
        </w:rPr>
      </w:pPr>
      <w:bookmarkStart w:id="322" w:name="_Toc247527596"/>
      <w:bookmarkStart w:id="323" w:name="_Toc152045571"/>
      <w:bookmarkStart w:id="324" w:name="_Toc152042347"/>
      <w:bookmarkStart w:id="325" w:name="_Toc247513995"/>
      <w:bookmarkStart w:id="326" w:name="_Toc144974539"/>
      <w:bookmarkStart w:id="327" w:name="_Toc106997988"/>
      <w:bookmarkStart w:id="328" w:name="_Toc7956618"/>
      <w:r>
        <w:rPr>
          <w:rFonts w:hint="eastAsia" w:ascii="仿宋" w:hAnsi="仿宋" w:eastAsia="仿宋" w:cs="仿宋"/>
          <w:color w:val="auto"/>
          <w:highlight w:val="none"/>
        </w:rPr>
        <w:t>8.</w:t>
      </w:r>
      <w:bookmarkEnd w:id="322"/>
      <w:bookmarkEnd w:id="323"/>
      <w:bookmarkEnd w:id="324"/>
      <w:bookmarkEnd w:id="325"/>
      <w:bookmarkEnd w:id="326"/>
      <w:bookmarkStart w:id="329" w:name="_Toc152042350"/>
      <w:bookmarkStart w:id="330" w:name="_Toc144974542"/>
      <w:bookmarkStart w:id="331" w:name="_Toc152045574"/>
      <w:bookmarkStart w:id="332" w:name="_Toc247527599"/>
      <w:bookmarkStart w:id="333" w:name="_Toc247513998"/>
      <w:r>
        <w:rPr>
          <w:rFonts w:hint="eastAsia" w:ascii="仿宋" w:hAnsi="仿宋" w:eastAsia="仿宋" w:cs="仿宋"/>
          <w:color w:val="auto"/>
          <w:highlight w:val="none"/>
        </w:rPr>
        <w:t>纪律和监督</w:t>
      </w:r>
      <w:bookmarkEnd w:id="327"/>
      <w:bookmarkEnd w:id="328"/>
      <w:bookmarkEnd w:id="329"/>
      <w:bookmarkEnd w:id="330"/>
      <w:bookmarkEnd w:id="331"/>
      <w:bookmarkEnd w:id="332"/>
      <w:bookmarkEnd w:id="333"/>
    </w:p>
    <w:p w14:paraId="3E92CB7B">
      <w:pPr>
        <w:pStyle w:val="5"/>
        <w:jc w:val="left"/>
        <w:rPr>
          <w:rFonts w:hint="eastAsia" w:ascii="仿宋" w:hAnsi="仿宋" w:eastAsia="仿宋" w:cs="仿宋"/>
          <w:color w:val="auto"/>
          <w:highlight w:val="none"/>
        </w:rPr>
      </w:pPr>
      <w:bookmarkStart w:id="334" w:name="_Toc247527600"/>
      <w:bookmarkStart w:id="335" w:name="_Toc7956619"/>
      <w:bookmarkStart w:id="336" w:name="_Toc152045575"/>
      <w:bookmarkStart w:id="337" w:name="_Toc247513999"/>
      <w:bookmarkStart w:id="338" w:name="_Toc106997989"/>
      <w:bookmarkStart w:id="339" w:name="_Toc144974543"/>
      <w:bookmarkStart w:id="340" w:name="_Toc152042351"/>
      <w:r>
        <w:rPr>
          <w:rFonts w:hint="eastAsia" w:ascii="仿宋" w:hAnsi="仿宋" w:eastAsia="仿宋" w:cs="仿宋"/>
          <w:color w:val="auto"/>
          <w:highlight w:val="none"/>
        </w:rPr>
        <w:t>8.1对招标人的纪律要求</w:t>
      </w:r>
      <w:bookmarkEnd w:id="334"/>
      <w:bookmarkEnd w:id="335"/>
      <w:bookmarkEnd w:id="336"/>
      <w:bookmarkEnd w:id="337"/>
      <w:bookmarkEnd w:id="338"/>
      <w:bookmarkEnd w:id="339"/>
      <w:bookmarkEnd w:id="340"/>
    </w:p>
    <w:p w14:paraId="4C065060">
      <w:pPr>
        <w:spacing w:line="400" w:lineRule="exact"/>
        <w:ind w:firstLine="480" w:firstLineChars="200"/>
        <w:jc w:val="left"/>
        <w:rPr>
          <w:rFonts w:hint="eastAsia" w:ascii="仿宋" w:hAnsi="仿宋" w:eastAsia="仿宋" w:cs="仿宋"/>
          <w:color w:val="auto"/>
          <w:highlight w:val="none"/>
        </w:rPr>
      </w:pPr>
      <w:r>
        <w:rPr>
          <w:rFonts w:hint="eastAsia" w:ascii="仿宋" w:hAnsi="仿宋" w:eastAsia="仿宋" w:cs="仿宋"/>
          <w:color w:val="auto"/>
          <w:highlight w:val="none"/>
        </w:rPr>
        <w:t>招标人不得泄漏招标投标活动中应当保密的情况和资料，不得与投标人串通损害国家利益、社会公共利益或者他人合法权益。</w:t>
      </w:r>
    </w:p>
    <w:p w14:paraId="2CE737F7">
      <w:pPr>
        <w:pStyle w:val="5"/>
        <w:jc w:val="left"/>
        <w:rPr>
          <w:rFonts w:hint="eastAsia" w:ascii="仿宋" w:hAnsi="仿宋" w:eastAsia="仿宋" w:cs="仿宋"/>
          <w:color w:val="auto"/>
          <w:highlight w:val="none"/>
        </w:rPr>
      </w:pPr>
      <w:bookmarkStart w:id="341" w:name="_Toc7956620"/>
      <w:bookmarkStart w:id="342" w:name="_Toc247527601"/>
      <w:bookmarkStart w:id="343" w:name="_Toc247514000"/>
      <w:bookmarkStart w:id="344" w:name="_Toc152045576"/>
      <w:bookmarkStart w:id="345" w:name="_Toc106997990"/>
      <w:bookmarkStart w:id="346" w:name="_Toc152042352"/>
      <w:bookmarkStart w:id="347" w:name="_Toc144974544"/>
      <w:r>
        <w:rPr>
          <w:rFonts w:hint="eastAsia" w:ascii="仿宋" w:hAnsi="仿宋" w:eastAsia="仿宋" w:cs="仿宋"/>
          <w:color w:val="auto"/>
          <w:highlight w:val="none"/>
        </w:rPr>
        <w:t>8.2对投标人的纪律要求</w:t>
      </w:r>
      <w:bookmarkEnd w:id="341"/>
      <w:bookmarkEnd w:id="342"/>
      <w:bookmarkEnd w:id="343"/>
      <w:bookmarkEnd w:id="344"/>
      <w:bookmarkEnd w:id="345"/>
      <w:bookmarkEnd w:id="346"/>
      <w:bookmarkEnd w:id="347"/>
    </w:p>
    <w:p w14:paraId="6D4E460A">
      <w:pPr>
        <w:spacing w:line="400" w:lineRule="exact"/>
        <w:ind w:firstLine="480" w:firstLineChars="200"/>
        <w:jc w:val="left"/>
        <w:rPr>
          <w:rFonts w:hint="eastAsia" w:ascii="仿宋" w:hAnsi="仿宋" w:eastAsia="仿宋" w:cs="仿宋"/>
          <w:color w:val="auto"/>
          <w:highlight w:val="none"/>
        </w:rPr>
      </w:pPr>
      <w:r>
        <w:rPr>
          <w:rFonts w:hint="eastAsia" w:ascii="仿宋" w:hAnsi="仿宋" w:eastAsia="仿宋" w:cs="仿宋"/>
          <w:color w:val="auto"/>
          <w:highlight w:val="none"/>
        </w:rPr>
        <w:t>投标人不得相互串通投标或者与招标人串通投标，不得向招标人或者评标委员会成员行贿谋取中标，不得以他人名义投标或者以其他方式弄虚作假骗取中标；投标人不得以任何方式干扰、影响评标工作。</w:t>
      </w:r>
    </w:p>
    <w:p w14:paraId="1751EF49">
      <w:pPr>
        <w:pStyle w:val="5"/>
        <w:jc w:val="left"/>
        <w:rPr>
          <w:rFonts w:hint="eastAsia" w:ascii="仿宋" w:hAnsi="仿宋" w:eastAsia="仿宋" w:cs="仿宋"/>
          <w:color w:val="auto"/>
          <w:highlight w:val="none"/>
        </w:rPr>
      </w:pPr>
      <w:bookmarkStart w:id="348" w:name="_Toc106997991"/>
      <w:bookmarkStart w:id="349" w:name="_Toc152045577"/>
      <w:bookmarkStart w:id="350" w:name="_Toc7956621"/>
      <w:bookmarkStart w:id="351" w:name="_Toc247514001"/>
      <w:bookmarkStart w:id="352" w:name="_Toc247527602"/>
      <w:bookmarkStart w:id="353" w:name="_Toc144974545"/>
      <w:bookmarkStart w:id="354" w:name="_Toc152042353"/>
      <w:r>
        <w:rPr>
          <w:rFonts w:hint="eastAsia" w:ascii="仿宋" w:hAnsi="仿宋" w:eastAsia="仿宋" w:cs="仿宋"/>
          <w:color w:val="auto"/>
          <w:highlight w:val="none"/>
        </w:rPr>
        <w:t>8.3对评标委员会成员的纪律要求</w:t>
      </w:r>
      <w:bookmarkEnd w:id="348"/>
      <w:bookmarkEnd w:id="349"/>
      <w:bookmarkEnd w:id="350"/>
      <w:bookmarkEnd w:id="351"/>
      <w:bookmarkEnd w:id="352"/>
      <w:bookmarkEnd w:id="353"/>
      <w:bookmarkEnd w:id="354"/>
    </w:p>
    <w:p w14:paraId="7A72F6FF">
      <w:pPr>
        <w:spacing w:line="400" w:lineRule="exact"/>
        <w:ind w:firstLine="480" w:firstLineChars="200"/>
        <w:jc w:val="left"/>
        <w:rPr>
          <w:rFonts w:hint="eastAsia" w:ascii="仿宋" w:hAnsi="仿宋" w:eastAsia="仿宋" w:cs="仿宋"/>
          <w:color w:val="auto"/>
          <w:highlight w:val="none"/>
        </w:rPr>
      </w:pPr>
      <w:r>
        <w:rPr>
          <w:rFonts w:hint="eastAsia" w:ascii="仿宋" w:hAnsi="仿宋" w:eastAsia="仿宋" w:cs="仿宋"/>
          <w:color w:val="auto"/>
          <w:highlight w:val="none"/>
        </w:rPr>
        <w:t>评标委员会成员不得收受他人的财物或者其他好处，不得向他人透漏对投标文件的评审和比较、中标候选人的推荐情况以及评标有关的其他情况。在评标活动中，评标委员会成员应当客观、公正地履行职责，遵守职业道德，不得擅离职守，影响评标程序正常进行，不得使用第三章“评标办法”没有规定的评审因素和标准进行评标。</w:t>
      </w:r>
    </w:p>
    <w:p w14:paraId="1A261DF5">
      <w:pPr>
        <w:pStyle w:val="5"/>
        <w:jc w:val="left"/>
        <w:rPr>
          <w:rFonts w:hint="eastAsia" w:ascii="仿宋" w:hAnsi="仿宋" w:eastAsia="仿宋" w:cs="仿宋"/>
          <w:color w:val="auto"/>
          <w:highlight w:val="none"/>
        </w:rPr>
      </w:pPr>
      <w:bookmarkStart w:id="355" w:name="_Toc7956622"/>
      <w:bookmarkStart w:id="356" w:name="_Toc106997992"/>
      <w:bookmarkStart w:id="357" w:name="_Toc152045578"/>
      <w:bookmarkStart w:id="358" w:name="_Toc247527603"/>
      <w:bookmarkStart w:id="359" w:name="_Toc152042354"/>
      <w:bookmarkStart w:id="360" w:name="_Toc247514002"/>
      <w:bookmarkStart w:id="361" w:name="_Toc144974546"/>
      <w:r>
        <w:rPr>
          <w:rFonts w:hint="eastAsia" w:ascii="仿宋" w:hAnsi="仿宋" w:eastAsia="仿宋" w:cs="仿宋"/>
          <w:color w:val="auto"/>
          <w:highlight w:val="none"/>
        </w:rPr>
        <w:t>8.4对与评标活动有关的工作人员的纪律要求</w:t>
      </w:r>
      <w:bookmarkEnd w:id="355"/>
      <w:bookmarkEnd w:id="356"/>
      <w:bookmarkEnd w:id="357"/>
      <w:bookmarkEnd w:id="358"/>
      <w:bookmarkEnd w:id="359"/>
      <w:bookmarkEnd w:id="360"/>
    </w:p>
    <w:p w14:paraId="036CDA93">
      <w:pPr>
        <w:spacing w:line="400" w:lineRule="exact"/>
        <w:ind w:firstLine="480" w:firstLineChars="200"/>
        <w:jc w:val="left"/>
        <w:rPr>
          <w:rFonts w:hint="eastAsia" w:ascii="仿宋" w:hAnsi="仿宋" w:eastAsia="仿宋" w:cs="仿宋"/>
          <w:color w:val="auto"/>
          <w:highlight w:val="none"/>
        </w:rPr>
      </w:pPr>
      <w:bookmarkStart w:id="362" w:name="_Toc152042355"/>
      <w:r>
        <w:rPr>
          <w:rFonts w:hint="eastAsia" w:ascii="仿宋" w:hAnsi="仿宋" w:eastAsia="仿宋" w:cs="仿宋"/>
          <w:color w:val="auto"/>
          <w:highlight w:val="none"/>
        </w:rPr>
        <w:t>与评标活动有关的工作人员不得收受他人的财物或者其他好处，不得向他人透漏对投标文件的评审和比较、中标候选人的推荐情况以及评标有关的其他情况。在评标活动中，与评标活动有关的工作人员不得擅离职守，影响评标程序正常进行。</w:t>
      </w:r>
      <w:bookmarkEnd w:id="362"/>
    </w:p>
    <w:p w14:paraId="30E7E807">
      <w:pPr>
        <w:pStyle w:val="5"/>
        <w:jc w:val="left"/>
        <w:rPr>
          <w:rFonts w:hint="eastAsia" w:ascii="仿宋" w:hAnsi="仿宋" w:eastAsia="仿宋" w:cs="仿宋"/>
          <w:color w:val="auto"/>
          <w:highlight w:val="none"/>
        </w:rPr>
      </w:pPr>
      <w:bookmarkStart w:id="363" w:name="_Toc152042356"/>
      <w:bookmarkStart w:id="364" w:name="_Toc247514003"/>
      <w:bookmarkStart w:id="365" w:name="_Toc7956623"/>
      <w:bookmarkStart w:id="366" w:name="_Toc106997993"/>
      <w:bookmarkStart w:id="367" w:name="_Toc152045579"/>
      <w:bookmarkStart w:id="368" w:name="_Toc247527604"/>
      <w:r>
        <w:rPr>
          <w:rFonts w:hint="eastAsia" w:ascii="仿宋" w:hAnsi="仿宋" w:eastAsia="仿宋" w:cs="仿宋"/>
          <w:color w:val="auto"/>
          <w:highlight w:val="none"/>
        </w:rPr>
        <w:t>8.5投诉</w:t>
      </w:r>
      <w:bookmarkEnd w:id="361"/>
      <w:bookmarkEnd w:id="363"/>
      <w:bookmarkEnd w:id="364"/>
      <w:bookmarkEnd w:id="365"/>
      <w:bookmarkEnd w:id="366"/>
      <w:bookmarkEnd w:id="367"/>
      <w:bookmarkEnd w:id="368"/>
    </w:p>
    <w:p w14:paraId="50D9E5E4">
      <w:pPr>
        <w:spacing w:line="400" w:lineRule="exact"/>
        <w:ind w:firstLine="480" w:firstLineChars="200"/>
        <w:jc w:val="left"/>
        <w:rPr>
          <w:rFonts w:hint="eastAsia" w:ascii="仿宋" w:hAnsi="仿宋" w:eastAsia="仿宋" w:cs="仿宋"/>
          <w:color w:val="auto"/>
          <w:highlight w:val="none"/>
        </w:rPr>
      </w:pPr>
      <w:r>
        <w:rPr>
          <w:rFonts w:hint="eastAsia" w:ascii="仿宋" w:hAnsi="仿宋" w:eastAsia="仿宋" w:cs="仿宋"/>
          <w:color w:val="auto"/>
          <w:highlight w:val="none"/>
        </w:rPr>
        <w:t>投标人和其他利害关系人认为本次招标活动违反法律、法规和规章规定的，有权向有关行政监督部门投诉。</w:t>
      </w:r>
    </w:p>
    <w:p w14:paraId="1D9FA3F8">
      <w:pPr>
        <w:pStyle w:val="4"/>
        <w:jc w:val="left"/>
        <w:rPr>
          <w:rFonts w:hint="eastAsia" w:ascii="仿宋" w:hAnsi="仿宋" w:eastAsia="仿宋" w:cs="仿宋"/>
          <w:color w:val="auto"/>
          <w:highlight w:val="none"/>
        </w:rPr>
      </w:pPr>
      <w:bookmarkStart w:id="369" w:name="_Toc152042357"/>
      <w:bookmarkStart w:id="370" w:name="_Toc144974547"/>
      <w:bookmarkStart w:id="371" w:name="_Toc152045580"/>
      <w:bookmarkStart w:id="372" w:name="_Toc7956624"/>
      <w:bookmarkStart w:id="373" w:name="_Toc247527605"/>
      <w:bookmarkStart w:id="374" w:name="_Toc247514004"/>
      <w:bookmarkStart w:id="375" w:name="_Toc106997994"/>
      <w:r>
        <w:rPr>
          <w:rFonts w:hint="eastAsia" w:ascii="仿宋" w:hAnsi="仿宋" w:eastAsia="仿宋" w:cs="仿宋"/>
          <w:color w:val="auto"/>
          <w:highlight w:val="none"/>
        </w:rPr>
        <w:t>9. 需要补充的其他内容</w:t>
      </w:r>
      <w:bookmarkEnd w:id="369"/>
      <w:bookmarkEnd w:id="370"/>
      <w:bookmarkEnd w:id="371"/>
      <w:bookmarkEnd w:id="372"/>
      <w:bookmarkEnd w:id="373"/>
      <w:bookmarkEnd w:id="374"/>
      <w:bookmarkEnd w:id="375"/>
    </w:p>
    <w:p w14:paraId="4FCC6F15">
      <w:pPr>
        <w:spacing w:line="400" w:lineRule="exact"/>
        <w:ind w:firstLine="480" w:firstLineChars="200"/>
        <w:jc w:val="left"/>
        <w:rPr>
          <w:rFonts w:hint="eastAsia" w:ascii="仿宋" w:hAnsi="仿宋" w:eastAsia="仿宋" w:cs="仿宋"/>
          <w:color w:val="auto"/>
          <w:highlight w:val="none"/>
        </w:rPr>
      </w:pPr>
      <w:r>
        <w:rPr>
          <w:rFonts w:hint="eastAsia" w:ascii="仿宋" w:hAnsi="仿宋" w:eastAsia="仿宋" w:cs="仿宋"/>
          <w:color w:val="auto"/>
          <w:highlight w:val="none"/>
        </w:rPr>
        <w:t>需要补充的其他内容：见投标人须知前附表。</w:t>
      </w:r>
    </w:p>
    <w:p w14:paraId="05497D25">
      <w:pPr>
        <w:pStyle w:val="4"/>
        <w:jc w:val="left"/>
        <w:rPr>
          <w:rFonts w:hint="eastAsia" w:ascii="仿宋" w:hAnsi="仿宋" w:eastAsia="仿宋" w:cs="仿宋"/>
          <w:color w:val="auto"/>
          <w:highlight w:val="none"/>
        </w:rPr>
      </w:pPr>
      <w:bookmarkStart w:id="376" w:name="_Toc106997995"/>
      <w:bookmarkStart w:id="377" w:name="_Toc7956625"/>
      <w:r>
        <w:rPr>
          <w:rFonts w:hint="eastAsia" w:ascii="仿宋" w:hAnsi="仿宋" w:eastAsia="仿宋" w:cs="仿宋"/>
          <w:color w:val="auto"/>
          <w:highlight w:val="none"/>
        </w:rPr>
        <w:t>10. 电子招标投标</w:t>
      </w:r>
      <w:bookmarkEnd w:id="376"/>
      <w:bookmarkEnd w:id="377"/>
    </w:p>
    <w:p w14:paraId="5A3770BF">
      <w:pPr>
        <w:spacing w:line="400" w:lineRule="exact"/>
        <w:ind w:firstLine="480" w:firstLineChars="200"/>
        <w:jc w:val="left"/>
        <w:rPr>
          <w:rFonts w:hint="eastAsia" w:ascii="仿宋" w:hAnsi="仿宋" w:eastAsia="仿宋" w:cs="仿宋"/>
          <w:color w:val="auto"/>
          <w:highlight w:val="none"/>
        </w:rPr>
      </w:pPr>
      <w:r>
        <w:rPr>
          <w:rFonts w:hint="eastAsia" w:ascii="仿宋" w:hAnsi="仿宋" w:eastAsia="仿宋" w:cs="仿宋"/>
          <w:color w:val="auto"/>
          <w:highlight w:val="none"/>
        </w:rPr>
        <w:t>采用电子招标投标，对投标文件的编制、密封和标记、递交、开标、评标等具体要求，见投标人须知前附表。</w:t>
      </w:r>
      <w:r>
        <w:rPr>
          <w:rFonts w:hint="eastAsia" w:ascii="仿宋" w:hAnsi="仿宋" w:eastAsia="仿宋" w:cs="仿宋"/>
          <w:color w:val="auto"/>
          <w:highlight w:val="none"/>
        </w:rPr>
        <w:br w:type="page"/>
      </w:r>
    </w:p>
    <w:p w14:paraId="6E8BAD34">
      <w:pPr>
        <w:pStyle w:val="5"/>
        <w:jc w:val="left"/>
        <w:rPr>
          <w:rFonts w:hint="eastAsia" w:ascii="仿宋" w:hAnsi="仿宋" w:eastAsia="仿宋" w:cs="仿宋"/>
          <w:color w:val="auto"/>
          <w:highlight w:val="none"/>
        </w:rPr>
      </w:pPr>
      <w:bookmarkStart w:id="378" w:name="_Toc247527606"/>
      <w:bookmarkStart w:id="379" w:name="_Toc247514005"/>
      <w:bookmarkStart w:id="380" w:name="_Toc152045581"/>
      <w:bookmarkStart w:id="381" w:name="_Toc106997996"/>
      <w:bookmarkStart w:id="382" w:name="_Toc7956626"/>
      <w:bookmarkStart w:id="383" w:name="_Toc144974548"/>
      <w:bookmarkStart w:id="384" w:name="_Toc152042358"/>
      <w:r>
        <w:rPr>
          <w:rFonts w:hint="eastAsia" w:ascii="仿宋" w:hAnsi="仿宋" w:eastAsia="仿宋" w:cs="仿宋"/>
          <w:color w:val="auto"/>
          <w:highlight w:val="none"/>
        </w:rPr>
        <w:t>附件一：开标记录表</w:t>
      </w:r>
      <w:bookmarkEnd w:id="378"/>
      <w:bookmarkEnd w:id="379"/>
      <w:bookmarkEnd w:id="380"/>
      <w:bookmarkEnd w:id="381"/>
      <w:bookmarkEnd w:id="382"/>
      <w:bookmarkEnd w:id="383"/>
      <w:bookmarkEnd w:id="384"/>
    </w:p>
    <w:p w14:paraId="519F2431">
      <w:pPr>
        <w:spacing w:line="400" w:lineRule="exact"/>
        <w:jc w:val="left"/>
        <w:rPr>
          <w:rFonts w:hint="eastAsia" w:ascii="仿宋" w:hAnsi="仿宋" w:eastAsia="仿宋" w:cs="仿宋"/>
          <w:color w:val="auto"/>
          <w:highlight w:val="none"/>
        </w:rPr>
      </w:pPr>
    </w:p>
    <w:p w14:paraId="1418EACB">
      <w:pPr>
        <w:spacing w:line="400" w:lineRule="exact"/>
        <w:jc w:val="lef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u w:val="single"/>
        </w:rPr>
        <w:t>（项目名称）</w:t>
      </w:r>
      <w:r>
        <w:rPr>
          <w:rFonts w:hint="eastAsia" w:ascii="仿宋" w:hAnsi="仿宋" w:eastAsia="仿宋" w:cs="仿宋"/>
          <w:color w:val="auto"/>
          <w:sz w:val="28"/>
          <w:szCs w:val="28"/>
          <w:highlight w:val="none"/>
        </w:rPr>
        <w:t>招标开标记录表</w:t>
      </w:r>
    </w:p>
    <w:p w14:paraId="72F4BE64">
      <w:pPr>
        <w:spacing w:line="400" w:lineRule="exact"/>
        <w:jc w:val="left"/>
        <w:rPr>
          <w:rFonts w:hint="eastAsia" w:ascii="仿宋" w:hAnsi="仿宋" w:eastAsia="仿宋" w:cs="仿宋"/>
          <w:color w:val="auto"/>
          <w:highlight w:val="none"/>
        </w:rPr>
      </w:pPr>
    </w:p>
    <w:p w14:paraId="1D9ED80F">
      <w:pPr>
        <w:spacing w:line="400" w:lineRule="exact"/>
        <w:ind w:right="420" w:firstLine="4080" w:firstLineChars="1700"/>
        <w:jc w:val="left"/>
        <w:rPr>
          <w:rFonts w:hint="eastAsia" w:ascii="仿宋" w:hAnsi="仿宋" w:eastAsia="仿宋" w:cs="仿宋"/>
          <w:color w:val="auto"/>
          <w:highlight w:val="none"/>
        </w:rPr>
      </w:pPr>
      <w:r>
        <w:rPr>
          <w:rFonts w:hint="eastAsia" w:ascii="仿宋" w:hAnsi="仿宋" w:eastAsia="仿宋" w:cs="仿宋"/>
          <w:color w:val="auto"/>
          <w:highlight w:val="none"/>
        </w:rPr>
        <w:t>开标时间：  年   月   日   时   分</w:t>
      </w:r>
    </w:p>
    <w:p w14:paraId="67623C5D">
      <w:pPr>
        <w:spacing w:line="400" w:lineRule="exact"/>
        <w:ind w:right="420" w:firstLine="5160" w:firstLineChars="2150"/>
        <w:jc w:val="left"/>
        <w:rPr>
          <w:rFonts w:hint="eastAsia" w:ascii="仿宋" w:hAnsi="仿宋" w:eastAsia="仿宋" w:cs="仿宋"/>
          <w:color w:val="auto"/>
          <w:highlight w:val="none"/>
        </w:rPr>
      </w:pPr>
    </w:p>
    <w:tbl>
      <w:tblPr>
        <w:tblStyle w:val="39"/>
        <w:tblW w:w="9107" w:type="dxa"/>
        <w:tblInd w:w="0" w:type="dxa"/>
        <w:tblLayout w:type="fixed"/>
        <w:tblCellMar>
          <w:top w:w="0" w:type="dxa"/>
          <w:left w:w="108" w:type="dxa"/>
          <w:bottom w:w="0" w:type="dxa"/>
          <w:right w:w="108" w:type="dxa"/>
        </w:tblCellMar>
      </w:tblPr>
      <w:tblGrid>
        <w:gridCol w:w="649"/>
        <w:gridCol w:w="720"/>
        <w:gridCol w:w="905"/>
        <w:gridCol w:w="1262"/>
        <w:gridCol w:w="1259"/>
        <w:gridCol w:w="1087"/>
        <w:gridCol w:w="1078"/>
        <w:gridCol w:w="719"/>
        <w:gridCol w:w="719"/>
        <w:gridCol w:w="709"/>
      </w:tblGrid>
      <w:tr w14:paraId="5090E561">
        <w:tblPrEx>
          <w:tblCellMar>
            <w:top w:w="0" w:type="dxa"/>
            <w:left w:w="108" w:type="dxa"/>
            <w:bottom w:w="0" w:type="dxa"/>
            <w:right w:w="108" w:type="dxa"/>
          </w:tblCellMar>
        </w:tblPrEx>
        <w:tc>
          <w:tcPr>
            <w:tcW w:w="649" w:type="dxa"/>
            <w:tcBorders>
              <w:top w:val="single" w:color="auto" w:sz="4" w:space="0"/>
              <w:left w:val="single" w:color="auto" w:sz="4" w:space="0"/>
              <w:bottom w:val="single" w:color="auto" w:sz="4" w:space="0"/>
              <w:right w:val="single" w:color="auto" w:sz="4" w:space="0"/>
            </w:tcBorders>
            <w:noWrap w:val="0"/>
            <w:vAlign w:val="center"/>
          </w:tcPr>
          <w:p w14:paraId="524513E7">
            <w:pPr>
              <w:spacing w:line="500" w:lineRule="exact"/>
              <w:jc w:val="left"/>
              <w:rPr>
                <w:rFonts w:hint="eastAsia" w:ascii="仿宋" w:hAnsi="仿宋" w:eastAsia="仿宋" w:cs="仿宋"/>
                <w:color w:val="auto"/>
                <w:sz w:val="18"/>
                <w:szCs w:val="18"/>
                <w:highlight w:val="none"/>
              </w:rPr>
            </w:pPr>
            <w:r>
              <w:rPr>
                <w:rFonts w:hint="eastAsia" w:ascii="仿宋" w:hAnsi="仿宋" w:eastAsia="仿宋" w:cs="仿宋"/>
                <w:color w:val="auto"/>
                <w:sz w:val="18"/>
                <w:szCs w:val="18"/>
                <w:highlight w:val="none"/>
              </w:rPr>
              <w:t>序号</w:t>
            </w:r>
          </w:p>
        </w:tc>
        <w:tc>
          <w:tcPr>
            <w:tcW w:w="720" w:type="dxa"/>
            <w:tcBorders>
              <w:top w:val="single" w:color="auto" w:sz="4" w:space="0"/>
              <w:left w:val="single" w:color="auto" w:sz="4" w:space="0"/>
              <w:bottom w:val="single" w:color="auto" w:sz="4" w:space="0"/>
              <w:right w:val="single" w:color="auto" w:sz="4" w:space="0"/>
            </w:tcBorders>
            <w:noWrap w:val="0"/>
            <w:vAlign w:val="center"/>
          </w:tcPr>
          <w:p w14:paraId="150D3AE6">
            <w:pPr>
              <w:spacing w:line="500" w:lineRule="exact"/>
              <w:jc w:val="left"/>
              <w:rPr>
                <w:rFonts w:hint="eastAsia" w:ascii="仿宋" w:hAnsi="仿宋" w:eastAsia="仿宋" w:cs="仿宋"/>
                <w:color w:val="auto"/>
                <w:sz w:val="18"/>
                <w:szCs w:val="18"/>
                <w:highlight w:val="none"/>
              </w:rPr>
            </w:pPr>
            <w:r>
              <w:rPr>
                <w:rFonts w:hint="eastAsia" w:ascii="仿宋" w:hAnsi="仿宋" w:eastAsia="仿宋" w:cs="仿宋"/>
                <w:color w:val="auto"/>
                <w:sz w:val="18"/>
                <w:szCs w:val="18"/>
                <w:highlight w:val="none"/>
              </w:rPr>
              <w:t>投标人</w:t>
            </w:r>
          </w:p>
        </w:tc>
        <w:tc>
          <w:tcPr>
            <w:tcW w:w="905" w:type="dxa"/>
            <w:tcBorders>
              <w:top w:val="single" w:color="auto" w:sz="4" w:space="0"/>
              <w:left w:val="single" w:color="auto" w:sz="4" w:space="0"/>
              <w:bottom w:val="single" w:color="auto" w:sz="4" w:space="0"/>
              <w:right w:val="single" w:color="auto" w:sz="4" w:space="0"/>
            </w:tcBorders>
            <w:noWrap w:val="0"/>
            <w:vAlign w:val="center"/>
          </w:tcPr>
          <w:p w14:paraId="7A3C69C7">
            <w:pPr>
              <w:spacing w:line="500" w:lineRule="exact"/>
              <w:jc w:val="left"/>
              <w:rPr>
                <w:rFonts w:hint="eastAsia" w:ascii="仿宋" w:hAnsi="仿宋" w:eastAsia="仿宋" w:cs="仿宋"/>
                <w:color w:val="auto"/>
                <w:sz w:val="18"/>
                <w:szCs w:val="18"/>
                <w:highlight w:val="none"/>
              </w:rPr>
            </w:pPr>
            <w:r>
              <w:rPr>
                <w:rFonts w:hint="eastAsia" w:ascii="仿宋" w:hAnsi="仿宋" w:eastAsia="仿宋" w:cs="仿宋"/>
                <w:color w:val="auto"/>
                <w:sz w:val="18"/>
                <w:szCs w:val="18"/>
                <w:highlight w:val="none"/>
              </w:rPr>
              <w:t>密封</w:t>
            </w:r>
          </w:p>
          <w:p w14:paraId="78BE1241">
            <w:pPr>
              <w:spacing w:line="500" w:lineRule="exact"/>
              <w:jc w:val="left"/>
              <w:rPr>
                <w:rFonts w:hint="eastAsia" w:ascii="仿宋" w:hAnsi="仿宋" w:eastAsia="仿宋" w:cs="仿宋"/>
                <w:color w:val="auto"/>
                <w:sz w:val="18"/>
                <w:szCs w:val="18"/>
                <w:highlight w:val="none"/>
              </w:rPr>
            </w:pPr>
            <w:r>
              <w:rPr>
                <w:rFonts w:hint="eastAsia" w:ascii="仿宋" w:hAnsi="仿宋" w:eastAsia="仿宋" w:cs="仿宋"/>
                <w:color w:val="auto"/>
                <w:sz w:val="18"/>
                <w:szCs w:val="18"/>
                <w:highlight w:val="none"/>
              </w:rPr>
              <w:t>情况</w:t>
            </w:r>
          </w:p>
        </w:tc>
        <w:tc>
          <w:tcPr>
            <w:tcW w:w="1262" w:type="dxa"/>
            <w:tcBorders>
              <w:top w:val="single" w:color="auto" w:sz="4" w:space="0"/>
              <w:left w:val="single" w:color="auto" w:sz="4" w:space="0"/>
              <w:bottom w:val="single" w:color="auto" w:sz="4" w:space="0"/>
              <w:right w:val="single" w:color="auto" w:sz="4" w:space="0"/>
            </w:tcBorders>
            <w:noWrap w:val="0"/>
            <w:vAlign w:val="center"/>
          </w:tcPr>
          <w:p w14:paraId="1DBCE524">
            <w:pPr>
              <w:spacing w:line="500" w:lineRule="exact"/>
              <w:jc w:val="left"/>
              <w:rPr>
                <w:rFonts w:hint="eastAsia" w:ascii="仿宋" w:hAnsi="仿宋" w:eastAsia="仿宋" w:cs="仿宋"/>
                <w:color w:val="auto"/>
                <w:sz w:val="18"/>
                <w:szCs w:val="18"/>
                <w:highlight w:val="none"/>
              </w:rPr>
            </w:pPr>
            <w:r>
              <w:rPr>
                <w:rFonts w:hint="eastAsia" w:ascii="仿宋" w:hAnsi="仿宋" w:eastAsia="仿宋" w:cs="仿宋"/>
                <w:color w:val="auto"/>
                <w:sz w:val="18"/>
                <w:szCs w:val="18"/>
                <w:highlight w:val="none"/>
              </w:rPr>
              <w:t>投标保证金</w:t>
            </w:r>
          </w:p>
        </w:tc>
        <w:tc>
          <w:tcPr>
            <w:tcW w:w="1259" w:type="dxa"/>
            <w:tcBorders>
              <w:top w:val="single" w:color="auto" w:sz="4" w:space="0"/>
              <w:left w:val="single" w:color="auto" w:sz="4" w:space="0"/>
              <w:bottom w:val="single" w:color="auto" w:sz="4" w:space="0"/>
              <w:right w:val="single" w:color="auto" w:sz="4" w:space="0"/>
            </w:tcBorders>
            <w:noWrap w:val="0"/>
            <w:vAlign w:val="center"/>
          </w:tcPr>
          <w:p w14:paraId="0545782C">
            <w:pPr>
              <w:spacing w:line="500" w:lineRule="exact"/>
              <w:jc w:val="left"/>
              <w:rPr>
                <w:rFonts w:hint="eastAsia" w:ascii="仿宋" w:hAnsi="仿宋" w:eastAsia="仿宋" w:cs="仿宋"/>
                <w:color w:val="auto"/>
                <w:sz w:val="18"/>
                <w:szCs w:val="18"/>
                <w:highlight w:val="none"/>
              </w:rPr>
            </w:pPr>
            <w:r>
              <w:rPr>
                <w:rFonts w:hint="eastAsia" w:ascii="仿宋" w:hAnsi="仿宋" w:eastAsia="仿宋" w:cs="仿宋"/>
                <w:color w:val="auto"/>
                <w:sz w:val="18"/>
                <w:szCs w:val="18"/>
                <w:highlight w:val="none"/>
              </w:rPr>
              <w:t>投标报价</w:t>
            </w:r>
          </w:p>
          <w:p w14:paraId="495CC43E">
            <w:pPr>
              <w:spacing w:line="500" w:lineRule="exact"/>
              <w:jc w:val="left"/>
              <w:rPr>
                <w:rFonts w:hint="eastAsia" w:ascii="仿宋" w:hAnsi="仿宋" w:eastAsia="仿宋" w:cs="仿宋"/>
                <w:color w:val="auto"/>
                <w:sz w:val="18"/>
                <w:szCs w:val="18"/>
                <w:highlight w:val="none"/>
              </w:rPr>
            </w:pPr>
            <w:r>
              <w:rPr>
                <w:rFonts w:hint="eastAsia" w:ascii="仿宋" w:hAnsi="仿宋" w:eastAsia="仿宋" w:cs="仿宋"/>
                <w:color w:val="auto"/>
                <w:sz w:val="18"/>
                <w:szCs w:val="18"/>
                <w:highlight w:val="none"/>
              </w:rPr>
              <w:t>（万元）</w:t>
            </w:r>
          </w:p>
        </w:tc>
        <w:tc>
          <w:tcPr>
            <w:tcW w:w="1087" w:type="dxa"/>
            <w:tcBorders>
              <w:top w:val="single" w:color="auto" w:sz="4" w:space="0"/>
              <w:left w:val="single" w:color="auto" w:sz="4" w:space="0"/>
              <w:bottom w:val="single" w:color="auto" w:sz="4" w:space="0"/>
              <w:right w:val="single" w:color="auto" w:sz="4" w:space="0"/>
            </w:tcBorders>
            <w:noWrap w:val="0"/>
            <w:vAlign w:val="center"/>
          </w:tcPr>
          <w:p w14:paraId="406D6A7D">
            <w:pPr>
              <w:spacing w:line="500" w:lineRule="exact"/>
              <w:jc w:val="left"/>
              <w:rPr>
                <w:rFonts w:hint="eastAsia" w:ascii="仿宋" w:hAnsi="仿宋" w:eastAsia="仿宋" w:cs="仿宋"/>
                <w:color w:val="auto"/>
                <w:sz w:val="18"/>
                <w:szCs w:val="18"/>
                <w:highlight w:val="none"/>
              </w:rPr>
            </w:pPr>
            <w:r>
              <w:rPr>
                <w:rFonts w:hint="eastAsia" w:ascii="仿宋" w:hAnsi="仿宋" w:eastAsia="仿宋" w:cs="仿宋"/>
                <w:color w:val="auto"/>
                <w:sz w:val="18"/>
                <w:szCs w:val="18"/>
                <w:highlight w:val="none"/>
              </w:rPr>
              <w:t>设计质量标准</w:t>
            </w:r>
          </w:p>
        </w:tc>
        <w:tc>
          <w:tcPr>
            <w:tcW w:w="1078" w:type="dxa"/>
            <w:tcBorders>
              <w:top w:val="single" w:color="auto" w:sz="4" w:space="0"/>
              <w:left w:val="single" w:color="auto" w:sz="4" w:space="0"/>
              <w:bottom w:val="single" w:color="auto" w:sz="4" w:space="0"/>
              <w:right w:val="single" w:color="auto" w:sz="4" w:space="0"/>
            </w:tcBorders>
            <w:noWrap w:val="0"/>
            <w:vAlign w:val="center"/>
          </w:tcPr>
          <w:p w14:paraId="7577DC46">
            <w:pPr>
              <w:spacing w:line="500" w:lineRule="exact"/>
              <w:jc w:val="left"/>
              <w:rPr>
                <w:rFonts w:hint="eastAsia" w:ascii="仿宋" w:hAnsi="仿宋" w:eastAsia="仿宋" w:cs="仿宋"/>
                <w:color w:val="auto"/>
                <w:sz w:val="18"/>
                <w:szCs w:val="18"/>
                <w:highlight w:val="none"/>
              </w:rPr>
            </w:pPr>
            <w:r>
              <w:rPr>
                <w:rFonts w:hint="eastAsia" w:ascii="仿宋" w:hAnsi="仿宋" w:eastAsia="仿宋" w:cs="仿宋"/>
                <w:color w:val="auto"/>
                <w:sz w:val="18"/>
                <w:szCs w:val="18"/>
                <w:highlight w:val="none"/>
              </w:rPr>
              <w:t>施工质量标准</w:t>
            </w:r>
          </w:p>
        </w:tc>
        <w:tc>
          <w:tcPr>
            <w:tcW w:w="719" w:type="dxa"/>
            <w:tcBorders>
              <w:top w:val="single" w:color="auto" w:sz="4" w:space="0"/>
              <w:left w:val="single" w:color="auto" w:sz="4" w:space="0"/>
              <w:bottom w:val="single" w:color="auto" w:sz="4" w:space="0"/>
              <w:right w:val="single" w:color="auto" w:sz="4" w:space="0"/>
            </w:tcBorders>
            <w:noWrap w:val="0"/>
            <w:vAlign w:val="center"/>
          </w:tcPr>
          <w:p w14:paraId="526A0350">
            <w:pPr>
              <w:spacing w:line="500" w:lineRule="exact"/>
              <w:jc w:val="left"/>
              <w:rPr>
                <w:rFonts w:hint="eastAsia" w:ascii="仿宋" w:hAnsi="仿宋" w:eastAsia="仿宋" w:cs="仿宋"/>
                <w:color w:val="auto"/>
                <w:sz w:val="18"/>
                <w:szCs w:val="18"/>
                <w:highlight w:val="none"/>
              </w:rPr>
            </w:pPr>
            <w:r>
              <w:rPr>
                <w:rFonts w:hint="eastAsia" w:ascii="仿宋" w:hAnsi="仿宋" w:eastAsia="仿宋" w:cs="仿宋"/>
                <w:color w:val="auto"/>
                <w:sz w:val="18"/>
                <w:szCs w:val="18"/>
                <w:highlight w:val="none"/>
              </w:rPr>
              <w:t>工期</w:t>
            </w:r>
          </w:p>
        </w:tc>
        <w:tc>
          <w:tcPr>
            <w:tcW w:w="719" w:type="dxa"/>
            <w:tcBorders>
              <w:top w:val="single" w:color="auto" w:sz="4" w:space="0"/>
              <w:left w:val="single" w:color="auto" w:sz="4" w:space="0"/>
              <w:bottom w:val="single" w:color="auto" w:sz="4" w:space="0"/>
              <w:right w:val="single" w:color="auto" w:sz="4" w:space="0"/>
            </w:tcBorders>
            <w:noWrap w:val="0"/>
            <w:vAlign w:val="center"/>
          </w:tcPr>
          <w:p w14:paraId="057F9A08">
            <w:pPr>
              <w:spacing w:line="500" w:lineRule="exact"/>
              <w:jc w:val="left"/>
              <w:rPr>
                <w:rFonts w:hint="eastAsia" w:ascii="仿宋" w:hAnsi="仿宋" w:eastAsia="仿宋" w:cs="仿宋"/>
                <w:color w:val="auto"/>
                <w:sz w:val="18"/>
                <w:szCs w:val="18"/>
                <w:highlight w:val="none"/>
              </w:rPr>
            </w:pPr>
            <w:r>
              <w:rPr>
                <w:rFonts w:hint="eastAsia" w:ascii="仿宋" w:hAnsi="仿宋" w:eastAsia="仿宋" w:cs="仿宋"/>
                <w:color w:val="auto"/>
                <w:sz w:val="18"/>
                <w:szCs w:val="18"/>
                <w:highlight w:val="none"/>
              </w:rPr>
              <w:t>备注</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221CEED6">
            <w:pPr>
              <w:spacing w:line="500" w:lineRule="exact"/>
              <w:jc w:val="left"/>
              <w:rPr>
                <w:rFonts w:hint="eastAsia" w:ascii="仿宋" w:hAnsi="仿宋" w:eastAsia="仿宋" w:cs="仿宋"/>
                <w:color w:val="auto"/>
                <w:sz w:val="18"/>
                <w:szCs w:val="18"/>
                <w:highlight w:val="none"/>
              </w:rPr>
            </w:pPr>
            <w:r>
              <w:rPr>
                <w:rFonts w:hint="eastAsia" w:ascii="仿宋" w:hAnsi="仿宋" w:eastAsia="仿宋" w:cs="仿宋"/>
                <w:color w:val="auto"/>
                <w:sz w:val="18"/>
                <w:szCs w:val="18"/>
                <w:highlight w:val="none"/>
              </w:rPr>
              <w:t>签名</w:t>
            </w:r>
          </w:p>
        </w:tc>
      </w:tr>
      <w:tr w14:paraId="6833440C">
        <w:tblPrEx>
          <w:tblCellMar>
            <w:top w:w="0" w:type="dxa"/>
            <w:left w:w="108" w:type="dxa"/>
            <w:bottom w:w="0" w:type="dxa"/>
            <w:right w:w="108" w:type="dxa"/>
          </w:tblCellMar>
        </w:tblPrEx>
        <w:tc>
          <w:tcPr>
            <w:tcW w:w="649" w:type="dxa"/>
            <w:tcBorders>
              <w:top w:val="single" w:color="auto" w:sz="4" w:space="0"/>
              <w:left w:val="single" w:color="auto" w:sz="4" w:space="0"/>
              <w:bottom w:val="single" w:color="auto" w:sz="4" w:space="0"/>
              <w:right w:val="single" w:color="auto" w:sz="4" w:space="0"/>
            </w:tcBorders>
            <w:noWrap w:val="0"/>
            <w:vAlign w:val="top"/>
          </w:tcPr>
          <w:p w14:paraId="21813081">
            <w:pPr>
              <w:spacing w:line="500" w:lineRule="exact"/>
              <w:jc w:val="left"/>
              <w:rPr>
                <w:rFonts w:hint="eastAsia" w:ascii="仿宋" w:hAnsi="仿宋" w:eastAsia="仿宋" w:cs="仿宋"/>
                <w:color w:val="auto"/>
                <w:szCs w:val="21"/>
                <w:highlight w:val="none"/>
              </w:rPr>
            </w:pPr>
          </w:p>
        </w:tc>
        <w:tc>
          <w:tcPr>
            <w:tcW w:w="720" w:type="dxa"/>
            <w:tcBorders>
              <w:top w:val="single" w:color="auto" w:sz="4" w:space="0"/>
              <w:left w:val="single" w:color="auto" w:sz="4" w:space="0"/>
              <w:bottom w:val="single" w:color="auto" w:sz="4" w:space="0"/>
              <w:right w:val="single" w:color="auto" w:sz="4" w:space="0"/>
            </w:tcBorders>
            <w:noWrap w:val="0"/>
            <w:vAlign w:val="top"/>
          </w:tcPr>
          <w:p w14:paraId="152AF079">
            <w:pPr>
              <w:spacing w:line="500" w:lineRule="exact"/>
              <w:jc w:val="left"/>
              <w:rPr>
                <w:rFonts w:hint="eastAsia" w:ascii="仿宋" w:hAnsi="仿宋" w:eastAsia="仿宋" w:cs="仿宋"/>
                <w:color w:val="auto"/>
                <w:szCs w:val="21"/>
                <w:highlight w:val="none"/>
              </w:rPr>
            </w:pPr>
          </w:p>
        </w:tc>
        <w:tc>
          <w:tcPr>
            <w:tcW w:w="905" w:type="dxa"/>
            <w:tcBorders>
              <w:top w:val="single" w:color="auto" w:sz="4" w:space="0"/>
              <w:left w:val="single" w:color="auto" w:sz="4" w:space="0"/>
              <w:bottom w:val="single" w:color="auto" w:sz="4" w:space="0"/>
              <w:right w:val="single" w:color="auto" w:sz="4" w:space="0"/>
            </w:tcBorders>
            <w:noWrap w:val="0"/>
            <w:vAlign w:val="top"/>
          </w:tcPr>
          <w:p w14:paraId="7C1C7F89">
            <w:pPr>
              <w:spacing w:line="500" w:lineRule="exact"/>
              <w:jc w:val="left"/>
              <w:rPr>
                <w:rFonts w:hint="eastAsia" w:ascii="仿宋" w:hAnsi="仿宋" w:eastAsia="仿宋" w:cs="仿宋"/>
                <w:color w:val="auto"/>
                <w:szCs w:val="21"/>
                <w:highlight w:val="none"/>
              </w:rPr>
            </w:pPr>
          </w:p>
        </w:tc>
        <w:tc>
          <w:tcPr>
            <w:tcW w:w="1262" w:type="dxa"/>
            <w:tcBorders>
              <w:top w:val="single" w:color="auto" w:sz="4" w:space="0"/>
              <w:left w:val="single" w:color="auto" w:sz="4" w:space="0"/>
              <w:bottom w:val="single" w:color="auto" w:sz="4" w:space="0"/>
              <w:right w:val="single" w:color="auto" w:sz="4" w:space="0"/>
            </w:tcBorders>
            <w:noWrap w:val="0"/>
            <w:vAlign w:val="top"/>
          </w:tcPr>
          <w:p w14:paraId="06FD2DE1">
            <w:pPr>
              <w:spacing w:line="500" w:lineRule="exact"/>
              <w:jc w:val="left"/>
              <w:rPr>
                <w:rFonts w:hint="eastAsia" w:ascii="仿宋" w:hAnsi="仿宋" w:eastAsia="仿宋" w:cs="仿宋"/>
                <w:color w:val="auto"/>
                <w:szCs w:val="21"/>
                <w:highlight w:val="none"/>
              </w:rPr>
            </w:pPr>
          </w:p>
        </w:tc>
        <w:tc>
          <w:tcPr>
            <w:tcW w:w="1259" w:type="dxa"/>
            <w:tcBorders>
              <w:top w:val="single" w:color="auto" w:sz="4" w:space="0"/>
              <w:left w:val="single" w:color="auto" w:sz="4" w:space="0"/>
              <w:bottom w:val="single" w:color="auto" w:sz="4" w:space="0"/>
              <w:right w:val="single" w:color="auto" w:sz="4" w:space="0"/>
            </w:tcBorders>
            <w:noWrap w:val="0"/>
            <w:vAlign w:val="top"/>
          </w:tcPr>
          <w:p w14:paraId="0EA68935">
            <w:pPr>
              <w:spacing w:line="500" w:lineRule="exact"/>
              <w:jc w:val="left"/>
              <w:rPr>
                <w:rFonts w:hint="eastAsia" w:ascii="仿宋" w:hAnsi="仿宋" w:eastAsia="仿宋" w:cs="仿宋"/>
                <w:color w:val="auto"/>
                <w:szCs w:val="21"/>
                <w:highlight w:val="none"/>
              </w:rPr>
            </w:pPr>
          </w:p>
        </w:tc>
        <w:tc>
          <w:tcPr>
            <w:tcW w:w="1087" w:type="dxa"/>
            <w:tcBorders>
              <w:top w:val="single" w:color="auto" w:sz="4" w:space="0"/>
              <w:left w:val="single" w:color="auto" w:sz="4" w:space="0"/>
              <w:bottom w:val="single" w:color="auto" w:sz="4" w:space="0"/>
              <w:right w:val="single" w:color="auto" w:sz="4" w:space="0"/>
            </w:tcBorders>
            <w:noWrap w:val="0"/>
            <w:vAlign w:val="top"/>
          </w:tcPr>
          <w:p w14:paraId="495F5B39">
            <w:pPr>
              <w:spacing w:line="500" w:lineRule="exact"/>
              <w:jc w:val="left"/>
              <w:rPr>
                <w:rFonts w:hint="eastAsia" w:ascii="仿宋" w:hAnsi="仿宋" w:eastAsia="仿宋" w:cs="仿宋"/>
                <w:color w:val="auto"/>
                <w:szCs w:val="21"/>
                <w:highlight w:val="none"/>
              </w:rPr>
            </w:pPr>
          </w:p>
        </w:tc>
        <w:tc>
          <w:tcPr>
            <w:tcW w:w="1078" w:type="dxa"/>
            <w:tcBorders>
              <w:top w:val="single" w:color="auto" w:sz="4" w:space="0"/>
              <w:left w:val="single" w:color="auto" w:sz="4" w:space="0"/>
              <w:bottom w:val="single" w:color="auto" w:sz="4" w:space="0"/>
              <w:right w:val="single" w:color="auto" w:sz="4" w:space="0"/>
            </w:tcBorders>
            <w:noWrap w:val="0"/>
            <w:vAlign w:val="top"/>
          </w:tcPr>
          <w:p w14:paraId="35A90156">
            <w:pPr>
              <w:spacing w:line="500" w:lineRule="exact"/>
              <w:jc w:val="left"/>
              <w:rPr>
                <w:rFonts w:hint="eastAsia" w:ascii="仿宋" w:hAnsi="仿宋" w:eastAsia="仿宋" w:cs="仿宋"/>
                <w:color w:val="auto"/>
                <w:szCs w:val="21"/>
                <w:highlight w:val="none"/>
              </w:rPr>
            </w:pPr>
          </w:p>
        </w:tc>
        <w:tc>
          <w:tcPr>
            <w:tcW w:w="719" w:type="dxa"/>
            <w:tcBorders>
              <w:top w:val="single" w:color="auto" w:sz="4" w:space="0"/>
              <w:left w:val="single" w:color="auto" w:sz="4" w:space="0"/>
              <w:bottom w:val="single" w:color="auto" w:sz="4" w:space="0"/>
              <w:right w:val="single" w:color="auto" w:sz="4" w:space="0"/>
            </w:tcBorders>
            <w:noWrap w:val="0"/>
            <w:vAlign w:val="top"/>
          </w:tcPr>
          <w:p w14:paraId="4961980A">
            <w:pPr>
              <w:spacing w:line="500" w:lineRule="exact"/>
              <w:jc w:val="left"/>
              <w:rPr>
                <w:rFonts w:hint="eastAsia" w:ascii="仿宋" w:hAnsi="仿宋" w:eastAsia="仿宋" w:cs="仿宋"/>
                <w:color w:val="auto"/>
                <w:szCs w:val="21"/>
                <w:highlight w:val="none"/>
              </w:rPr>
            </w:pPr>
          </w:p>
        </w:tc>
        <w:tc>
          <w:tcPr>
            <w:tcW w:w="719" w:type="dxa"/>
            <w:tcBorders>
              <w:top w:val="single" w:color="auto" w:sz="4" w:space="0"/>
              <w:left w:val="single" w:color="auto" w:sz="4" w:space="0"/>
              <w:bottom w:val="single" w:color="auto" w:sz="4" w:space="0"/>
              <w:right w:val="single" w:color="auto" w:sz="4" w:space="0"/>
            </w:tcBorders>
            <w:noWrap w:val="0"/>
            <w:vAlign w:val="top"/>
          </w:tcPr>
          <w:p w14:paraId="6666681F">
            <w:pPr>
              <w:spacing w:line="500" w:lineRule="exact"/>
              <w:jc w:val="left"/>
              <w:rPr>
                <w:rFonts w:hint="eastAsia" w:ascii="仿宋" w:hAnsi="仿宋" w:eastAsia="仿宋" w:cs="仿宋"/>
                <w:color w:val="auto"/>
                <w:szCs w:val="21"/>
                <w:highlight w:val="none"/>
              </w:rPr>
            </w:pPr>
          </w:p>
        </w:tc>
        <w:tc>
          <w:tcPr>
            <w:tcW w:w="709" w:type="dxa"/>
            <w:tcBorders>
              <w:top w:val="single" w:color="auto" w:sz="4" w:space="0"/>
              <w:left w:val="single" w:color="auto" w:sz="4" w:space="0"/>
              <w:bottom w:val="single" w:color="auto" w:sz="4" w:space="0"/>
              <w:right w:val="single" w:color="auto" w:sz="4" w:space="0"/>
            </w:tcBorders>
            <w:noWrap w:val="0"/>
            <w:vAlign w:val="top"/>
          </w:tcPr>
          <w:p w14:paraId="6D29E3CA">
            <w:pPr>
              <w:spacing w:line="500" w:lineRule="exact"/>
              <w:jc w:val="left"/>
              <w:rPr>
                <w:rFonts w:hint="eastAsia" w:ascii="仿宋" w:hAnsi="仿宋" w:eastAsia="仿宋" w:cs="仿宋"/>
                <w:color w:val="auto"/>
                <w:szCs w:val="21"/>
                <w:highlight w:val="none"/>
              </w:rPr>
            </w:pPr>
          </w:p>
        </w:tc>
      </w:tr>
      <w:tr w14:paraId="09C73CF6">
        <w:tblPrEx>
          <w:tblCellMar>
            <w:top w:w="0" w:type="dxa"/>
            <w:left w:w="108" w:type="dxa"/>
            <w:bottom w:w="0" w:type="dxa"/>
            <w:right w:w="108" w:type="dxa"/>
          </w:tblCellMar>
        </w:tblPrEx>
        <w:tc>
          <w:tcPr>
            <w:tcW w:w="649" w:type="dxa"/>
            <w:tcBorders>
              <w:top w:val="single" w:color="auto" w:sz="4" w:space="0"/>
              <w:left w:val="single" w:color="auto" w:sz="4" w:space="0"/>
              <w:bottom w:val="single" w:color="auto" w:sz="4" w:space="0"/>
              <w:right w:val="single" w:color="auto" w:sz="4" w:space="0"/>
            </w:tcBorders>
            <w:noWrap w:val="0"/>
            <w:vAlign w:val="top"/>
          </w:tcPr>
          <w:p w14:paraId="40E9EAC3">
            <w:pPr>
              <w:spacing w:line="500" w:lineRule="exact"/>
              <w:jc w:val="left"/>
              <w:rPr>
                <w:rFonts w:hint="eastAsia" w:ascii="仿宋" w:hAnsi="仿宋" w:eastAsia="仿宋" w:cs="仿宋"/>
                <w:color w:val="auto"/>
                <w:szCs w:val="21"/>
                <w:highlight w:val="none"/>
              </w:rPr>
            </w:pPr>
          </w:p>
        </w:tc>
        <w:tc>
          <w:tcPr>
            <w:tcW w:w="720" w:type="dxa"/>
            <w:tcBorders>
              <w:top w:val="single" w:color="auto" w:sz="4" w:space="0"/>
              <w:left w:val="single" w:color="auto" w:sz="4" w:space="0"/>
              <w:bottom w:val="single" w:color="auto" w:sz="4" w:space="0"/>
              <w:right w:val="single" w:color="auto" w:sz="4" w:space="0"/>
            </w:tcBorders>
            <w:noWrap w:val="0"/>
            <w:vAlign w:val="top"/>
          </w:tcPr>
          <w:p w14:paraId="355987A3">
            <w:pPr>
              <w:spacing w:line="500" w:lineRule="exact"/>
              <w:jc w:val="left"/>
              <w:rPr>
                <w:rFonts w:hint="eastAsia" w:ascii="仿宋" w:hAnsi="仿宋" w:eastAsia="仿宋" w:cs="仿宋"/>
                <w:color w:val="auto"/>
                <w:szCs w:val="21"/>
                <w:highlight w:val="none"/>
              </w:rPr>
            </w:pPr>
          </w:p>
        </w:tc>
        <w:tc>
          <w:tcPr>
            <w:tcW w:w="905" w:type="dxa"/>
            <w:tcBorders>
              <w:top w:val="single" w:color="auto" w:sz="4" w:space="0"/>
              <w:left w:val="single" w:color="auto" w:sz="4" w:space="0"/>
              <w:bottom w:val="single" w:color="auto" w:sz="4" w:space="0"/>
              <w:right w:val="single" w:color="auto" w:sz="4" w:space="0"/>
            </w:tcBorders>
            <w:noWrap w:val="0"/>
            <w:vAlign w:val="top"/>
          </w:tcPr>
          <w:p w14:paraId="2872B140">
            <w:pPr>
              <w:spacing w:line="500" w:lineRule="exact"/>
              <w:jc w:val="left"/>
              <w:rPr>
                <w:rFonts w:hint="eastAsia" w:ascii="仿宋" w:hAnsi="仿宋" w:eastAsia="仿宋" w:cs="仿宋"/>
                <w:color w:val="auto"/>
                <w:szCs w:val="21"/>
                <w:highlight w:val="none"/>
              </w:rPr>
            </w:pPr>
          </w:p>
        </w:tc>
        <w:tc>
          <w:tcPr>
            <w:tcW w:w="1262" w:type="dxa"/>
            <w:tcBorders>
              <w:top w:val="single" w:color="auto" w:sz="4" w:space="0"/>
              <w:left w:val="single" w:color="auto" w:sz="4" w:space="0"/>
              <w:bottom w:val="single" w:color="auto" w:sz="4" w:space="0"/>
              <w:right w:val="single" w:color="auto" w:sz="4" w:space="0"/>
            </w:tcBorders>
            <w:noWrap w:val="0"/>
            <w:vAlign w:val="top"/>
          </w:tcPr>
          <w:p w14:paraId="1773E87F">
            <w:pPr>
              <w:spacing w:line="500" w:lineRule="exact"/>
              <w:jc w:val="left"/>
              <w:rPr>
                <w:rFonts w:hint="eastAsia" w:ascii="仿宋" w:hAnsi="仿宋" w:eastAsia="仿宋" w:cs="仿宋"/>
                <w:color w:val="auto"/>
                <w:szCs w:val="21"/>
                <w:highlight w:val="none"/>
              </w:rPr>
            </w:pPr>
          </w:p>
        </w:tc>
        <w:tc>
          <w:tcPr>
            <w:tcW w:w="1259" w:type="dxa"/>
            <w:tcBorders>
              <w:top w:val="single" w:color="auto" w:sz="4" w:space="0"/>
              <w:left w:val="single" w:color="auto" w:sz="4" w:space="0"/>
              <w:bottom w:val="single" w:color="auto" w:sz="4" w:space="0"/>
              <w:right w:val="single" w:color="auto" w:sz="4" w:space="0"/>
            </w:tcBorders>
            <w:noWrap w:val="0"/>
            <w:vAlign w:val="top"/>
          </w:tcPr>
          <w:p w14:paraId="336A9F54">
            <w:pPr>
              <w:spacing w:line="500" w:lineRule="exact"/>
              <w:jc w:val="left"/>
              <w:rPr>
                <w:rFonts w:hint="eastAsia" w:ascii="仿宋" w:hAnsi="仿宋" w:eastAsia="仿宋" w:cs="仿宋"/>
                <w:color w:val="auto"/>
                <w:szCs w:val="21"/>
                <w:highlight w:val="none"/>
              </w:rPr>
            </w:pPr>
          </w:p>
        </w:tc>
        <w:tc>
          <w:tcPr>
            <w:tcW w:w="1087" w:type="dxa"/>
            <w:tcBorders>
              <w:top w:val="single" w:color="auto" w:sz="4" w:space="0"/>
              <w:left w:val="single" w:color="auto" w:sz="4" w:space="0"/>
              <w:bottom w:val="single" w:color="auto" w:sz="4" w:space="0"/>
              <w:right w:val="single" w:color="auto" w:sz="4" w:space="0"/>
            </w:tcBorders>
            <w:noWrap w:val="0"/>
            <w:vAlign w:val="top"/>
          </w:tcPr>
          <w:p w14:paraId="43BEED16">
            <w:pPr>
              <w:spacing w:line="500" w:lineRule="exact"/>
              <w:jc w:val="left"/>
              <w:rPr>
                <w:rFonts w:hint="eastAsia" w:ascii="仿宋" w:hAnsi="仿宋" w:eastAsia="仿宋" w:cs="仿宋"/>
                <w:color w:val="auto"/>
                <w:szCs w:val="21"/>
                <w:highlight w:val="none"/>
              </w:rPr>
            </w:pPr>
          </w:p>
        </w:tc>
        <w:tc>
          <w:tcPr>
            <w:tcW w:w="1078" w:type="dxa"/>
            <w:tcBorders>
              <w:top w:val="single" w:color="auto" w:sz="4" w:space="0"/>
              <w:left w:val="single" w:color="auto" w:sz="4" w:space="0"/>
              <w:bottom w:val="single" w:color="auto" w:sz="4" w:space="0"/>
              <w:right w:val="single" w:color="auto" w:sz="4" w:space="0"/>
            </w:tcBorders>
            <w:noWrap w:val="0"/>
            <w:vAlign w:val="top"/>
          </w:tcPr>
          <w:p w14:paraId="17E6C56C">
            <w:pPr>
              <w:spacing w:line="500" w:lineRule="exact"/>
              <w:jc w:val="left"/>
              <w:rPr>
                <w:rFonts w:hint="eastAsia" w:ascii="仿宋" w:hAnsi="仿宋" w:eastAsia="仿宋" w:cs="仿宋"/>
                <w:color w:val="auto"/>
                <w:szCs w:val="21"/>
                <w:highlight w:val="none"/>
              </w:rPr>
            </w:pPr>
          </w:p>
        </w:tc>
        <w:tc>
          <w:tcPr>
            <w:tcW w:w="719" w:type="dxa"/>
            <w:tcBorders>
              <w:top w:val="single" w:color="auto" w:sz="4" w:space="0"/>
              <w:left w:val="single" w:color="auto" w:sz="4" w:space="0"/>
              <w:bottom w:val="single" w:color="auto" w:sz="4" w:space="0"/>
              <w:right w:val="single" w:color="auto" w:sz="4" w:space="0"/>
            </w:tcBorders>
            <w:noWrap w:val="0"/>
            <w:vAlign w:val="top"/>
          </w:tcPr>
          <w:p w14:paraId="243F2DBB">
            <w:pPr>
              <w:spacing w:line="500" w:lineRule="exact"/>
              <w:jc w:val="left"/>
              <w:rPr>
                <w:rFonts w:hint="eastAsia" w:ascii="仿宋" w:hAnsi="仿宋" w:eastAsia="仿宋" w:cs="仿宋"/>
                <w:color w:val="auto"/>
                <w:szCs w:val="21"/>
                <w:highlight w:val="none"/>
              </w:rPr>
            </w:pPr>
          </w:p>
        </w:tc>
        <w:tc>
          <w:tcPr>
            <w:tcW w:w="719" w:type="dxa"/>
            <w:tcBorders>
              <w:top w:val="single" w:color="auto" w:sz="4" w:space="0"/>
              <w:left w:val="single" w:color="auto" w:sz="4" w:space="0"/>
              <w:bottom w:val="single" w:color="auto" w:sz="4" w:space="0"/>
              <w:right w:val="single" w:color="auto" w:sz="4" w:space="0"/>
            </w:tcBorders>
            <w:noWrap w:val="0"/>
            <w:vAlign w:val="top"/>
          </w:tcPr>
          <w:p w14:paraId="38240A84">
            <w:pPr>
              <w:spacing w:line="500" w:lineRule="exact"/>
              <w:jc w:val="left"/>
              <w:rPr>
                <w:rFonts w:hint="eastAsia" w:ascii="仿宋" w:hAnsi="仿宋" w:eastAsia="仿宋" w:cs="仿宋"/>
                <w:color w:val="auto"/>
                <w:szCs w:val="21"/>
                <w:highlight w:val="none"/>
              </w:rPr>
            </w:pPr>
          </w:p>
        </w:tc>
        <w:tc>
          <w:tcPr>
            <w:tcW w:w="709" w:type="dxa"/>
            <w:tcBorders>
              <w:top w:val="single" w:color="auto" w:sz="4" w:space="0"/>
              <w:left w:val="single" w:color="auto" w:sz="4" w:space="0"/>
              <w:bottom w:val="single" w:color="auto" w:sz="4" w:space="0"/>
              <w:right w:val="single" w:color="auto" w:sz="4" w:space="0"/>
            </w:tcBorders>
            <w:noWrap w:val="0"/>
            <w:vAlign w:val="top"/>
          </w:tcPr>
          <w:p w14:paraId="2FAF3953">
            <w:pPr>
              <w:spacing w:line="500" w:lineRule="exact"/>
              <w:jc w:val="left"/>
              <w:rPr>
                <w:rFonts w:hint="eastAsia" w:ascii="仿宋" w:hAnsi="仿宋" w:eastAsia="仿宋" w:cs="仿宋"/>
                <w:color w:val="auto"/>
                <w:szCs w:val="21"/>
                <w:highlight w:val="none"/>
              </w:rPr>
            </w:pPr>
          </w:p>
        </w:tc>
      </w:tr>
      <w:tr w14:paraId="7FF49AD4">
        <w:tblPrEx>
          <w:tblCellMar>
            <w:top w:w="0" w:type="dxa"/>
            <w:left w:w="108" w:type="dxa"/>
            <w:bottom w:w="0" w:type="dxa"/>
            <w:right w:w="108" w:type="dxa"/>
          </w:tblCellMar>
        </w:tblPrEx>
        <w:tc>
          <w:tcPr>
            <w:tcW w:w="649" w:type="dxa"/>
            <w:tcBorders>
              <w:top w:val="single" w:color="auto" w:sz="4" w:space="0"/>
              <w:left w:val="single" w:color="auto" w:sz="4" w:space="0"/>
              <w:bottom w:val="single" w:color="auto" w:sz="4" w:space="0"/>
              <w:right w:val="single" w:color="auto" w:sz="4" w:space="0"/>
            </w:tcBorders>
            <w:noWrap w:val="0"/>
            <w:vAlign w:val="top"/>
          </w:tcPr>
          <w:p w14:paraId="0880DFDA">
            <w:pPr>
              <w:spacing w:line="500" w:lineRule="exact"/>
              <w:jc w:val="left"/>
              <w:rPr>
                <w:rFonts w:hint="eastAsia" w:ascii="仿宋" w:hAnsi="仿宋" w:eastAsia="仿宋" w:cs="仿宋"/>
                <w:color w:val="auto"/>
                <w:szCs w:val="21"/>
                <w:highlight w:val="none"/>
              </w:rPr>
            </w:pPr>
          </w:p>
        </w:tc>
        <w:tc>
          <w:tcPr>
            <w:tcW w:w="720" w:type="dxa"/>
            <w:tcBorders>
              <w:top w:val="single" w:color="auto" w:sz="4" w:space="0"/>
              <w:left w:val="single" w:color="auto" w:sz="4" w:space="0"/>
              <w:bottom w:val="single" w:color="auto" w:sz="4" w:space="0"/>
              <w:right w:val="single" w:color="auto" w:sz="4" w:space="0"/>
            </w:tcBorders>
            <w:noWrap w:val="0"/>
            <w:vAlign w:val="top"/>
          </w:tcPr>
          <w:p w14:paraId="1A8FD9A8">
            <w:pPr>
              <w:spacing w:line="500" w:lineRule="exact"/>
              <w:jc w:val="left"/>
              <w:rPr>
                <w:rFonts w:hint="eastAsia" w:ascii="仿宋" w:hAnsi="仿宋" w:eastAsia="仿宋" w:cs="仿宋"/>
                <w:color w:val="auto"/>
                <w:szCs w:val="21"/>
                <w:highlight w:val="none"/>
              </w:rPr>
            </w:pPr>
          </w:p>
        </w:tc>
        <w:tc>
          <w:tcPr>
            <w:tcW w:w="905" w:type="dxa"/>
            <w:tcBorders>
              <w:top w:val="single" w:color="auto" w:sz="4" w:space="0"/>
              <w:left w:val="single" w:color="auto" w:sz="4" w:space="0"/>
              <w:bottom w:val="single" w:color="auto" w:sz="4" w:space="0"/>
              <w:right w:val="single" w:color="auto" w:sz="4" w:space="0"/>
            </w:tcBorders>
            <w:noWrap w:val="0"/>
            <w:vAlign w:val="top"/>
          </w:tcPr>
          <w:p w14:paraId="54E5B053">
            <w:pPr>
              <w:spacing w:line="500" w:lineRule="exact"/>
              <w:jc w:val="left"/>
              <w:rPr>
                <w:rFonts w:hint="eastAsia" w:ascii="仿宋" w:hAnsi="仿宋" w:eastAsia="仿宋" w:cs="仿宋"/>
                <w:color w:val="auto"/>
                <w:szCs w:val="21"/>
                <w:highlight w:val="none"/>
              </w:rPr>
            </w:pPr>
          </w:p>
        </w:tc>
        <w:tc>
          <w:tcPr>
            <w:tcW w:w="1262" w:type="dxa"/>
            <w:tcBorders>
              <w:top w:val="single" w:color="auto" w:sz="4" w:space="0"/>
              <w:left w:val="single" w:color="auto" w:sz="4" w:space="0"/>
              <w:bottom w:val="single" w:color="auto" w:sz="4" w:space="0"/>
              <w:right w:val="single" w:color="auto" w:sz="4" w:space="0"/>
            </w:tcBorders>
            <w:noWrap w:val="0"/>
            <w:vAlign w:val="top"/>
          </w:tcPr>
          <w:p w14:paraId="3A725E63">
            <w:pPr>
              <w:spacing w:line="500" w:lineRule="exact"/>
              <w:jc w:val="left"/>
              <w:rPr>
                <w:rFonts w:hint="eastAsia" w:ascii="仿宋" w:hAnsi="仿宋" w:eastAsia="仿宋" w:cs="仿宋"/>
                <w:color w:val="auto"/>
                <w:szCs w:val="21"/>
                <w:highlight w:val="none"/>
              </w:rPr>
            </w:pPr>
          </w:p>
        </w:tc>
        <w:tc>
          <w:tcPr>
            <w:tcW w:w="1259" w:type="dxa"/>
            <w:tcBorders>
              <w:top w:val="single" w:color="auto" w:sz="4" w:space="0"/>
              <w:left w:val="single" w:color="auto" w:sz="4" w:space="0"/>
              <w:bottom w:val="single" w:color="auto" w:sz="4" w:space="0"/>
              <w:right w:val="single" w:color="auto" w:sz="4" w:space="0"/>
            </w:tcBorders>
            <w:noWrap w:val="0"/>
            <w:vAlign w:val="top"/>
          </w:tcPr>
          <w:p w14:paraId="1F0EFEB9">
            <w:pPr>
              <w:spacing w:line="500" w:lineRule="exact"/>
              <w:jc w:val="left"/>
              <w:rPr>
                <w:rFonts w:hint="eastAsia" w:ascii="仿宋" w:hAnsi="仿宋" w:eastAsia="仿宋" w:cs="仿宋"/>
                <w:color w:val="auto"/>
                <w:szCs w:val="21"/>
                <w:highlight w:val="none"/>
              </w:rPr>
            </w:pPr>
          </w:p>
        </w:tc>
        <w:tc>
          <w:tcPr>
            <w:tcW w:w="1087" w:type="dxa"/>
            <w:tcBorders>
              <w:top w:val="single" w:color="auto" w:sz="4" w:space="0"/>
              <w:left w:val="single" w:color="auto" w:sz="4" w:space="0"/>
              <w:bottom w:val="single" w:color="auto" w:sz="4" w:space="0"/>
              <w:right w:val="single" w:color="auto" w:sz="4" w:space="0"/>
            </w:tcBorders>
            <w:noWrap w:val="0"/>
            <w:vAlign w:val="top"/>
          </w:tcPr>
          <w:p w14:paraId="206E3A2B">
            <w:pPr>
              <w:spacing w:line="500" w:lineRule="exact"/>
              <w:jc w:val="left"/>
              <w:rPr>
                <w:rFonts w:hint="eastAsia" w:ascii="仿宋" w:hAnsi="仿宋" w:eastAsia="仿宋" w:cs="仿宋"/>
                <w:color w:val="auto"/>
                <w:szCs w:val="21"/>
                <w:highlight w:val="none"/>
              </w:rPr>
            </w:pPr>
          </w:p>
        </w:tc>
        <w:tc>
          <w:tcPr>
            <w:tcW w:w="1078" w:type="dxa"/>
            <w:tcBorders>
              <w:top w:val="single" w:color="auto" w:sz="4" w:space="0"/>
              <w:left w:val="single" w:color="auto" w:sz="4" w:space="0"/>
              <w:bottom w:val="single" w:color="auto" w:sz="4" w:space="0"/>
              <w:right w:val="single" w:color="auto" w:sz="4" w:space="0"/>
            </w:tcBorders>
            <w:noWrap w:val="0"/>
            <w:vAlign w:val="top"/>
          </w:tcPr>
          <w:p w14:paraId="20B876B9">
            <w:pPr>
              <w:spacing w:line="500" w:lineRule="exact"/>
              <w:jc w:val="left"/>
              <w:rPr>
                <w:rFonts w:hint="eastAsia" w:ascii="仿宋" w:hAnsi="仿宋" w:eastAsia="仿宋" w:cs="仿宋"/>
                <w:color w:val="auto"/>
                <w:szCs w:val="21"/>
                <w:highlight w:val="none"/>
              </w:rPr>
            </w:pPr>
          </w:p>
        </w:tc>
        <w:tc>
          <w:tcPr>
            <w:tcW w:w="719" w:type="dxa"/>
            <w:tcBorders>
              <w:top w:val="single" w:color="auto" w:sz="4" w:space="0"/>
              <w:left w:val="single" w:color="auto" w:sz="4" w:space="0"/>
              <w:bottom w:val="single" w:color="auto" w:sz="4" w:space="0"/>
              <w:right w:val="single" w:color="auto" w:sz="4" w:space="0"/>
            </w:tcBorders>
            <w:noWrap w:val="0"/>
            <w:vAlign w:val="top"/>
          </w:tcPr>
          <w:p w14:paraId="76D407E7">
            <w:pPr>
              <w:spacing w:line="500" w:lineRule="exact"/>
              <w:jc w:val="left"/>
              <w:rPr>
                <w:rFonts w:hint="eastAsia" w:ascii="仿宋" w:hAnsi="仿宋" w:eastAsia="仿宋" w:cs="仿宋"/>
                <w:color w:val="auto"/>
                <w:szCs w:val="21"/>
                <w:highlight w:val="none"/>
              </w:rPr>
            </w:pPr>
          </w:p>
        </w:tc>
        <w:tc>
          <w:tcPr>
            <w:tcW w:w="719" w:type="dxa"/>
            <w:tcBorders>
              <w:top w:val="single" w:color="auto" w:sz="4" w:space="0"/>
              <w:left w:val="single" w:color="auto" w:sz="4" w:space="0"/>
              <w:bottom w:val="single" w:color="auto" w:sz="4" w:space="0"/>
              <w:right w:val="single" w:color="auto" w:sz="4" w:space="0"/>
            </w:tcBorders>
            <w:noWrap w:val="0"/>
            <w:vAlign w:val="top"/>
          </w:tcPr>
          <w:p w14:paraId="18759B90">
            <w:pPr>
              <w:spacing w:line="500" w:lineRule="exact"/>
              <w:jc w:val="left"/>
              <w:rPr>
                <w:rFonts w:hint="eastAsia" w:ascii="仿宋" w:hAnsi="仿宋" w:eastAsia="仿宋" w:cs="仿宋"/>
                <w:color w:val="auto"/>
                <w:szCs w:val="21"/>
                <w:highlight w:val="none"/>
              </w:rPr>
            </w:pPr>
          </w:p>
        </w:tc>
        <w:tc>
          <w:tcPr>
            <w:tcW w:w="709" w:type="dxa"/>
            <w:tcBorders>
              <w:top w:val="single" w:color="auto" w:sz="4" w:space="0"/>
              <w:left w:val="single" w:color="auto" w:sz="4" w:space="0"/>
              <w:bottom w:val="single" w:color="auto" w:sz="4" w:space="0"/>
              <w:right w:val="single" w:color="auto" w:sz="4" w:space="0"/>
            </w:tcBorders>
            <w:noWrap w:val="0"/>
            <w:vAlign w:val="top"/>
          </w:tcPr>
          <w:p w14:paraId="6BEF9800">
            <w:pPr>
              <w:spacing w:line="500" w:lineRule="exact"/>
              <w:jc w:val="left"/>
              <w:rPr>
                <w:rFonts w:hint="eastAsia" w:ascii="仿宋" w:hAnsi="仿宋" w:eastAsia="仿宋" w:cs="仿宋"/>
                <w:color w:val="auto"/>
                <w:szCs w:val="21"/>
                <w:highlight w:val="none"/>
              </w:rPr>
            </w:pPr>
          </w:p>
        </w:tc>
      </w:tr>
      <w:tr w14:paraId="4FECA973">
        <w:tblPrEx>
          <w:tblCellMar>
            <w:top w:w="0" w:type="dxa"/>
            <w:left w:w="108" w:type="dxa"/>
            <w:bottom w:w="0" w:type="dxa"/>
            <w:right w:w="108" w:type="dxa"/>
          </w:tblCellMar>
        </w:tblPrEx>
        <w:tc>
          <w:tcPr>
            <w:tcW w:w="649" w:type="dxa"/>
            <w:tcBorders>
              <w:top w:val="single" w:color="auto" w:sz="4" w:space="0"/>
              <w:left w:val="single" w:color="auto" w:sz="4" w:space="0"/>
              <w:bottom w:val="single" w:color="auto" w:sz="4" w:space="0"/>
              <w:right w:val="single" w:color="auto" w:sz="4" w:space="0"/>
            </w:tcBorders>
            <w:noWrap w:val="0"/>
            <w:vAlign w:val="top"/>
          </w:tcPr>
          <w:p w14:paraId="6DEA84EC">
            <w:pPr>
              <w:spacing w:line="500" w:lineRule="exact"/>
              <w:jc w:val="left"/>
              <w:rPr>
                <w:rFonts w:hint="eastAsia" w:ascii="仿宋" w:hAnsi="仿宋" w:eastAsia="仿宋" w:cs="仿宋"/>
                <w:color w:val="auto"/>
                <w:szCs w:val="21"/>
                <w:highlight w:val="none"/>
              </w:rPr>
            </w:pPr>
          </w:p>
        </w:tc>
        <w:tc>
          <w:tcPr>
            <w:tcW w:w="720" w:type="dxa"/>
            <w:tcBorders>
              <w:top w:val="single" w:color="auto" w:sz="4" w:space="0"/>
              <w:left w:val="single" w:color="auto" w:sz="4" w:space="0"/>
              <w:bottom w:val="single" w:color="auto" w:sz="4" w:space="0"/>
              <w:right w:val="single" w:color="auto" w:sz="4" w:space="0"/>
            </w:tcBorders>
            <w:noWrap w:val="0"/>
            <w:vAlign w:val="top"/>
          </w:tcPr>
          <w:p w14:paraId="7DEFBF8F">
            <w:pPr>
              <w:spacing w:line="500" w:lineRule="exact"/>
              <w:jc w:val="left"/>
              <w:rPr>
                <w:rFonts w:hint="eastAsia" w:ascii="仿宋" w:hAnsi="仿宋" w:eastAsia="仿宋" w:cs="仿宋"/>
                <w:color w:val="auto"/>
                <w:szCs w:val="21"/>
                <w:highlight w:val="none"/>
              </w:rPr>
            </w:pPr>
          </w:p>
        </w:tc>
        <w:tc>
          <w:tcPr>
            <w:tcW w:w="905" w:type="dxa"/>
            <w:tcBorders>
              <w:top w:val="single" w:color="auto" w:sz="4" w:space="0"/>
              <w:left w:val="single" w:color="auto" w:sz="4" w:space="0"/>
              <w:bottom w:val="single" w:color="auto" w:sz="4" w:space="0"/>
              <w:right w:val="single" w:color="auto" w:sz="4" w:space="0"/>
            </w:tcBorders>
            <w:noWrap w:val="0"/>
            <w:vAlign w:val="top"/>
          </w:tcPr>
          <w:p w14:paraId="0FBA1BA6">
            <w:pPr>
              <w:spacing w:line="500" w:lineRule="exact"/>
              <w:jc w:val="left"/>
              <w:rPr>
                <w:rFonts w:hint="eastAsia" w:ascii="仿宋" w:hAnsi="仿宋" w:eastAsia="仿宋" w:cs="仿宋"/>
                <w:color w:val="auto"/>
                <w:szCs w:val="21"/>
                <w:highlight w:val="none"/>
              </w:rPr>
            </w:pPr>
          </w:p>
        </w:tc>
        <w:tc>
          <w:tcPr>
            <w:tcW w:w="1262" w:type="dxa"/>
            <w:tcBorders>
              <w:top w:val="single" w:color="auto" w:sz="4" w:space="0"/>
              <w:left w:val="single" w:color="auto" w:sz="4" w:space="0"/>
              <w:bottom w:val="single" w:color="auto" w:sz="4" w:space="0"/>
              <w:right w:val="single" w:color="auto" w:sz="4" w:space="0"/>
            </w:tcBorders>
            <w:noWrap w:val="0"/>
            <w:vAlign w:val="top"/>
          </w:tcPr>
          <w:p w14:paraId="334FA3D8">
            <w:pPr>
              <w:spacing w:line="500" w:lineRule="exact"/>
              <w:jc w:val="left"/>
              <w:rPr>
                <w:rFonts w:hint="eastAsia" w:ascii="仿宋" w:hAnsi="仿宋" w:eastAsia="仿宋" w:cs="仿宋"/>
                <w:color w:val="auto"/>
                <w:szCs w:val="21"/>
                <w:highlight w:val="none"/>
              </w:rPr>
            </w:pPr>
          </w:p>
        </w:tc>
        <w:tc>
          <w:tcPr>
            <w:tcW w:w="1259" w:type="dxa"/>
            <w:tcBorders>
              <w:top w:val="single" w:color="auto" w:sz="4" w:space="0"/>
              <w:left w:val="single" w:color="auto" w:sz="4" w:space="0"/>
              <w:bottom w:val="single" w:color="auto" w:sz="4" w:space="0"/>
              <w:right w:val="single" w:color="auto" w:sz="4" w:space="0"/>
            </w:tcBorders>
            <w:noWrap w:val="0"/>
            <w:vAlign w:val="top"/>
          </w:tcPr>
          <w:p w14:paraId="70C52FB6">
            <w:pPr>
              <w:spacing w:line="500" w:lineRule="exact"/>
              <w:jc w:val="left"/>
              <w:rPr>
                <w:rFonts w:hint="eastAsia" w:ascii="仿宋" w:hAnsi="仿宋" w:eastAsia="仿宋" w:cs="仿宋"/>
                <w:color w:val="auto"/>
                <w:szCs w:val="21"/>
                <w:highlight w:val="none"/>
              </w:rPr>
            </w:pPr>
          </w:p>
        </w:tc>
        <w:tc>
          <w:tcPr>
            <w:tcW w:w="1087" w:type="dxa"/>
            <w:tcBorders>
              <w:top w:val="single" w:color="auto" w:sz="4" w:space="0"/>
              <w:left w:val="single" w:color="auto" w:sz="4" w:space="0"/>
              <w:bottom w:val="single" w:color="auto" w:sz="4" w:space="0"/>
              <w:right w:val="single" w:color="auto" w:sz="4" w:space="0"/>
            </w:tcBorders>
            <w:noWrap w:val="0"/>
            <w:vAlign w:val="top"/>
          </w:tcPr>
          <w:p w14:paraId="1E87E64A">
            <w:pPr>
              <w:spacing w:line="500" w:lineRule="exact"/>
              <w:jc w:val="left"/>
              <w:rPr>
                <w:rFonts w:hint="eastAsia" w:ascii="仿宋" w:hAnsi="仿宋" w:eastAsia="仿宋" w:cs="仿宋"/>
                <w:color w:val="auto"/>
                <w:szCs w:val="21"/>
                <w:highlight w:val="none"/>
              </w:rPr>
            </w:pPr>
          </w:p>
        </w:tc>
        <w:tc>
          <w:tcPr>
            <w:tcW w:w="1078" w:type="dxa"/>
            <w:tcBorders>
              <w:top w:val="single" w:color="auto" w:sz="4" w:space="0"/>
              <w:left w:val="single" w:color="auto" w:sz="4" w:space="0"/>
              <w:bottom w:val="single" w:color="auto" w:sz="4" w:space="0"/>
              <w:right w:val="single" w:color="auto" w:sz="4" w:space="0"/>
            </w:tcBorders>
            <w:noWrap w:val="0"/>
            <w:vAlign w:val="top"/>
          </w:tcPr>
          <w:p w14:paraId="2E936ABD">
            <w:pPr>
              <w:spacing w:line="500" w:lineRule="exact"/>
              <w:jc w:val="left"/>
              <w:rPr>
                <w:rFonts w:hint="eastAsia" w:ascii="仿宋" w:hAnsi="仿宋" w:eastAsia="仿宋" w:cs="仿宋"/>
                <w:color w:val="auto"/>
                <w:szCs w:val="21"/>
                <w:highlight w:val="none"/>
              </w:rPr>
            </w:pPr>
          </w:p>
        </w:tc>
        <w:tc>
          <w:tcPr>
            <w:tcW w:w="719" w:type="dxa"/>
            <w:tcBorders>
              <w:top w:val="single" w:color="auto" w:sz="4" w:space="0"/>
              <w:left w:val="single" w:color="auto" w:sz="4" w:space="0"/>
              <w:bottom w:val="single" w:color="auto" w:sz="4" w:space="0"/>
              <w:right w:val="single" w:color="auto" w:sz="4" w:space="0"/>
            </w:tcBorders>
            <w:noWrap w:val="0"/>
            <w:vAlign w:val="top"/>
          </w:tcPr>
          <w:p w14:paraId="32D2535C">
            <w:pPr>
              <w:spacing w:line="500" w:lineRule="exact"/>
              <w:jc w:val="left"/>
              <w:rPr>
                <w:rFonts w:hint="eastAsia" w:ascii="仿宋" w:hAnsi="仿宋" w:eastAsia="仿宋" w:cs="仿宋"/>
                <w:color w:val="auto"/>
                <w:szCs w:val="21"/>
                <w:highlight w:val="none"/>
              </w:rPr>
            </w:pPr>
          </w:p>
        </w:tc>
        <w:tc>
          <w:tcPr>
            <w:tcW w:w="719" w:type="dxa"/>
            <w:tcBorders>
              <w:top w:val="single" w:color="auto" w:sz="4" w:space="0"/>
              <w:left w:val="single" w:color="auto" w:sz="4" w:space="0"/>
              <w:bottom w:val="single" w:color="auto" w:sz="4" w:space="0"/>
              <w:right w:val="single" w:color="auto" w:sz="4" w:space="0"/>
            </w:tcBorders>
            <w:noWrap w:val="0"/>
            <w:vAlign w:val="top"/>
          </w:tcPr>
          <w:p w14:paraId="1718C974">
            <w:pPr>
              <w:spacing w:line="500" w:lineRule="exact"/>
              <w:jc w:val="left"/>
              <w:rPr>
                <w:rFonts w:hint="eastAsia" w:ascii="仿宋" w:hAnsi="仿宋" w:eastAsia="仿宋" w:cs="仿宋"/>
                <w:color w:val="auto"/>
                <w:szCs w:val="21"/>
                <w:highlight w:val="none"/>
              </w:rPr>
            </w:pPr>
          </w:p>
        </w:tc>
        <w:tc>
          <w:tcPr>
            <w:tcW w:w="709" w:type="dxa"/>
            <w:tcBorders>
              <w:top w:val="single" w:color="auto" w:sz="4" w:space="0"/>
              <w:left w:val="single" w:color="auto" w:sz="4" w:space="0"/>
              <w:bottom w:val="single" w:color="auto" w:sz="4" w:space="0"/>
              <w:right w:val="single" w:color="auto" w:sz="4" w:space="0"/>
            </w:tcBorders>
            <w:noWrap w:val="0"/>
            <w:vAlign w:val="top"/>
          </w:tcPr>
          <w:p w14:paraId="4389D619">
            <w:pPr>
              <w:spacing w:line="500" w:lineRule="exact"/>
              <w:jc w:val="left"/>
              <w:rPr>
                <w:rFonts w:hint="eastAsia" w:ascii="仿宋" w:hAnsi="仿宋" w:eastAsia="仿宋" w:cs="仿宋"/>
                <w:color w:val="auto"/>
                <w:szCs w:val="21"/>
                <w:highlight w:val="none"/>
              </w:rPr>
            </w:pPr>
          </w:p>
        </w:tc>
      </w:tr>
      <w:tr w14:paraId="0EC59E98">
        <w:tblPrEx>
          <w:tblCellMar>
            <w:top w:w="0" w:type="dxa"/>
            <w:left w:w="108" w:type="dxa"/>
            <w:bottom w:w="0" w:type="dxa"/>
            <w:right w:w="108" w:type="dxa"/>
          </w:tblCellMar>
        </w:tblPrEx>
        <w:tc>
          <w:tcPr>
            <w:tcW w:w="649" w:type="dxa"/>
            <w:tcBorders>
              <w:top w:val="single" w:color="auto" w:sz="4" w:space="0"/>
              <w:left w:val="single" w:color="auto" w:sz="4" w:space="0"/>
              <w:bottom w:val="single" w:color="auto" w:sz="4" w:space="0"/>
              <w:right w:val="single" w:color="auto" w:sz="4" w:space="0"/>
            </w:tcBorders>
            <w:noWrap w:val="0"/>
            <w:vAlign w:val="top"/>
          </w:tcPr>
          <w:p w14:paraId="289E9AE1">
            <w:pPr>
              <w:spacing w:line="500" w:lineRule="exact"/>
              <w:jc w:val="left"/>
              <w:rPr>
                <w:rFonts w:hint="eastAsia" w:ascii="仿宋" w:hAnsi="仿宋" w:eastAsia="仿宋" w:cs="仿宋"/>
                <w:color w:val="auto"/>
                <w:szCs w:val="21"/>
                <w:highlight w:val="none"/>
              </w:rPr>
            </w:pPr>
          </w:p>
        </w:tc>
        <w:tc>
          <w:tcPr>
            <w:tcW w:w="720" w:type="dxa"/>
            <w:tcBorders>
              <w:top w:val="single" w:color="auto" w:sz="4" w:space="0"/>
              <w:left w:val="single" w:color="auto" w:sz="4" w:space="0"/>
              <w:bottom w:val="single" w:color="auto" w:sz="4" w:space="0"/>
              <w:right w:val="single" w:color="auto" w:sz="4" w:space="0"/>
            </w:tcBorders>
            <w:noWrap w:val="0"/>
            <w:vAlign w:val="top"/>
          </w:tcPr>
          <w:p w14:paraId="748E5011">
            <w:pPr>
              <w:spacing w:line="500" w:lineRule="exact"/>
              <w:jc w:val="left"/>
              <w:rPr>
                <w:rFonts w:hint="eastAsia" w:ascii="仿宋" w:hAnsi="仿宋" w:eastAsia="仿宋" w:cs="仿宋"/>
                <w:color w:val="auto"/>
                <w:szCs w:val="21"/>
                <w:highlight w:val="none"/>
              </w:rPr>
            </w:pPr>
          </w:p>
        </w:tc>
        <w:tc>
          <w:tcPr>
            <w:tcW w:w="905" w:type="dxa"/>
            <w:tcBorders>
              <w:top w:val="single" w:color="auto" w:sz="4" w:space="0"/>
              <w:left w:val="single" w:color="auto" w:sz="4" w:space="0"/>
              <w:bottom w:val="single" w:color="auto" w:sz="4" w:space="0"/>
              <w:right w:val="single" w:color="auto" w:sz="4" w:space="0"/>
            </w:tcBorders>
            <w:noWrap w:val="0"/>
            <w:vAlign w:val="top"/>
          </w:tcPr>
          <w:p w14:paraId="6ACD9DBA">
            <w:pPr>
              <w:spacing w:line="500" w:lineRule="exact"/>
              <w:jc w:val="left"/>
              <w:rPr>
                <w:rFonts w:hint="eastAsia" w:ascii="仿宋" w:hAnsi="仿宋" w:eastAsia="仿宋" w:cs="仿宋"/>
                <w:color w:val="auto"/>
                <w:szCs w:val="21"/>
                <w:highlight w:val="none"/>
              </w:rPr>
            </w:pPr>
          </w:p>
        </w:tc>
        <w:tc>
          <w:tcPr>
            <w:tcW w:w="1262" w:type="dxa"/>
            <w:tcBorders>
              <w:top w:val="single" w:color="auto" w:sz="4" w:space="0"/>
              <w:left w:val="single" w:color="auto" w:sz="4" w:space="0"/>
              <w:bottom w:val="single" w:color="auto" w:sz="4" w:space="0"/>
              <w:right w:val="single" w:color="auto" w:sz="4" w:space="0"/>
            </w:tcBorders>
            <w:noWrap w:val="0"/>
            <w:vAlign w:val="top"/>
          </w:tcPr>
          <w:p w14:paraId="1F482FD4">
            <w:pPr>
              <w:spacing w:line="500" w:lineRule="exact"/>
              <w:jc w:val="left"/>
              <w:rPr>
                <w:rFonts w:hint="eastAsia" w:ascii="仿宋" w:hAnsi="仿宋" w:eastAsia="仿宋" w:cs="仿宋"/>
                <w:color w:val="auto"/>
                <w:szCs w:val="21"/>
                <w:highlight w:val="none"/>
              </w:rPr>
            </w:pPr>
          </w:p>
        </w:tc>
        <w:tc>
          <w:tcPr>
            <w:tcW w:w="1259" w:type="dxa"/>
            <w:tcBorders>
              <w:top w:val="single" w:color="auto" w:sz="4" w:space="0"/>
              <w:left w:val="single" w:color="auto" w:sz="4" w:space="0"/>
              <w:bottom w:val="single" w:color="auto" w:sz="4" w:space="0"/>
              <w:right w:val="single" w:color="auto" w:sz="4" w:space="0"/>
            </w:tcBorders>
            <w:noWrap w:val="0"/>
            <w:vAlign w:val="top"/>
          </w:tcPr>
          <w:p w14:paraId="47F6B40A">
            <w:pPr>
              <w:spacing w:line="500" w:lineRule="exact"/>
              <w:jc w:val="left"/>
              <w:rPr>
                <w:rFonts w:hint="eastAsia" w:ascii="仿宋" w:hAnsi="仿宋" w:eastAsia="仿宋" w:cs="仿宋"/>
                <w:color w:val="auto"/>
                <w:szCs w:val="21"/>
                <w:highlight w:val="none"/>
              </w:rPr>
            </w:pPr>
          </w:p>
        </w:tc>
        <w:tc>
          <w:tcPr>
            <w:tcW w:w="1087" w:type="dxa"/>
            <w:tcBorders>
              <w:top w:val="single" w:color="auto" w:sz="4" w:space="0"/>
              <w:left w:val="single" w:color="auto" w:sz="4" w:space="0"/>
              <w:bottom w:val="single" w:color="auto" w:sz="4" w:space="0"/>
              <w:right w:val="single" w:color="auto" w:sz="4" w:space="0"/>
            </w:tcBorders>
            <w:noWrap w:val="0"/>
            <w:vAlign w:val="top"/>
          </w:tcPr>
          <w:p w14:paraId="42236341">
            <w:pPr>
              <w:spacing w:line="500" w:lineRule="exact"/>
              <w:jc w:val="left"/>
              <w:rPr>
                <w:rFonts w:hint="eastAsia" w:ascii="仿宋" w:hAnsi="仿宋" w:eastAsia="仿宋" w:cs="仿宋"/>
                <w:color w:val="auto"/>
                <w:szCs w:val="21"/>
                <w:highlight w:val="none"/>
              </w:rPr>
            </w:pPr>
          </w:p>
        </w:tc>
        <w:tc>
          <w:tcPr>
            <w:tcW w:w="1078" w:type="dxa"/>
            <w:tcBorders>
              <w:top w:val="single" w:color="auto" w:sz="4" w:space="0"/>
              <w:left w:val="single" w:color="auto" w:sz="4" w:space="0"/>
              <w:bottom w:val="single" w:color="auto" w:sz="4" w:space="0"/>
              <w:right w:val="single" w:color="auto" w:sz="4" w:space="0"/>
            </w:tcBorders>
            <w:noWrap w:val="0"/>
            <w:vAlign w:val="top"/>
          </w:tcPr>
          <w:p w14:paraId="19B71658">
            <w:pPr>
              <w:spacing w:line="500" w:lineRule="exact"/>
              <w:jc w:val="left"/>
              <w:rPr>
                <w:rFonts w:hint="eastAsia" w:ascii="仿宋" w:hAnsi="仿宋" w:eastAsia="仿宋" w:cs="仿宋"/>
                <w:color w:val="auto"/>
                <w:szCs w:val="21"/>
                <w:highlight w:val="none"/>
              </w:rPr>
            </w:pPr>
          </w:p>
        </w:tc>
        <w:tc>
          <w:tcPr>
            <w:tcW w:w="719" w:type="dxa"/>
            <w:tcBorders>
              <w:top w:val="single" w:color="auto" w:sz="4" w:space="0"/>
              <w:left w:val="single" w:color="auto" w:sz="4" w:space="0"/>
              <w:bottom w:val="single" w:color="auto" w:sz="4" w:space="0"/>
              <w:right w:val="single" w:color="auto" w:sz="4" w:space="0"/>
            </w:tcBorders>
            <w:noWrap w:val="0"/>
            <w:vAlign w:val="top"/>
          </w:tcPr>
          <w:p w14:paraId="03292495">
            <w:pPr>
              <w:spacing w:line="500" w:lineRule="exact"/>
              <w:jc w:val="left"/>
              <w:rPr>
                <w:rFonts w:hint="eastAsia" w:ascii="仿宋" w:hAnsi="仿宋" w:eastAsia="仿宋" w:cs="仿宋"/>
                <w:color w:val="auto"/>
                <w:szCs w:val="21"/>
                <w:highlight w:val="none"/>
              </w:rPr>
            </w:pPr>
          </w:p>
        </w:tc>
        <w:tc>
          <w:tcPr>
            <w:tcW w:w="719" w:type="dxa"/>
            <w:tcBorders>
              <w:top w:val="single" w:color="auto" w:sz="4" w:space="0"/>
              <w:left w:val="single" w:color="auto" w:sz="4" w:space="0"/>
              <w:bottom w:val="single" w:color="auto" w:sz="4" w:space="0"/>
              <w:right w:val="single" w:color="auto" w:sz="4" w:space="0"/>
            </w:tcBorders>
            <w:noWrap w:val="0"/>
            <w:vAlign w:val="top"/>
          </w:tcPr>
          <w:p w14:paraId="6DC40906">
            <w:pPr>
              <w:spacing w:line="500" w:lineRule="exact"/>
              <w:jc w:val="left"/>
              <w:rPr>
                <w:rFonts w:hint="eastAsia" w:ascii="仿宋" w:hAnsi="仿宋" w:eastAsia="仿宋" w:cs="仿宋"/>
                <w:color w:val="auto"/>
                <w:szCs w:val="21"/>
                <w:highlight w:val="none"/>
              </w:rPr>
            </w:pPr>
          </w:p>
        </w:tc>
        <w:tc>
          <w:tcPr>
            <w:tcW w:w="709" w:type="dxa"/>
            <w:tcBorders>
              <w:top w:val="single" w:color="auto" w:sz="4" w:space="0"/>
              <w:left w:val="single" w:color="auto" w:sz="4" w:space="0"/>
              <w:bottom w:val="single" w:color="auto" w:sz="4" w:space="0"/>
              <w:right w:val="single" w:color="auto" w:sz="4" w:space="0"/>
            </w:tcBorders>
            <w:noWrap w:val="0"/>
            <w:vAlign w:val="top"/>
          </w:tcPr>
          <w:p w14:paraId="230EF01A">
            <w:pPr>
              <w:spacing w:line="500" w:lineRule="exact"/>
              <w:jc w:val="left"/>
              <w:rPr>
                <w:rFonts w:hint="eastAsia" w:ascii="仿宋" w:hAnsi="仿宋" w:eastAsia="仿宋" w:cs="仿宋"/>
                <w:color w:val="auto"/>
                <w:szCs w:val="21"/>
                <w:highlight w:val="none"/>
              </w:rPr>
            </w:pPr>
          </w:p>
        </w:tc>
      </w:tr>
      <w:tr w14:paraId="040817C4">
        <w:tblPrEx>
          <w:tblCellMar>
            <w:top w:w="0" w:type="dxa"/>
            <w:left w:w="108" w:type="dxa"/>
            <w:bottom w:w="0" w:type="dxa"/>
            <w:right w:w="108" w:type="dxa"/>
          </w:tblCellMar>
        </w:tblPrEx>
        <w:tc>
          <w:tcPr>
            <w:tcW w:w="649" w:type="dxa"/>
            <w:tcBorders>
              <w:top w:val="single" w:color="auto" w:sz="4" w:space="0"/>
              <w:left w:val="single" w:color="auto" w:sz="4" w:space="0"/>
              <w:bottom w:val="single" w:color="auto" w:sz="4" w:space="0"/>
              <w:right w:val="single" w:color="auto" w:sz="4" w:space="0"/>
            </w:tcBorders>
            <w:noWrap w:val="0"/>
            <w:vAlign w:val="top"/>
          </w:tcPr>
          <w:p w14:paraId="16625516">
            <w:pPr>
              <w:spacing w:line="500" w:lineRule="exact"/>
              <w:jc w:val="left"/>
              <w:rPr>
                <w:rFonts w:hint="eastAsia" w:ascii="仿宋" w:hAnsi="仿宋" w:eastAsia="仿宋" w:cs="仿宋"/>
                <w:color w:val="auto"/>
                <w:szCs w:val="21"/>
                <w:highlight w:val="none"/>
              </w:rPr>
            </w:pPr>
          </w:p>
        </w:tc>
        <w:tc>
          <w:tcPr>
            <w:tcW w:w="720" w:type="dxa"/>
            <w:tcBorders>
              <w:top w:val="single" w:color="auto" w:sz="4" w:space="0"/>
              <w:left w:val="single" w:color="auto" w:sz="4" w:space="0"/>
              <w:bottom w:val="single" w:color="auto" w:sz="4" w:space="0"/>
              <w:right w:val="single" w:color="auto" w:sz="4" w:space="0"/>
            </w:tcBorders>
            <w:noWrap w:val="0"/>
            <w:vAlign w:val="top"/>
          </w:tcPr>
          <w:p w14:paraId="19581EEF">
            <w:pPr>
              <w:spacing w:line="500" w:lineRule="exact"/>
              <w:jc w:val="left"/>
              <w:rPr>
                <w:rFonts w:hint="eastAsia" w:ascii="仿宋" w:hAnsi="仿宋" w:eastAsia="仿宋" w:cs="仿宋"/>
                <w:color w:val="auto"/>
                <w:szCs w:val="21"/>
                <w:highlight w:val="none"/>
              </w:rPr>
            </w:pPr>
          </w:p>
        </w:tc>
        <w:tc>
          <w:tcPr>
            <w:tcW w:w="905" w:type="dxa"/>
            <w:tcBorders>
              <w:top w:val="single" w:color="auto" w:sz="4" w:space="0"/>
              <w:left w:val="single" w:color="auto" w:sz="4" w:space="0"/>
              <w:bottom w:val="single" w:color="auto" w:sz="4" w:space="0"/>
              <w:right w:val="single" w:color="auto" w:sz="4" w:space="0"/>
            </w:tcBorders>
            <w:noWrap w:val="0"/>
            <w:vAlign w:val="top"/>
          </w:tcPr>
          <w:p w14:paraId="08A93C97">
            <w:pPr>
              <w:spacing w:line="500" w:lineRule="exact"/>
              <w:jc w:val="left"/>
              <w:rPr>
                <w:rFonts w:hint="eastAsia" w:ascii="仿宋" w:hAnsi="仿宋" w:eastAsia="仿宋" w:cs="仿宋"/>
                <w:color w:val="auto"/>
                <w:szCs w:val="21"/>
                <w:highlight w:val="none"/>
              </w:rPr>
            </w:pPr>
          </w:p>
        </w:tc>
        <w:tc>
          <w:tcPr>
            <w:tcW w:w="1262" w:type="dxa"/>
            <w:tcBorders>
              <w:top w:val="single" w:color="auto" w:sz="4" w:space="0"/>
              <w:left w:val="single" w:color="auto" w:sz="4" w:space="0"/>
              <w:bottom w:val="single" w:color="auto" w:sz="4" w:space="0"/>
              <w:right w:val="single" w:color="auto" w:sz="4" w:space="0"/>
            </w:tcBorders>
            <w:noWrap w:val="0"/>
            <w:vAlign w:val="top"/>
          </w:tcPr>
          <w:p w14:paraId="650EF4CF">
            <w:pPr>
              <w:spacing w:line="500" w:lineRule="exact"/>
              <w:jc w:val="left"/>
              <w:rPr>
                <w:rFonts w:hint="eastAsia" w:ascii="仿宋" w:hAnsi="仿宋" w:eastAsia="仿宋" w:cs="仿宋"/>
                <w:color w:val="auto"/>
                <w:szCs w:val="21"/>
                <w:highlight w:val="none"/>
              </w:rPr>
            </w:pPr>
          </w:p>
        </w:tc>
        <w:tc>
          <w:tcPr>
            <w:tcW w:w="1259" w:type="dxa"/>
            <w:tcBorders>
              <w:top w:val="single" w:color="auto" w:sz="4" w:space="0"/>
              <w:left w:val="single" w:color="auto" w:sz="4" w:space="0"/>
              <w:bottom w:val="single" w:color="auto" w:sz="4" w:space="0"/>
              <w:right w:val="single" w:color="auto" w:sz="4" w:space="0"/>
            </w:tcBorders>
            <w:noWrap w:val="0"/>
            <w:vAlign w:val="top"/>
          </w:tcPr>
          <w:p w14:paraId="3CADB571">
            <w:pPr>
              <w:spacing w:line="500" w:lineRule="exact"/>
              <w:jc w:val="left"/>
              <w:rPr>
                <w:rFonts w:hint="eastAsia" w:ascii="仿宋" w:hAnsi="仿宋" w:eastAsia="仿宋" w:cs="仿宋"/>
                <w:color w:val="auto"/>
                <w:szCs w:val="21"/>
                <w:highlight w:val="none"/>
              </w:rPr>
            </w:pPr>
          </w:p>
        </w:tc>
        <w:tc>
          <w:tcPr>
            <w:tcW w:w="1087" w:type="dxa"/>
            <w:tcBorders>
              <w:top w:val="single" w:color="auto" w:sz="4" w:space="0"/>
              <w:left w:val="single" w:color="auto" w:sz="4" w:space="0"/>
              <w:bottom w:val="single" w:color="auto" w:sz="4" w:space="0"/>
              <w:right w:val="single" w:color="auto" w:sz="4" w:space="0"/>
            </w:tcBorders>
            <w:noWrap w:val="0"/>
            <w:vAlign w:val="top"/>
          </w:tcPr>
          <w:p w14:paraId="79139FCF">
            <w:pPr>
              <w:spacing w:line="500" w:lineRule="exact"/>
              <w:jc w:val="left"/>
              <w:rPr>
                <w:rFonts w:hint="eastAsia" w:ascii="仿宋" w:hAnsi="仿宋" w:eastAsia="仿宋" w:cs="仿宋"/>
                <w:color w:val="auto"/>
                <w:szCs w:val="21"/>
                <w:highlight w:val="none"/>
              </w:rPr>
            </w:pPr>
          </w:p>
        </w:tc>
        <w:tc>
          <w:tcPr>
            <w:tcW w:w="1078" w:type="dxa"/>
            <w:tcBorders>
              <w:top w:val="single" w:color="auto" w:sz="4" w:space="0"/>
              <w:left w:val="single" w:color="auto" w:sz="4" w:space="0"/>
              <w:bottom w:val="single" w:color="auto" w:sz="4" w:space="0"/>
              <w:right w:val="single" w:color="auto" w:sz="4" w:space="0"/>
            </w:tcBorders>
            <w:noWrap w:val="0"/>
            <w:vAlign w:val="top"/>
          </w:tcPr>
          <w:p w14:paraId="343B2B84">
            <w:pPr>
              <w:spacing w:line="500" w:lineRule="exact"/>
              <w:jc w:val="left"/>
              <w:rPr>
                <w:rFonts w:hint="eastAsia" w:ascii="仿宋" w:hAnsi="仿宋" w:eastAsia="仿宋" w:cs="仿宋"/>
                <w:color w:val="auto"/>
                <w:szCs w:val="21"/>
                <w:highlight w:val="none"/>
              </w:rPr>
            </w:pPr>
          </w:p>
        </w:tc>
        <w:tc>
          <w:tcPr>
            <w:tcW w:w="719" w:type="dxa"/>
            <w:tcBorders>
              <w:top w:val="single" w:color="auto" w:sz="4" w:space="0"/>
              <w:left w:val="single" w:color="auto" w:sz="4" w:space="0"/>
              <w:bottom w:val="single" w:color="auto" w:sz="4" w:space="0"/>
              <w:right w:val="single" w:color="auto" w:sz="4" w:space="0"/>
            </w:tcBorders>
            <w:noWrap w:val="0"/>
            <w:vAlign w:val="top"/>
          </w:tcPr>
          <w:p w14:paraId="632215B4">
            <w:pPr>
              <w:spacing w:line="500" w:lineRule="exact"/>
              <w:jc w:val="left"/>
              <w:rPr>
                <w:rFonts w:hint="eastAsia" w:ascii="仿宋" w:hAnsi="仿宋" w:eastAsia="仿宋" w:cs="仿宋"/>
                <w:color w:val="auto"/>
                <w:szCs w:val="21"/>
                <w:highlight w:val="none"/>
              </w:rPr>
            </w:pPr>
          </w:p>
        </w:tc>
        <w:tc>
          <w:tcPr>
            <w:tcW w:w="719" w:type="dxa"/>
            <w:tcBorders>
              <w:top w:val="single" w:color="auto" w:sz="4" w:space="0"/>
              <w:left w:val="single" w:color="auto" w:sz="4" w:space="0"/>
              <w:bottom w:val="single" w:color="auto" w:sz="4" w:space="0"/>
              <w:right w:val="single" w:color="auto" w:sz="4" w:space="0"/>
            </w:tcBorders>
            <w:noWrap w:val="0"/>
            <w:vAlign w:val="top"/>
          </w:tcPr>
          <w:p w14:paraId="7C42A81C">
            <w:pPr>
              <w:spacing w:line="500" w:lineRule="exact"/>
              <w:jc w:val="left"/>
              <w:rPr>
                <w:rFonts w:hint="eastAsia" w:ascii="仿宋" w:hAnsi="仿宋" w:eastAsia="仿宋" w:cs="仿宋"/>
                <w:color w:val="auto"/>
                <w:szCs w:val="21"/>
                <w:highlight w:val="none"/>
              </w:rPr>
            </w:pPr>
          </w:p>
        </w:tc>
        <w:tc>
          <w:tcPr>
            <w:tcW w:w="709" w:type="dxa"/>
            <w:tcBorders>
              <w:top w:val="single" w:color="auto" w:sz="4" w:space="0"/>
              <w:left w:val="single" w:color="auto" w:sz="4" w:space="0"/>
              <w:bottom w:val="single" w:color="auto" w:sz="4" w:space="0"/>
              <w:right w:val="single" w:color="auto" w:sz="4" w:space="0"/>
            </w:tcBorders>
            <w:noWrap w:val="0"/>
            <w:vAlign w:val="top"/>
          </w:tcPr>
          <w:p w14:paraId="61F1297C">
            <w:pPr>
              <w:spacing w:line="500" w:lineRule="exact"/>
              <w:jc w:val="left"/>
              <w:rPr>
                <w:rFonts w:hint="eastAsia" w:ascii="仿宋" w:hAnsi="仿宋" w:eastAsia="仿宋" w:cs="仿宋"/>
                <w:color w:val="auto"/>
                <w:szCs w:val="21"/>
                <w:highlight w:val="none"/>
              </w:rPr>
            </w:pPr>
          </w:p>
        </w:tc>
      </w:tr>
      <w:tr w14:paraId="10A8BF11">
        <w:tblPrEx>
          <w:tblCellMar>
            <w:top w:w="0" w:type="dxa"/>
            <w:left w:w="108" w:type="dxa"/>
            <w:bottom w:w="0" w:type="dxa"/>
            <w:right w:w="108" w:type="dxa"/>
          </w:tblCellMar>
        </w:tblPrEx>
        <w:tc>
          <w:tcPr>
            <w:tcW w:w="649" w:type="dxa"/>
            <w:tcBorders>
              <w:top w:val="single" w:color="auto" w:sz="4" w:space="0"/>
              <w:left w:val="single" w:color="auto" w:sz="4" w:space="0"/>
              <w:bottom w:val="single" w:color="auto" w:sz="4" w:space="0"/>
              <w:right w:val="single" w:color="auto" w:sz="4" w:space="0"/>
            </w:tcBorders>
            <w:noWrap w:val="0"/>
            <w:vAlign w:val="top"/>
          </w:tcPr>
          <w:p w14:paraId="46DE09B0">
            <w:pPr>
              <w:spacing w:line="500" w:lineRule="exact"/>
              <w:jc w:val="left"/>
              <w:rPr>
                <w:rFonts w:hint="eastAsia" w:ascii="仿宋" w:hAnsi="仿宋" w:eastAsia="仿宋" w:cs="仿宋"/>
                <w:color w:val="auto"/>
                <w:szCs w:val="21"/>
                <w:highlight w:val="none"/>
              </w:rPr>
            </w:pPr>
          </w:p>
        </w:tc>
        <w:tc>
          <w:tcPr>
            <w:tcW w:w="720" w:type="dxa"/>
            <w:tcBorders>
              <w:top w:val="single" w:color="auto" w:sz="4" w:space="0"/>
              <w:left w:val="single" w:color="auto" w:sz="4" w:space="0"/>
              <w:bottom w:val="single" w:color="auto" w:sz="4" w:space="0"/>
              <w:right w:val="single" w:color="auto" w:sz="4" w:space="0"/>
            </w:tcBorders>
            <w:noWrap w:val="0"/>
            <w:vAlign w:val="top"/>
          </w:tcPr>
          <w:p w14:paraId="4DB214ED">
            <w:pPr>
              <w:spacing w:line="500" w:lineRule="exact"/>
              <w:jc w:val="left"/>
              <w:rPr>
                <w:rFonts w:hint="eastAsia" w:ascii="仿宋" w:hAnsi="仿宋" w:eastAsia="仿宋" w:cs="仿宋"/>
                <w:color w:val="auto"/>
                <w:szCs w:val="21"/>
                <w:highlight w:val="none"/>
              </w:rPr>
            </w:pPr>
          </w:p>
        </w:tc>
        <w:tc>
          <w:tcPr>
            <w:tcW w:w="905" w:type="dxa"/>
            <w:tcBorders>
              <w:top w:val="single" w:color="auto" w:sz="4" w:space="0"/>
              <w:left w:val="single" w:color="auto" w:sz="4" w:space="0"/>
              <w:bottom w:val="single" w:color="auto" w:sz="4" w:space="0"/>
              <w:right w:val="single" w:color="auto" w:sz="4" w:space="0"/>
            </w:tcBorders>
            <w:noWrap w:val="0"/>
            <w:vAlign w:val="top"/>
          </w:tcPr>
          <w:p w14:paraId="29D4E9D4">
            <w:pPr>
              <w:spacing w:line="500" w:lineRule="exact"/>
              <w:jc w:val="left"/>
              <w:rPr>
                <w:rFonts w:hint="eastAsia" w:ascii="仿宋" w:hAnsi="仿宋" w:eastAsia="仿宋" w:cs="仿宋"/>
                <w:color w:val="auto"/>
                <w:szCs w:val="21"/>
                <w:highlight w:val="none"/>
              </w:rPr>
            </w:pPr>
          </w:p>
        </w:tc>
        <w:tc>
          <w:tcPr>
            <w:tcW w:w="1262" w:type="dxa"/>
            <w:tcBorders>
              <w:top w:val="single" w:color="auto" w:sz="4" w:space="0"/>
              <w:left w:val="single" w:color="auto" w:sz="4" w:space="0"/>
              <w:bottom w:val="single" w:color="auto" w:sz="4" w:space="0"/>
              <w:right w:val="single" w:color="auto" w:sz="4" w:space="0"/>
            </w:tcBorders>
            <w:noWrap w:val="0"/>
            <w:vAlign w:val="top"/>
          </w:tcPr>
          <w:p w14:paraId="6DE6C432">
            <w:pPr>
              <w:spacing w:line="500" w:lineRule="exact"/>
              <w:jc w:val="left"/>
              <w:rPr>
                <w:rFonts w:hint="eastAsia" w:ascii="仿宋" w:hAnsi="仿宋" w:eastAsia="仿宋" w:cs="仿宋"/>
                <w:color w:val="auto"/>
                <w:szCs w:val="21"/>
                <w:highlight w:val="none"/>
              </w:rPr>
            </w:pPr>
          </w:p>
        </w:tc>
        <w:tc>
          <w:tcPr>
            <w:tcW w:w="1259" w:type="dxa"/>
            <w:tcBorders>
              <w:top w:val="single" w:color="auto" w:sz="4" w:space="0"/>
              <w:left w:val="single" w:color="auto" w:sz="4" w:space="0"/>
              <w:bottom w:val="single" w:color="auto" w:sz="4" w:space="0"/>
              <w:right w:val="single" w:color="auto" w:sz="4" w:space="0"/>
            </w:tcBorders>
            <w:noWrap w:val="0"/>
            <w:vAlign w:val="top"/>
          </w:tcPr>
          <w:p w14:paraId="0C572857">
            <w:pPr>
              <w:spacing w:line="500" w:lineRule="exact"/>
              <w:jc w:val="left"/>
              <w:rPr>
                <w:rFonts w:hint="eastAsia" w:ascii="仿宋" w:hAnsi="仿宋" w:eastAsia="仿宋" w:cs="仿宋"/>
                <w:color w:val="auto"/>
                <w:szCs w:val="21"/>
                <w:highlight w:val="none"/>
              </w:rPr>
            </w:pPr>
          </w:p>
        </w:tc>
        <w:tc>
          <w:tcPr>
            <w:tcW w:w="1087" w:type="dxa"/>
            <w:tcBorders>
              <w:top w:val="single" w:color="auto" w:sz="4" w:space="0"/>
              <w:left w:val="single" w:color="auto" w:sz="4" w:space="0"/>
              <w:bottom w:val="single" w:color="auto" w:sz="4" w:space="0"/>
              <w:right w:val="single" w:color="auto" w:sz="4" w:space="0"/>
            </w:tcBorders>
            <w:noWrap w:val="0"/>
            <w:vAlign w:val="top"/>
          </w:tcPr>
          <w:p w14:paraId="77C3DD50">
            <w:pPr>
              <w:spacing w:line="500" w:lineRule="exact"/>
              <w:jc w:val="left"/>
              <w:rPr>
                <w:rFonts w:hint="eastAsia" w:ascii="仿宋" w:hAnsi="仿宋" w:eastAsia="仿宋" w:cs="仿宋"/>
                <w:color w:val="auto"/>
                <w:szCs w:val="21"/>
                <w:highlight w:val="none"/>
              </w:rPr>
            </w:pPr>
          </w:p>
        </w:tc>
        <w:tc>
          <w:tcPr>
            <w:tcW w:w="1078" w:type="dxa"/>
            <w:tcBorders>
              <w:top w:val="single" w:color="auto" w:sz="4" w:space="0"/>
              <w:left w:val="single" w:color="auto" w:sz="4" w:space="0"/>
              <w:bottom w:val="single" w:color="auto" w:sz="4" w:space="0"/>
              <w:right w:val="single" w:color="auto" w:sz="4" w:space="0"/>
            </w:tcBorders>
            <w:noWrap w:val="0"/>
            <w:vAlign w:val="top"/>
          </w:tcPr>
          <w:p w14:paraId="4FE5973A">
            <w:pPr>
              <w:spacing w:line="500" w:lineRule="exact"/>
              <w:jc w:val="left"/>
              <w:rPr>
                <w:rFonts w:hint="eastAsia" w:ascii="仿宋" w:hAnsi="仿宋" w:eastAsia="仿宋" w:cs="仿宋"/>
                <w:color w:val="auto"/>
                <w:szCs w:val="21"/>
                <w:highlight w:val="none"/>
              </w:rPr>
            </w:pPr>
          </w:p>
        </w:tc>
        <w:tc>
          <w:tcPr>
            <w:tcW w:w="719" w:type="dxa"/>
            <w:tcBorders>
              <w:top w:val="single" w:color="auto" w:sz="4" w:space="0"/>
              <w:left w:val="single" w:color="auto" w:sz="4" w:space="0"/>
              <w:bottom w:val="single" w:color="auto" w:sz="4" w:space="0"/>
              <w:right w:val="single" w:color="auto" w:sz="4" w:space="0"/>
            </w:tcBorders>
            <w:noWrap w:val="0"/>
            <w:vAlign w:val="top"/>
          </w:tcPr>
          <w:p w14:paraId="3AB8ACD4">
            <w:pPr>
              <w:spacing w:line="500" w:lineRule="exact"/>
              <w:jc w:val="left"/>
              <w:rPr>
                <w:rFonts w:hint="eastAsia" w:ascii="仿宋" w:hAnsi="仿宋" w:eastAsia="仿宋" w:cs="仿宋"/>
                <w:color w:val="auto"/>
                <w:szCs w:val="21"/>
                <w:highlight w:val="none"/>
              </w:rPr>
            </w:pPr>
          </w:p>
        </w:tc>
        <w:tc>
          <w:tcPr>
            <w:tcW w:w="719" w:type="dxa"/>
            <w:tcBorders>
              <w:top w:val="single" w:color="auto" w:sz="4" w:space="0"/>
              <w:left w:val="single" w:color="auto" w:sz="4" w:space="0"/>
              <w:bottom w:val="single" w:color="auto" w:sz="4" w:space="0"/>
              <w:right w:val="single" w:color="auto" w:sz="4" w:space="0"/>
            </w:tcBorders>
            <w:noWrap w:val="0"/>
            <w:vAlign w:val="top"/>
          </w:tcPr>
          <w:p w14:paraId="29219961">
            <w:pPr>
              <w:spacing w:line="500" w:lineRule="exact"/>
              <w:jc w:val="left"/>
              <w:rPr>
                <w:rFonts w:hint="eastAsia" w:ascii="仿宋" w:hAnsi="仿宋" w:eastAsia="仿宋" w:cs="仿宋"/>
                <w:color w:val="auto"/>
                <w:szCs w:val="21"/>
                <w:highlight w:val="none"/>
              </w:rPr>
            </w:pPr>
          </w:p>
        </w:tc>
        <w:tc>
          <w:tcPr>
            <w:tcW w:w="709" w:type="dxa"/>
            <w:tcBorders>
              <w:top w:val="single" w:color="auto" w:sz="4" w:space="0"/>
              <w:left w:val="single" w:color="auto" w:sz="4" w:space="0"/>
              <w:bottom w:val="single" w:color="auto" w:sz="4" w:space="0"/>
              <w:right w:val="single" w:color="auto" w:sz="4" w:space="0"/>
            </w:tcBorders>
            <w:noWrap w:val="0"/>
            <w:vAlign w:val="top"/>
          </w:tcPr>
          <w:p w14:paraId="05A6B395">
            <w:pPr>
              <w:spacing w:line="500" w:lineRule="exact"/>
              <w:jc w:val="left"/>
              <w:rPr>
                <w:rFonts w:hint="eastAsia" w:ascii="仿宋" w:hAnsi="仿宋" w:eastAsia="仿宋" w:cs="仿宋"/>
                <w:color w:val="auto"/>
                <w:szCs w:val="21"/>
                <w:highlight w:val="none"/>
              </w:rPr>
            </w:pPr>
          </w:p>
        </w:tc>
      </w:tr>
      <w:tr w14:paraId="31CD8D4A">
        <w:tblPrEx>
          <w:tblCellMar>
            <w:top w:w="0" w:type="dxa"/>
            <w:left w:w="108" w:type="dxa"/>
            <w:bottom w:w="0" w:type="dxa"/>
            <w:right w:w="108" w:type="dxa"/>
          </w:tblCellMar>
        </w:tblPrEx>
        <w:tc>
          <w:tcPr>
            <w:tcW w:w="649" w:type="dxa"/>
            <w:tcBorders>
              <w:top w:val="single" w:color="auto" w:sz="4" w:space="0"/>
              <w:left w:val="single" w:color="auto" w:sz="4" w:space="0"/>
              <w:bottom w:val="single" w:color="auto" w:sz="4" w:space="0"/>
              <w:right w:val="single" w:color="auto" w:sz="4" w:space="0"/>
            </w:tcBorders>
            <w:noWrap w:val="0"/>
            <w:vAlign w:val="top"/>
          </w:tcPr>
          <w:p w14:paraId="356CC48C">
            <w:pPr>
              <w:spacing w:line="500" w:lineRule="exact"/>
              <w:jc w:val="left"/>
              <w:rPr>
                <w:rFonts w:hint="eastAsia" w:ascii="仿宋" w:hAnsi="仿宋" w:eastAsia="仿宋" w:cs="仿宋"/>
                <w:color w:val="auto"/>
                <w:szCs w:val="21"/>
                <w:highlight w:val="none"/>
              </w:rPr>
            </w:pPr>
          </w:p>
        </w:tc>
        <w:tc>
          <w:tcPr>
            <w:tcW w:w="720" w:type="dxa"/>
            <w:tcBorders>
              <w:top w:val="single" w:color="auto" w:sz="4" w:space="0"/>
              <w:left w:val="single" w:color="auto" w:sz="4" w:space="0"/>
              <w:bottom w:val="single" w:color="auto" w:sz="4" w:space="0"/>
              <w:right w:val="single" w:color="auto" w:sz="4" w:space="0"/>
            </w:tcBorders>
            <w:noWrap w:val="0"/>
            <w:vAlign w:val="top"/>
          </w:tcPr>
          <w:p w14:paraId="2F2562C3">
            <w:pPr>
              <w:spacing w:line="500" w:lineRule="exact"/>
              <w:jc w:val="left"/>
              <w:rPr>
                <w:rFonts w:hint="eastAsia" w:ascii="仿宋" w:hAnsi="仿宋" w:eastAsia="仿宋" w:cs="仿宋"/>
                <w:color w:val="auto"/>
                <w:szCs w:val="21"/>
                <w:highlight w:val="none"/>
              </w:rPr>
            </w:pPr>
          </w:p>
        </w:tc>
        <w:tc>
          <w:tcPr>
            <w:tcW w:w="905" w:type="dxa"/>
            <w:tcBorders>
              <w:top w:val="single" w:color="auto" w:sz="4" w:space="0"/>
              <w:left w:val="single" w:color="auto" w:sz="4" w:space="0"/>
              <w:bottom w:val="single" w:color="auto" w:sz="4" w:space="0"/>
              <w:right w:val="single" w:color="auto" w:sz="4" w:space="0"/>
            </w:tcBorders>
            <w:noWrap w:val="0"/>
            <w:vAlign w:val="top"/>
          </w:tcPr>
          <w:p w14:paraId="3E5032EB">
            <w:pPr>
              <w:spacing w:line="500" w:lineRule="exact"/>
              <w:jc w:val="left"/>
              <w:rPr>
                <w:rFonts w:hint="eastAsia" w:ascii="仿宋" w:hAnsi="仿宋" w:eastAsia="仿宋" w:cs="仿宋"/>
                <w:color w:val="auto"/>
                <w:szCs w:val="21"/>
                <w:highlight w:val="none"/>
              </w:rPr>
            </w:pPr>
          </w:p>
        </w:tc>
        <w:tc>
          <w:tcPr>
            <w:tcW w:w="1262" w:type="dxa"/>
            <w:tcBorders>
              <w:top w:val="single" w:color="auto" w:sz="4" w:space="0"/>
              <w:left w:val="single" w:color="auto" w:sz="4" w:space="0"/>
              <w:bottom w:val="single" w:color="auto" w:sz="4" w:space="0"/>
              <w:right w:val="single" w:color="auto" w:sz="4" w:space="0"/>
            </w:tcBorders>
            <w:noWrap w:val="0"/>
            <w:vAlign w:val="top"/>
          </w:tcPr>
          <w:p w14:paraId="1611580D">
            <w:pPr>
              <w:spacing w:line="500" w:lineRule="exact"/>
              <w:jc w:val="left"/>
              <w:rPr>
                <w:rFonts w:hint="eastAsia" w:ascii="仿宋" w:hAnsi="仿宋" w:eastAsia="仿宋" w:cs="仿宋"/>
                <w:color w:val="auto"/>
                <w:szCs w:val="21"/>
                <w:highlight w:val="none"/>
              </w:rPr>
            </w:pPr>
          </w:p>
        </w:tc>
        <w:tc>
          <w:tcPr>
            <w:tcW w:w="1259" w:type="dxa"/>
            <w:tcBorders>
              <w:top w:val="single" w:color="auto" w:sz="4" w:space="0"/>
              <w:left w:val="single" w:color="auto" w:sz="4" w:space="0"/>
              <w:bottom w:val="single" w:color="auto" w:sz="4" w:space="0"/>
              <w:right w:val="single" w:color="auto" w:sz="4" w:space="0"/>
            </w:tcBorders>
            <w:noWrap w:val="0"/>
            <w:vAlign w:val="top"/>
          </w:tcPr>
          <w:p w14:paraId="2FB7D3DA">
            <w:pPr>
              <w:spacing w:line="500" w:lineRule="exact"/>
              <w:jc w:val="left"/>
              <w:rPr>
                <w:rFonts w:hint="eastAsia" w:ascii="仿宋" w:hAnsi="仿宋" w:eastAsia="仿宋" w:cs="仿宋"/>
                <w:color w:val="auto"/>
                <w:szCs w:val="21"/>
                <w:highlight w:val="none"/>
              </w:rPr>
            </w:pPr>
          </w:p>
        </w:tc>
        <w:tc>
          <w:tcPr>
            <w:tcW w:w="1087" w:type="dxa"/>
            <w:tcBorders>
              <w:top w:val="single" w:color="auto" w:sz="4" w:space="0"/>
              <w:left w:val="single" w:color="auto" w:sz="4" w:space="0"/>
              <w:bottom w:val="single" w:color="auto" w:sz="4" w:space="0"/>
              <w:right w:val="single" w:color="auto" w:sz="4" w:space="0"/>
            </w:tcBorders>
            <w:noWrap w:val="0"/>
            <w:vAlign w:val="top"/>
          </w:tcPr>
          <w:p w14:paraId="70963077">
            <w:pPr>
              <w:spacing w:line="500" w:lineRule="exact"/>
              <w:jc w:val="left"/>
              <w:rPr>
                <w:rFonts w:hint="eastAsia" w:ascii="仿宋" w:hAnsi="仿宋" w:eastAsia="仿宋" w:cs="仿宋"/>
                <w:color w:val="auto"/>
                <w:szCs w:val="21"/>
                <w:highlight w:val="none"/>
              </w:rPr>
            </w:pPr>
          </w:p>
        </w:tc>
        <w:tc>
          <w:tcPr>
            <w:tcW w:w="1078" w:type="dxa"/>
            <w:tcBorders>
              <w:top w:val="single" w:color="auto" w:sz="4" w:space="0"/>
              <w:left w:val="single" w:color="auto" w:sz="4" w:space="0"/>
              <w:bottom w:val="single" w:color="auto" w:sz="4" w:space="0"/>
              <w:right w:val="single" w:color="auto" w:sz="4" w:space="0"/>
            </w:tcBorders>
            <w:noWrap w:val="0"/>
            <w:vAlign w:val="top"/>
          </w:tcPr>
          <w:p w14:paraId="229B40E8">
            <w:pPr>
              <w:spacing w:line="500" w:lineRule="exact"/>
              <w:jc w:val="left"/>
              <w:rPr>
                <w:rFonts w:hint="eastAsia" w:ascii="仿宋" w:hAnsi="仿宋" w:eastAsia="仿宋" w:cs="仿宋"/>
                <w:color w:val="auto"/>
                <w:szCs w:val="21"/>
                <w:highlight w:val="none"/>
              </w:rPr>
            </w:pPr>
          </w:p>
        </w:tc>
        <w:tc>
          <w:tcPr>
            <w:tcW w:w="719" w:type="dxa"/>
            <w:tcBorders>
              <w:top w:val="single" w:color="auto" w:sz="4" w:space="0"/>
              <w:left w:val="single" w:color="auto" w:sz="4" w:space="0"/>
              <w:bottom w:val="single" w:color="auto" w:sz="4" w:space="0"/>
              <w:right w:val="single" w:color="auto" w:sz="4" w:space="0"/>
            </w:tcBorders>
            <w:noWrap w:val="0"/>
            <w:vAlign w:val="top"/>
          </w:tcPr>
          <w:p w14:paraId="0E114A3A">
            <w:pPr>
              <w:spacing w:line="500" w:lineRule="exact"/>
              <w:jc w:val="left"/>
              <w:rPr>
                <w:rFonts w:hint="eastAsia" w:ascii="仿宋" w:hAnsi="仿宋" w:eastAsia="仿宋" w:cs="仿宋"/>
                <w:color w:val="auto"/>
                <w:szCs w:val="21"/>
                <w:highlight w:val="none"/>
              </w:rPr>
            </w:pPr>
          </w:p>
        </w:tc>
        <w:tc>
          <w:tcPr>
            <w:tcW w:w="719" w:type="dxa"/>
            <w:tcBorders>
              <w:top w:val="single" w:color="auto" w:sz="4" w:space="0"/>
              <w:left w:val="single" w:color="auto" w:sz="4" w:space="0"/>
              <w:bottom w:val="single" w:color="auto" w:sz="4" w:space="0"/>
              <w:right w:val="single" w:color="auto" w:sz="4" w:space="0"/>
            </w:tcBorders>
            <w:noWrap w:val="0"/>
            <w:vAlign w:val="top"/>
          </w:tcPr>
          <w:p w14:paraId="4C983A37">
            <w:pPr>
              <w:spacing w:line="500" w:lineRule="exact"/>
              <w:jc w:val="left"/>
              <w:rPr>
                <w:rFonts w:hint="eastAsia" w:ascii="仿宋" w:hAnsi="仿宋" w:eastAsia="仿宋" w:cs="仿宋"/>
                <w:color w:val="auto"/>
                <w:szCs w:val="21"/>
                <w:highlight w:val="none"/>
              </w:rPr>
            </w:pPr>
          </w:p>
        </w:tc>
        <w:tc>
          <w:tcPr>
            <w:tcW w:w="709" w:type="dxa"/>
            <w:tcBorders>
              <w:top w:val="single" w:color="auto" w:sz="4" w:space="0"/>
              <w:left w:val="single" w:color="auto" w:sz="4" w:space="0"/>
              <w:bottom w:val="single" w:color="auto" w:sz="4" w:space="0"/>
              <w:right w:val="single" w:color="auto" w:sz="4" w:space="0"/>
            </w:tcBorders>
            <w:noWrap w:val="0"/>
            <w:vAlign w:val="top"/>
          </w:tcPr>
          <w:p w14:paraId="75CD3973">
            <w:pPr>
              <w:spacing w:line="500" w:lineRule="exact"/>
              <w:jc w:val="left"/>
              <w:rPr>
                <w:rFonts w:hint="eastAsia" w:ascii="仿宋" w:hAnsi="仿宋" w:eastAsia="仿宋" w:cs="仿宋"/>
                <w:color w:val="auto"/>
                <w:szCs w:val="21"/>
                <w:highlight w:val="none"/>
              </w:rPr>
            </w:pPr>
          </w:p>
        </w:tc>
      </w:tr>
      <w:tr w14:paraId="7BA06B01">
        <w:tblPrEx>
          <w:tblCellMar>
            <w:top w:w="0" w:type="dxa"/>
            <w:left w:w="108" w:type="dxa"/>
            <w:bottom w:w="0" w:type="dxa"/>
            <w:right w:w="108" w:type="dxa"/>
          </w:tblCellMar>
        </w:tblPrEx>
        <w:tc>
          <w:tcPr>
            <w:tcW w:w="649" w:type="dxa"/>
            <w:tcBorders>
              <w:top w:val="single" w:color="auto" w:sz="4" w:space="0"/>
              <w:left w:val="single" w:color="auto" w:sz="4" w:space="0"/>
              <w:bottom w:val="single" w:color="auto" w:sz="4" w:space="0"/>
              <w:right w:val="single" w:color="auto" w:sz="4" w:space="0"/>
            </w:tcBorders>
            <w:noWrap w:val="0"/>
            <w:vAlign w:val="top"/>
          </w:tcPr>
          <w:p w14:paraId="76270AB2">
            <w:pPr>
              <w:spacing w:line="500" w:lineRule="exact"/>
              <w:jc w:val="left"/>
              <w:rPr>
                <w:rFonts w:hint="eastAsia" w:ascii="仿宋" w:hAnsi="仿宋" w:eastAsia="仿宋" w:cs="仿宋"/>
                <w:color w:val="auto"/>
                <w:szCs w:val="21"/>
                <w:highlight w:val="none"/>
              </w:rPr>
            </w:pPr>
          </w:p>
        </w:tc>
        <w:tc>
          <w:tcPr>
            <w:tcW w:w="720" w:type="dxa"/>
            <w:tcBorders>
              <w:top w:val="single" w:color="auto" w:sz="4" w:space="0"/>
              <w:left w:val="single" w:color="auto" w:sz="4" w:space="0"/>
              <w:bottom w:val="single" w:color="auto" w:sz="4" w:space="0"/>
              <w:right w:val="single" w:color="auto" w:sz="4" w:space="0"/>
            </w:tcBorders>
            <w:noWrap w:val="0"/>
            <w:vAlign w:val="top"/>
          </w:tcPr>
          <w:p w14:paraId="65C742E7">
            <w:pPr>
              <w:spacing w:line="500" w:lineRule="exact"/>
              <w:jc w:val="left"/>
              <w:rPr>
                <w:rFonts w:hint="eastAsia" w:ascii="仿宋" w:hAnsi="仿宋" w:eastAsia="仿宋" w:cs="仿宋"/>
                <w:color w:val="auto"/>
                <w:szCs w:val="21"/>
                <w:highlight w:val="none"/>
              </w:rPr>
            </w:pPr>
          </w:p>
        </w:tc>
        <w:tc>
          <w:tcPr>
            <w:tcW w:w="905" w:type="dxa"/>
            <w:tcBorders>
              <w:top w:val="single" w:color="auto" w:sz="4" w:space="0"/>
              <w:left w:val="single" w:color="auto" w:sz="4" w:space="0"/>
              <w:bottom w:val="single" w:color="auto" w:sz="4" w:space="0"/>
              <w:right w:val="single" w:color="auto" w:sz="4" w:space="0"/>
            </w:tcBorders>
            <w:noWrap w:val="0"/>
            <w:vAlign w:val="top"/>
          </w:tcPr>
          <w:p w14:paraId="60E9D6A9">
            <w:pPr>
              <w:spacing w:line="500" w:lineRule="exact"/>
              <w:jc w:val="left"/>
              <w:rPr>
                <w:rFonts w:hint="eastAsia" w:ascii="仿宋" w:hAnsi="仿宋" w:eastAsia="仿宋" w:cs="仿宋"/>
                <w:color w:val="auto"/>
                <w:szCs w:val="21"/>
                <w:highlight w:val="none"/>
              </w:rPr>
            </w:pPr>
          </w:p>
        </w:tc>
        <w:tc>
          <w:tcPr>
            <w:tcW w:w="1262" w:type="dxa"/>
            <w:tcBorders>
              <w:top w:val="single" w:color="auto" w:sz="4" w:space="0"/>
              <w:left w:val="single" w:color="auto" w:sz="4" w:space="0"/>
              <w:bottom w:val="single" w:color="auto" w:sz="4" w:space="0"/>
              <w:right w:val="single" w:color="auto" w:sz="4" w:space="0"/>
            </w:tcBorders>
            <w:noWrap w:val="0"/>
            <w:vAlign w:val="top"/>
          </w:tcPr>
          <w:p w14:paraId="59A34C96">
            <w:pPr>
              <w:spacing w:line="500" w:lineRule="exact"/>
              <w:jc w:val="left"/>
              <w:rPr>
                <w:rFonts w:hint="eastAsia" w:ascii="仿宋" w:hAnsi="仿宋" w:eastAsia="仿宋" w:cs="仿宋"/>
                <w:color w:val="auto"/>
                <w:szCs w:val="21"/>
                <w:highlight w:val="none"/>
              </w:rPr>
            </w:pPr>
          </w:p>
        </w:tc>
        <w:tc>
          <w:tcPr>
            <w:tcW w:w="1259" w:type="dxa"/>
            <w:tcBorders>
              <w:top w:val="single" w:color="auto" w:sz="4" w:space="0"/>
              <w:left w:val="single" w:color="auto" w:sz="4" w:space="0"/>
              <w:bottom w:val="single" w:color="auto" w:sz="4" w:space="0"/>
              <w:right w:val="single" w:color="auto" w:sz="4" w:space="0"/>
            </w:tcBorders>
            <w:noWrap w:val="0"/>
            <w:vAlign w:val="top"/>
          </w:tcPr>
          <w:p w14:paraId="01EB64D2">
            <w:pPr>
              <w:spacing w:line="500" w:lineRule="exact"/>
              <w:jc w:val="left"/>
              <w:rPr>
                <w:rFonts w:hint="eastAsia" w:ascii="仿宋" w:hAnsi="仿宋" w:eastAsia="仿宋" w:cs="仿宋"/>
                <w:color w:val="auto"/>
                <w:szCs w:val="21"/>
                <w:highlight w:val="none"/>
              </w:rPr>
            </w:pPr>
          </w:p>
        </w:tc>
        <w:tc>
          <w:tcPr>
            <w:tcW w:w="1087" w:type="dxa"/>
            <w:tcBorders>
              <w:top w:val="single" w:color="auto" w:sz="4" w:space="0"/>
              <w:left w:val="single" w:color="auto" w:sz="4" w:space="0"/>
              <w:bottom w:val="single" w:color="auto" w:sz="4" w:space="0"/>
              <w:right w:val="single" w:color="auto" w:sz="4" w:space="0"/>
            </w:tcBorders>
            <w:noWrap w:val="0"/>
            <w:vAlign w:val="top"/>
          </w:tcPr>
          <w:p w14:paraId="4F79F38A">
            <w:pPr>
              <w:spacing w:line="500" w:lineRule="exact"/>
              <w:jc w:val="left"/>
              <w:rPr>
                <w:rFonts w:hint="eastAsia" w:ascii="仿宋" w:hAnsi="仿宋" w:eastAsia="仿宋" w:cs="仿宋"/>
                <w:color w:val="auto"/>
                <w:szCs w:val="21"/>
                <w:highlight w:val="none"/>
              </w:rPr>
            </w:pPr>
          </w:p>
        </w:tc>
        <w:tc>
          <w:tcPr>
            <w:tcW w:w="1078" w:type="dxa"/>
            <w:tcBorders>
              <w:top w:val="single" w:color="auto" w:sz="4" w:space="0"/>
              <w:left w:val="single" w:color="auto" w:sz="4" w:space="0"/>
              <w:bottom w:val="single" w:color="auto" w:sz="4" w:space="0"/>
              <w:right w:val="single" w:color="auto" w:sz="4" w:space="0"/>
            </w:tcBorders>
            <w:noWrap w:val="0"/>
            <w:vAlign w:val="top"/>
          </w:tcPr>
          <w:p w14:paraId="426D083B">
            <w:pPr>
              <w:spacing w:line="500" w:lineRule="exact"/>
              <w:jc w:val="left"/>
              <w:rPr>
                <w:rFonts w:hint="eastAsia" w:ascii="仿宋" w:hAnsi="仿宋" w:eastAsia="仿宋" w:cs="仿宋"/>
                <w:color w:val="auto"/>
                <w:szCs w:val="21"/>
                <w:highlight w:val="none"/>
              </w:rPr>
            </w:pPr>
          </w:p>
        </w:tc>
        <w:tc>
          <w:tcPr>
            <w:tcW w:w="719" w:type="dxa"/>
            <w:tcBorders>
              <w:top w:val="single" w:color="auto" w:sz="4" w:space="0"/>
              <w:left w:val="single" w:color="auto" w:sz="4" w:space="0"/>
              <w:bottom w:val="single" w:color="auto" w:sz="4" w:space="0"/>
              <w:right w:val="single" w:color="auto" w:sz="4" w:space="0"/>
            </w:tcBorders>
            <w:noWrap w:val="0"/>
            <w:vAlign w:val="top"/>
          </w:tcPr>
          <w:p w14:paraId="6C8B0FBE">
            <w:pPr>
              <w:spacing w:line="500" w:lineRule="exact"/>
              <w:jc w:val="left"/>
              <w:rPr>
                <w:rFonts w:hint="eastAsia" w:ascii="仿宋" w:hAnsi="仿宋" w:eastAsia="仿宋" w:cs="仿宋"/>
                <w:color w:val="auto"/>
                <w:szCs w:val="21"/>
                <w:highlight w:val="none"/>
              </w:rPr>
            </w:pPr>
          </w:p>
        </w:tc>
        <w:tc>
          <w:tcPr>
            <w:tcW w:w="719" w:type="dxa"/>
            <w:tcBorders>
              <w:top w:val="single" w:color="auto" w:sz="4" w:space="0"/>
              <w:left w:val="single" w:color="auto" w:sz="4" w:space="0"/>
              <w:bottom w:val="single" w:color="auto" w:sz="4" w:space="0"/>
              <w:right w:val="single" w:color="auto" w:sz="4" w:space="0"/>
            </w:tcBorders>
            <w:noWrap w:val="0"/>
            <w:vAlign w:val="top"/>
          </w:tcPr>
          <w:p w14:paraId="731B1D21">
            <w:pPr>
              <w:spacing w:line="500" w:lineRule="exact"/>
              <w:jc w:val="left"/>
              <w:rPr>
                <w:rFonts w:hint="eastAsia" w:ascii="仿宋" w:hAnsi="仿宋" w:eastAsia="仿宋" w:cs="仿宋"/>
                <w:color w:val="auto"/>
                <w:szCs w:val="21"/>
                <w:highlight w:val="none"/>
              </w:rPr>
            </w:pPr>
          </w:p>
        </w:tc>
        <w:tc>
          <w:tcPr>
            <w:tcW w:w="709" w:type="dxa"/>
            <w:tcBorders>
              <w:top w:val="single" w:color="auto" w:sz="4" w:space="0"/>
              <w:left w:val="single" w:color="auto" w:sz="4" w:space="0"/>
              <w:bottom w:val="single" w:color="auto" w:sz="4" w:space="0"/>
              <w:right w:val="single" w:color="auto" w:sz="4" w:space="0"/>
            </w:tcBorders>
            <w:noWrap w:val="0"/>
            <w:vAlign w:val="top"/>
          </w:tcPr>
          <w:p w14:paraId="622440DE">
            <w:pPr>
              <w:spacing w:line="500" w:lineRule="exact"/>
              <w:jc w:val="left"/>
              <w:rPr>
                <w:rFonts w:hint="eastAsia" w:ascii="仿宋" w:hAnsi="仿宋" w:eastAsia="仿宋" w:cs="仿宋"/>
                <w:color w:val="auto"/>
                <w:szCs w:val="21"/>
                <w:highlight w:val="none"/>
              </w:rPr>
            </w:pPr>
          </w:p>
        </w:tc>
      </w:tr>
      <w:tr w14:paraId="6BE8999D">
        <w:tblPrEx>
          <w:tblCellMar>
            <w:top w:w="0" w:type="dxa"/>
            <w:left w:w="108" w:type="dxa"/>
            <w:bottom w:w="0" w:type="dxa"/>
            <w:right w:w="108" w:type="dxa"/>
          </w:tblCellMar>
        </w:tblPrEx>
        <w:tc>
          <w:tcPr>
            <w:tcW w:w="649" w:type="dxa"/>
            <w:tcBorders>
              <w:top w:val="single" w:color="auto" w:sz="4" w:space="0"/>
              <w:left w:val="single" w:color="auto" w:sz="4" w:space="0"/>
              <w:bottom w:val="single" w:color="auto" w:sz="4" w:space="0"/>
              <w:right w:val="single" w:color="auto" w:sz="4" w:space="0"/>
            </w:tcBorders>
            <w:noWrap w:val="0"/>
            <w:vAlign w:val="top"/>
          </w:tcPr>
          <w:p w14:paraId="66385DEA">
            <w:pPr>
              <w:spacing w:line="500" w:lineRule="exact"/>
              <w:jc w:val="left"/>
              <w:rPr>
                <w:rFonts w:hint="eastAsia" w:ascii="仿宋" w:hAnsi="仿宋" w:eastAsia="仿宋" w:cs="仿宋"/>
                <w:color w:val="auto"/>
                <w:szCs w:val="21"/>
                <w:highlight w:val="none"/>
              </w:rPr>
            </w:pPr>
          </w:p>
        </w:tc>
        <w:tc>
          <w:tcPr>
            <w:tcW w:w="720" w:type="dxa"/>
            <w:tcBorders>
              <w:top w:val="single" w:color="auto" w:sz="4" w:space="0"/>
              <w:left w:val="single" w:color="auto" w:sz="4" w:space="0"/>
              <w:bottom w:val="single" w:color="auto" w:sz="4" w:space="0"/>
              <w:right w:val="single" w:color="auto" w:sz="4" w:space="0"/>
            </w:tcBorders>
            <w:noWrap w:val="0"/>
            <w:vAlign w:val="top"/>
          </w:tcPr>
          <w:p w14:paraId="2B5BEEB7">
            <w:pPr>
              <w:spacing w:line="500" w:lineRule="exact"/>
              <w:jc w:val="left"/>
              <w:rPr>
                <w:rFonts w:hint="eastAsia" w:ascii="仿宋" w:hAnsi="仿宋" w:eastAsia="仿宋" w:cs="仿宋"/>
                <w:color w:val="auto"/>
                <w:szCs w:val="21"/>
                <w:highlight w:val="none"/>
              </w:rPr>
            </w:pPr>
          </w:p>
        </w:tc>
        <w:tc>
          <w:tcPr>
            <w:tcW w:w="905" w:type="dxa"/>
            <w:tcBorders>
              <w:top w:val="single" w:color="auto" w:sz="4" w:space="0"/>
              <w:left w:val="single" w:color="auto" w:sz="4" w:space="0"/>
              <w:bottom w:val="single" w:color="auto" w:sz="4" w:space="0"/>
              <w:right w:val="single" w:color="auto" w:sz="4" w:space="0"/>
            </w:tcBorders>
            <w:noWrap w:val="0"/>
            <w:vAlign w:val="top"/>
          </w:tcPr>
          <w:p w14:paraId="0236F5FD">
            <w:pPr>
              <w:spacing w:line="500" w:lineRule="exact"/>
              <w:jc w:val="left"/>
              <w:rPr>
                <w:rFonts w:hint="eastAsia" w:ascii="仿宋" w:hAnsi="仿宋" w:eastAsia="仿宋" w:cs="仿宋"/>
                <w:color w:val="auto"/>
                <w:szCs w:val="21"/>
                <w:highlight w:val="none"/>
              </w:rPr>
            </w:pPr>
          </w:p>
        </w:tc>
        <w:tc>
          <w:tcPr>
            <w:tcW w:w="1262" w:type="dxa"/>
            <w:tcBorders>
              <w:top w:val="single" w:color="auto" w:sz="4" w:space="0"/>
              <w:left w:val="single" w:color="auto" w:sz="4" w:space="0"/>
              <w:bottom w:val="single" w:color="auto" w:sz="4" w:space="0"/>
              <w:right w:val="single" w:color="auto" w:sz="4" w:space="0"/>
            </w:tcBorders>
            <w:noWrap w:val="0"/>
            <w:vAlign w:val="top"/>
          </w:tcPr>
          <w:p w14:paraId="16D56C57">
            <w:pPr>
              <w:spacing w:line="500" w:lineRule="exact"/>
              <w:jc w:val="left"/>
              <w:rPr>
                <w:rFonts w:hint="eastAsia" w:ascii="仿宋" w:hAnsi="仿宋" w:eastAsia="仿宋" w:cs="仿宋"/>
                <w:color w:val="auto"/>
                <w:szCs w:val="21"/>
                <w:highlight w:val="none"/>
              </w:rPr>
            </w:pPr>
          </w:p>
        </w:tc>
        <w:tc>
          <w:tcPr>
            <w:tcW w:w="1259" w:type="dxa"/>
            <w:tcBorders>
              <w:top w:val="single" w:color="auto" w:sz="4" w:space="0"/>
              <w:left w:val="single" w:color="auto" w:sz="4" w:space="0"/>
              <w:bottom w:val="single" w:color="auto" w:sz="4" w:space="0"/>
              <w:right w:val="single" w:color="auto" w:sz="4" w:space="0"/>
            </w:tcBorders>
            <w:noWrap w:val="0"/>
            <w:vAlign w:val="top"/>
          </w:tcPr>
          <w:p w14:paraId="10E6694E">
            <w:pPr>
              <w:spacing w:line="500" w:lineRule="exact"/>
              <w:jc w:val="left"/>
              <w:rPr>
                <w:rFonts w:hint="eastAsia" w:ascii="仿宋" w:hAnsi="仿宋" w:eastAsia="仿宋" w:cs="仿宋"/>
                <w:color w:val="auto"/>
                <w:szCs w:val="21"/>
                <w:highlight w:val="none"/>
              </w:rPr>
            </w:pPr>
          </w:p>
        </w:tc>
        <w:tc>
          <w:tcPr>
            <w:tcW w:w="1087" w:type="dxa"/>
            <w:tcBorders>
              <w:top w:val="single" w:color="auto" w:sz="4" w:space="0"/>
              <w:left w:val="single" w:color="auto" w:sz="4" w:space="0"/>
              <w:bottom w:val="single" w:color="auto" w:sz="4" w:space="0"/>
              <w:right w:val="single" w:color="auto" w:sz="4" w:space="0"/>
            </w:tcBorders>
            <w:noWrap w:val="0"/>
            <w:vAlign w:val="top"/>
          </w:tcPr>
          <w:p w14:paraId="577F42A8">
            <w:pPr>
              <w:spacing w:line="500" w:lineRule="exact"/>
              <w:jc w:val="left"/>
              <w:rPr>
                <w:rFonts w:hint="eastAsia" w:ascii="仿宋" w:hAnsi="仿宋" w:eastAsia="仿宋" w:cs="仿宋"/>
                <w:color w:val="auto"/>
                <w:szCs w:val="21"/>
                <w:highlight w:val="none"/>
              </w:rPr>
            </w:pPr>
          </w:p>
        </w:tc>
        <w:tc>
          <w:tcPr>
            <w:tcW w:w="1078" w:type="dxa"/>
            <w:tcBorders>
              <w:top w:val="single" w:color="auto" w:sz="4" w:space="0"/>
              <w:left w:val="single" w:color="auto" w:sz="4" w:space="0"/>
              <w:bottom w:val="single" w:color="auto" w:sz="4" w:space="0"/>
              <w:right w:val="single" w:color="auto" w:sz="4" w:space="0"/>
            </w:tcBorders>
            <w:noWrap w:val="0"/>
            <w:vAlign w:val="top"/>
          </w:tcPr>
          <w:p w14:paraId="133DCC2D">
            <w:pPr>
              <w:spacing w:line="500" w:lineRule="exact"/>
              <w:jc w:val="left"/>
              <w:rPr>
                <w:rFonts w:hint="eastAsia" w:ascii="仿宋" w:hAnsi="仿宋" w:eastAsia="仿宋" w:cs="仿宋"/>
                <w:color w:val="auto"/>
                <w:szCs w:val="21"/>
                <w:highlight w:val="none"/>
              </w:rPr>
            </w:pPr>
          </w:p>
        </w:tc>
        <w:tc>
          <w:tcPr>
            <w:tcW w:w="719" w:type="dxa"/>
            <w:tcBorders>
              <w:top w:val="single" w:color="auto" w:sz="4" w:space="0"/>
              <w:left w:val="single" w:color="auto" w:sz="4" w:space="0"/>
              <w:bottom w:val="single" w:color="auto" w:sz="4" w:space="0"/>
              <w:right w:val="single" w:color="auto" w:sz="4" w:space="0"/>
            </w:tcBorders>
            <w:noWrap w:val="0"/>
            <w:vAlign w:val="top"/>
          </w:tcPr>
          <w:p w14:paraId="39DD3E20">
            <w:pPr>
              <w:spacing w:line="500" w:lineRule="exact"/>
              <w:jc w:val="left"/>
              <w:rPr>
                <w:rFonts w:hint="eastAsia" w:ascii="仿宋" w:hAnsi="仿宋" w:eastAsia="仿宋" w:cs="仿宋"/>
                <w:color w:val="auto"/>
                <w:szCs w:val="21"/>
                <w:highlight w:val="none"/>
              </w:rPr>
            </w:pPr>
          </w:p>
        </w:tc>
        <w:tc>
          <w:tcPr>
            <w:tcW w:w="719" w:type="dxa"/>
            <w:tcBorders>
              <w:top w:val="single" w:color="auto" w:sz="4" w:space="0"/>
              <w:left w:val="single" w:color="auto" w:sz="4" w:space="0"/>
              <w:bottom w:val="single" w:color="auto" w:sz="4" w:space="0"/>
              <w:right w:val="single" w:color="auto" w:sz="4" w:space="0"/>
            </w:tcBorders>
            <w:noWrap w:val="0"/>
            <w:vAlign w:val="top"/>
          </w:tcPr>
          <w:p w14:paraId="6C493512">
            <w:pPr>
              <w:spacing w:line="500" w:lineRule="exact"/>
              <w:jc w:val="left"/>
              <w:rPr>
                <w:rFonts w:hint="eastAsia" w:ascii="仿宋" w:hAnsi="仿宋" w:eastAsia="仿宋" w:cs="仿宋"/>
                <w:color w:val="auto"/>
                <w:szCs w:val="21"/>
                <w:highlight w:val="none"/>
              </w:rPr>
            </w:pPr>
          </w:p>
        </w:tc>
        <w:tc>
          <w:tcPr>
            <w:tcW w:w="709" w:type="dxa"/>
            <w:tcBorders>
              <w:top w:val="single" w:color="auto" w:sz="4" w:space="0"/>
              <w:left w:val="single" w:color="auto" w:sz="4" w:space="0"/>
              <w:bottom w:val="single" w:color="auto" w:sz="4" w:space="0"/>
              <w:right w:val="single" w:color="auto" w:sz="4" w:space="0"/>
            </w:tcBorders>
            <w:noWrap w:val="0"/>
            <w:vAlign w:val="top"/>
          </w:tcPr>
          <w:p w14:paraId="2F6960D7">
            <w:pPr>
              <w:spacing w:line="500" w:lineRule="exact"/>
              <w:jc w:val="left"/>
              <w:rPr>
                <w:rFonts w:hint="eastAsia" w:ascii="仿宋" w:hAnsi="仿宋" w:eastAsia="仿宋" w:cs="仿宋"/>
                <w:color w:val="auto"/>
                <w:szCs w:val="21"/>
                <w:highlight w:val="none"/>
              </w:rPr>
            </w:pPr>
          </w:p>
        </w:tc>
      </w:tr>
      <w:tr w14:paraId="358ABA6E">
        <w:tblPrEx>
          <w:tblCellMar>
            <w:top w:w="0" w:type="dxa"/>
            <w:left w:w="108" w:type="dxa"/>
            <w:bottom w:w="0" w:type="dxa"/>
            <w:right w:w="108" w:type="dxa"/>
          </w:tblCellMar>
        </w:tblPrEx>
        <w:tc>
          <w:tcPr>
            <w:tcW w:w="649" w:type="dxa"/>
            <w:tcBorders>
              <w:top w:val="single" w:color="auto" w:sz="4" w:space="0"/>
              <w:left w:val="single" w:color="auto" w:sz="4" w:space="0"/>
              <w:bottom w:val="single" w:color="auto" w:sz="4" w:space="0"/>
              <w:right w:val="single" w:color="auto" w:sz="4" w:space="0"/>
            </w:tcBorders>
            <w:noWrap w:val="0"/>
            <w:vAlign w:val="top"/>
          </w:tcPr>
          <w:p w14:paraId="6C2771FA">
            <w:pPr>
              <w:spacing w:line="500" w:lineRule="exact"/>
              <w:jc w:val="left"/>
              <w:rPr>
                <w:rFonts w:hint="eastAsia" w:ascii="仿宋" w:hAnsi="仿宋" w:eastAsia="仿宋" w:cs="仿宋"/>
                <w:color w:val="auto"/>
                <w:szCs w:val="21"/>
                <w:highlight w:val="none"/>
              </w:rPr>
            </w:pPr>
          </w:p>
        </w:tc>
        <w:tc>
          <w:tcPr>
            <w:tcW w:w="720" w:type="dxa"/>
            <w:tcBorders>
              <w:top w:val="single" w:color="auto" w:sz="4" w:space="0"/>
              <w:left w:val="single" w:color="auto" w:sz="4" w:space="0"/>
              <w:bottom w:val="single" w:color="auto" w:sz="4" w:space="0"/>
              <w:right w:val="single" w:color="auto" w:sz="4" w:space="0"/>
            </w:tcBorders>
            <w:noWrap w:val="0"/>
            <w:vAlign w:val="top"/>
          </w:tcPr>
          <w:p w14:paraId="467DDD9D">
            <w:pPr>
              <w:spacing w:line="500" w:lineRule="exact"/>
              <w:jc w:val="left"/>
              <w:rPr>
                <w:rFonts w:hint="eastAsia" w:ascii="仿宋" w:hAnsi="仿宋" w:eastAsia="仿宋" w:cs="仿宋"/>
                <w:color w:val="auto"/>
                <w:szCs w:val="21"/>
                <w:highlight w:val="none"/>
              </w:rPr>
            </w:pPr>
          </w:p>
        </w:tc>
        <w:tc>
          <w:tcPr>
            <w:tcW w:w="905" w:type="dxa"/>
            <w:tcBorders>
              <w:top w:val="single" w:color="auto" w:sz="4" w:space="0"/>
              <w:left w:val="single" w:color="auto" w:sz="4" w:space="0"/>
              <w:bottom w:val="single" w:color="auto" w:sz="4" w:space="0"/>
              <w:right w:val="single" w:color="auto" w:sz="4" w:space="0"/>
            </w:tcBorders>
            <w:noWrap w:val="0"/>
            <w:vAlign w:val="top"/>
          </w:tcPr>
          <w:p w14:paraId="7DE75590">
            <w:pPr>
              <w:spacing w:line="500" w:lineRule="exact"/>
              <w:jc w:val="left"/>
              <w:rPr>
                <w:rFonts w:hint="eastAsia" w:ascii="仿宋" w:hAnsi="仿宋" w:eastAsia="仿宋" w:cs="仿宋"/>
                <w:color w:val="auto"/>
                <w:szCs w:val="21"/>
                <w:highlight w:val="none"/>
              </w:rPr>
            </w:pPr>
          </w:p>
        </w:tc>
        <w:tc>
          <w:tcPr>
            <w:tcW w:w="1262" w:type="dxa"/>
            <w:tcBorders>
              <w:top w:val="single" w:color="auto" w:sz="4" w:space="0"/>
              <w:left w:val="single" w:color="auto" w:sz="4" w:space="0"/>
              <w:bottom w:val="single" w:color="auto" w:sz="4" w:space="0"/>
              <w:right w:val="single" w:color="auto" w:sz="4" w:space="0"/>
            </w:tcBorders>
            <w:noWrap w:val="0"/>
            <w:vAlign w:val="top"/>
          </w:tcPr>
          <w:p w14:paraId="2AD71E49">
            <w:pPr>
              <w:spacing w:line="500" w:lineRule="exact"/>
              <w:jc w:val="left"/>
              <w:rPr>
                <w:rFonts w:hint="eastAsia" w:ascii="仿宋" w:hAnsi="仿宋" w:eastAsia="仿宋" w:cs="仿宋"/>
                <w:color w:val="auto"/>
                <w:szCs w:val="21"/>
                <w:highlight w:val="none"/>
              </w:rPr>
            </w:pPr>
          </w:p>
        </w:tc>
        <w:tc>
          <w:tcPr>
            <w:tcW w:w="1259" w:type="dxa"/>
            <w:tcBorders>
              <w:top w:val="single" w:color="auto" w:sz="4" w:space="0"/>
              <w:left w:val="single" w:color="auto" w:sz="4" w:space="0"/>
              <w:bottom w:val="single" w:color="auto" w:sz="4" w:space="0"/>
              <w:right w:val="single" w:color="auto" w:sz="4" w:space="0"/>
            </w:tcBorders>
            <w:noWrap w:val="0"/>
            <w:vAlign w:val="top"/>
          </w:tcPr>
          <w:p w14:paraId="74020855">
            <w:pPr>
              <w:spacing w:line="500" w:lineRule="exact"/>
              <w:jc w:val="left"/>
              <w:rPr>
                <w:rFonts w:hint="eastAsia" w:ascii="仿宋" w:hAnsi="仿宋" w:eastAsia="仿宋" w:cs="仿宋"/>
                <w:color w:val="auto"/>
                <w:szCs w:val="21"/>
                <w:highlight w:val="none"/>
              </w:rPr>
            </w:pPr>
          </w:p>
        </w:tc>
        <w:tc>
          <w:tcPr>
            <w:tcW w:w="1087" w:type="dxa"/>
            <w:tcBorders>
              <w:top w:val="single" w:color="auto" w:sz="4" w:space="0"/>
              <w:left w:val="single" w:color="auto" w:sz="4" w:space="0"/>
              <w:bottom w:val="single" w:color="auto" w:sz="4" w:space="0"/>
              <w:right w:val="single" w:color="auto" w:sz="4" w:space="0"/>
            </w:tcBorders>
            <w:noWrap w:val="0"/>
            <w:vAlign w:val="top"/>
          </w:tcPr>
          <w:p w14:paraId="3D3CCF57">
            <w:pPr>
              <w:spacing w:line="500" w:lineRule="exact"/>
              <w:jc w:val="left"/>
              <w:rPr>
                <w:rFonts w:hint="eastAsia" w:ascii="仿宋" w:hAnsi="仿宋" w:eastAsia="仿宋" w:cs="仿宋"/>
                <w:color w:val="auto"/>
                <w:szCs w:val="21"/>
                <w:highlight w:val="none"/>
              </w:rPr>
            </w:pPr>
          </w:p>
        </w:tc>
        <w:tc>
          <w:tcPr>
            <w:tcW w:w="1078" w:type="dxa"/>
            <w:tcBorders>
              <w:top w:val="single" w:color="auto" w:sz="4" w:space="0"/>
              <w:left w:val="single" w:color="auto" w:sz="4" w:space="0"/>
              <w:bottom w:val="single" w:color="auto" w:sz="4" w:space="0"/>
              <w:right w:val="single" w:color="auto" w:sz="4" w:space="0"/>
            </w:tcBorders>
            <w:noWrap w:val="0"/>
            <w:vAlign w:val="top"/>
          </w:tcPr>
          <w:p w14:paraId="13CC25B8">
            <w:pPr>
              <w:spacing w:line="500" w:lineRule="exact"/>
              <w:jc w:val="left"/>
              <w:rPr>
                <w:rFonts w:hint="eastAsia" w:ascii="仿宋" w:hAnsi="仿宋" w:eastAsia="仿宋" w:cs="仿宋"/>
                <w:color w:val="auto"/>
                <w:szCs w:val="21"/>
                <w:highlight w:val="none"/>
              </w:rPr>
            </w:pPr>
          </w:p>
        </w:tc>
        <w:tc>
          <w:tcPr>
            <w:tcW w:w="719" w:type="dxa"/>
            <w:tcBorders>
              <w:top w:val="single" w:color="auto" w:sz="4" w:space="0"/>
              <w:left w:val="single" w:color="auto" w:sz="4" w:space="0"/>
              <w:bottom w:val="single" w:color="auto" w:sz="4" w:space="0"/>
              <w:right w:val="single" w:color="auto" w:sz="4" w:space="0"/>
            </w:tcBorders>
            <w:noWrap w:val="0"/>
            <w:vAlign w:val="top"/>
          </w:tcPr>
          <w:p w14:paraId="7490E64C">
            <w:pPr>
              <w:spacing w:line="500" w:lineRule="exact"/>
              <w:jc w:val="left"/>
              <w:rPr>
                <w:rFonts w:hint="eastAsia" w:ascii="仿宋" w:hAnsi="仿宋" w:eastAsia="仿宋" w:cs="仿宋"/>
                <w:color w:val="auto"/>
                <w:szCs w:val="21"/>
                <w:highlight w:val="none"/>
              </w:rPr>
            </w:pPr>
          </w:p>
        </w:tc>
        <w:tc>
          <w:tcPr>
            <w:tcW w:w="719" w:type="dxa"/>
            <w:tcBorders>
              <w:top w:val="single" w:color="auto" w:sz="4" w:space="0"/>
              <w:left w:val="single" w:color="auto" w:sz="4" w:space="0"/>
              <w:bottom w:val="single" w:color="auto" w:sz="4" w:space="0"/>
              <w:right w:val="single" w:color="auto" w:sz="4" w:space="0"/>
            </w:tcBorders>
            <w:noWrap w:val="0"/>
            <w:vAlign w:val="top"/>
          </w:tcPr>
          <w:p w14:paraId="7DEBAC8A">
            <w:pPr>
              <w:spacing w:line="500" w:lineRule="exact"/>
              <w:jc w:val="left"/>
              <w:rPr>
                <w:rFonts w:hint="eastAsia" w:ascii="仿宋" w:hAnsi="仿宋" w:eastAsia="仿宋" w:cs="仿宋"/>
                <w:color w:val="auto"/>
                <w:szCs w:val="21"/>
                <w:highlight w:val="none"/>
              </w:rPr>
            </w:pPr>
          </w:p>
        </w:tc>
        <w:tc>
          <w:tcPr>
            <w:tcW w:w="709" w:type="dxa"/>
            <w:tcBorders>
              <w:top w:val="single" w:color="auto" w:sz="4" w:space="0"/>
              <w:left w:val="single" w:color="auto" w:sz="4" w:space="0"/>
              <w:bottom w:val="single" w:color="auto" w:sz="4" w:space="0"/>
              <w:right w:val="single" w:color="auto" w:sz="4" w:space="0"/>
            </w:tcBorders>
            <w:noWrap w:val="0"/>
            <w:vAlign w:val="top"/>
          </w:tcPr>
          <w:p w14:paraId="2C93A735">
            <w:pPr>
              <w:spacing w:line="500" w:lineRule="exact"/>
              <w:jc w:val="left"/>
              <w:rPr>
                <w:rFonts w:hint="eastAsia" w:ascii="仿宋" w:hAnsi="仿宋" w:eastAsia="仿宋" w:cs="仿宋"/>
                <w:color w:val="auto"/>
                <w:szCs w:val="21"/>
                <w:highlight w:val="none"/>
              </w:rPr>
            </w:pPr>
          </w:p>
        </w:tc>
      </w:tr>
      <w:tr w14:paraId="0AD77B25">
        <w:tblPrEx>
          <w:tblCellMar>
            <w:top w:w="0" w:type="dxa"/>
            <w:left w:w="108" w:type="dxa"/>
            <w:bottom w:w="0" w:type="dxa"/>
            <w:right w:w="108" w:type="dxa"/>
          </w:tblCellMar>
        </w:tblPrEx>
        <w:tc>
          <w:tcPr>
            <w:tcW w:w="649" w:type="dxa"/>
            <w:tcBorders>
              <w:top w:val="single" w:color="auto" w:sz="4" w:space="0"/>
              <w:left w:val="single" w:color="auto" w:sz="4" w:space="0"/>
              <w:bottom w:val="single" w:color="auto" w:sz="4" w:space="0"/>
              <w:right w:val="single" w:color="auto" w:sz="4" w:space="0"/>
            </w:tcBorders>
            <w:noWrap w:val="0"/>
            <w:vAlign w:val="top"/>
          </w:tcPr>
          <w:p w14:paraId="6E13AE15">
            <w:pPr>
              <w:spacing w:line="500" w:lineRule="exact"/>
              <w:jc w:val="left"/>
              <w:rPr>
                <w:rFonts w:hint="eastAsia" w:ascii="仿宋" w:hAnsi="仿宋" w:eastAsia="仿宋" w:cs="仿宋"/>
                <w:color w:val="auto"/>
                <w:szCs w:val="21"/>
                <w:highlight w:val="none"/>
              </w:rPr>
            </w:pPr>
          </w:p>
        </w:tc>
        <w:tc>
          <w:tcPr>
            <w:tcW w:w="720" w:type="dxa"/>
            <w:tcBorders>
              <w:top w:val="single" w:color="auto" w:sz="4" w:space="0"/>
              <w:left w:val="single" w:color="auto" w:sz="4" w:space="0"/>
              <w:bottom w:val="single" w:color="auto" w:sz="4" w:space="0"/>
              <w:right w:val="single" w:color="auto" w:sz="4" w:space="0"/>
            </w:tcBorders>
            <w:noWrap w:val="0"/>
            <w:vAlign w:val="top"/>
          </w:tcPr>
          <w:p w14:paraId="5F7B12EB">
            <w:pPr>
              <w:spacing w:line="500" w:lineRule="exact"/>
              <w:jc w:val="left"/>
              <w:rPr>
                <w:rFonts w:hint="eastAsia" w:ascii="仿宋" w:hAnsi="仿宋" w:eastAsia="仿宋" w:cs="仿宋"/>
                <w:color w:val="auto"/>
                <w:szCs w:val="21"/>
                <w:highlight w:val="none"/>
              </w:rPr>
            </w:pPr>
          </w:p>
        </w:tc>
        <w:tc>
          <w:tcPr>
            <w:tcW w:w="905" w:type="dxa"/>
            <w:tcBorders>
              <w:top w:val="single" w:color="auto" w:sz="4" w:space="0"/>
              <w:left w:val="single" w:color="auto" w:sz="4" w:space="0"/>
              <w:bottom w:val="single" w:color="auto" w:sz="4" w:space="0"/>
              <w:right w:val="single" w:color="auto" w:sz="4" w:space="0"/>
            </w:tcBorders>
            <w:noWrap w:val="0"/>
            <w:vAlign w:val="top"/>
          </w:tcPr>
          <w:p w14:paraId="0DC4B629">
            <w:pPr>
              <w:spacing w:line="500" w:lineRule="exact"/>
              <w:jc w:val="left"/>
              <w:rPr>
                <w:rFonts w:hint="eastAsia" w:ascii="仿宋" w:hAnsi="仿宋" w:eastAsia="仿宋" w:cs="仿宋"/>
                <w:color w:val="auto"/>
                <w:szCs w:val="21"/>
                <w:highlight w:val="none"/>
              </w:rPr>
            </w:pPr>
          </w:p>
        </w:tc>
        <w:tc>
          <w:tcPr>
            <w:tcW w:w="1262" w:type="dxa"/>
            <w:tcBorders>
              <w:top w:val="single" w:color="auto" w:sz="4" w:space="0"/>
              <w:left w:val="single" w:color="auto" w:sz="4" w:space="0"/>
              <w:bottom w:val="single" w:color="auto" w:sz="4" w:space="0"/>
              <w:right w:val="single" w:color="auto" w:sz="4" w:space="0"/>
            </w:tcBorders>
            <w:noWrap w:val="0"/>
            <w:vAlign w:val="top"/>
          </w:tcPr>
          <w:p w14:paraId="0F356AA6">
            <w:pPr>
              <w:spacing w:line="500" w:lineRule="exact"/>
              <w:jc w:val="left"/>
              <w:rPr>
                <w:rFonts w:hint="eastAsia" w:ascii="仿宋" w:hAnsi="仿宋" w:eastAsia="仿宋" w:cs="仿宋"/>
                <w:color w:val="auto"/>
                <w:szCs w:val="21"/>
                <w:highlight w:val="none"/>
              </w:rPr>
            </w:pPr>
          </w:p>
        </w:tc>
        <w:tc>
          <w:tcPr>
            <w:tcW w:w="1259" w:type="dxa"/>
            <w:tcBorders>
              <w:top w:val="single" w:color="auto" w:sz="4" w:space="0"/>
              <w:left w:val="single" w:color="auto" w:sz="4" w:space="0"/>
              <w:bottom w:val="single" w:color="auto" w:sz="4" w:space="0"/>
              <w:right w:val="single" w:color="auto" w:sz="4" w:space="0"/>
            </w:tcBorders>
            <w:noWrap w:val="0"/>
            <w:vAlign w:val="top"/>
          </w:tcPr>
          <w:p w14:paraId="22230314">
            <w:pPr>
              <w:spacing w:line="500" w:lineRule="exact"/>
              <w:jc w:val="left"/>
              <w:rPr>
                <w:rFonts w:hint="eastAsia" w:ascii="仿宋" w:hAnsi="仿宋" w:eastAsia="仿宋" w:cs="仿宋"/>
                <w:color w:val="auto"/>
                <w:szCs w:val="21"/>
                <w:highlight w:val="none"/>
              </w:rPr>
            </w:pPr>
          </w:p>
        </w:tc>
        <w:tc>
          <w:tcPr>
            <w:tcW w:w="1087" w:type="dxa"/>
            <w:tcBorders>
              <w:top w:val="single" w:color="auto" w:sz="4" w:space="0"/>
              <w:left w:val="single" w:color="auto" w:sz="4" w:space="0"/>
              <w:bottom w:val="single" w:color="auto" w:sz="4" w:space="0"/>
              <w:right w:val="single" w:color="auto" w:sz="4" w:space="0"/>
            </w:tcBorders>
            <w:noWrap w:val="0"/>
            <w:vAlign w:val="top"/>
          </w:tcPr>
          <w:p w14:paraId="38D9721B">
            <w:pPr>
              <w:spacing w:line="500" w:lineRule="exact"/>
              <w:jc w:val="left"/>
              <w:rPr>
                <w:rFonts w:hint="eastAsia" w:ascii="仿宋" w:hAnsi="仿宋" w:eastAsia="仿宋" w:cs="仿宋"/>
                <w:color w:val="auto"/>
                <w:szCs w:val="21"/>
                <w:highlight w:val="none"/>
              </w:rPr>
            </w:pPr>
          </w:p>
        </w:tc>
        <w:tc>
          <w:tcPr>
            <w:tcW w:w="1078" w:type="dxa"/>
            <w:tcBorders>
              <w:top w:val="single" w:color="auto" w:sz="4" w:space="0"/>
              <w:left w:val="single" w:color="auto" w:sz="4" w:space="0"/>
              <w:bottom w:val="single" w:color="auto" w:sz="4" w:space="0"/>
              <w:right w:val="single" w:color="auto" w:sz="4" w:space="0"/>
            </w:tcBorders>
            <w:noWrap w:val="0"/>
            <w:vAlign w:val="top"/>
          </w:tcPr>
          <w:p w14:paraId="77C109EF">
            <w:pPr>
              <w:spacing w:line="500" w:lineRule="exact"/>
              <w:jc w:val="left"/>
              <w:rPr>
                <w:rFonts w:hint="eastAsia" w:ascii="仿宋" w:hAnsi="仿宋" w:eastAsia="仿宋" w:cs="仿宋"/>
                <w:color w:val="auto"/>
                <w:szCs w:val="21"/>
                <w:highlight w:val="none"/>
              </w:rPr>
            </w:pPr>
          </w:p>
        </w:tc>
        <w:tc>
          <w:tcPr>
            <w:tcW w:w="719" w:type="dxa"/>
            <w:tcBorders>
              <w:top w:val="single" w:color="auto" w:sz="4" w:space="0"/>
              <w:left w:val="single" w:color="auto" w:sz="4" w:space="0"/>
              <w:bottom w:val="single" w:color="auto" w:sz="4" w:space="0"/>
              <w:right w:val="single" w:color="auto" w:sz="4" w:space="0"/>
            </w:tcBorders>
            <w:noWrap w:val="0"/>
            <w:vAlign w:val="top"/>
          </w:tcPr>
          <w:p w14:paraId="1606B896">
            <w:pPr>
              <w:spacing w:line="500" w:lineRule="exact"/>
              <w:jc w:val="left"/>
              <w:rPr>
                <w:rFonts w:hint="eastAsia" w:ascii="仿宋" w:hAnsi="仿宋" w:eastAsia="仿宋" w:cs="仿宋"/>
                <w:color w:val="auto"/>
                <w:szCs w:val="21"/>
                <w:highlight w:val="none"/>
              </w:rPr>
            </w:pPr>
          </w:p>
        </w:tc>
        <w:tc>
          <w:tcPr>
            <w:tcW w:w="719" w:type="dxa"/>
            <w:tcBorders>
              <w:top w:val="single" w:color="auto" w:sz="4" w:space="0"/>
              <w:left w:val="single" w:color="auto" w:sz="4" w:space="0"/>
              <w:bottom w:val="single" w:color="auto" w:sz="4" w:space="0"/>
              <w:right w:val="single" w:color="auto" w:sz="4" w:space="0"/>
            </w:tcBorders>
            <w:noWrap w:val="0"/>
            <w:vAlign w:val="top"/>
          </w:tcPr>
          <w:p w14:paraId="08BF2482">
            <w:pPr>
              <w:spacing w:line="500" w:lineRule="exact"/>
              <w:jc w:val="left"/>
              <w:rPr>
                <w:rFonts w:hint="eastAsia" w:ascii="仿宋" w:hAnsi="仿宋" w:eastAsia="仿宋" w:cs="仿宋"/>
                <w:color w:val="auto"/>
                <w:szCs w:val="21"/>
                <w:highlight w:val="none"/>
              </w:rPr>
            </w:pPr>
          </w:p>
        </w:tc>
        <w:tc>
          <w:tcPr>
            <w:tcW w:w="709" w:type="dxa"/>
            <w:tcBorders>
              <w:top w:val="single" w:color="auto" w:sz="4" w:space="0"/>
              <w:left w:val="single" w:color="auto" w:sz="4" w:space="0"/>
              <w:bottom w:val="single" w:color="auto" w:sz="4" w:space="0"/>
              <w:right w:val="single" w:color="auto" w:sz="4" w:space="0"/>
            </w:tcBorders>
            <w:noWrap w:val="0"/>
            <w:vAlign w:val="top"/>
          </w:tcPr>
          <w:p w14:paraId="031C5A95">
            <w:pPr>
              <w:spacing w:line="500" w:lineRule="exact"/>
              <w:jc w:val="left"/>
              <w:rPr>
                <w:rFonts w:hint="eastAsia" w:ascii="仿宋" w:hAnsi="仿宋" w:eastAsia="仿宋" w:cs="仿宋"/>
                <w:color w:val="auto"/>
                <w:szCs w:val="21"/>
                <w:highlight w:val="none"/>
              </w:rPr>
            </w:pPr>
          </w:p>
        </w:tc>
      </w:tr>
      <w:tr w14:paraId="5972760A">
        <w:tblPrEx>
          <w:tblCellMar>
            <w:top w:w="0" w:type="dxa"/>
            <w:left w:w="108" w:type="dxa"/>
            <w:bottom w:w="0" w:type="dxa"/>
            <w:right w:w="108" w:type="dxa"/>
          </w:tblCellMar>
        </w:tblPrEx>
        <w:tc>
          <w:tcPr>
            <w:tcW w:w="649" w:type="dxa"/>
            <w:tcBorders>
              <w:top w:val="single" w:color="auto" w:sz="4" w:space="0"/>
              <w:left w:val="single" w:color="auto" w:sz="4" w:space="0"/>
              <w:bottom w:val="single" w:color="auto" w:sz="4" w:space="0"/>
              <w:right w:val="single" w:color="auto" w:sz="4" w:space="0"/>
            </w:tcBorders>
            <w:noWrap w:val="0"/>
            <w:vAlign w:val="top"/>
          </w:tcPr>
          <w:p w14:paraId="268680D2">
            <w:pPr>
              <w:spacing w:line="500" w:lineRule="exact"/>
              <w:jc w:val="left"/>
              <w:rPr>
                <w:rFonts w:hint="eastAsia" w:ascii="仿宋" w:hAnsi="仿宋" w:eastAsia="仿宋" w:cs="仿宋"/>
                <w:color w:val="auto"/>
                <w:szCs w:val="21"/>
                <w:highlight w:val="none"/>
              </w:rPr>
            </w:pPr>
          </w:p>
        </w:tc>
        <w:tc>
          <w:tcPr>
            <w:tcW w:w="720" w:type="dxa"/>
            <w:tcBorders>
              <w:top w:val="single" w:color="auto" w:sz="4" w:space="0"/>
              <w:left w:val="single" w:color="auto" w:sz="4" w:space="0"/>
              <w:bottom w:val="single" w:color="auto" w:sz="4" w:space="0"/>
              <w:right w:val="single" w:color="auto" w:sz="4" w:space="0"/>
            </w:tcBorders>
            <w:noWrap w:val="0"/>
            <w:vAlign w:val="top"/>
          </w:tcPr>
          <w:p w14:paraId="5D0EBF9B">
            <w:pPr>
              <w:spacing w:line="500" w:lineRule="exact"/>
              <w:jc w:val="left"/>
              <w:rPr>
                <w:rFonts w:hint="eastAsia" w:ascii="仿宋" w:hAnsi="仿宋" w:eastAsia="仿宋" w:cs="仿宋"/>
                <w:color w:val="auto"/>
                <w:szCs w:val="21"/>
                <w:highlight w:val="none"/>
              </w:rPr>
            </w:pPr>
          </w:p>
        </w:tc>
        <w:tc>
          <w:tcPr>
            <w:tcW w:w="905" w:type="dxa"/>
            <w:tcBorders>
              <w:top w:val="single" w:color="auto" w:sz="4" w:space="0"/>
              <w:left w:val="single" w:color="auto" w:sz="4" w:space="0"/>
              <w:bottom w:val="single" w:color="auto" w:sz="4" w:space="0"/>
              <w:right w:val="single" w:color="auto" w:sz="4" w:space="0"/>
            </w:tcBorders>
            <w:noWrap w:val="0"/>
            <w:vAlign w:val="top"/>
          </w:tcPr>
          <w:p w14:paraId="349B4A48">
            <w:pPr>
              <w:spacing w:line="500" w:lineRule="exact"/>
              <w:jc w:val="left"/>
              <w:rPr>
                <w:rFonts w:hint="eastAsia" w:ascii="仿宋" w:hAnsi="仿宋" w:eastAsia="仿宋" w:cs="仿宋"/>
                <w:color w:val="auto"/>
                <w:szCs w:val="21"/>
                <w:highlight w:val="none"/>
              </w:rPr>
            </w:pPr>
          </w:p>
        </w:tc>
        <w:tc>
          <w:tcPr>
            <w:tcW w:w="1262" w:type="dxa"/>
            <w:tcBorders>
              <w:top w:val="single" w:color="auto" w:sz="4" w:space="0"/>
              <w:left w:val="single" w:color="auto" w:sz="4" w:space="0"/>
              <w:bottom w:val="single" w:color="auto" w:sz="4" w:space="0"/>
              <w:right w:val="single" w:color="auto" w:sz="4" w:space="0"/>
            </w:tcBorders>
            <w:noWrap w:val="0"/>
            <w:vAlign w:val="top"/>
          </w:tcPr>
          <w:p w14:paraId="3F00C2C9">
            <w:pPr>
              <w:spacing w:line="500" w:lineRule="exact"/>
              <w:jc w:val="left"/>
              <w:rPr>
                <w:rFonts w:hint="eastAsia" w:ascii="仿宋" w:hAnsi="仿宋" w:eastAsia="仿宋" w:cs="仿宋"/>
                <w:color w:val="auto"/>
                <w:szCs w:val="21"/>
                <w:highlight w:val="none"/>
              </w:rPr>
            </w:pPr>
          </w:p>
        </w:tc>
        <w:tc>
          <w:tcPr>
            <w:tcW w:w="1259" w:type="dxa"/>
            <w:tcBorders>
              <w:top w:val="single" w:color="auto" w:sz="4" w:space="0"/>
              <w:left w:val="single" w:color="auto" w:sz="4" w:space="0"/>
              <w:bottom w:val="single" w:color="auto" w:sz="4" w:space="0"/>
              <w:right w:val="single" w:color="auto" w:sz="4" w:space="0"/>
            </w:tcBorders>
            <w:noWrap w:val="0"/>
            <w:vAlign w:val="top"/>
          </w:tcPr>
          <w:p w14:paraId="1A33044B">
            <w:pPr>
              <w:spacing w:line="500" w:lineRule="exact"/>
              <w:jc w:val="left"/>
              <w:rPr>
                <w:rFonts w:hint="eastAsia" w:ascii="仿宋" w:hAnsi="仿宋" w:eastAsia="仿宋" w:cs="仿宋"/>
                <w:color w:val="auto"/>
                <w:szCs w:val="21"/>
                <w:highlight w:val="none"/>
              </w:rPr>
            </w:pPr>
          </w:p>
        </w:tc>
        <w:tc>
          <w:tcPr>
            <w:tcW w:w="1087" w:type="dxa"/>
            <w:tcBorders>
              <w:top w:val="single" w:color="auto" w:sz="4" w:space="0"/>
              <w:left w:val="single" w:color="auto" w:sz="4" w:space="0"/>
              <w:bottom w:val="single" w:color="auto" w:sz="4" w:space="0"/>
              <w:right w:val="single" w:color="auto" w:sz="4" w:space="0"/>
            </w:tcBorders>
            <w:noWrap w:val="0"/>
            <w:vAlign w:val="top"/>
          </w:tcPr>
          <w:p w14:paraId="2ACB4100">
            <w:pPr>
              <w:spacing w:line="500" w:lineRule="exact"/>
              <w:jc w:val="left"/>
              <w:rPr>
                <w:rFonts w:hint="eastAsia" w:ascii="仿宋" w:hAnsi="仿宋" w:eastAsia="仿宋" w:cs="仿宋"/>
                <w:color w:val="auto"/>
                <w:szCs w:val="21"/>
                <w:highlight w:val="none"/>
              </w:rPr>
            </w:pPr>
          </w:p>
        </w:tc>
        <w:tc>
          <w:tcPr>
            <w:tcW w:w="1078" w:type="dxa"/>
            <w:tcBorders>
              <w:top w:val="single" w:color="auto" w:sz="4" w:space="0"/>
              <w:left w:val="single" w:color="auto" w:sz="4" w:space="0"/>
              <w:bottom w:val="single" w:color="auto" w:sz="4" w:space="0"/>
              <w:right w:val="single" w:color="auto" w:sz="4" w:space="0"/>
            </w:tcBorders>
            <w:noWrap w:val="0"/>
            <w:vAlign w:val="top"/>
          </w:tcPr>
          <w:p w14:paraId="779341E0">
            <w:pPr>
              <w:spacing w:line="500" w:lineRule="exact"/>
              <w:jc w:val="left"/>
              <w:rPr>
                <w:rFonts w:hint="eastAsia" w:ascii="仿宋" w:hAnsi="仿宋" w:eastAsia="仿宋" w:cs="仿宋"/>
                <w:color w:val="auto"/>
                <w:szCs w:val="21"/>
                <w:highlight w:val="none"/>
              </w:rPr>
            </w:pPr>
          </w:p>
        </w:tc>
        <w:tc>
          <w:tcPr>
            <w:tcW w:w="719" w:type="dxa"/>
            <w:tcBorders>
              <w:top w:val="single" w:color="auto" w:sz="4" w:space="0"/>
              <w:left w:val="single" w:color="auto" w:sz="4" w:space="0"/>
              <w:bottom w:val="single" w:color="auto" w:sz="4" w:space="0"/>
              <w:right w:val="single" w:color="auto" w:sz="4" w:space="0"/>
            </w:tcBorders>
            <w:noWrap w:val="0"/>
            <w:vAlign w:val="top"/>
          </w:tcPr>
          <w:p w14:paraId="061B283B">
            <w:pPr>
              <w:spacing w:line="500" w:lineRule="exact"/>
              <w:jc w:val="left"/>
              <w:rPr>
                <w:rFonts w:hint="eastAsia" w:ascii="仿宋" w:hAnsi="仿宋" w:eastAsia="仿宋" w:cs="仿宋"/>
                <w:color w:val="auto"/>
                <w:szCs w:val="21"/>
                <w:highlight w:val="none"/>
              </w:rPr>
            </w:pPr>
          </w:p>
        </w:tc>
        <w:tc>
          <w:tcPr>
            <w:tcW w:w="719" w:type="dxa"/>
            <w:tcBorders>
              <w:top w:val="single" w:color="auto" w:sz="4" w:space="0"/>
              <w:left w:val="single" w:color="auto" w:sz="4" w:space="0"/>
              <w:bottom w:val="single" w:color="auto" w:sz="4" w:space="0"/>
              <w:right w:val="single" w:color="auto" w:sz="4" w:space="0"/>
            </w:tcBorders>
            <w:noWrap w:val="0"/>
            <w:vAlign w:val="top"/>
          </w:tcPr>
          <w:p w14:paraId="74C00964">
            <w:pPr>
              <w:spacing w:line="500" w:lineRule="exact"/>
              <w:jc w:val="left"/>
              <w:rPr>
                <w:rFonts w:hint="eastAsia" w:ascii="仿宋" w:hAnsi="仿宋" w:eastAsia="仿宋" w:cs="仿宋"/>
                <w:color w:val="auto"/>
                <w:szCs w:val="21"/>
                <w:highlight w:val="none"/>
              </w:rPr>
            </w:pPr>
          </w:p>
        </w:tc>
        <w:tc>
          <w:tcPr>
            <w:tcW w:w="709" w:type="dxa"/>
            <w:tcBorders>
              <w:top w:val="single" w:color="auto" w:sz="4" w:space="0"/>
              <w:left w:val="single" w:color="auto" w:sz="4" w:space="0"/>
              <w:bottom w:val="single" w:color="auto" w:sz="4" w:space="0"/>
              <w:right w:val="single" w:color="auto" w:sz="4" w:space="0"/>
            </w:tcBorders>
            <w:noWrap w:val="0"/>
            <w:vAlign w:val="top"/>
          </w:tcPr>
          <w:p w14:paraId="7F801291">
            <w:pPr>
              <w:spacing w:line="500" w:lineRule="exact"/>
              <w:jc w:val="left"/>
              <w:rPr>
                <w:rFonts w:hint="eastAsia" w:ascii="仿宋" w:hAnsi="仿宋" w:eastAsia="仿宋" w:cs="仿宋"/>
                <w:color w:val="auto"/>
                <w:szCs w:val="21"/>
                <w:highlight w:val="none"/>
              </w:rPr>
            </w:pPr>
          </w:p>
        </w:tc>
      </w:tr>
      <w:tr w14:paraId="4DD4E25C">
        <w:tblPrEx>
          <w:tblCellMar>
            <w:top w:w="0" w:type="dxa"/>
            <w:left w:w="108" w:type="dxa"/>
            <w:bottom w:w="0" w:type="dxa"/>
            <w:right w:w="108" w:type="dxa"/>
          </w:tblCellMar>
        </w:tblPrEx>
        <w:tc>
          <w:tcPr>
            <w:tcW w:w="3536" w:type="dxa"/>
            <w:gridSpan w:val="4"/>
            <w:tcBorders>
              <w:top w:val="single" w:color="auto" w:sz="4" w:space="0"/>
              <w:left w:val="single" w:color="auto" w:sz="4" w:space="0"/>
              <w:bottom w:val="single" w:color="auto" w:sz="4" w:space="0"/>
              <w:right w:val="single" w:color="auto" w:sz="4" w:space="0"/>
            </w:tcBorders>
            <w:noWrap w:val="0"/>
            <w:vAlign w:val="top"/>
          </w:tcPr>
          <w:p w14:paraId="0B225FC3">
            <w:pPr>
              <w:spacing w:line="500" w:lineRule="exact"/>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招标人编制的标底/最高限价</w:t>
            </w:r>
          </w:p>
        </w:tc>
        <w:tc>
          <w:tcPr>
            <w:tcW w:w="5571" w:type="dxa"/>
            <w:gridSpan w:val="6"/>
            <w:tcBorders>
              <w:top w:val="single" w:color="auto" w:sz="4" w:space="0"/>
              <w:left w:val="single" w:color="auto" w:sz="4" w:space="0"/>
              <w:bottom w:val="single" w:color="auto" w:sz="4" w:space="0"/>
              <w:right w:val="single" w:color="auto" w:sz="4" w:space="0"/>
            </w:tcBorders>
            <w:noWrap w:val="0"/>
            <w:vAlign w:val="top"/>
          </w:tcPr>
          <w:p w14:paraId="106DDA61">
            <w:pPr>
              <w:spacing w:line="500" w:lineRule="exact"/>
              <w:jc w:val="left"/>
              <w:rPr>
                <w:rFonts w:hint="eastAsia" w:ascii="仿宋" w:hAnsi="仿宋" w:eastAsia="仿宋" w:cs="仿宋"/>
                <w:color w:val="auto"/>
                <w:szCs w:val="21"/>
                <w:highlight w:val="none"/>
              </w:rPr>
            </w:pPr>
          </w:p>
        </w:tc>
      </w:tr>
    </w:tbl>
    <w:p w14:paraId="761314AB">
      <w:pPr>
        <w:spacing w:line="440" w:lineRule="exact"/>
        <w:jc w:val="left"/>
        <w:rPr>
          <w:rFonts w:hint="eastAsia" w:ascii="仿宋" w:hAnsi="仿宋" w:eastAsia="仿宋" w:cs="仿宋"/>
          <w:color w:val="auto"/>
          <w:szCs w:val="21"/>
          <w:highlight w:val="none"/>
        </w:rPr>
      </w:pPr>
      <w:r>
        <w:rPr>
          <w:rFonts w:hint="eastAsia" w:ascii="仿宋" w:hAnsi="仿宋" w:eastAsia="仿宋" w:cs="仿宋"/>
          <w:color w:val="auto"/>
          <w:highlight w:val="none"/>
        </w:rPr>
        <w:t>　　</w:t>
      </w:r>
      <w:r>
        <w:rPr>
          <w:rFonts w:hint="eastAsia" w:ascii="仿宋" w:hAnsi="仿宋" w:eastAsia="仿宋" w:cs="仿宋"/>
          <w:color w:val="auto"/>
          <w:szCs w:val="21"/>
          <w:highlight w:val="none"/>
        </w:rPr>
        <w:t>　</w:t>
      </w:r>
    </w:p>
    <w:p w14:paraId="4CC4E99B">
      <w:pPr>
        <w:spacing w:line="620" w:lineRule="exact"/>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招标人代表：记录人：监标人：</w:t>
      </w:r>
    </w:p>
    <w:p w14:paraId="14643329">
      <w:pPr>
        <w:spacing w:line="620" w:lineRule="exact"/>
        <w:jc w:val="left"/>
        <w:rPr>
          <w:rFonts w:hint="eastAsia" w:ascii="仿宋" w:hAnsi="仿宋" w:eastAsia="仿宋" w:cs="仿宋"/>
          <w:color w:val="auto"/>
          <w:sz w:val="20"/>
          <w:szCs w:val="20"/>
          <w:highlight w:val="none"/>
        </w:rPr>
      </w:pPr>
      <w:r>
        <w:rPr>
          <w:rFonts w:hint="eastAsia" w:ascii="仿宋" w:hAnsi="仿宋" w:eastAsia="仿宋" w:cs="仿宋"/>
          <w:color w:val="auto"/>
          <w:szCs w:val="21"/>
          <w:highlight w:val="none"/>
        </w:rPr>
        <w:t>年月日</w:t>
      </w:r>
    </w:p>
    <w:p w14:paraId="19C53971">
      <w:pPr>
        <w:spacing w:line="440" w:lineRule="exact"/>
        <w:jc w:val="left"/>
        <w:rPr>
          <w:rFonts w:hint="eastAsia" w:ascii="仿宋" w:hAnsi="仿宋" w:eastAsia="仿宋" w:cs="仿宋"/>
          <w:color w:val="auto"/>
          <w:szCs w:val="21"/>
          <w:highlight w:val="none"/>
        </w:rPr>
      </w:pPr>
      <w:r>
        <w:rPr>
          <w:rFonts w:hint="eastAsia" w:ascii="仿宋" w:hAnsi="仿宋" w:eastAsia="仿宋" w:cs="仿宋"/>
          <w:color w:val="auto"/>
          <w:highlight w:val="none"/>
        </w:rPr>
        <w:br w:type="page"/>
      </w:r>
    </w:p>
    <w:p w14:paraId="5C716499">
      <w:pPr>
        <w:pStyle w:val="5"/>
        <w:jc w:val="left"/>
        <w:rPr>
          <w:rFonts w:hint="eastAsia" w:ascii="仿宋" w:hAnsi="仿宋" w:eastAsia="仿宋" w:cs="仿宋"/>
          <w:color w:val="auto"/>
          <w:highlight w:val="none"/>
        </w:rPr>
      </w:pPr>
      <w:bookmarkStart w:id="385" w:name="_Toc152045582"/>
      <w:bookmarkStart w:id="386" w:name="_Toc106997997"/>
      <w:bookmarkStart w:id="387" w:name="_Toc152042359"/>
      <w:bookmarkStart w:id="388" w:name="_Toc7956627"/>
      <w:bookmarkStart w:id="389" w:name="_Toc144974549"/>
      <w:bookmarkStart w:id="390" w:name="_Toc247527607"/>
      <w:bookmarkStart w:id="391" w:name="_Toc247514006"/>
      <w:r>
        <w:rPr>
          <w:rFonts w:hint="eastAsia" w:ascii="仿宋" w:hAnsi="仿宋" w:eastAsia="仿宋" w:cs="仿宋"/>
          <w:color w:val="auto"/>
          <w:highlight w:val="none"/>
        </w:rPr>
        <w:t>附件二：问题澄清通知</w:t>
      </w:r>
      <w:bookmarkEnd w:id="385"/>
      <w:bookmarkEnd w:id="386"/>
      <w:bookmarkEnd w:id="387"/>
      <w:bookmarkEnd w:id="388"/>
      <w:bookmarkEnd w:id="389"/>
      <w:bookmarkEnd w:id="390"/>
      <w:bookmarkEnd w:id="391"/>
    </w:p>
    <w:p w14:paraId="242C4E99">
      <w:pPr>
        <w:spacing w:line="440" w:lineRule="exact"/>
        <w:jc w:val="left"/>
        <w:rPr>
          <w:rFonts w:hint="eastAsia" w:ascii="仿宋" w:hAnsi="仿宋" w:eastAsia="仿宋" w:cs="仿宋"/>
          <w:color w:val="auto"/>
          <w:szCs w:val="21"/>
          <w:highlight w:val="none"/>
        </w:rPr>
      </w:pPr>
    </w:p>
    <w:p w14:paraId="4AFFB42F">
      <w:pPr>
        <w:spacing w:line="440" w:lineRule="exact"/>
        <w:jc w:val="lef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问题澄清通知</w:t>
      </w:r>
    </w:p>
    <w:p w14:paraId="735CF19A">
      <w:pPr>
        <w:spacing w:line="440" w:lineRule="exact"/>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编号：</w:t>
      </w:r>
    </w:p>
    <w:p w14:paraId="55DF95CE">
      <w:pPr>
        <w:spacing w:line="440" w:lineRule="exact"/>
        <w:jc w:val="left"/>
        <w:rPr>
          <w:rFonts w:hint="eastAsia" w:ascii="仿宋" w:hAnsi="仿宋" w:eastAsia="仿宋" w:cs="仿宋"/>
          <w:color w:val="auto"/>
          <w:szCs w:val="21"/>
          <w:highlight w:val="none"/>
        </w:rPr>
      </w:pPr>
    </w:p>
    <w:p w14:paraId="0065F646">
      <w:pPr>
        <w:spacing w:line="440" w:lineRule="exact"/>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（投标人名称）：</w:t>
      </w:r>
    </w:p>
    <w:p w14:paraId="57624A30">
      <w:pPr>
        <w:spacing w:line="440" w:lineRule="exact"/>
        <w:jc w:val="left"/>
        <w:rPr>
          <w:rFonts w:hint="eastAsia" w:ascii="仿宋" w:hAnsi="仿宋" w:eastAsia="仿宋" w:cs="仿宋"/>
          <w:color w:val="auto"/>
          <w:szCs w:val="21"/>
          <w:highlight w:val="none"/>
        </w:rPr>
      </w:pPr>
    </w:p>
    <w:p w14:paraId="073762A3">
      <w:pPr>
        <w:spacing w:line="440" w:lineRule="exact"/>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　　</w:t>
      </w:r>
      <w:r>
        <w:rPr>
          <w:rFonts w:hint="eastAsia" w:ascii="仿宋" w:hAnsi="仿宋" w:eastAsia="仿宋" w:cs="仿宋"/>
          <w:color w:val="auto"/>
          <w:szCs w:val="21"/>
          <w:highlight w:val="none"/>
          <w:u w:val="single"/>
        </w:rPr>
        <w:t>　（项目名称）</w:t>
      </w:r>
      <w:r>
        <w:rPr>
          <w:rFonts w:hint="eastAsia" w:ascii="仿宋" w:hAnsi="仿宋" w:eastAsia="仿宋" w:cs="仿宋"/>
          <w:color w:val="auto"/>
          <w:szCs w:val="21"/>
          <w:highlight w:val="none"/>
        </w:rPr>
        <w:t>招标的评标委员会，对你方的投标文件进行了仔细的审查，现需你方对下列问题以书面形式予以澄清：</w:t>
      </w:r>
    </w:p>
    <w:p w14:paraId="467CF35C">
      <w:pPr>
        <w:spacing w:line="440" w:lineRule="exact"/>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　　</w:t>
      </w:r>
    </w:p>
    <w:p w14:paraId="570FFAAE">
      <w:pPr>
        <w:spacing w:line="440" w:lineRule="exact"/>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 xml:space="preserve">    1.</w:t>
      </w:r>
    </w:p>
    <w:p w14:paraId="4DCE6074">
      <w:pPr>
        <w:spacing w:line="440" w:lineRule="exact"/>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 xml:space="preserve">    2.</w:t>
      </w:r>
    </w:p>
    <w:p w14:paraId="4E75CDFB">
      <w:pPr>
        <w:spacing w:line="440" w:lineRule="exact"/>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 xml:space="preserve">     ......   </w:t>
      </w:r>
    </w:p>
    <w:p w14:paraId="544FAF9C">
      <w:pPr>
        <w:spacing w:line="440" w:lineRule="exact"/>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　　　</w:t>
      </w:r>
    </w:p>
    <w:p w14:paraId="1A2030F8">
      <w:pPr>
        <w:spacing w:line="440" w:lineRule="exact"/>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　　请将上述问题的澄清于年月日时前递交至（详细地址）或传真至（传真号码）。采用传真方式的，应在年月日时前将原件递交至（详细地址）。</w:t>
      </w:r>
    </w:p>
    <w:p w14:paraId="18C6973A">
      <w:pPr>
        <w:spacing w:line="440" w:lineRule="exact"/>
        <w:jc w:val="left"/>
        <w:rPr>
          <w:rFonts w:hint="eastAsia" w:ascii="仿宋" w:hAnsi="仿宋" w:eastAsia="仿宋" w:cs="仿宋"/>
          <w:color w:val="auto"/>
          <w:szCs w:val="21"/>
          <w:highlight w:val="none"/>
        </w:rPr>
      </w:pPr>
    </w:p>
    <w:p w14:paraId="40F286D3">
      <w:pPr>
        <w:spacing w:line="440" w:lineRule="exact"/>
        <w:jc w:val="left"/>
        <w:rPr>
          <w:rFonts w:hint="eastAsia" w:ascii="仿宋" w:hAnsi="仿宋" w:eastAsia="仿宋" w:cs="仿宋"/>
          <w:color w:val="auto"/>
          <w:szCs w:val="21"/>
          <w:highlight w:val="none"/>
        </w:rPr>
      </w:pPr>
    </w:p>
    <w:p w14:paraId="25808316">
      <w:pPr>
        <w:spacing w:line="440" w:lineRule="exact"/>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评标委员会授权的招标人或招标代理机构：（签字或盖章）</w:t>
      </w:r>
    </w:p>
    <w:p w14:paraId="5E08F136">
      <w:pPr>
        <w:spacing w:line="440" w:lineRule="exact"/>
        <w:jc w:val="left"/>
        <w:rPr>
          <w:rFonts w:hint="eastAsia" w:ascii="仿宋" w:hAnsi="仿宋" w:eastAsia="仿宋" w:cs="仿宋"/>
          <w:color w:val="auto"/>
          <w:szCs w:val="21"/>
          <w:highlight w:val="none"/>
        </w:rPr>
      </w:pPr>
    </w:p>
    <w:p w14:paraId="708FBB43">
      <w:pPr>
        <w:spacing w:line="440" w:lineRule="exact"/>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年月日</w:t>
      </w:r>
    </w:p>
    <w:p w14:paraId="27FA96DB">
      <w:pPr>
        <w:spacing w:line="400" w:lineRule="exact"/>
        <w:jc w:val="left"/>
        <w:rPr>
          <w:rFonts w:hint="eastAsia" w:ascii="仿宋" w:hAnsi="仿宋" w:eastAsia="仿宋" w:cs="仿宋"/>
          <w:color w:val="auto"/>
          <w:highlight w:val="none"/>
        </w:rPr>
      </w:pPr>
    </w:p>
    <w:p w14:paraId="09BEAFE2">
      <w:pPr>
        <w:spacing w:line="400" w:lineRule="exact"/>
        <w:jc w:val="left"/>
        <w:rPr>
          <w:rFonts w:hint="eastAsia" w:ascii="仿宋" w:hAnsi="仿宋" w:eastAsia="仿宋" w:cs="仿宋"/>
          <w:color w:val="auto"/>
          <w:highlight w:val="none"/>
        </w:rPr>
      </w:pPr>
      <w:r>
        <w:rPr>
          <w:rFonts w:hint="eastAsia" w:ascii="仿宋" w:hAnsi="仿宋" w:eastAsia="仿宋" w:cs="仿宋"/>
          <w:color w:val="auto"/>
          <w:highlight w:val="none"/>
        </w:rPr>
        <w:br w:type="page"/>
      </w:r>
    </w:p>
    <w:p w14:paraId="7A322687">
      <w:pPr>
        <w:pStyle w:val="5"/>
        <w:jc w:val="left"/>
        <w:rPr>
          <w:rFonts w:hint="eastAsia" w:ascii="仿宋" w:hAnsi="仿宋" w:eastAsia="仿宋" w:cs="仿宋"/>
          <w:color w:val="auto"/>
          <w:highlight w:val="none"/>
        </w:rPr>
      </w:pPr>
      <w:bookmarkStart w:id="392" w:name="_Toc144974550"/>
      <w:bookmarkStart w:id="393" w:name="_Toc106997998"/>
      <w:bookmarkStart w:id="394" w:name="_Toc247527608"/>
      <w:bookmarkStart w:id="395" w:name="_Toc247514007"/>
      <w:bookmarkStart w:id="396" w:name="_Toc152042360"/>
      <w:bookmarkStart w:id="397" w:name="_Toc152045583"/>
      <w:bookmarkStart w:id="398" w:name="_Toc7956628"/>
      <w:r>
        <w:rPr>
          <w:rFonts w:hint="eastAsia" w:ascii="仿宋" w:hAnsi="仿宋" w:eastAsia="仿宋" w:cs="仿宋"/>
          <w:color w:val="auto"/>
          <w:highlight w:val="none"/>
        </w:rPr>
        <w:t>附件三：问题的澄清</w:t>
      </w:r>
      <w:bookmarkEnd w:id="392"/>
      <w:bookmarkEnd w:id="393"/>
      <w:bookmarkEnd w:id="394"/>
      <w:bookmarkEnd w:id="395"/>
      <w:bookmarkEnd w:id="396"/>
      <w:bookmarkEnd w:id="397"/>
      <w:bookmarkEnd w:id="398"/>
    </w:p>
    <w:p w14:paraId="38F481A2">
      <w:pPr>
        <w:spacing w:line="400" w:lineRule="exact"/>
        <w:jc w:val="left"/>
        <w:rPr>
          <w:rFonts w:hint="eastAsia" w:ascii="仿宋" w:hAnsi="仿宋" w:eastAsia="仿宋" w:cs="仿宋"/>
          <w:color w:val="auto"/>
          <w:sz w:val="28"/>
          <w:szCs w:val="28"/>
          <w:highlight w:val="none"/>
        </w:rPr>
      </w:pPr>
    </w:p>
    <w:p w14:paraId="359CDFE2">
      <w:pPr>
        <w:spacing w:line="400" w:lineRule="exact"/>
        <w:jc w:val="lef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问题的澄清</w:t>
      </w:r>
    </w:p>
    <w:p w14:paraId="04BACCE2">
      <w:pPr>
        <w:spacing w:line="400" w:lineRule="exact"/>
        <w:ind w:firstLine="3960" w:firstLineChars="1650"/>
        <w:jc w:val="left"/>
        <w:rPr>
          <w:rFonts w:hint="eastAsia" w:ascii="仿宋" w:hAnsi="仿宋" w:eastAsia="仿宋" w:cs="仿宋"/>
          <w:color w:val="auto"/>
          <w:highlight w:val="none"/>
        </w:rPr>
      </w:pPr>
      <w:r>
        <w:rPr>
          <w:rFonts w:hint="eastAsia" w:ascii="仿宋" w:hAnsi="仿宋" w:eastAsia="仿宋" w:cs="仿宋"/>
          <w:color w:val="auto"/>
          <w:highlight w:val="none"/>
        </w:rPr>
        <w:t>编号：</w:t>
      </w:r>
    </w:p>
    <w:p w14:paraId="5DD00C5F">
      <w:pPr>
        <w:spacing w:line="400" w:lineRule="exact"/>
        <w:jc w:val="left"/>
        <w:rPr>
          <w:rFonts w:hint="eastAsia" w:ascii="仿宋" w:hAnsi="仿宋" w:eastAsia="仿宋" w:cs="仿宋"/>
          <w:color w:val="auto"/>
          <w:szCs w:val="21"/>
          <w:highlight w:val="none"/>
        </w:rPr>
      </w:pPr>
    </w:p>
    <w:p w14:paraId="66B6DDB6">
      <w:pPr>
        <w:spacing w:line="440" w:lineRule="exact"/>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u w:val="single"/>
        </w:rPr>
        <w:t>（项目名称）</w:t>
      </w:r>
      <w:r>
        <w:rPr>
          <w:rFonts w:hint="eastAsia" w:ascii="仿宋" w:hAnsi="仿宋" w:eastAsia="仿宋" w:cs="仿宋"/>
          <w:color w:val="auto"/>
          <w:szCs w:val="21"/>
          <w:highlight w:val="none"/>
        </w:rPr>
        <w:t>招标评标委员会：</w:t>
      </w:r>
    </w:p>
    <w:p w14:paraId="085056E6">
      <w:pPr>
        <w:spacing w:line="440" w:lineRule="exact"/>
        <w:jc w:val="left"/>
        <w:rPr>
          <w:rFonts w:hint="eastAsia" w:ascii="仿宋" w:hAnsi="仿宋" w:eastAsia="仿宋" w:cs="仿宋"/>
          <w:color w:val="auto"/>
          <w:szCs w:val="21"/>
          <w:highlight w:val="none"/>
        </w:rPr>
      </w:pPr>
    </w:p>
    <w:p w14:paraId="439F4625">
      <w:pPr>
        <w:spacing w:line="440" w:lineRule="exact"/>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　　问题澄清通知（编号：）已收悉，现澄清如下：</w:t>
      </w:r>
    </w:p>
    <w:p w14:paraId="0A784ECD">
      <w:pPr>
        <w:spacing w:line="440" w:lineRule="exact"/>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　     1.</w:t>
      </w:r>
    </w:p>
    <w:p w14:paraId="1E6AFF32">
      <w:pPr>
        <w:spacing w:line="440" w:lineRule="exact"/>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　     2.</w:t>
      </w:r>
    </w:p>
    <w:p w14:paraId="61283CBD">
      <w:pPr>
        <w:spacing w:line="440" w:lineRule="exact"/>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　    .....</w:t>
      </w:r>
    </w:p>
    <w:p w14:paraId="6C571572">
      <w:pPr>
        <w:spacing w:line="440" w:lineRule="exact"/>
        <w:jc w:val="left"/>
        <w:rPr>
          <w:rFonts w:hint="eastAsia" w:ascii="仿宋" w:hAnsi="仿宋" w:eastAsia="仿宋" w:cs="仿宋"/>
          <w:color w:val="auto"/>
          <w:szCs w:val="21"/>
          <w:highlight w:val="none"/>
        </w:rPr>
      </w:pPr>
    </w:p>
    <w:p w14:paraId="5459283B">
      <w:pPr>
        <w:spacing w:line="440" w:lineRule="exact"/>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　</w:t>
      </w:r>
    </w:p>
    <w:p w14:paraId="73BE1AC4">
      <w:pPr>
        <w:spacing w:line="440" w:lineRule="exact"/>
        <w:jc w:val="left"/>
        <w:rPr>
          <w:rFonts w:hint="eastAsia" w:ascii="仿宋" w:hAnsi="仿宋" w:eastAsia="仿宋" w:cs="仿宋"/>
          <w:color w:val="auto"/>
          <w:szCs w:val="21"/>
          <w:highlight w:val="none"/>
        </w:rPr>
      </w:pPr>
    </w:p>
    <w:p w14:paraId="38ED7602">
      <w:pPr>
        <w:spacing w:line="440" w:lineRule="exact"/>
        <w:jc w:val="left"/>
        <w:rPr>
          <w:rFonts w:hint="eastAsia" w:ascii="仿宋" w:hAnsi="仿宋" w:eastAsia="仿宋" w:cs="仿宋"/>
          <w:color w:val="auto"/>
          <w:szCs w:val="21"/>
          <w:highlight w:val="none"/>
        </w:rPr>
      </w:pPr>
    </w:p>
    <w:p w14:paraId="74FAC1A2">
      <w:pPr>
        <w:spacing w:line="440" w:lineRule="exact"/>
        <w:jc w:val="left"/>
        <w:rPr>
          <w:rFonts w:hint="eastAsia" w:ascii="仿宋" w:hAnsi="仿宋" w:eastAsia="仿宋" w:cs="仿宋"/>
          <w:color w:val="auto"/>
          <w:szCs w:val="21"/>
          <w:highlight w:val="none"/>
        </w:rPr>
      </w:pPr>
    </w:p>
    <w:p w14:paraId="4EF1664B">
      <w:pPr>
        <w:spacing w:line="440" w:lineRule="exact"/>
        <w:jc w:val="left"/>
        <w:rPr>
          <w:rFonts w:hint="eastAsia" w:ascii="仿宋" w:hAnsi="仿宋" w:eastAsia="仿宋" w:cs="仿宋"/>
          <w:color w:val="auto"/>
          <w:szCs w:val="21"/>
          <w:highlight w:val="none"/>
        </w:rPr>
      </w:pPr>
    </w:p>
    <w:p w14:paraId="4DA69E28">
      <w:pPr>
        <w:spacing w:line="440" w:lineRule="exact"/>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　　　　　　　　　　　　　　　投标人：（盖单位章）</w:t>
      </w:r>
    </w:p>
    <w:p w14:paraId="5AB2AC24">
      <w:pPr>
        <w:spacing w:line="440" w:lineRule="exact"/>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　　　　　　　　　　　　　　　</w:t>
      </w:r>
    </w:p>
    <w:p w14:paraId="7603508E">
      <w:pPr>
        <w:spacing w:line="440" w:lineRule="exact"/>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　　　　　　　　　　　　　　　法定代表人或其委托代理人：（签字）</w:t>
      </w:r>
    </w:p>
    <w:p w14:paraId="09D98480">
      <w:pPr>
        <w:spacing w:line="440" w:lineRule="exact"/>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　　　　　　　　　　　　　　　</w:t>
      </w:r>
    </w:p>
    <w:p w14:paraId="12447B30">
      <w:pPr>
        <w:spacing w:line="440" w:lineRule="exact"/>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　　　　　　　　　　　　　　　年月日</w:t>
      </w:r>
    </w:p>
    <w:p w14:paraId="1F20B52E">
      <w:pPr>
        <w:spacing w:line="400" w:lineRule="exact"/>
        <w:jc w:val="left"/>
        <w:rPr>
          <w:rFonts w:hint="eastAsia" w:ascii="仿宋" w:hAnsi="仿宋" w:eastAsia="仿宋" w:cs="仿宋"/>
          <w:color w:val="auto"/>
          <w:highlight w:val="none"/>
        </w:rPr>
      </w:pPr>
    </w:p>
    <w:p w14:paraId="3ED9200C">
      <w:pPr>
        <w:spacing w:line="400" w:lineRule="exact"/>
        <w:jc w:val="left"/>
        <w:rPr>
          <w:rFonts w:hint="eastAsia" w:ascii="仿宋" w:hAnsi="仿宋" w:eastAsia="仿宋" w:cs="仿宋"/>
          <w:color w:val="auto"/>
          <w:highlight w:val="none"/>
        </w:rPr>
      </w:pPr>
      <w:r>
        <w:rPr>
          <w:rFonts w:hint="eastAsia" w:ascii="仿宋" w:hAnsi="仿宋" w:eastAsia="仿宋" w:cs="仿宋"/>
          <w:color w:val="auto"/>
          <w:highlight w:val="none"/>
        </w:rPr>
        <w:br w:type="page"/>
      </w:r>
    </w:p>
    <w:p w14:paraId="5B515E7C">
      <w:pPr>
        <w:pStyle w:val="5"/>
        <w:jc w:val="left"/>
        <w:rPr>
          <w:rFonts w:hint="eastAsia" w:ascii="仿宋" w:hAnsi="仿宋" w:eastAsia="仿宋" w:cs="仿宋"/>
          <w:color w:val="auto"/>
          <w:highlight w:val="none"/>
        </w:rPr>
      </w:pPr>
      <w:bookmarkStart w:id="399" w:name="_Toc106997999"/>
      <w:bookmarkStart w:id="400" w:name="_Toc152045584"/>
      <w:bookmarkStart w:id="401" w:name="_Toc247527609"/>
      <w:bookmarkStart w:id="402" w:name="_Toc247514008"/>
      <w:bookmarkStart w:id="403" w:name="_Toc7956629"/>
      <w:bookmarkStart w:id="404" w:name="_Toc144974551"/>
      <w:bookmarkStart w:id="405" w:name="_Toc152042361"/>
      <w:r>
        <w:rPr>
          <w:rFonts w:hint="eastAsia" w:ascii="仿宋" w:hAnsi="仿宋" w:eastAsia="仿宋" w:cs="仿宋"/>
          <w:color w:val="auto"/>
          <w:highlight w:val="none"/>
        </w:rPr>
        <w:t>附件四：中标通知书</w:t>
      </w:r>
      <w:bookmarkEnd w:id="399"/>
      <w:bookmarkEnd w:id="400"/>
      <w:bookmarkEnd w:id="401"/>
      <w:bookmarkEnd w:id="402"/>
      <w:bookmarkEnd w:id="403"/>
      <w:bookmarkEnd w:id="404"/>
      <w:bookmarkEnd w:id="405"/>
    </w:p>
    <w:p w14:paraId="757BBC6F">
      <w:pPr>
        <w:spacing w:line="400" w:lineRule="exact"/>
        <w:jc w:val="left"/>
        <w:rPr>
          <w:rFonts w:hint="eastAsia" w:ascii="仿宋" w:hAnsi="仿宋" w:eastAsia="仿宋" w:cs="仿宋"/>
          <w:color w:val="auto"/>
          <w:highlight w:val="none"/>
        </w:rPr>
      </w:pPr>
    </w:p>
    <w:p w14:paraId="5925748D">
      <w:pPr>
        <w:spacing w:line="400" w:lineRule="exact"/>
        <w:jc w:val="lef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中标通知书</w:t>
      </w:r>
    </w:p>
    <w:p w14:paraId="249599B6">
      <w:pPr>
        <w:spacing w:line="400" w:lineRule="exact"/>
        <w:jc w:val="left"/>
        <w:rPr>
          <w:rFonts w:hint="eastAsia" w:ascii="仿宋" w:hAnsi="仿宋" w:eastAsia="仿宋" w:cs="仿宋"/>
          <w:color w:val="auto"/>
          <w:highlight w:val="none"/>
        </w:rPr>
      </w:pPr>
    </w:p>
    <w:p w14:paraId="0E36ED63">
      <w:pPr>
        <w:spacing w:line="440" w:lineRule="exact"/>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（中标人名称）：</w:t>
      </w:r>
    </w:p>
    <w:p w14:paraId="1418BB48">
      <w:pPr>
        <w:spacing w:line="440" w:lineRule="exact"/>
        <w:jc w:val="left"/>
        <w:rPr>
          <w:rFonts w:hint="eastAsia" w:ascii="仿宋" w:hAnsi="仿宋" w:eastAsia="仿宋" w:cs="仿宋"/>
          <w:color w:val="auto"/>
          <w:szCs w:val="21"/>
          <w:highlight w:val="none"/>
        </w:rPr>
      </w:pPr>
    </w:p>
    <w:p w14:paraId="595ACA01">
      <w:pPr>
        <w:spacing w:line="440" w:lineRule="exact"/>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　　你方于（投标日期）所递交的</w:t>
      </w:r>
      <w:r>
        <w:rPr>
          <w:rFonts w:hint="eastAsia" w:ascii="仿宋" w:hAnsi="仿宋" w:eastAsia="仿宋" w:cs="仿宋"/>
          <w:color w:val="auto"/>
          <w:szCs w:val="21"/>
          <w:highlight w:val="none"/>
          <w:u w:val="single"/>
        </w:rPr>
        <w:t>（项目名称）</w:t>
      </w:r>
      <w:r>
        <w:rPr>
          <w:rFonts w:hint="eastAsia" w:ascii="仿宋" w:hAnsi="仿宋" w:eastAsia="仿宋" w:cs="仿宋"/>
          <w:color w:val="auto"/>
          <w:szCs w:val="21"/>
          <w:highlight w:val="none"/>
        </w:rPr>
        <w:t>招标的投标文件已被我方接受，被确定为中标人。</w:t>
      </w:r>
    </w:p>
    <w:p w14:paraId="22079D74">
      <w:pPr>
        <w:spacing w:line="440" w:lineRule="exact"/>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　　中标价：元。</w:t>
      </w:r>
    </w:p>
    <w:p w14:paraId="7E5D5F1E">
      <w:pPr>
        <w:spacing w:line="440" w:lineRule="exact"/>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　　工期：日历天。</w:t>
      </w:r>
    </w:p>
    <w:p w14:paraId="0045F1F3">
      <w:pPr>
        <w:spacing w:line="440" w:lineRule="exact"/>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　质量标准：。</w:t>
      </w:r>
    </w:p>
    <w:p w14:paraId="785363CD">
      <w:pPr>
        <w:spacing w:line="440" w:lineRule="exact"/>
        <w:ind w:firstLine="42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项目经理：（姓名）。</w:t>
      </w:r>
    </w:p>
    <w:p w14:paraId="2403FBAD">
      <w:pPr>
        <w:spacing w:line="440" w:lineRule="exact"/>
        <w:ind w:firstLine="42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设计负责人：（姓名）。</w:t>
      </w:r>
    </w:p>
    <w:p w14:paraId="272D0EE1">
      <w:pPr>
        <w:spacing w:line="440" w:lineRule="exact"/>
        <w:ind w:firstLine="42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施工负责人：（姓名）。</w:t>
      </w:r>
    </w:p>
    <w:p w14:paraId="133612A9">
      <w:pPr>
        <w:spacing w:line="440" w:lineRule="exact"/>
        <w:ind w:firstLine="42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请你方在接到本通知书后的日内到（指定地点）与我方签订合同，在此之前按招标文件第二章“投标人须知”第7.4款规定向我方提交履约担保。</w:t>
      </w:r>
    </w:p>
    <w:p w14:paraId="3D91E8ED">
      <w:pPr>
        <w:spacing w:line="440" w:lineRule="exact"/>
        <w:ind w:firstLine="42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随附的澄清、说明、补正事项纪要，是本中标通知书的组成部分。</w:t>
      </w:r>
    </w:p>
    <w:p w14:paraId="68C4995D">
      <w:pPr>
        <w:spacing w:line="440" w:lineRule="exact"/>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　　特此通知。</w:t>
      </w:r>
    </w:p>
    <w:p w14:paraId="56E75BF3">
      <w:pPr>
        <w:spacing w:line="440" w:lineRule="exact"/>
        <w:ind w:firstLine="48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附：澄清、说明、补正事项纪要</w:t>
      </w:r>
    </w:p>
    <w:p w14:paraId="22EC22E0">
      <w:pPr>
        <w:spacing w:line="440" w:lineRule="exact"/>
        <w:jc w:val="left"/>
        <w:rPr>
          <w:rFonts w:hint="eastAsia" w:ascii="仿宋" w:hAnsi="仿宋" w:eastAsia="仿宋" w:cs="仿宋"/>
          <w:color w:val="auto"/>
          <w:szCs w:val="21"/>
          <w:highlight w:val="none"/>
        </w:rPr>
      </w:pPr>
    </w:p>
    <w:p w14:paraId="2EDF02CA">
      <w:pPr>
        <w:spacing w:line="440" w:lineRule="exact"/>
        <w:jc w:val="left"/>
        <w:rPr>
          <w:rFonts w:hint="eastAsia" w:ascii="仿宋" w:hAnsi="仿宋" w:eastAsia="仿宋" w:cs="仿宋"/>
          <w:color w:val="auto"/>
          <w:szCs w:val="21"/>
          <w:highlight w:val="none"/>
        </w:rPr>
      </w:pPr>
    </w:p>
    <w:p w14:paraId="5497A9D6">
      <w:pPr>
        <w:spacing w:line="540" w:lineRule="exact"/>
        <w:ind w:firstLine="3700" w:firstLineChars="1542"/>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招标人：（盖单位章）</w:t>
      </w:r>
    </w:p>
    <w:p w14:paraId="4E9AD5F7">
      <w:pPr>
        <w:spacing w:line="540" w:lineRule="exact"/>
        <w:ind w:firstLine="3700" w:firstLineChars="1542"/>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法定代表人：（签字）</w:t>
      </w:r>
    </w:p>
    <w:p w14:paraId="7AD1190D">
      <w:pPr>
        <w:spacing w:line="540" w:lineRule="exact"/>
        <w:ind w:firstLine="4416" w:firstLineChars="184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年月日</w:t>
      </w:r>
    </w:p>
    <w:p w14:paraId="4F61AA24">
      <w:pPr>
        <w:spacing w:line="400" w:lineRule="exact"/>
        <w:jc w:val="left"/>
        <w:rPr>
          <w:rFonts w:hint="eastAsia" w:ascii="仿宋" w:hAnsi="仿宋" w:eastAsia="仿宋" w:cs="仿宋"/>
          <w:color w:val="auto"/>
          <w:highlight w:val="none"/>
        </w:rPr>
      </w:pPr>
    </w:p>
    <w:p w14:paraId="2E36993F">
      <w:pPr>
        <w:spacing w:line="400" w:lineRule="exact"/>
        <w:jc w:val="left"/>
        <w:rPr>
          <w:rFonts w:hint="eastAsia" w:ascii="仿宋" w:hAnsi="仿宋" w:eastAsia="仿宋" w:cs="仿宋"/>
          <w:color w:val="auto"/>
          <w:highlight w:val="none"/>
        </w:rPr>
      </w:pPr>
      <w:r>
        <w:rPr>
          <w:rFonts w:hint="eastAsia" w:ascii="仿宋" w:hAnsi="仿宋" w:eastAsia="仿宋" w:cs="仿宋"/>
          <w:color w:val="auto"/>
          <w:highlight w:val="none"/>
        </w:rPr>
        <w:br w:type="page"/>
      </w:r>
    </w:p>
    <w:p w14:paraId="16D14094">
      <w:pPr>
        <w:pStyle w:val="5"/>
        <w:jc w:val="left"/>
        <w:rPr>
          <w:rFonts w:hint="eastAsia" w:ascii="仿宋" w:hAnsi="仿宋" w:eastAsia="仿宋" w:cs="仿宋"/>
          <w:color w:val="auto"/>
          <w:highlight w:val="none"/>
        </w:rPr>
      </w:pPr>
      <w:bookmarkStart w:id="406" w:name="_Toc247514009"/>
      <w:bookmarkStart w:id="407" w:name="_Toc152042362"/>
      <w:bookmarkStart w:id="408" w:name="_Toc247527610"/>
      <w:bookmarkStart w:id="409" w:name="_Toc106998000"/>
      <w:bookmarkStart w:id="410" w:name="_Toc144974552"/>
      <w:bookmarkStart w:id="411" w:name="_Toc7956630"/>
      <w:bookmarkStart w:id="412" w:name="_Toc152045585"/>
      <w:r>
        <w:rPr>
          <w:rFonts w:hint="eastAsia" w:ascii="仿宋" w:hAnsi="仿宋" w:eastAsia="仿宋" w:cs="仿宋"/>
          <w:color w:val="auto"/>
          <w:highlight w:val="none"/>
        </w:rPr>
        <w:t>附件五：中标结果通知书</w:t>
      </w:r>
      <w:bookmarkEnd w:id="406"/>
      <w:bookmarkEnd w:id="407"/>
      <w:bookmarkEnd w:id="408"/>
      <w:bookmarkEnd w:id="409"/>
      <w:bookmarkEnd w:id="410"/>
      <w:bookmarkEnd w:id="411"/>
      <w:bookmarkEnd w:id="412"/>
    </w:p>
    <w:p w14:paraId="314B6A71">
      <w:pPr>
        <w:spacing w:line="400" w:lineRule="exact"/>
        <w:jc w:val="left"/>
        <w:rPr>
          <w:rFonts w:hint="eastAsia" w:ascii="仿宋" w:hAnsi="仿宋" w:eastAsia="仿宋" w:cs="仿宋"/>
          <w:color w:val="auto"/>
          <w:highlight w:val="none"/>
        </w:rPr>
      </w:pPr>
    </w:p>
    <w:p w14:paraId="26F7C37C">
      <w:pPr>
        <w:spacing w:line="400" w:lineRule="exact"/>
        <w:jc w:val="lef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中标结果通知书</w:t>
      </w:r>
    </w:p>
    <w:p w14:paraId="0145F2A8">
      <w:pPr>
        <w:spacing w:line="400" w:lineRule="exact"/>
        <w:jc w:val="left"/>
        <w:rPr>
          <w:rFonts w:hint="eastAsia" w:ascii="仿宋" w:hAnsi="仿宋" w:eastAsia="仿宋" w:cs="仿宋"/>
          <w:color w:val="auto"/>
          <w:highlight w:val="none"/>
        </w:rPr>
      </w:pPr>
    </w:p>
    <w:p w14:paraId="3F6FB0F3">
      <w:pPr>
        <w:spacing w:line="440" w:lineRule="exact"/>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（未中标人名称）：</w:t>
      </w:r>
    </w:p>
    <w:p w14:paraId="66E82992">
      <w:pPr>
        <w:spacing w:line="440" w:lineRule="exact"/>
        <w:jc w:val="left"/>
        <w:rPr>
          <w:rFonts w:hint="eastAsia" w:ascii="仿宋" w:hAnsi="仿宋" w:eastAsia="仿宋" w:cs="仿宋"/>
          <w:color w:val="auto"/>
          <w:szCs w:val="21"/>
          <w:highlight w:val="none"/>
        </w:rPr>
      </w:pPr>
    </w:p>
    <w:p w14:paraId="70AB9DD3">
      <w:pPr>
        <w:spacing w:line="440" w:lineRule="exact"/>
        <w:ind w:firstLine="42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我方已接受（中标人名称）于（投标日期）所递交的</w:t>
      </w:r>
      <w:r>
        <w:rPr>
          <w:rFonts w:hint="eastAsia" w:ascii="仿宋" w:hAnsi="仿宋" w:eastAsia="仿宋" w:cs="仿宋"/>
          <w:color w:val="auto"/>
          <w:szCs w:val="21"/>
          <w:highlight w:val="none"/>
          <w:u w:val="single"/>
        </w:rPr>
        <w:t>（项目名称）</w:t>
      </w:r>
      <w:r>
        <w:rPr>
          <w:rFonts w:hint="eastAsia" w:ascii="仿宋" w:hAnsi="仿宋" w:eastAsia="仿宋" w:cs="仿宋"/>
          <w:color w:val="auto"/>
          <w:szCs w:val="21"/>
          <w:highlight w:val="none"/>
        </w:rPr>
        <w:t>招标的投标文件，确定（中标人名称）为中标人。</w:t>
      </w:r>
    </w:p>
    <w:p w14:paraId="0EB73CB9">
      <w:pPr>
        <w:spacing w:line="440" w:lineRule="exact"/>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　　感谢你单位对我们工作的大力支持！</w:t>
      </w:r>
    </w:p>
    <w:p w14:paraId="49DBEF74">
      <w:pPr>
        <w:spacing w:line="440" w:lineRule="exact"/>
        <w:jc w:val="left"/>
        <w:rPr>
          <w:rFonts w:hint="eastAsia" w:ascii="仿宋" w:hAnsi="仿宋" w:eastAsia="仿宋" w:cs="仿宋"/>
          <w:color w:val="auto"/>
          <w:szCs w:val="21"/>
          <w:highlight w:val="none"/>
        </w:rPr>
      </w:pPr>
    </w:p>
    <w:p w14:paraId="76138B79">
      <w:pPr>
        <w:spacing w:line="440" w:lineRule="exact"/>
        <w:jc w:val="left"/>
        <w:rPr>
          <w:rFonts w:hint="eastAsia" w:ascii="仿宋" w:hAnsi="仿宋" w:eastAsia="仿宋" w:cs="仿宋"/>
          <w:color w:val="auto"/>
          <w:szCs w:val="21"/>
          <w:highlight w:val="none"/>
        </w:rPr>
      </w:pPr>
    </w:p>
    <w:p w14:paraId="20F8228E">
      <w:pPr>
        <w:spacing w:line="440" w:lineRule="exact"/>
        <w:jc w:val="left"/>
        <w:rPr>
          <w:rFonts w:hint="eastAsia" w:ascii="仿宋" w:hAnsi="仿宋" w:eastAsia="仿宋" w:cs="仿宋"/>
          <w:color w:val="auto"/>
          <w:szCs w:val="21"/>
          <w:highlight w:val="none"/>
        </w:rPr>
      </w:pPr>
    </w:p>
    <w:p w14:paraId="31C548E2">
      <w:pPr>
        <w:spacing w:line="440" w:lineRule="exact"/>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招标人：（盖单位章）</w:t>
      </w:r>
    </w:p>
    <w:p w14:paraId="034E2E8A">
      <w:pPr>
        <w:spacing w:line="440" w:lineRule="exact"/>
        <w:jc w:val="left"/>
        <w:rPr>
          <w:rFonts w:hint="eastAsia" w:ascii="仿宋" w:hAnsi="仿宋" w:eastAsia="仿宋" w:cs="仿宋"/>
          <w:color w:val="auto"/>
          <w:szCs w:val="21"/>
          <w:highlight w:val="none"/>
        </w:rPr>
      </w:pPr>
    </w:p>
    <w:p w14:paraId="04186738">
      <w:pPr>
        <w:spacing w:line="440" w:lineRule="exact"/>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法定代表人：（签字）</w:t>
      </w:r>
    </w:p>
    <w:p w14:paraId="3E2E7296">
      <w:pPr>
        <w:spacing w:line="440" w:lineRule="exact"/>
        <w:jc w:val="left"/>
        <w:rPr>
          <w:rFonts w:hint="eastAsia" w:ascii="仿宋" w:hAnsi="仿宋" w:eastAsia="仿宋" w:cs="仿宋"/>
          <w:color w:val="auto"/>
          <w:szCs w:val="21"/>
          <w:highlight w:val="none"/>
        </w:rPr>
      </w:pPr>
    </w:p>
    <w:p w14:paraId="6FFE8AB2">
      <w:pPr>
        <w:spacing w:line="440" w:lineRule="exact"/>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年月日</w:t>
      </w:r>
    </w:p>
    <w:p w14:paraId="0EC5DCA4">
      <w:pPr>
        <w:spacing w:line="400" w:lineRule="exact"/>
        <w:jc w:val="left"/>
        <w:rPr>
          <w:rFonts w:hint="eastAsia" w:ascii="仿宋" w:hAnsi="仿宋" w:eastAsia="仿宋" w:cs="仿宋"/>
          <w:color w:val="auto"/>
          <w:highlight w:val="none"/>
        </w:rPr>
      </w:pPr>
    </w:p>
    <w:p w14:paraId="2C666EB3">
      <w:pPr>
        <w:spacing w:line="400" w:lineRule="exact"/>
        <w:jc w:val="left"/>
        <w:rPr>
          <w:rFonts w:hint="eastAsia" w:ascii="仿宋" w:hAnsi="仿宋" w:eastAsia="仿宋" w:cs="仿宋"/>
          <w:color w:val="auto"/>
          <w:highlight w:val="none"/>
        </w:rPr>
      </w:pPr>
      <w:r>
        <w:rPr>
          <w:rFonts w:hint="eastAsia" w:ascii="仿宋" w:hAnsi="仿宋" w:eastAsia="仿宋" w:cs="仿宋"/>
          <w:color w:val="auto"/>
          <w:highlight w:val="none"/>
        </w:rPr>
        <w:br w:type="page"/>
      </w:r>
    </w:p>
    <w:p w14:paraId="7DDED98D">
      <w:pPr>
        <w:pStyle w:val="5"/>
        <w:jc w:val="left"/>
        <w:rPr>
          <w:rFonts w:hint="eastAsia" w:ascii="仿宋" w:hAnsi="仿宋" w:eastAsia="仿宋" w:cs="仿宋"/>
          <w:color w:val="auto"/>
          <w:highlight w:val="none"/>
        </w:rPr>
      </w:pPr>
      <w:bookmarkStart w:id="413" w:name="_Toc152045586"/>
      <w:bookmarkStart w:id="414" w:name="_Toc247514010"/>
      <w:bookmarkStart w:id="415" w:name="_Toc144974553"/>
      <w:bookmarkStart w:id="416" w:name="_Toc247527611"/>
      <w:bookmarkStart w:id="417" w:name="_Toc106998001"/>
      <w:bookmarkStart w:id="418" w:name="_Toc7956631"/>
      <w:bookmarkStart w:id="419" w:name="_Toc152042363"/>
      <w:r>
        <w:rPr>
          <w:rFonts w:hint="eastAsia" w:ascii="仿宋" w:hAnsi="仿宋" w:eastAsia="仿宋" w:cs="仿宋"/>
          <w:color w:val="auto"/>
          <w:highlight w:val="none"/>
        </w:rPr>
        <w:t>附件六：确认通知</w:t>
      </w:r>
      <w:bookmarkEnd w:id="413"/>
      <w:bookmarkEnd w:id="414"/>
      <w:bookmarkEnd w:id="415"/>
      <w:bookmarkEnd w:id="416"/>
      <w:bookmarkEnd w:id="417"/>
      <w:bookmarkEnd w:id="418"/>
      <w:bookmarkEnd w:id="419"/>
    </w:p>
    <w:p w14:paraId="5152830A">
      <w:pPr>
        <w:spacing w:line="400" w:lineRule="exact"/>
        <w:jc w:val="left"/>
        <w:rPr>
          <w:rFonts w:hint="eastAsia" w:ascii="仿宋" w:hAnsi="仿宋" w:eastAsia="仿宋" w:cs="仿宋"/>
          <w:color w:val="auto"/>
          <w:highlight w:val="none"/>
        </w:rPr>
      </w:pPr>
    </w:p>
    <w:p w14:paraId="5DFDD425">
      <w:pPr>
        <w:spacing w:line="400" w:lineRule="exact"/>
        <w:jc w:val="lef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确认通知</w:t>
      </w:r>
    </w:p>
    <w:p w14:paraId="1C3B36FA">
      <w:pPr>
        <w:spacing w:line="400" w:lineRule="exact"/>
        <w:jc w:val="left"/>
        <w:rPr>
          <w:rFonts w:hint="eastAsia" w:ascii="仿宋" w:hAnsi="仿宋" w:eastAsia="仿宋" w:cs="仿宋"/>
          <w:color w:val="auto"/>
          <w:highlight w:val="none"/>
        </w:rPr>
      </w:pPr>
    </w:p>
    <w:p w14:paraId="127584BC">
      <w:pPr>
        <w:spacing w:line="440" w:lineRule="exact"/>
        <w:ind w:firstLine="48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（招标人名称）：</w:t>
      </w:r>
    </w:p>
    <w:p w14:paraId="12C743A1">
      <w:pPr>
        <w:spacing w:line="440" w:lineRule="exact"/>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　　</w:t>
      </w:r>
    </w:p>
    <w:p w14:paraId="597A26D7">
      <w:pPr>
        <w:spacing w:line="440" w:lineRule="exact"/>
        <w:ind w:firstLine="960" w:firstLineChars="400"/>
        <w:jc w:val="left"/>
        <w:rPr>
          <w:rFonts w:hint="eastAsia" w:ascii="仿宋" w:hAnsi="仿宋" w:eastAsia="仿宋" w:cs="仿宋"/>
          <w:color w:val="auto"/>
          <w:szCs w:val="21"/>
          <w:highlight w:val="none"/>
          <w:u w:val="single"/>
        </w:rPr>
      </w:pPr>
      <w:r>
        <w:rPr>
          <w:rFonts w:hint="eastAsia" w:ascii="仿宋" w:hAnsi="仿宋" w:eastAsia="仿宋" w:cs="仿宋"/>
          <w:color w:val="auto"/>
          <w:szCs w:val="21"/>
          <w:highlight w:val="none"/>
        </w:rPr>
        <w:t>你方于年月日发出的</w:t>
      </w:r>
      <w:r>
        <w:rPr>
          <w:rFonts w:hint="eastAsia" w:ascii="仿宋" w:hAnsi="仿宋" w:eastAsia="仿宋" w:cs="仿宋"/>
          <w:color w:val="auto"/>
          <w:szCs w:val="21"/>
          <w:highlight w:val="none"/>
          <w:u w:val="single"/>
        </w:rPr>
        <w:t>（项目名称）</w:t>
      </w:r>
      <w:r>
        <w:rPr>
          <w:rFonts w:hint="eastAsia" w:ascii="仿宋" w:hAnsi="仿宋" w:eastAsia="仿宋" w:cs="仿宋"/>
          <w:color w:val="auto"/>
          <w:szCs w:val="21"/>
          <w:highlight w:val="none"/>
        </w:rPr>
        <w:t>关于</w:t>
      </w:r>
    </w:p>
    <w:p w14:paraId="3A912D39">
      <w:pPr>
        <w:spacing w:line="440" w:lineRule="exact"/>
        <w:ind w:firstLine="42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的通知，我方已于年月日收到。</w:t>
      </w:r>
    </w:p>
    <w:p w14:paraId="76B23BD7">
      <w:pPr>
        <w:spacing w:line="440" w:lineRule="exact"/>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　　特此确认。</w:t>
      </w:r>
    </w:p>
    <w:p w14:paraId="71072828">
      <w:pPr>
        <w:spacing w:line="440" w:lineRule="exact"/>
        <w:jc w:val="left"/>
        <w:rPr>
          <w:rFonts w:hint="eastAsia" w:ascii="仿宋" w:hAnsi="仿宋" w:eastAsia="仿宋" w:cs="仿宋"/>
          <w:color w:val="auto"/>
          <w:szCs w:val="21"/>
          <w:highlight w:val="none"/>
        </w:rPr>
      </w:pPr>
    </w:p>
    <w:p w14:paraId="7F5BFCC8">
      <w:pPr>
        <w:spacing w:line="440" w:lineRule="exact"/>
        <w:jc w:val="left"/>
        <w:rPr>
          <w:rFonts w:hint="eastAsia" w:ascii="仿宋" w:hAnsi="仿宋" w:eastAsia="仿宋" w:cs="仿宋"/>
          <w:color w:val="auto"/>
          <w:szCs w:val="21"/>
          <w:highlight w:val="none"/>
        </w:rPr>
      </w:pPr>
    </w:p>
    <w:p w14:paraId="574A77B8">
      <w:pPr>
        <w:spacing w:line="440" w:lineRule="exact"/>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投标人：（盖单位章）</w:t>
      </w:r>
    </w:p>
    <w:p w14:paraId="2BBA180D">
      <w:pPr>
        <w:spacing w:line="440" w:lineRule="exact"/>
        <w:jc w:val="left"/>
        <w:rPr>
          <w:rFonts w:hint="eastAsia" w:ascii="仿宋" w:hAnsi="仿宋" w:eastAsia="仿宋" w:cs="仿宋"/>
          <w:color w:val="auto"/>
          <w:szCs w:val="21"/>
          <w:highlight w:val="none"/>
        </w:rPr>
      </w:pPr>
    </w:p>
    <w:p w14:paraId="32797E7D">
      <w:pPr>
        <w:spacing w:line="440" w:lineRule="exact"/>
        <w:jc w:val="left"/>
        <w:rPr>
          <w:rFonts w:hint="eastAsia" w:ascii="仿宋" w:hAnsi="仿宋" w:eastAsia="仿宋" w:cs="仿宋"/>
          <w:color w:val="auto"/>
          <w:szCs w:val="32"/>
          <w:highlight w:val="none"/>
        </w:rPr>
      </w:pPr>
      <w:r>
        <w:rPr>
          <w:rFonts w:hint="eastAsia" w:ascii="仿宋" w:hAnsi="仿宋" w:eastAsia="仿宋" w:cs="仿宋"/>
          <w:color w:val="auto"/>
          <w:highlight w:val="none"/>
        </w:rPr>
        <w:t>年月日</w:t>
      </w:r>
    </w:p>
    <w:p w14:paraId="44960666">
      <w:pPr>
        <w:pStyle w:val="3"/>
        <w:jc w:val="center"/>
        <w:rPr>
          <w:rFonts w:hint="eastAsia" w:ascii="仿宋" w:hAnsi="仿宋" w:eastAsia="仿宋" w:cs="仿宋"/>
          <w:color w:val="auto"/>
          <w:highlight w:val="none"/>
        </w:rPr>
      </w:pPr>
      <w:r>
        <w:rPr>
          <w:rFonts w:hint="eastAsia" w:ascii="仿宋" w:hAnsi="仿宋" w:eastAsia="仿宋" w:cs="仿宋"/>
          <w:color w:val="auto"/>
          <w:highlight w:val="none"/>
        </w:rPr>
        <w:br w:type="page"/>
      </w:r>
      <w:bookmarkStart w:id="420" w:name="_Toc106998002"/>
      <w:r>
        <w:rPr>
          <w:rFonts w:hint="eastAsia" w:ascii="Times New Roman" w:hAnsi="Times New Roman" w:eastAsia="宋体"/>
          <w:bCs w:val="0"/>
          <w:color w:val="auto"/>
          <w:sz w:val="44"/>
          <w:szCs w:val="20"/>
          <w:highlight w:val="none"/>
        </w:rPr>
        <w:t>第三章  评标办法</w:t>
      </w:r>
      <w:bookmarkEnd w:id="420"/>
    </w:p>
    <w:p w14:paraId="1FC50F7C">
      <w:pPr>
        <w:pStyle w:val="4"/>
        <w:widowControl w:val="0"/>
        <w:spacing w:before="260" w:after="260" w:line="415" w:lineRule="auto"/>
        <w:ind w:firstLine="0" w:firstLineChars="0"/>
        <w:jc w:val="both"/>
        <w:rPr>
          <w:rFonts w:hint="eastAsia" w:ascii="Arial" w:hAnsi="Arial" w:eastAsia="黑体"/>
          <w:bCs w:val="0"/>
          <w:color w:val="auto"/>
          <w:sz w:val="32"/>
          <w:szCs w:val="20"/>
          <w:highlight w:val="none"/>
        </w:rPr>
      </w:pPr>
      <w:bookmarkStart w:id="421" w:name="_Toc106998003"/>
      <w:bookmarkStart w:id="422" w:name="_Toc7956633"/>
      <w:bookmarkStart w:id="423" w:name="_Toc50567454"/>
      <w:r>
        <w:rPr>
          <w:rFonts w:hint="eastAsia" w:ascii="Arial" w:hAnsi="Arial" w:eastAsia="黑体"/>
          <w:bCs w:val="0"/>
          <w:color w:val="auto"/>
          <w:sz w:val="32"/>
          <w:szCs w:val="20"/>
          <w:highlight w:val="none"/>
        </w:rPr>
        <w:t>评标办法前附表</w:t>
      </w:r>
      <w:bookmarkEnd w:id="421"/>
      <w:bookmarkEnd w:id="422"/>
      <w:bookmarkEnd w:id="423"/>
    </w:p>
    <w:tbl>
      <w:tblPr>
        <w:tblStyle w:val="39"/>
        <w:tblW w:w="9180" w:type="dxa"/>
        <w:tblInd w:w="108"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900"/>
        <w:gridCol w:w="1124"/>
        <w:gridCol w:w="2654"/>
        <w:gridCol w:w="4502"/>
      </w:tblGrid>
      <w:tr w14:paraId="5EEA2A8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024" w:type="dxa"/>
            <w:gridSpan w:val="2"/>
            <w:tcBorders>
              <w:top w:val="single" w:color="auto" w:sz="4" w:space="0"/>
              <w:bottom w:val="single" w:color="auto" w:sz="4" w:space="0"/>
              <w:right w:val="single" w:color="auto" w:sz="4" w:space="0"/>
            </w:tcBorders>
            <w:noWrap w:val="0"/>
            <w:vAlign w:val="center"/>
          </w:tcPr>
          <w:p w14:paraId="2D678B08">
            <w:pPr>
              <w:spacing w:line="440" w:lineRule="exact"/>
              <w:jc w:val="left"/>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条款号</w:t>
            </w:r>
          </w:p>
        </w:tc>
        <w:tc>
          <w:tcPr>
            <w:tcW w:w="2654" w:type="dxa"/>
            <w:tcBorders>
              <w:top w:val="single" w:color="auto" w:sz="4" w:space="0"/>
              <w:left w:val="single" w:color="auto" w:sz="4" w:space="0"/>
              <w:bottom w:val="single" w:color="auto" w:sz="4" w:space="0"/>
              <w:right w:val="single" w:color="auto" w:sz="4" w:space="0"/>
            </w:tcBorders>
            <w:noWrap w:val="0"/>
            <w:vAlign w:val="center"/>
          </w:tcPr>
          <w:p w14:paraId="26FE0DCA">
            <w:pPr>
              <w:spacing w:line="440" w:lineRule="exact"/>
              <w:jc w:val="left"/>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评审因素</w:t>
            </w:r>
          </w:p>
        </w:tc>
        <w:tc>
          <w:tcPr>
            <w:tcW w:w="4502" w:type="dxa"/>
            <w:tcBorders>
              <w:top w:val="single" w:color="auto" w:sz="4" w:space="0"/>
              <w:left w:val="single" w:color="auto" w:sz="4" w:space="0"/>
              <w:bottom w:val="single" w:color="auto" w:sz="4" w:space="0"/>
            </w:tcBorders>
            <w:noWrap w:val="0"/>
            <w:vAlign w:val="center"/>
          </w:tcPr>
          <w:p w14:paraId="46FD2BD2">
            <w:pPr>
              <w:spacing w:line="440" w:lineRule="exact"/>
              <w:jc w:val="left"/>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评审标准</w:t>
            </w:r>
          </w:p>
        </w:tc>
      </w:tr>
      <w:tr w14:paraId="5A4D1D7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15" w:hRule="atLeast"/>
        </w:trPr>
        <w:tc>
          <w:tcPr>
            <w:tcW w:w="900" w:type="dxa"/>
            <w:vMerge w:val="restart"/>
            <w:tcBorders>
              <w:top w:val="single" w:color="auto" w:sz="4" w:space="0"/>
              <w:bottom w:val="single" w:color="auto" w:sz="4" w:space="0"/>
              <w:right w:val="single" w:color="auto" w:sz="4" w:space="0"/>
            </w:tcBorders>
            <w:noWrap w:val="0"/>
            <w:vAlign w:val="center"/>
          </w:tcPr>
          <w:p w14:paraId="60902130">
            <w:pPr>
              <w:spacing w:line="440" w:lineRule="exact"/>
              <w:ind w:left="0" w:leftChars="0" w:firstLine="0" w:firstLineChars="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2.1.1</w:t>
            </w:r>
          </w:p>
        </w:tc>
        <w:tc>
          <w:tcPr>
            <w:tcW w:w="1124" w:type="dxa"/>
            <w:vMerge w:val="restart"/>
            <w:tcBorders>
              <w:top w:val="single" w:color="auto" w:sz="4" w:space="0"/>
              <w:bottom w:val="single" w:color="auto" w:sz="4" w:space="0"/>
              <w:right w:val="single" w:color="auto" w:sz="4" w:space="0"/>
            </w:tcBorders>
            <w:noWrap w:val="0"/>
            <w:vAlign w:val="center"/>
          </w:tcPr>
          <w:p w14:paraId="6B64C653">
            <w:pPr>
              <w:spacing w:line="440" w:lineRule="exact"/>
              <w:ind w:left="0" w:leftChars="0" w:firstLine="0" w:firstLineChars="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形式评审标准</w:t>
            </w:r>
          </w:p>
        </w:tc>
        <w:tc>
          <w:tcPr>
            <w:tcW w:w="2654" w:type="dxa"/>
            <w:tcBorders>
              <w:top w:val="single" w:color="auto" w:sz="4" w:space="0"/>
              <w:left w:val="single" w:color="auto" w:sz="4" w:space="0"/>
              <w:bottom w:val="single" w:color="auto" w:sz="4" w:space="0"/>
              <w:right w:val="single" w:color="auto" w:sz="4" w:space="0"/>
            </w:tcBorders>
            <w:noWrap w:val="0"/>
            <w:vAlign w:val="center"/>
          </w:tcPr>
          <w:p w14:paraId="2247140C">
            <w:pPr>
              <w:spacing w:line="440" w:lineRule="exact"/>
              <w:ind w:left="0" w:leftChars="0" w:firstLine="0" w:firstLineChars="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投标人名称</w:t>
            </w:r>
          </w:p>
        </w:tc>
        <w:tc>
          <w:tcPr>
            <w:tcW w:w="4502" w:type="dxa"/>
            <w:tcBorders>
              <w:top w:val="single" w:color="auto" w:sz="4" w:space="0"/>
              <w:left w:val="single" w:color="auto" w:sz="4" w:space="0"/>
              <w:bottom w:val="single" w:color="auto" w:sz="4" w:space="0"/>
            </w:tcBorders>
            <w:noWrap w:val="0"/>
            <w:vAlign w:val="center"/>
          </w:tcPr>
          <w:p w14:paraId="5B1A2AD2">
            <w:pPr>
              <w:spacing w:line="440" w:lineRule="exact"/>
              <w:ind w:left="0" w:leftChars="0" w:firstLine="0" w:firstLineChars="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与营业执照、资质证书一致</w:t>
            </w:r>
          </w:p>
        </w:tc>
      </w:tr>
      <w:tr w14:paraId="60E5958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00" w:type="dxa"/>
            <w:vMerge w:val="continue"/>
            <w:tcBorders>
              <w:top w:val="nil"/>
              <w:bottom w:val="single" w:color="auto" w:sz="4" w:space="0"/>
              <w:right w:val="single" w:color="auto" w:sz="4" w:space="0"/>
            </w:tcBorders>
            <w:noWrap w:val="0"/>
            <w:vAlign w:val="center"/>
          </w:tcPr>
          <w:p w14:paraId="60FFA927">
            <w:pPr>
              <w:spacing w:line="440" w:lineRule="exact"/>
              <w:jc w:val="left"/>
              <w:rPr>
                <w:rFonts w:hint="eastAsia" w:ascii="仿宋" w:hAnsi="仿宋" w:eastAsia="仿宋" w:cs="仿宋"/>
                <w:color w:val="auto"/>
                <w:szCs w:val="21"/>
                <w:highlight w:val="none"/>
              </w:rPr>
            </w:pPr>
          </w:p>
        </w:tc>
        <w:tc>
          <w:tcPr>
            <w:tcW w:w="1124" w:type="dxa"/>
            <w:vMerge w:val="continue"/>
            <w:tcBorders>
              <w:top w:val="nil"/>
              <w:bottom w:val="single" w:color="auto" w:sz="4" w:space="0"/>
              <w:right w:val="single" w:color="auto" w:sz="4" w:space="0"/>
            </w:tcBorders>
            <w:noWrap w:val="0"/>
            <w:vAlign w:val="center"/>
          </w:tcPr>
          <w:p w14:paraId="504F9BF5">
            <w:pPr>
              <w:spacing w:line="440" w:lineRule="exact"/>
              <w:jc w:val="left"/>
              <w:rPr>
                <w:rFonts w:hint="eastAsia" w:ascii="仿宋" w:hAnsi="仿宋" w:eastAsia="仿宋" w:cs="仿宋"/>
                <w:color w:val="auto"/>
                <w:szCs w:val="21"/>
                <w:highlight w:val="none"/>
              </w:rPr>
            </w:pPr>
          </w:p>
        </w:tc>
        <w:tc>
          <w:tcPr>
            <w:tcW w:w="2654" w:type="dxa"/>
            <w:tcBorders>
              <w:top w:val="single" w:color="auto" w:sz="4" w:space="0"/>
              <w:left w:val="single" w:color="auto" w:sz="4" w:space="0"/>
              <w:bottom w:val="single" w:color="auto" w:sz="4" w:space="0"/>
              <w:right w:val="single" w:color="auto" w:sz="4" w:space="0"/>
            </w:tcBorders>
            <w:noWrap w:val="0"/>
            <w:vAlign w:val="center"/>
          </w:tcPr>
          <w:p w14:paraId="0005D59D">
            <w:pPr>
              <w:spacing w:line="440" w:lineRule="exact"/>
              <w:ind w:left="0" w:leftChars="0" w:firstLine="0" w:firstLineChars="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投标函签字盖章</w:t>
            </w:r>
          </w:p>
        </w:tc>
        <w:tc>
          <w:tcPr>
            <w:tcW w:w="4502" w:type="dxa"/>
            <w:tcBorders>
              <w:top w:val="single" w:color="auto" w:sz="4" w:space="0"/>
              <w:left w:val="single" w:color="auto" w:sz="4" w:space="0"/>
              <w:bottom w:val="single" w:color="auto" w:sz="4" w:space="0"/>
            </w:tcBorders>
            <w:noWrap w:val="0"/>
            <w:vAlign w:val="center"/>
          </w:tcPr>
          <w:p w14:paraId="3D19C60D">
            <w:pPr>
              <w:spacing w:line="440" w:lineRule="exact"/>
              <w:ind w:left="0" w:leftChars="0" w:firstLine="0" w:firstLineChars="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有法定代表人或其委托代理人签字或加盖单位章</w:t>
            </w:r>
          </w:p>
        </w:tc>
      </w:tr>
      <w:tr w14:paraId="7F303B2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00" w:type="dxa"/>
            <w:vMerge w:val="continue"/>
            <w:tcBorders>
              <w:top w:val="nil"/>
              <w:bottom w:val="single" w:color="auto" w:sz="4" w:space="0"/>
              <w:right w:val="single" w:color="auto" w:sz="4" w:space="0"/>
            </w:tcBorders>
            <w:noWrap w:val="0"/>
            <w:vAlign w:val="center"/>
          </w:tcPr>
          <w:p w14:paraId="37964D74">
            <w:pPr>
              <w:spacing w:line="440" w:lineRule="exact"/>
              <w:jc w:val="left"/>
              <w:rPr>
                <w:rFonts w:hint="eastAsia" w:ascii="仿宋" w:hAnsi="仿宋" w:eastAsia="仿宋" w:cs="仿宋"/>
                <w:color w:val="auto"/>
                <w:szCs w:val="21"/>
                <w:highlight w:val="none"/>
              </w:rPr>
            </w:pPr>
          </w:p>
        </w:tc>
        <w:tc>
          <w:tcPr>
            <w:tcW w:w="1124" w:type="dxa"/>
            <w:vMerge w:val="continue"/>
            <w:tcBorders>
              <w:top w:val="nil"/>
              <w:bottom w:val="single" w:color="auto" w:sz="4" w:space="0"/>
              <w:right w:val="single" w:color="auto" w:sz="4" w:space="0"/>
            </w:tcBorders>
            <w:noWrap w:val="0"/>
            <w:vAlign w:val="center"/>
          </w:tcPr>
          <w:p w14:paraId="677D0CB9">
            <w:pPr>
              <w:spacing w:line="440" w:lineRule="exact"/>
              <w:jc w:val="left"/>
              <w:rPr>
                <w:rFonts w:hint="eastAsia" w:ascii="仿宋" w:hAnsi="仿宋" w:eastAsia="仿宋" w:cs="仿宋"/>
                <w:color w:val="auto"/>
                <w:szCs w:val="21"/>
                <w:highlight w:val="none"/>
              </w:rPr>
            </w:pPr>
          </w:p>
        </w:tc>
        <w:tc>
          <w:tcPr>
            <w:tcW w:w="2654" w:type="dxa"/>
            <w:tcBorders>
              <w:top w:val="single" w:color="auto" w:sz="4" w:space="0"/>
              <w:left w:val="single" w:color="auto" w:sz="4" w:space="0"/>
              <w:bottom w:val="single" w:color="auto" w:sz="4" w:space="0"/>
              <w:right w:val="single" w:color="auto" w:sz="4" w:space="0"/>
            </w:tcBorders>
            <w:noWrap w:val="0"/>
            <w:vAlign w:val="center"/>
          </w:tcPr>
          <w:p w14:paraId="7816B3A0">
            <w:pPr>
              <w:spacing w:line="440" w:lineRule="exact"/>
              <w:ind w:left="0" w:leftChars="0" w:firstLine="0" w:firstLineChars="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投标文件格式</w:t>
            </w:r>
          </w:p>
        </w:tc>
        <w:tc>
          <w:tcPr>
            <w:tcW w:w="4502" w:type="dxa"/>
            <w:tcBorders>
              <w:top w:val="single" w:color="auto" w:sz="4" w:space="0"/>
              <w:left w:val="single" w:color="auto" w:sz="4" w:space="0"/>
              <w:bottom w:val="single" w:color="auto" w:sz="4" w:space="0"/>
            </w:tcBorders>
            <w:noWrap w:val="0"/>
            <w:vAlign w:val="center"/>
          </w:tcPr>
          <w:p w14:paraId="2489E1C8">
            <w:pPr>
              <w:spacing w:line="440" w:lineRule="exact"/>
              <w:ind w:left="0" w:leftChars="0" w:firstLine="0" w:firstLineChars="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符合第七章“投标文件格式”的要求</w:t>
            </w:r>
          </w:p>
        </w:tc>
      </w:tr>
      <w:tr w14:paraId="13CDEBC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00" w:type="dxa"/>
            <w:vMerge w:val="continue"/>
            <w:tcBorders>
              <w:top w:val="nil"/>
              <w:bottom w:val="single" w:color="auto" w:sz="4" w:space="0"/>
              <w:right w:val="single" w:color="auto" w:sz="4" w:space="0"/>
            </w:tcBorders>
            <w:noWrap w:val="0"/>
            <w:vAlign w:val="center"/>
          </w:tcPr>
          <w:p w14:paraId="1BFDF485">
            <w:pPr>
              <w:spacing w:line="440" w:lineRule="exact"/>
              <w:jc w:val="left"/>
              <w:rPr>
                <w:rFonts w:hint="eastAsia" w:ascii="仿宋" w:hAnsi="仿宋" w:eastAsia="仿宋" w:cs="仿宋"/>
                <w:color w:val="auto"/>
                <w:szCs w:val="21"/>
                <w:highlight w:val="none"/>
              </w:rPr>
            </w:pPr>
          </w:p>
        </w:tc>
        <w:tc>
          <w:tcPr>
            <w:tcW w:w="1124" w:type="dxa"/>
            <w:vMerge w:val="continue"/>
            <w:tcBorders>
              <w:top w:val="nil"/>
              <w:bottom w:val="single" w:color="auto" w:sz="4" w:space="0"/>
              <w:right w:val="single" w:color="auto" w:sz="4" w:space="0"/>
            </w:tcBorders>
            <w:noWrap w:val="0"/>
            <w:vAlign w:val="center"/>
          </w:tcPr>
          <w:p w14:paraId="17430222">
            <w:pPr>
              <w:spacing w:line="440" w:lineRule="exact"/>
              <w:jc w:val="left"/>
              <w:rPr>
                <w:rFonts w:hint="eastAsia" w:ascii="仿宋" w:hAnsi="仿宋" w:eastAsia="仿宋" w:cs="仿宋"/>
                <w:color w:val="auto"/>
                <w:szCs w:val="21"/>
                <w:highlight w:val="none"/>
              </w:rPr>
            </w:pPr>
          </w:p>
        </w:tc>
        <w:tc>
          <w:tcPr>
            <w:tcW w:w="2654" w:type="dxa"/>
            <w:tcBorders>
              <w:top w:val="single" w:color="auto" w:sz="4" w:space="0"/>
              <w:left w:val="single" w:color="auto" w:sz="4" w:space="0"/>
              <w:bottom w:val="single" w:color="auto" w:sz="4" w:space="0"/>
              <w:right w:val="single" w:color="auto" w:sz="4" w:space="0"/>
            </w:tcBorders>
            <w:noWrap w:val="0"/>
            <w:vAlign w:val="center"/>
          </w:tcPr>
          <w:p w14:paraId="0C625A10">
            <w:pPr>
              <w:spacing w:line="440" w:lineRule="exact"/>
              <w:ind w:left="0" w:leftChars="0" w:firstLine="0" w:firstLineChars="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投标报价</w:t>
            </w:r>
          </w:p>
        </w:tc>
        <w:tc>
          <w:tcPr>
            <w:tcW w:w="4502" w:type="dxa"/>
            <w:tcBorders>
              <w:top w:val="single" w:color="auto" w:sz="4" w:space="0"/>
              <w:left w:val="single" w:color="auto" w:sz="4" w:space="0"/>
              <w:bottom w:val="single" w:color="auto" w:sz="4" w:space="0"/>
            </w:tcBorders>
            <w:noWrap w:val="0"/>
            <w:vAlign w:val="center"/>
          </w:tcPr>
          <w:p w14:paraId="3C230BA7">
            <w:pPr>
              <w:spacing w:line="440" w:lineRule="exact"/>
              <w:ind w:left="0" w:leftChars="0" w:firstLine="0" w:firstLineChars="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符合第二章“投标人须知”第3.2.4项规定</w:t>
            </w:r>
          </w:p>
        </w:tc>
      </w:tr>
      <w:tr w14:paraId="79CA02A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47" w:hRule="atLeast"/>
        </w:trPr>
        <w:tc>
          <w:tcPr>
            <w:tcW w:w="900" w:type="dxa"/>
            <w:vMerge w:val="restart"/>
            <w:tcBorders>
              <w:top w:val="single" w:color="auto" w:sz="4" w:space="0"/>
              <w:right w:val="single" w:color="auto" w:sz="4" w:space="0"/>
            </w:tcBorders>
            <w:noWrap w:val="0"/>
            <w:vAlign w:val="center"/>
          </w:tcPr>
          <w:p w14:paraId="6DD1417B">
            <w:pPr>
              <w:spacing w:line="440" w:lineRule="exact"/>
              <w:ind w:left="0" w:leftChars="0" w:firstLine="0" w:firstLineChars="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2.1.2</w:t>
            </w:r>
          </w:p>
        </w:tc>
        <w:tc>
          <w:tcPr>
            <w:tcW w:w="1124" w:type="dxa"/>
            <w:vMerge w:val="restart"/>
            <w:tcBorders>
              <w:top w:val="single" w:color="auto" w:sz="4" w:space="0"/>
              <w:right w:val="single" w:color="auto" w:sz="4" w:space="0"/>
            </w:tcBorders>
            <w:noWrap w:val="0"/>
            <w:vAlign w:val="center"/>
          </w:tcPr>
          <w:p w14:paraId="71CE3333">
            <w:pPr>
              <w:spacing w:line="440" w:lineRule="exact"/>
              <w:ind w:left="0" w:leftChars="0" w:firstLine="0" w:firstLineChars="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资格评审标准</w:t>
            </w:r>
          </w:p>
        </w:tc>
        <w:tc>
          <w:tcPr>
            <w:tcW w:w="2654" w:type="dxa"/>
            <w:tcBorders>
              <w:top w:val="single" w:color="auto" w:sz="4" w:space="0"/>
              <w:left w:val="single" w:color="auto" w:sz="4" w:space="0"/>
            </w:tcBorders>
            <w:noWrap w:val="0"/>
            <w:vAlign w:val="center"/>
          </w:tcPr>
          <w:p w14:paraId="301A46F6">
            <w:pPr>
              <w:spacing w:line="440" w:lineRule="exact"/>
              <w:ind w:left="0" w:leftChars="0" w:firstLine="0" w:firstLineChars="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营业执照</w:t>
            </w:r>
          </w:p>
        </w:tc>
        <w:tc>
          <w:tcPr>
            <w:tcW w:w="4502" w:type="dxa"/>
            <w:tcBorders>
              <w:top w:val="single" w:color="auto" w:sz="4" w:space="0"/>
              <w:left w:val="single" w:color="auto" w:sz="4" w:space="0"/>
            </w:tcBorders>
            <w:noWrap w:val="0"/>
            <w:vAlign w:val="center"/>
          </w:tcPr>
          <w:p w14:paraId="2A710E19">
            <w:pPr>
              <w:spacing w:line="440" w:lineRule="exact"/>
              <w:ind w:left="0" w:leftChars="0" w:firstLine="0" w:firstLineChars="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具备有效的营业执照（如联合体投标，联合体各方均提供，复印件加盖公章附在投标文件中）</w:t>
            </w:r>
          </w:p>
        </w:tc>
      </w:tr>
      <w:tr w14:paraId="21B47F9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00" w:type="dxa"/>
            <w:vMerge w:val="continue"/>
            <w:tcBorders>
              <w:top w:val="single" w:color="auto" w:sz="4" w:space="0"/>
              <w:right w:val="single" w:color="auto" w:sz="4" w:space="0"/>
            </w:tcBorders>
            <w:noWrap w:val="0"/>
            <w:vAlign w:val="center"/>
          </w:tcPr>
          <w:p w14:paraId="6CA851B4">
            <w:pPr>
              <w:spacing w:line="440" w:lineRule="exact"/>
              <w:jc w:val="left"/>
              <w:rPr>
                <w:rFonts w:hint="eastAsia" w:ascii="仿宋" w:hAnsi="仿宋" w:eastAsia="仿宋" w:cs="仿宋"/>
                <w:color w:val="auto"/>
                <w:szCs w:val="21"/>
                <w:highlight w:val="none"/>
              </w:rPr>
            </w:pPr>
          </w:p>
        </w:tc>
        <w:tc>
          <w:tcPr>
            <w:tcW w:w="1124" w:type="dxa"/>
            <w:vMerge w:val="continue"/>
            <w:tcBorders>
              <w:top w:val="single" w:color="auto" w:sz="4" w:space="0"/>
              <w:right w:val="single" w:color="auto" w:sz="4" w:space="0"/>
            </w:tcBorders>
            <w:noWrap w:val="0"/>
            <w:vAlign w:val="center"/>
          </w:tcPr>
          <w:p w14:paraId="671013E8">
            <w:pPr>
              <w:spacing w:line="440" w:lineRule="exact"/>
              <w:jc w:val="left"/>
              <w:rPr>
                <w:rFonts w:hint="eastAsia" w:ascii="仿宋" w:hAnsi="仿宋" w:eastAsia="仿宋" w:cs="仿宋"/>
                <w:color w:val="auto"/>
                <w:szCs w:val="21"/>
                <w:highlight w:val="none"/>
              </w:rPr>
            </w:pPr>
          </w:p>
        </w:tc>
        <w:tc>
          <w:tcPr>
            <w:tcW w:w="2654" w:type="dxa"/>
            <w:tcBorders>
              <w:top w:val="single" w:color="auto" w:sz="4" w:space="0"/>
              <w:left w:val="single" w:color="auto" w:sz="4" w:space="0"/>
              <w:bottom w:val="single" w:color="auto" w:sz="4" w:space="0"/>
              <w:right w:val="single" w:color="auto" w:sz="4" w:space="0"/>
            </w:tcBorders>
            <w:noWrap w:val="0"/>
            <w:vAlign w:val="center"/>
          </w:tcPr>
          <w:p w14:paraId="78BAA8C4">
            <w:pPr>
              <w:spacing w:line="440" w:lineRule="exact"/>
              <w:ind w:left="0" w:leftChars="0" w:firstLine="0" w:firstLineChars="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资质等级</w:t>
            </w:r>
          </w:p>
        </w:tc>
        <w:tc>
          <w:tcPr>
            <w:tcW w:w="4502" w:type="dxa"/>
            <w:tcBorders>
              <w:top w:val="single" w:color="auto" w:sz="4" w:space="0"/>
              <w:left w:val="single" w:color="auto" w:sz="4" w:space="0"/>
              <w:bottom w:val="single" w:color="auto" w:sz="4" w:space="0"/>
            </w:tcBorders>
            <w:noWrap w:val="0"/>
            <w:vAlign w:val="center"/>
          </w:tcPr>
          <w:p w14:paraId="33DFA394">
            <w:pPr>
              <w:spacing w:line="440" w:lineRule="exact"/>
              <w:ind w:left="0" w:leftChars="0" w:firstLine="0" w:firstLineChars="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符合第二章“投标人须知”第1.4.1项规定（如联合体投标，由承担规定任务的联合体对应提供，加盖公章附在投标文件中）。</w:t>
            </w:r>
          </w:p>
        </w:tc>
      </w:tr>
      <w:tr w14:paraId="53B4C09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00" w:type="dxa"/>
            <w:vMerge w:val="continue"/>
            <w:tcBorders>
              <w:top w:val="single" w:color="auto" w:sz="4" w:space="0"/>
              <w:right w:val="single" w:color="auto" w:sz="4" w:space="0"/>
            </w:tcBorders>
            <w:noWrap w:val="0"/>
            <w:vAlign w:val="center"/>
          </w:tcPr>
          <w:p w14:paraId="73519007">
            <w:pPr>
              <w:spacing w:line="440" w:lineRule="exact"/>
              <w:jc w:val="left"/>
              <w:rPr>
                <w:rFonts w:hint="eastAsia" w:ascii="仿宋" w:hAnsi="仿宋" w:eastAsia="仿宋" w:cs="仿宋"/>
                <w:color w:val="auto"/>
                <w:szCs w:val="21"/>
                <w:highlight w:val="none"/>
              </w:rPr>
            </w:pPr>
          </w:p>
        </w:tc>
        <w:tc>
          <w:tcPr>
            <w:tcW w:w="1124" w:type="dxa"/>
            <w:vMerge w:val="continue"/>
            <w:tcBorders>
              <w:top w:val="single" w:color="auto" w:sz="4" w:space="0"/>
              <w:right w:val="single" w:color="auto" w:sz="4" w:space="0"/>
            </w:tcBorders>
            <w:noWrap w:val="0"/>
            <w:vAlign w:val="center"/>
          </w:tcPr>
          <w:p w14:paraId="4D214680">
            <w:pPr>
              <w:spacing w:line="440" w:lineRule="exact"/>
              <w:jc w:val="left"/>
              <w:rPr>
                <w:rFonts w:hint="eastAsia" w:ascii="仿宋" w:hAnsi="仿宋" w:eastAsia="仿宋" w:cs="仿宋"/>
                <w:color w:val="auto"/>
                <w:szCs w:val="21"/>
                <w:highlight w:val="none"/>
              </w:rPr>
            </w:pPr>
          </w:p>
        </w:tc>
        <w:tc>
          <w:tcPr>
            <w:tcW w:w="2654" w:type="dxa"/>
            <w:tcBorders>
              <w:top w:val="single" w:color="auto" w:sz="4" w:space="0"/>
              <w:left w:val="single" w:color="auto" w:sz="4" w:space="0"/>
              <w:bottom w:val="single" w:color="auto" w:sz="4" w:space="0"/>
              <w:right w:val="single" w:color="auto" w:sz="4" w:space="0"/>
            </w:tcBorders>
            <w:noWrap w:val="0"/>
            <w:vAlign w:val="center"/>
          </w:tcPr>
          <w:p w14:paraId="66635359">
            <w:pPr>
              <w:spacing w:line="440" w:lineRule="exact"/>
              <w:ind w:left="0" w:leftChars="0" w:firstLine="0" w:firstLineChars="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安全生产许可证</w:t>
            </w:r>
          </w:p>
        </w:tc>
        <w:tc>
          <w:tcPr>
            <w:tcW w:w="4502" w:type="dxa"/>
            <w:tcBorders>
              <w:top w:val="single" w:color="auto" w:sz="4" w:space="0"/>
              <w:left w:val="single" w:color="auto" w:sz="4" w:space="0"/>
              <w:bottom w:val="single" w:color="auto" w:sz="4" w:space="0"/>
            </w:tcBorders>
            <w:noWrap w:val="0"/>
            <w:vAlign w:val="center"/>
          </w:tcPr>
          <w:p w14:paraId="6E57E623">
            <w:pPr>
              <w:spacing w:line="440" w:lineRule="exact"/>
              <w:ind w:left="0" w:leftChars="0" w:firstLine="0" w:firstLineChars="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具备有效的安全生产许可证（如为联合体投标，由承担施工任务的单位提供，加盖公章附在投标文件中）</w:t>
            </w:r>
          </w:p>
        </w:tc>
      </w:tr>
      <w:tr w14:paraId="3374BCD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00" w:type="dxa"/>
            <w:vMerge w:val="continue"/>
            <w:tcBorders>
              <w:top w:val="single" w:color="auto" w:sz="4" w:space="0"/>
              <w:right w:val="single" w:color="auto" w:sz="4" w:space="0"/>
            </w:tcBorders>
            <w:noWrap w:val="0"/>
            <w:vAlign w:val="center"/>
          </w:tcPr>
          <w:p w14:paraId="7C7F7E5B">
            <w:pPr>
              <w:spacing w:line="440" w:lineRule="exact"/>
              <w:jc w:val="left"/>
              <w:rPr>
                <w:rFonts w:hint="eastAsia" w:ascii="仿宋" w:hAnsi="仿宋" w:eastAsia="仿宋" w:cs="仿宋"/>
                <w:color w:val="auto"/>
                <w:szCs w:val="21"/>
                <w:highlight w:val="none"/>
              </w:rPr>
            </w:pPr>
          </w:p>
        </w:tc>
        <w:tc>
          <w:tcPr>
            <w:tcW w:w="1124" w:type="dxa"/>
            <w:vMerge w:val="continue"/>
            <w:tcBorders>
              <w:top w:val="single" w:color="auto" w:sz="4" w:space="0"/>
              <w:right w:val="single" w:color="auto" w:sz="4" w:space="0"/>
            </w:tcBorders>
            <w:noWrap w:val="0"/>
            <w:vAlign w:val="center"/>
          </w:tcPr>
          <w:p w14:paraId="77E2907C">
            <w:pPr>
              <w:spacing w:line="440" w:lineRule="exact"/>
              <w:jc w:val="left"/>
              <w:rPr>
                <w:rFonts w:hint="eastAsia" w:ascii="仿宋" w:hAnsi="仿宋" w:eastAsia="仿宋" w:cs="仿宋"/>
                <w:color w:val="auto"/>
                <w:szCs w:val="21"/>
                <w:highlight w:val="none"/>
              </w:rPr>
            </w:pPr>
          </w:p>
        </w:tc>
        <w:tc>
          <w:tcPr>
            <w:tcW w:w="2654" w:type="dxa"/>
            <w:tcBorders>
              <w:top w:val="single" w:color="auto" w:sz="4" w:space="0"/>
              <w:left w:val="single" w:color="auto" w:sz="4" w:space="0"/>
              <w:bottom w:val="single" w:color="auto" w:sz="4" w:space="0"/>
              <w:right w:val="single" w:color="auto" w:sz="4" w:space="0"/>
            </w:tcBorders>
            <w:noWrap w:val="0"/>
            <w:vAlign w:val="center"/>
          </w:tcPr>
          <w:p w14:paraId="6146439A">
            <w:pPr>
              <w:spacing w:line="440" w:lineRule="exact"/>
              <w:ind w:left="0" w:leftChars="0" w:firstLine="0" w:firstLineChars="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项目经理</w:t>
            </w:r>
          </w:p>
        </w:tc>
        <w:tc>
          <w:tcPr>
            <w:tcW w:w="4502" w:type="dxa"/>
            <w:tcBorders>
              <w:top w:val="single" w:color="auto" w:sz="4" w:space="0"/>
              <w:left w:val="single" w:color="auto" w:sz="4" w:space="0"/>
              <w:bottom w:val="single" w:color="auto" w:sz="4" w:space="0"/>
            </w:tcBorders>
            <w:noWrap w:val="0"/>
            <w:vAlign w:val="top"/>
          </w:tcPr>
          <w:p w14:paraId="3B982BEA">
            <w:pPr>
              <w:spacing w:line="440" w:lineRule="exact"/>
              <w:ind w:left="0" w:leftChars="0" w:firstLine="0" w:firstLineChars="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符合第二章“投标人须知”第1.4.1项规定（提供人员证书加盖公章附在投标文件中。</w:t>
            </w:r>
          </w:p>
        </w:tc>
      </w:tr>
      <w:tr w14:paraId="6A977BE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00" w:type="dxa"/>
            <w:vMerge w:val="continue"/>
            <w:tcBorders>
              <w:top w:val="single" w:color="auto" w:sz="4" w:space="0"/>
              <w:right w:val="single" w:color="auto" w:sz="4" w:space="0"/>
            </w:tcBorders>
            <w:noWrap w:val="0"/>
            <w:vAlign w:val="center"/>
          </w:tcPr>
          <w:p w14:paraId="6BC794F0">
            <w:pPr>
              <w:spacing w:line="440" w:lineRule="exact"/>
              <w:jc w:val="left"/>
              <w:rPr>
                <w:rFonts w:hint="eastAsia" w:ascii="仿宋" w:hAnsi="仿宋" w:eastAsia="仿宋" w:cs="仿宋"/>
                <w:color w:val="auto"/>
                <w:szCs w:val="21"/>
                <w:highlight w:val="none"/>
              </w:rPr>
            </w:pPr>
          </w:p>
        </w:tc>
        <w:tc>
          <w:tcPr>
            <w:tcW w:w="1124" w:type="dxa"/>
            <w:vMerge w:val="continue"/>
            <w:tcBorders>
              <w:top w:val="single" w:color="auto" w:sz="4" w:space="0"/>
              <w:right w:val="single" w:color="auto" w:sz="4" w:space="0"/>
            </w:tcBorders>
            <w:noWrap w:val="0"/>
            <w:vAlign w:val="center"/>
          </w:tcPr>
          <w:p w14:paraId="7228825E">
            <w:pPr>
              <w:spacing w:line="440" w:lineRule="exact"/>
              <w:jc w:val="left"/>
              <w:rPr>
                <w:rFonts w:hint="eastAsia" w:ascii="仿宋" w:hAnsi="仿宋" w:eastAsia="仿宋" w:cs="仿宋"/>
                <w:color w:val="auto"/>
                <w:szCs w:val="21"/>
                <w:highlight w:val="none"/>
              </w:rPr>
            </w:pPr>
          </w:p>
        </w:tc>
        <w:tc>
          <w:tcPr>
            <w:tcW w:w="2654" w:type="dxa"/>
            <w:tcBorders>
              <w:top w:val="single" w:color="auto" w:sz="4" w:space="0"/>
              <w:left w:val="single" w:color="auto" w:sz="4" w:space="0"/>
              <w:bottom w:val="single" w:color="auto" w:sz="4" w:space="0"/>
              <w:right w:val="single" w:color="auto" w:sz="4" w:space="0"/>
            </w:tcBorders>
            <w:noWrap w:val="0"/>
            <w:vAlign w:val="center"/>
          </w:tcPr>
          <w:p w14:paraId="35FD423B">
            <w:pPr>
              <w:spacing w:line="440" w:lineRule="exact"/>
              <w:ind w:left="0" w:leftChars="0" w:firstLine="0" w:firstLineChars="0"/>
              <w:jc w:val="left"/>
              <w:rPr>
                <w:rFonts w:hint="eastAsia" w:ascii="仿宋" w:hAnsi="仿宋" w:eastAsia="仿宋" w:cs="仿宋"/>
                <w:color w:val="auto"/>
                <w:szCs w:val="21"/>
                <w:highlight w:val="none"/>
              </w:rPr>
            </w:pPr>
            <w:r>
              <w:rPr>
                <w:rFonts w:hint="eastAsia" w:ascii="仿宋" w:hAnsi="仿宋" w:eastAsia="仿宋" w:cs="仿宋"/>
                <w:color w:val="auto"/>
                <w:highlight w:val="none"/>
              </w:rPr>
              <w:t>联合体协议书</w:t>
            </w:r>
          </w:p>
        </w:tc>
        <w:tc>
          <w:tcPr>
            <w:tcW w:w="4502" w:type="dxa"/>
            <w:tcBorders>
              <w:top w:val="single" w:color="auto" w:sz="4" w:space="0"/>
              <w:left w:val="single" w:color="auto" w:sz="4" w:space="0"/>
              <w:bottom w:val="single" w:color="auto" w:sz="4" w:space="0"/>
            </w:tcBorders>
            <w:noWrap w:val="0"/>
            <w:vAlign w:val="top"/>
          </w:tcPr>
          <w:p w14:paraId="37FC6FE1">
            <w:pPr>
              <w:spacing w:line="440" w:lineRule="exact"/>
              <w:ind w:left="0" w:leftChars="0" w:firstLine="0" w:firstLineChars="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有效的联合体协议书。</w:t>
            </w:r>
            <w:r>
              <w:rPr>
                <w:rFonts w:hint="eastAsia" w:ascii="仿宋" w:hAnsi="仿宋" w:eastAsia="仿宋" w:cs="仿宋"/>
                <w:b/>
                <w:bCs/>
                <w:color w:val="auto"/>
                <w:szCs w:val="21"/>
                <w:highlight w:val="none"/>
              </w:rPr>
              <w:t>（以联合体形式投标的，须提供）。</w:t>
            </w:r>
          </w:p>
        </w:tc>
      </w:tr>
      <w:tr w14:paraId="1FEE529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16" w:hRule="atLeast"/>
        </w:trPr>
        <w:tc>
          <w:tcPr>
            <w:tcW w:w="900" w:type="dxa"/>
            <w:vMerge w:val="continue"/>
            <w:tcBorders>
              <w:right w:val="single" w:color="auto" w:sz="4" w:space="0"/>
            </w:tcBorders>
            <w:noWrap w:val="0"/>
            <w:vAlign w:val="center"/>
          </w:tcPr>
          <w:p w14:paraId="6ECEFB9F">
            <w:pPr>
              <w:spacing w:line="440" w:lineRule="exact"/>
              <w:jc w:val="left"/>
              <w:rPr>
                <w:rFonts w:hint="eastAsia" w:ascii="仿宋" w:hAnsi="仿宋" w:eastAsia="仿宋" w:cs="仿宋"/>
                <w:color w:val="auto"/>
                <w:szCs w:val="21"/>
                <w:highlight w:val="none"/>
              </w:rPr>
            </w:pPr>
          </w:p>
        </w:tc>
        <w:tc>
          <w:tcPr>
            <w:tcW w:w="1124" w:type="dxa"/>
            <w:vMerge w:val="continue"/>
            <w:tcBorders>
              <w:right w:val="single" w:color="auto" w:sz="4" w:space="0"/>
            </w:tcBorders>
            <w:noWrap w:val="0"/>
            <w:vAlign w:val="center"/>
          </w:tcPr>
          <w:p w14:paraId="2BF9525B">
            <w:pPr>
              <w:spacing w:line="440" w:lineRule="exact"/>
              <w:jc w:val="left"/>
              <w:rPr>
                <w:rFonts w:hint="eastAsia" w:ascii="仿宋" w:hAnsi="仿宋" w:eastAsia="仿宋" w:cs="仿宋"/>
                <w:color w:val="auto"/>
                <w:szCs w:val="21"/>
                <w:highlight w:val="none"/>
              </w:rPr>
            </w:pPr>
          </w:p>
        </w:tc>
        <w:tc>
          <w:tcPr>
            <w:tcW w:w="2654" w:type="dxa"/>
            <w:tcBorders>
              <w:top w:val="single" w:color="auto" w:sz="4" w:space="0"/>
              <w:left w:val="single" w:color="auto" w:sz="4" w:space="0"/>
              <w:right w:val="single" w:color="auto" w:sz="4" w:space="0"/>
            </w:tcBorders>
            <w:noWrap w:val="0"/>
            <w:vAlign w:val="center"/>
          </w:tcPr>
          <w:p w14:paraId="46510BD2">
            <w:pPr>
              <w:spacing w:line="440" w:lineRule="exact"/>
              <w:ind w:left="0" w:leftChars="0" w:firstLine="0" w:firstLineChars="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其他要求</w:t>
            </w:r>
          </w:p>
        </w:tc>
        <w:tc>
          <w:tcPr>
            <w:tcW w:w="4502" w:type="dxa"/>
            <w:tcBorders>
              <w:top w:val="single" w:color="auto" w:sz="4" w:space="0"/>
              <w:left w:val="single" w:color="auto" w:sz="4" w:space="0"/>
            </w:tcBorders>
            <w:noWrap w:val="0"/>
            <w:vAlign w:val="top"/>
          </w:tcPr>
          <w:p w14:paraId="4047729A">
            <w:pPr>
              <w:spacing w:line="440" w:lineRule="exact"/>
              <w:ind w:left="0" w:leftChars="0" w:firstLine="0" w:firstLineChars="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符合第二章“投标人须知”第1.4.1项、第1.4.3项、第1.4.4项规定。</w:t>
            </w:r>
          </w:p>
        </w:tc>
      </w:tr>
      <w:tr w14:paraId="535DF6B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03" w:hRule="atLeast"/>
        </w:trPr>
        <w:tc>
          <w:tcPr>
            <w:tcW w:w="900" w:type="dxa"/>
            <w:vMerge w:val="restart"/>
            <w:tcBorders>
              <w:top w:val="single" w:color="auto" w:sz="4" w:space="0"/>
              <w:bottom w:val="single" w:color="auto" w:sz="4" w:space="0"/>
              <w:right w:val="single" w:color="auto" w:sz="4" w:space="0"/>
            </w:tcBorders>
            <w:noWrap w:val="0"/>
            <w:vAlign w:val="center"/>
          </w:tcPr>
          <w:p w14:paraId="781078A5">
            <w:pPr>
              <w:spacing w:line="440" w:lineRule="exact"/>
              <w:jc w:val="left"/>
              <w:rPr>
                <w:rFonts w:hint="eastAsia" w:ascii="仿宋" w:hAnsi="仿宋" w:eastAsia="仿宋" w:cs="仿宋"/>
                <w:color w:val="auto"/>
                <w:szCs w:val="21"/>
                <w:highlight w:val="none"/>
              </w:rPr>
            </w:pPr>
          </w:p>
          <w:p w14:paraId="1F88186E">
            <w:pPr>
              <w:keepNext w:val="0"/>
              <w:keepLines w:val="0"/>
              <w:pageBreakBefore w:val="0"/>
              <w:widowControl/>
              <w:kinsoku/>
              <w:wordWrap/>
              <w:overflowPunct/>
              <w:topLinePunct w:val="0"/>
              <w:autoSpaceDE/>
              <w:autoSpaceDN/>
              <w:bidi w:val="0"/>
              <w:adjustRightInd/>
              <w:snapToGrid/>
              <w:spacing w:line="440" w:lineRule="exact"/>
              <w:ind w:firstLine="0" w:firstLineChars="0"/>
              <w:jc w:val="left"/>
              <w:textAlignment w:val="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2.1.3</w:t>
            </w:r>
          </w:p>
        </w:tc>
        <w:tc>
          <w:tcPr>
            <w:tcW w:w="1124" w:type="dxa"/>
            <w:vMerge w:val="restart"/>
            <w:tcBorders>
              <w:top w:val="single" w:color="auto" w:sz="4" w:space="0"/>
              <w:bottom w:val="single" w:color="auto" w:sz="4" w:space="0"/>
              <w:right w:val="single" w:color="auto" w:sz="4" w:space="0"/>
            </w:tcBorders>
            <w:noWrap w:val="0"/>
            <w:vAlign w:val="center"/>
          </w:tcPr>
          <w:p w14:paraId="7304F678">
            <w:pPr>
              <w:spacing w:line="440" w:lineRule="exact"/>
              <w:jc w:val="left"/>
              <w:rPr>
                <w:rFonts w:hint="eastAsia" w:ascii="仿宋" w:hAnsi="仿宋" w:eastAsia="仿宋" w:cs="仿宋"/>
                <w:color w:val="auto"/>
                <w:szCs w:val="21"/>
                <w:highlight w:val="none"/>
              </w:rPr>
            </w:pPr>
          </w:p>
          <w:p w14:paraId="7C1E9ECB">
            <w:pPr>
              <w:spacing w:line="440" w:lineRule="exact"/>
              <w:ind w:left="0" w:leftChars="0" w:firstLine="0" w:firstLineChars="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响应性评审标准</w:t>
            </w:r>
          </w:p>
        </w:tc>
        <w:tc>
          <w:tcPr>
            <w:tcW w:w="2654" w:type="dxa"/>
            <w:tcBorders>
              <w:top w:val="single" w:color="auto" w:sz="4" w:space="0"/>
              <w:left w:val="single" w:color="auto" w:sz="4" w:space="0"/>
              <w:right w:val="single" w:color="auto" w:sz="4" w:space="0"/>
            </w:tcBorders>
            <w:noWrap w:val="0"/>
            <w:vAlign w:val="center"/>
          </w:tcPr>
          <w:p w14:paraId="0E0BE5FC">
            <w:pPr>
              <w:keepNext w:val="0"/>
              <w:keepLines w:val="0"/>
              <w:pageBreakBefore w:val="0"/>
              <w:widowControl/>
              <w:kinsoku/>
              <w:wordWrap/>
              <w:overflowPunct/>
              <w:topLinePunct w:val="0"/>
              <w:autoSpaceDE/>
              <w:autoSpaceDN/>
              <w:bidi w:val="0"/>
              <w:adjustRightInd/>
              <w:snapToGrid/>
              <w:spacing w:line="440" w:lineRule="exact"/>
              <w:ind w:firstLine="0" w:firstLineChars="0"/>
              <w:jc w:val="left"/>
              <w:textAlignment w:val="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投标内容</w:t>
            </w:r>
          </w:p>
        </w:tc>
        <w:tc>
          <w:tcPr>
            <w:tcW w:w="4502" w:type="dxa"/>
            <w:tcBorders>
              <w:top w:val="single" w:color="auto" w:sz="4" w:space="0"/>
              <w:left w:val="single" w:color="auto" w:sz="4" w:space="0"/>
            </w:tcBorders>
            <w:noWrap w:val="0"/>
            <w:vAlign w:val="center"/>
          </w:tcPr>
          <w:p w14:paraId="1C95F139">
            <w:pPr>
              <w:keepNext w:val="0"/>
              <w:keepLines w:val="0"/>
              <w:pageBreakBefore w:val="0"/>
              <w:widowControl/>
              <w:kinsoku/>
              <w:wordWrap/>
              <w:overflowPunct/>
              <w:topLinePunct w:val="0"/>
              <w:autoSpaceDE/>
              <w:autoSpaceDN/>
              <w:bidi w:val="0"/>
              <w:adjustRightInd/>
              <w:snapToGrid/>
              <w:spacing w:line="440" w:lineRule="exact"/>
              <w:ind w:firstLine="0" w:firstLineChars="0"/>
              <w:jc w:val="left"/>
              <w:textAlignment w:val="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符合第二章“投标人须知”第1.3.1项规定</w:t>
            </w:r>
          </w:p>
        </w:tc>
      </w:tr>
      <w:tr w14:paraId="076A910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00" w:type="dxa"/>
            <w:vMerge w:val="continue"/>
            <w:tcBorders>
              <w:top w:val="single" w:color="auto" w:sz="4" w:space="0"/>
              <w:bottom w:val="single" w:color="auto" w:sz="4" w:space="0"/>
              <w:right w:val="single" w:color="auto" w:sz="4" w:space="0"/>
            </w:tcBorders>
            <w:noWrap w:val="0"/>
            <w:vAlign w:val="center"/>
          </w:tcPr>
          <w:p w14:paraId="14B8D991">
            <w:pPr>
              <w:spacing w:line="440" w:lineRule="exact"/>
              <w:jc w:val="left"/>
              <w:rPr>
                <w:rFonts w:hint="eastAsia" w:ascii="仿宋" w:hAnsi="仿宋" w:eastAsia="仿宋" w:cs="仿宋"/>
                <w:color w:val="auto"/>
                <w:szCs w:val="21"/>
                <w:highlight w:val="none"/>
              </w:rPr>
            </w:pPr>
          </w:p>
        </w:tc>
        <w:tc>
          <w:tcPr>
            <w:tcW w:w="1124" w:type="dxa"/>
            <w:vMerge w:val="continue"/>
            <w:tcBorders>
              <w:top w:val="single" w:color="auto" w:sz="4" w:space="0"/>
              <w:bottom w:val="single" w:color="auto" w:sz="4" w:space="0"/>
              <w:right w:val="single" w:color="auto" w:sz="4" w:space="0"/>
            </w:tcBorders>
            <w:noWrap w:val="0"/>
            <w:vAlign w:val="center"/>
          </w:tcPr>
          <w:p w14:paraId="5871CEF4">
            <w:pPr>
              <w:spacing w:line="440" w:lineRule="exact"/>
              <w:jc w:val="left"/>
              <w:rPr>
                <w:rFonts w:hint="eastAsia" w:ascii="仿宋" w:hAnsi="仿宋" w:eastAsia="仿宋" w:cs="仿宋"/>
                <w:color w:val="auto"/>
                <w:szCs w:val="21"/>
                <w:highlight w:val="none"/>
              </w:rPr>
            </w:pPr>
          </w:p>
        </w:tc>
        <w:tc>
          <w:tcPr>
            <w:tcW w:w="2654" w:type="dxa"/>
            <w:tcBorders>
              <w:top w:val="single" w:color="auto" w:sz="4" w:space="0"/>
              <w:left w:val="single" w:color="auto" w:sz="4" w:space="0"/>
              <w:bottom w:val="single" w:color="auto" w:sz="4" w:space="0"/>
              <w:right w:val="single" w:color="auto" w:sz="4" w:space="0"/>
            </w:tcBorders>
            <w:noWrap w:val="0"/>
            <w:vAlign w:val="center"/>
          </w:tcPr>
          <w:p w14:paraId="04126B81">
            <w:pPr>
              <w:keepNext w:val="0"/>
              <w:keepLines w:val="0"/>
              <w:pageBreakBefore w:val="0"/>
              <w:widowControl/>
              <w:kinsoku/>
              <w:wordWrap/>
              <w:overflowPunct/>
              <w:topLinePunct w:val="0"/>
              <w:autoSpaceDE/>
              <w:autoSpaceDN/>
              <w:bidi w:val="0"/>
              <w:adjustRightInd/>
              <w:snapToGrid/>
              <w:spacing w:line="440" w:lineRule="exact"/>
              <w:ind w:firstLine="0" w:firstLineChars="0"/>
              <w:jc w:val="left"/>
              <w:textAlignment w:val="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工期</w:t>
            </w:r>
          </w:p>
        </w:tc>
        <w:tc>
          <w:tcPr>
            <w:tcW w:w="4502" w:type="dxa"/>
            <w:tcBorders>
              <w:top w:val="single" w:color="auto" w:sz="4" w:space="0"/>
              <w:left w:val="single" w:color="auto" w:sz="4" w:space="0"/>
              <w:bottom w:val="single" w:color="auto" w:sz="4" w:space="0"/>
            </w:tcBorders>
            <w:noWrap w:val="0"/>
            <w:vAlign w:val="center"/>
          </w:tcPr>
          <w:p w14:paraId="633B45E1">
            <w:pPr>
              <w:keepNext w:val="0"/>
              <w:keepLines w:val="0"/>
              <w:pageBreakBefore w:val="0"/>
              <w:widowControl/>
              <w:kinsoku/>
              <w:wordWrap/>
              <w:overflowPunct/>
              <w:topLinePunct w:val="0"/>
              <w:autoSpaceDE/>
              <w:autoSpaceDN/>
              <w:bidi w:val="0"/>
              <w:adjustRightInd/>
              <w:snapToGrid/>
              <w:spacing w:line="440" w:lineRule="exact"/>
              <w:ind w:firstLine="0" w:firstLineChars="0"/>
              <w:jc w:val="left"/>
              <w:textAlignment w:val="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符合第二章“投标人须知”第1.3.2项规定</w:t>
            </w:r>
          </w:p>
        </w:tc>
      </w:tr>
      <w:tr w14:paraId="75E0A3C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900" w:type="dxa"/>
            <w:vMerge w:val="continue"/>
            <w:tcBorders>
              <w:top w:val="single" w:color="auto" w:sz="4" w:space="0"/>
              <w:bottom w:val="single" w:color="auto" w:sz="4" w:space="0"/>
              <w:right w:val="single" w:color="auto" w:sz="4" w:space="0"/>
            </w:tcBorders>
            <w:noWrap w:val="0"/>
            <w:vAlign w:val="center"/>
          </w:tcPr>
          <w:p w14:paraId="270041D9">
            <w:pPr>
              <w:spacing w:line="440" w:lineRule="exact"/>
              <w:jc w:val="left"/>
              <w:rPr>
                <w:rFonts w:hint="eastAsia" w:ascii="仿宋" w:hAnsi="仿宋" w:eastAsia="仿宋" w:cs="仿宋"/>
                <w:color w:val="auto"/>
                <w:szCs w:val="21"/>
                <w:highlight w:val="none"/>
              </w:rPr>
            </w:pPr>
          </w:p>
        </w:tc>
        <w:tc>
          <w:tcPr>
            <w:tcW w:w="1124" w:type="dxa"/>
            <w:vMerge w:val="continue"/>
            <w:tcBorders>
              <w:top w:val="single" w:color="auto" w:sz="4" w:space="0"/>
              <w:bottom w:val="single" w:color="auto" w:sz="4" w:space="0"/>
              <w:right w:val="single" w:color="auto" w:sz="4" w:space="0"/>
            </w:tcBorders>
            <w:noWrap w:val="0"/>
            <w:vAlign w:val="center"/>
          </w:tcPr>
          <w:p w14:paraId="62716C05">
            <w:pPr>
              <w:spacing w:line="440" w:lineRule="exact"/>
              <w:jc w:val="left"/>
              <w:rPr>
                <w:rFonts w:hint="eastAsia" w:ascii="仿宋" w:hAnsi="仿宋" w:eastAsia="仿宋" w:cs="仿宋"/>
                <w:color w:val="auto"/>
                <w:szCs w:val="21"/>
                <w:highlight w:val="none"/>
              </w:rPr>
            </w:pPr>
          </w:p>
        </w:tc>
        <w:tc>
          <w:tcPr>
            <w:tcW w:w="2654" w:type="dxa"/>
            <w:tcBorders>
              <w:top w:val="single" w:color="auto" w:sz="4" w:space="0"/>
              <w:left w:val="single" w:color="auto" w:sz="4" w:space="0"/>
              <w:bottom w:val="single" w:color="auto" w:sz="4" w:space="0"/>
              <w:right w:val="single" w:color="auto" w:sz="4" w:space="0"/>
            </w:tcBorders>
            <w:noWrap w:val="0"/>
            <w:vAlign w:val="center"/>
          </w:tcPr>
          <w:p w14:paraId="6BDD1CD2">
            <w:pPr>
              <w:keepNext w:val="0"/>
              <w:keepLines w:val="0"/>
              <w:pageBreakBefore w:val="0"/>
              <w:widowControl/>
              <w:kinsoku/>
              <w:wordWrap/>
              <w:overflowPunct/>
              <w:topLinePunct w:val="0"/>
              <w:autoSpaceDE/>
              <w:autoSpaceDN/>
              <w:bidi w:val="0"/>
              <w:adjustRightInd/>
              <w:snapToGrid/>
              <w:spacing w:line="440" w:lineRule="exact"/>
              <w:ind w:firstLine="0" w:firstLineChars="0"/>
              <w:jc w:val="left"/>
              <w:textAlignment w:val="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质量标准</w:t>
            </w:r>
          </w:p>
        </w:tc>
        <w:tc>
          <w:tcPr>
            <w:tcW w:w="4502" w:type="dxa"/>
            <w:tcBorders>
              <w:top w:val="single" w:color="auto" w:sz="4" w:space="0"/>
              <w:left w:val="single" w:color="auto" w:sz="4" w:space="0"/>
              <w:bottom w:val="single" w:color="auto" w:sz="4" w:space="0"/>
            </w:tcBorders>
            <w:noWrap w:val="0"/>
            <w:vAlign w:val="center"/>
          </w:tcPr>
          <w:p w14:paraId="193F77E9">
            <w:pPr>
              <w:keepNext w:val="0"/>
              <w:keepLines w:val="0"/>
              <w:pageBreakBefore w:val="0"/>
              <w:widowControl/>
              <w:kinsoku/>
              <w:wordWrap/>
              <w:overflowPunct/>
              <w:topLinePunct w:val="0"/>
              <w:autoSpaceDE/>
              <w:autoSpaceDN/>
              <w:bidi w:val="0"/>
              <w:adjustRightInd/>
              <w:snapToGrid/>
              <w:spacing w:line="440" w:lineRule="exact"/>
              <w:ind w:firstLine="0" w:firstLineChars="0"/>
              <w:jc w:val="left"/>
              <w:textAlignment w:val="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符合第二章“投标人须知”第1.3.3项规定</w:t>
            </w:r>
          </w:p>
        </w:tc>
      </w:tr>
      <w:tr w14:paraId="700913F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00" w:type="dxa"/>
            <w:vMerge w:val="continue"/>
            <w:tcBorders>
              <w:top w:val="single" w:color="auto" w:sz="4" w:space="0"/>
              <w:bottom w:val="single" w:color="auto" w:sz="4" w:space="0"/>
              <w:right w:val="single" w:color="auto" w:sz="4" w:space="0"/>
            </w:tcBorders>
            <w:noWrap w:val="0"/>
            <w:vAlign w:val="center"/>
          </w:tcPr>
          <w:p w14:paraId="51CE83D6">
            <w:pPr>
              <w:spacing w:line="440" w:lineRule="exact"/>
              <w:jc w:val="left"/>
              <w:rPr>
                <w:rFonts w:hint="eastAsia" w:ascii="仿宋" w:hAnsi="仿宋" w:eastAsia="仿宋" w:cs="仿宋"/>
                <w:color w:val="auto"/>
                <w:szCs w:val="21"/>
                <w:highlight w:val="none"/>
              </w:rPr>
            </w:pPr>
          </w:p>
        </w:tc>
        <w:tc>
          <w:tcPr>
            <w:tcW w:w="1124" w:type="dxa"/>
            <w:vMerge w:val="continue"/>
            <w:tcBorders>
              <w:top w:val="single" w:color="auto" w:sz="4" w:space="0"/>
              <w:bottom w:val="single" w:color="auto" w:sz="4" w:space="0"/>
              <w:right w:val="single" w:color="auto" w:sz="4" w:space="0"/>
            </w:tcBorders>
            <w:noWrap w:val="0"/>
            <w:vAlign w:val="center"/>
          </w:tcPr>
          <w:p w14:paraId="24CBDD3F">
            <w:pPr>
              <w:spacing w:line="440" w:lineRule="exact"/>
              <w:jc w:val="left"/>
              <w:rPr>
                <w:rFonts w:hint="eastAsia" w:ascii="仿宋" w:hAnsi="仿宋" w:eastAsia="仿宋" w:cs="仿宋"/>
                <w:color w:val="auto"/>
                <w:szCs w:val="21"/>
                <w:highlight w:val="none"/>
              </w:rPr>
            </w:pPr>
          </w:p>
        </w:tc>
        <w:tc>
          <w:tcPr>
            <w:tcW w:w="2654" w:type="dxa"/>
            <w:tcBorders>
              <w:top w:val="single" w:color="auto" w:sz="4" w:space="0"/>
              <w:left w:val="single" w:color="auto" w:sz="4" w:space="0"/>
              <w:bottom w:val="single" w:color="auto" w:sz="4" w:space="0"/>
              <w:right w:val="single" w:color="auto" w:sz="4" w:space="0"/>
            </w:tcBorders>
            <w:noWrap w:val="0"/>
            <w:vAlign w:val="center"/>
          </w:tcPr>
          <w:p w14:paraId="10C9C78A">
            <w:pPr>
              <w:keepNext w:val="0"/>
              <w:keepLines w:val="0"/>
              <w:pageBreakBefore w:val="0"/>
              <w:widowControl/>
              <w:kinsoku/>
              <w:wordWrap/>
              <w:overflowPunct/>
              <w:topLinePunct w:val="0"/>
              <w:autoSpaceDE/>
              <w:autoSpaceDN/>
              <w:bidi w:val="0"/>
              <w:adjustRightInd/>
              <w:snapToGrid/>
              <w:spacing w:line="440" w:lineRule="exact"/>
              <w:ind w:firstLine="0" w:firstLineChars="0"/>
              <w:jc w:val="left"/>
              <w:textAlignment w:val="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投标有效期</w:t>
            </w:r>
          </w:p>
        </w:tc>
        <w:tc>
          <w:tcPr>
            <w:tcW w:w="4502" w:type="dxa"/>
            <w:tcBorders>
              <w:top w:val="single" w:color="auto" w:sz="4" w:space="0"/>
              <w:left w:val="single" w:color="auto" w:sz="4" w:space="0"/>
              <w:bottom w:val="single" w:color="auto" w:sz="4" w:space="0"/>
            </w:tcBorders>
            <w:noWrap w:val="0"/>
            <w:vAlign w:val="center"/>
          </w:tcPr>
          <w:p w14:paraId="5D32CF67">
            <w:pPr>
              <w:keepNext w:val="0"/>
              <w:keepLines w:val="0"/>
              <w:pageBreakBefore w:val="0"/>
              <w:widowControl/>
              <w:kinsoku/>
              <w:wordWrap/>
              <w:overflowPunct/>
              <w:topLinePunct w:val="0"/>
              <w:autoSpaceDE/>
              <w:autoSpaceDN/>
              <w:bidi w:val="0"/>
              <w:adjustRightInd/>
              <w:snapToGrid/>
              <w:spacing w:line="440" w:lineRule="exact"/>
              <w:ind w:firstLine="0" w:firstLineChars="0"/>
              <w:jc w:val="left"/>
              <w:textAlignment w:val="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符合第二章“投标人须知”第3.3.1项规定</w:t>
            </w:r>
          </w:p>
        </w:tc>
      </w:tr>
      <w:tr w14:paraId="7A533D2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00" w:type="dxa"/>
            <w:vMerge w:val="continue"/>
            <w:tcBorders>
              <w:top w:val="single" w:color="auto" w:sz="4" w:space="0"/>
              <w:bottom w:val="single" w:color="auto" w:sz="4" w:space="0"/>
              <w:right w:val="single" w:color="auto" w:sz="4" w:space="0"/>
            </w:tcBorders>
            <w:noWrap w:val="0"/>
            <w:vAlign w:val="center"/>
          </w:tcPr>
          <w:p w14:paraId="2D68AA78">
            <w:pPr>
              <w:spacing w:line="440" w:lineRule="exact"/>
              <w:jc w:val="left"/>
              <w:rPr>
                <w:rFonts w:hint="eastAsia" w:ascii="仿宋" w:hAnsi="仿宋" w:eastAsia="仿宋" w:cs="仿宋"/>
                <w:color w:val="auto"/>
                <w:szCs w:val="21"/>
                <w:highlight w:val="none"/>
              </w:rPr>
            </w:pPr>
          </w:p>
        </w:tc>
        <w:tc>
          <w:tcPr>
            <w:tcW w:w="1124" w:type="dxa"/>
            <w:vMerge w:val="continue"/>
            <w:tcBorders>
              <w:top w:val="single" w:color="auto" w:sz="4" w:space="0"/>
              <w:bottom w:val="single" w:color="auto" w:sz="4" w:space="0"/>
              <w:right w:val="single" w:color="auto" w:sz="4" w:space="0"/>
            </w:tcBorders>
            <w:noWrap w:val="0"/>
            <w:vAlign w:val="center"/>
          </w:tcPr>
          <w:p w14:paraId="4920D1A8">
            <w:pPr>
              <w:spacing w:line="440" w:lineRule="exact"/>
              <w:jc w:val="left"/>
              <w:rPr>
                <w:rFonts w:hint="eastAsia" w:ascii="仿宋" w:hAnsi="仿宋" w:eastAsia="仿宋" w:cs="仿宋"/>
                <w:color w:val="auto"/>
                <w:szCs w:val="21"/>
                <w:highlight w:val="none"/>
              </w:rPr>
            </w:pPr>
          </w:p>
        </w:tc>
        <w:tc>
          <w:tcPr>
            <w:tcW w:w="2654" w:type="dxa"/>
            <w:tcBorders>
              <w:top w:val="single" w:color="auto" w:sz="4" w:space="0"/>
              <w:left w:val="single" w:color="auto" w:sz="4" w:space="0"/>
              <w:bottom w:val="single" w:color="auto" w:sz="4" w:space="0"/>
              <w:right w:val="single" w:color="auto" w:sz="4" w:space="0"/>
            </w:tcBorders>
            <w:noWrap w:val="0"/>
            <w:vAlign w:val="center"/>
          </w:tcPr>
          <w:p w14:paraId="63C0763D">
            <w:pPr>
              <w:keepNext w:val="0"/>
              <w:keepLines w:val="0"/>
              <w:pageBreakBefore w:val="0"/>
              <w:widowControl/>
              <w:kinsoku/>
              <w:wordWrap/>
              <w:overflowPunct/>
              <w:topLinePunct w:val="0"/>
              <w:autoSpaceDE/>
              <w:autoSpaceDN/>
              <w:bidi w:val="0"/>
              <w:adjustRightInd/>
              <w:snapToGrid/>
              <w:spacing w:line="440" w:lineRule="exact"/>
              <w:ind w:firstLine="0" w:firstLineChars="0"/>
              <w:jc w:val="left"/>
              <w:textAlignment w:val="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投标保证金</w:t>
            </w:r>
          </w:p>
        </w:tc>
        <w:tc>
          <w:tcPr>
            <w:tcW w:w="4502" w:type="dxa"/>
            <w:tcBorders>
              <w:top w:val="single" w:color="auto" w:sz="4" w:space="0"/>
              <w:left w:val="single" w:color="auto" w:sz="4" w:space="0"/>
              <w:bottom w:val="single" w:color="auto" w:sz="4" w:space="0"/>
            </w:tcBorders>
            <w:noWrap w:val="0"/>
            <w:vAlign w:val="center"/>
          </w:tcPr>
          <w:p w14:paraId="681877EC">
            <w:pPr>
              <w:keepNext w:val="0"/>
              <w:keepLines w:val="0"/>
              <w:pageBreakBefore w:val="0"/>
              <w:widowControl/>
              <w:kinsoku/>
              <w:wordWrap/>
              <w:overflowPunct/>
              <w:topLinePunct w:val="0"/>
              <w:autoSpaceDE/>
              <w:autoSpaceDN/>
              <w:bidi w:val="0"/>
              <w:adjustRightInd/>
              <w:snapToGrid/>
              <w:spacing w:line="440" w:lineRule="exact"/>
              <w:ind w:firstLine="0" w:firstLineChars="0"/>
              <w:jc w:val="left"/>
              <w:textAlignment w:val="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符合第二章“投标人须知”第3.4.1款规定</w:t>
            </w:r>
          </w:p>
        </w:tc>
      </w:tr>
      <w:tr w14:paraId="42D9322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00" w:type="dxa"/>
            <w:vMerge w:val="continue"/>
            <w:tcBorders>
              <w:top w:val="single" w:color="auto" w:sz="4" w:space="0"/>
              <w:bottom w:val="single" w:color="auto" w:sz="4" w:space="0"/>
              <w:right w:val="single" w:color="auto" w:sz="4" w:space="0"/>
            </w:tcBorders>
            <w:noWrap w:val="0"/>
            <w:vAlign w:val="center"/>
          </w:tcPr>
          <w:p w14:paraId="34F220D6">
            <w:pPr>
              <w:spacing w:line="440" w:lineRule="exact"/>
              <w:jc w:val="left"/>
              <w:rPr>
                <w:rFonts w:hint="eastAsia" w:ascii="仿宋" w:hAnsi="仿宋" w:eastAsia="仿宋" w:cs="仿宋"/>
                <w:color w:val="auto"/>
                <w:szCs w:val="21"/>
                <w:highlight w:val="none"/>
              </w:rPr>
            </w:pPr>
          </w:p>
        </w:tc>
        <w:tc>
          <w:tcPr>
            <w:tcW w:w="1124" w:type="dxa"/>
            <w:vMerge w:val="continue"/>
            <w:tcBorders>
              <w:top w:val="single" w:color="auto" w:sz="4" w:space="0"/>
              <w:bottom w:val="single" w:color="auto" w:sz="4" w:space="0"/>
              <w:right w:val="single" w:color="auto" w:sz="4" w:space="0"/>
            </w:tcBorders>
            <w:noWrap w:val="0"/>
            <w:vAlign w:val="center"/>
          </w:tcPr>
          <w:p w14:paraId="7BDB256E">
            <w:pPr>
              <w:spacing w:line="440" w:lineRule="exact"/>
              <w:jc w:val="left"/>
              <w:rPr>
                <w:rFonts w:hint="eastAsia" w:ascii="仿宋" w:hAnsi="仿宋" w:eastAsia="仿宋" w:cs="仿宋"/>
                <w:color w:val="auto"/>
                <w:szCs w:val="21"/>
                <w:highlight w:val="none"/>
              </w:rPr>
            </w:pPr>
          </w:p>
        </w:tc>
        <w:tc>
          <w:tcPr>
            <w:tcW w:w="2654" w:type="dxa"/>
            <w:tcBorders>
              <w:top w:val="single" w:color="auto" w:sz="4" w:space="0"/>
              <w:left w:val="single" w:color="auto" w:sz="4" w:space="0"/>
              <w:bottom w:val="single" w:color="auto" w:sz="4" w:space="0"/>
              <w:right w:val="single" w:color="auto" w:sz="4" w:space="0"/>
            </w:tcBorders>
            <w:noWrap w:val="0"/>
            <w:vAlign w:val="center"/>
          </w:tcPr>
          <w:p w14:paraId="2AFD1640">
            <w:pPr>
              <w:keepNext w:val="0"/>
              <w:keepLines w:val="0"/>
              <w:pageBreakBefore w:val="0"/>
              <w:widowControl/>
              <w:kinsoku/>
              <w:wordWrap/>
              <w:overflowPunct/>
              <w:topLinePunct w:val="0"/>
              <w:autoSpaceDE/>
              <w:autoSpaceDN/>
              <w:bidi w:val="0"/>
              <w:adjustRightInd/>
              <w:snapToGrid/>
              <w:ind w:firstLine="0" w:firstLineChars="0"/>
              <w:jc w:val="left"/>
              <w:textAlignment w:val="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投标人告知承诺函</w:t>
            </w:r>
          </w:p>
        </w:tc>
        <w:tc>
          <w:tcPr>
            <w:tcW w:w="4502" w:type="dxa"/>
            <w:tcBorders>
              <w:top w:val="single" w:color="auto" w:sz="4" w:space="0"/>
              <w:left w:val="single" w:color="auto" w:sz="4" w:space="0"/>
              <w:bottom w:val="single" w:color="auto" w:sz="4" w:space="0"/>
            </w:tcBorders>
            <w:noWrap w:val="0"/>
            <w:vAlign w:val="center"/>
          </w:tcPr>
          <w:p w14:paraId="7218581F">
            <w:pPr>
              <w:keepNext w:val="0"/>
              <w:keepLines w:val="0"/>
              <w:pageBreakBefore w:val="0"/>
              <w:widowControl/>
              <w:kinsoku/>
              <w:wordWrap/>
              <w:overflowPunct/>
              <w:topLinePunct w:val="0"/>
              <w:autoSpaceDE/>
              <w:autoSpaceDN/>
              <w:bidi w:val="0"/>
              <w:adjustRightInd/>
              <w:snapToGrid/>
              <w:ind w:firstLine="0" w:firstLineChars="0"/>
              <w:jc w:val="left"/>
              <w:textAlignment w:val="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符合“第七章投标文件格式”中提供的格式填写，以联合体形式参与投标的，联合体各方均应填写。</w:t>
            </w:r>
          </w:p>
        </w:tc>
      </w:tr>
      <w:tr w14:paraId="530A08E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024" w:type="dxa"/>
            <w:gridSpan w:val="2"/>
            <w:tcBorders>
              <w:top w:val="single" w:color="auto" w:sz="4" w:space="0"/>
              <w:bottom w:val="single" w:color="auto" w:sz="4" w:space="0"/>
              <w:right w:val="single" w:color="auto" w:sz="4" w:space="0"/>
            </w:tcBorders>
            <w:noWrap w:val="0"/>
            <w:vAlign w:val="center"/>
          </w:tcPr>
          <w:p w14:paraId="28F98735">
            <w:pPr>
              <w:spacing w:line="440" w:lineRule="exact"/>
              <w:jc w:val="left"/>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条款号</w:t>
            </w:r>
          </w:p>
        </w:tc>
        <w:tc>
          <w:tcPr>
            <w:tcW w:w="2654" w:type="dxa"/>
            <w:tcBorders>
              <w:top w:val="single" w:color="auto" w:sz="4" w:space="0"/>
              <w:left w:val="single" w:color="auto" w:sz="4" w:space="0"/>
              <w:bottom w:val="single" w:color="auto" w:sz="4" w:space="0"/>
              <w:right w:val="single" w:color="auto" w:sz="4" w:space="0"/>
            </w:tcBorders>
            <w:noWrap w:val="0"/>
            <w:vAlign w:val="center"/>
          </w:tcPr>
          <w:p w14:paraId="61D169EC">
            <w:pPr>
              <w:spacing w:line="440" w:lineRule="exact"/>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条款内容</w:t>
            </w:r>
          </w:p>
        </w:tc>
        <w:tc>
          <w:tcPr>
            <w:tcW w:w="4502" w:type="dxa"/>
            <w:tcBorders>
              <w:top w:val="single" w:color="auto" w:sz="4" w:space="0"/>
              <w:left w:val="single" w:color="auto" w:sz="4" w:space="0"/>
              <w:bottom w:val="single" w:color="auto" w:sz="4" w:space="0"/>
            </w:tcBorders>
            <w:noWrap w:val="0"/>
            <w:vAlign w:val="center"/>
          </w:tcPr>
          <w:p w14:paraId="695A5786">
            <w:pPr>
              <w:spacing w:line="440" w:lineRule="exact"/>
              <w:jc w:val="left"/>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编列内容</w:t>
            </w:r>
          </w:p>
        </w:tc>
      </w:tr>
      <w:tr w14:paraId="166395E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43" w:hRule="atLeast"/>
        </w:trPr>
        <w:tc>
          <w:tcPr>
            <w:tcW w:w="2024" w:type="dxa"/>
            <w:gridSpan w:val="2"/>
            <w:tcBorders>
              <w:top w:val="single" w:color="auto" w:sz="4" w:space="0"/>
              <w:bottom w:val="single" w:color="auto" w:sz="4" w:space="0"/>
              <w:right w:val="single" w:color="auto" w:sz="4" w:space="0"/>
            </w:tcBorders>
            <w:noWrap w:val="0"/>
            <w:vAlign w:val="center"/>
          </w:tcPr>
          <w:p w14:paraId="2942FDFC">
            <w:pPr>
              <w:keepNext w:val="0"/>
              <w:keepLines w:val="0"/>
              <w:pageBreakBefore w:val="0"/>
              <w:widowControl/>
              <w:kinsoku/>
              <w:wordWrap/>
              <w:overflowPunct/>
              <w:topLinePunct w:val="0"/>
              <w:autoSpaceDE/>
              <w:autoSpaceDN/>
              <w:bidi w:val="0"/>
              <w:adjustRightInd/>
              <w:snapToGrid/>
              <w:spacing w:line="440" w:lineRule="exact"/>
              <w:ind w:firstLine="0" w:firstLineChars="0"/>
              <w:jc w:val="left"/>
              <w:textAlignment w:val="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2.2.1</w:t>
            </w:r>
          </w:p>
        </w:tc>
        <w:tc>
          <w:tcPr>
            <w:tcW w:w="2654" w:type="dxa"/>
            <w:tcBorders>
              <w:top w:val="single" w:color="auto" w:sz="4" w:space="0"/>
              <w:left w:val="single" w:color="auto" w:sz="4" w:space="0"/>
              <w:bottom w:val="single" w:color="auto" w:sz="4" w:space="0"/>
              <w:right w:val="single" w:color="auto" w:sz="4" w:space="0"/>
            </w:tcBorders>
            <w:noWrap w:val="0"/>
            <w:vAlign w:val="center"/>
          </w:tcPr>
          <w:p w14:paraId="490EB56F">
            <w:pPr>
              <w:keepNext w:val="0"/>
              <w:keepLines w:val="0"/>
              <w:pageBreakBefore w:val="0"/>
              <w:widowControl/>
              <w:kinsoku/>
              <w:wordWrap/>
              <w:overflowPunct/>
              <w:topLinePunct w:val="0"/>
              <w:autoSpaceDE/>
              <w:autoSpaceDN/>
              <w:bidi w:val="0"/>
              <w:adjustRightInd/>
              <w:snapToGrid/>
              <w:spacing w:line="440" w:lineRule="exact"/>
              <w:ind w:firstLine="0" w:firstLineChars="0"/>
              <w:jc w:val="left"/>
              <w:textAlignment w:val="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分值构成</w:t>
            </w:r>
          </w:p>
          <w:p w14:paraId="0F4C5306">
            <w:pPr>
              <w:keepNext w:val="0"/>
              <w:keepLines w:val="0"/>
              <w:pageBreakBefore w:val="0"/>
              <w:widowControl/>
              <w:kinsoku/>
              <w:wordWrap/>
              <w:overflowPunct/>
              <w:topLinePunct w:val="0"/>
              <w:autoSpaceDE/>
              <w:autoSpaceDN/>
              <w:bidi w:val="0"/>
              <w:adjustRightInd/>
              <w:snapToGrid/>
              <w:spacing w:line="440" w:lineRule="exact"/>
              <w:ind w:firstLine="0" w:firstLineChars="0"/>
              <w:jc w:val="left"/>
              <w:textAlignment w:val="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(总分100分)</w:t>
            </w:r>
          </w:p>
        </w:tc>
        <w:tc>
          <w:tcPr>
            <w:tcW w:w="4502" w:type="dxa"/>
            <w:tcBorders>
              <w:top w:val="single" w:color="auto" w:sz="4" w:space="0"/>
              <w:left w:val="single" w:color="auto" w:sz="4" w:space="0"/>
              <w:bottom w:val="single" w:color="auto" w:sz="4" w:space="0"/>
            </w:tcBorders>
            <w:noWrap w:val="0"/>
            <w:vAlign w:val="center"/>
          </w:tcPr>
          <w:p w14:paraId="235001AB">
            <w:pPr>
              <w:keepNext w:val="0"/>
              <w:keepLines w:val="0"/>
              <w:pageBreakBefore w:val="0"/>
              <w:widowControl/>
              <w:kinsoku/>
              <w:wordWrap/>
              <w:overflowPunct/>
              <w:topLinePunct w:val="0"/>
              <w:autoSpaceDE/>
              <w:autoSpaceDN/>
              <w:bidi w:val="0"/>
              <w:adjustRightInd/>
              <w:snapToGrid/>
              <w:spacing w:line="440" w:lineRule="exact"/>
              <w:ind w:firstLine="0" w:firstLineChars="0"/>
              <w:jc w:val="left"/>
              <w:textAlignment w:val="auto"/>
              <w:rPr>
                <w:rFonts w:hint="eastAsia" w:ascii="仿宋" w:hAnsi="仿宋" w:eastAsia="仿宋" w:cs="仿宋"/>
                <w:color w:val="auto"/>
                <w:szCs w:val="21"/>
                <w:highlight w:val="none"/>
              </w:rPr>
            </w:pPr>
            <w:r>
              <w:rPr>
                <w:rFonts w:hint="eastAsia" w:ascii="仿宋" w:hAnsi="仿宋" w:eastAsia="仿宋" w:cs="仿宋"/>
                <w:color w:val="auto"/>
                <w:highlight w:val="none"/>
              </w:rPr>
              <w:t>建议书及相关方案评审</w:t>
            </w:r>
            <w:r>
              <w:rPr>
                <w:rFonts w:hint="eastAsia" w:ascii="仿宋" w:hAnsi="仿宋" w:eastAsia="仿宋" w:cs="仿宋"/>
                <w:color w:val="auto"/>
                <w:szCs w:val="21"/>
                <w:highlight w:val="none"/>
              </w:rPr>
              <w:t>：</w:t>
            </w:r>
            <w:r>
              <w:rPr>
                <w:rFonts w:hint="eastAsia" w:ascii="仿宋" w:hAnsi="仿宋" w:cs="仿宋"/>
                <w:color w:val="auto"/>
                <w:szCs w:val="21"/>
                <w:highlight w:val="none"/>
                <w:u w:val="single"/>
                <w:lang w:val="en-US" w:eastAsia="zh-CN"/>
              </w:rPr>
              <w:t>28</w:t>
            </w:r>
            <w:r>
              <w:rPr>
                <w:rFonts w:hint="eastAsia" w:ascii="仿宋" w:hAnsi="仿宋" w:eastAsia="仿宋" w:cs="仿宋"/>
                <w:color w:val="auto"/>
                <w:szCs w:val="21"/>
                <w:highlight w:val="none"/>
              </w:rPr>
              <w:t>分</w:t>
            </w:r>
          </w:p>
          <w:p w14:paraId="6A51F15A">
            <w:pPr>
              <w:keepNext w:val="0"/>
              <w:keepLines w:val="0"/>
              <w:pageBreakBefore w:val="0"/>
              <w:widowControl/>
              <w:kinsoku/>
              <w:wordWrap/>
              <w:overflowPunct/>
              <w:topLinePunct w:val="0"/>
              <w:autoSpaceDE/>
              <w:autoSpaceDN/>
              <w:bidi w:val="0"/>
              <w:adjustRightInd/>
              <w:snapToGrid/>
              <w:spacing w:line="440" w:lineRule="exact"/>
              <w:ind w:firstLine="0" w:firstLineChars="0"/>
              <w:jc w:val="left"/>
              <w:textAlignment w:val="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实施方案：</w:t>
            </w:r>
            <w:r>
              <w:rPr>
                <w:rFonts w:hint="eastAsia" w:ascii="仿宋" w:hAnsi="仿宋" w:eastAsia="仿宋" w:cs="仿宋"/>
                <w:color w:val="auto"/>
                <w:szCs w:val="21"/>
                <w:highlight w:val="none"/>
                <w:u w:val="single"/>
              </w:rPr>
              <w:t>1</w:t>
            </w:r>
            <w:r>
              <w:rPr>
                <w:rFonts w:hint="eastAsia" w:ascii="仿宋" w:hAnsi="仿宋" w:cs="仿宋"/>
                <w:color w:val="auto"/>
                <w:szCs w:val="21"/>
                <w:highlight w:val="none"/>
                <w:u w:val="single"/>
                <w:lang w:val="en-US" w:eastAsia="zh-CN"/>
              </w:rPr>
              <w:t>2</w:t>
            </w:r>
            <w:r>
              <w:rPr>
                <w:rFonts w:hint="eastAsia" w:ascii="仿宋" w:hAnsi="仿宋" w:eastAsia="仿宋" w:cs="仿宋"/>
                <w:color w:val="auto"/>
                <w:szCs w:val="21"/>
                <w:highlight w:val="none"/>
              </w:rPr>
              <w:t>分</w:t>
            </w:r>
          </w:p>
          <w:p w14:paraId="10123917">
            <w:pPr>
              <w:keepNext w:val="0"/>
              <w:keepLines w:val="0"/>
              <w:pageBreakBefore w:val="0"/>
              <w:widowControl/>
              <w:kinsoku/>
              <w:wordWrap/>
              <w:overflowPunct/>
              <w:topLinePunct w:val="0"/>
              <w:autoSpaceDE/>
              <w:autoSpaceDN/>
              <w:bidi w:val="0"/>
              <w:adjustRightInd/>
              <w:snapToGrid/>
              <w:spacing w:line="440" w:lineRule="exact"/>
              <w:ind w:firstLine="0" w:firstLineChars="0"/>
              <w:jc w:val="left"/>
              <w:textAlignment w:val="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其他评审因素：</w:t>
            </w:r>
            <w:r>
              <w:rPr>
                <w:rFonts w:hint="eastAsia" w:ascii="仿宋" w:hAnsi="仿宋" w:cs="仿宋"/>
                <w:color w:val="auto"/>
                <w:szCs w:val="21"/>
                <w:highlight w:val="none"/>
                <w:u w:val="single"/>
                <w:lang w:val="en-US" w:eastAsia="zh-CN"/>
              </w:rPr>
              <w:t>20</w:t>
            </w:r>
            <w:r>
              <w:rPr>
                <w:rFonts w:hint="eastAsia" w:ascii="仿宋" w:hAnsi="仿宋" w:eastAsia="仿宋" w:cs="仿宋"/>
                <w:color w:val="auto"/>
                <w:szCs w:val="21"/>
                <w:highlight w:val="none"/>
              </w:rPr>
              <w:t>分</w:t>
            </w:r>
          </w:p>
          <w:p w14:paraId="5CF41FC8">
            <w:pPr>
              <w:keepNext w:val="0"/>
              <w:keepLines w:val="0"/>
              <w:pageBreakBefore w:val="0"/>
              <w:widowControl/>
              <w:kinsoku/>
              <w:wordWrap/>
              <w:overflowPunct/>
              <w:topLinePunct w:val="0"/>
              <w:autoSpaceDE/>
              <w:autoSpaceDN/>
              <w:bidi w:val="0"/>
              <w:adjustRightInd/>
              <w:snapToGrid/>
              <w:spacing w:line="440" w:lineRule="exact"/>
              <w:ind w:firstLine="0" w:firstLineChars="0"/>
              <w:jc w:val="left"/>
              <w:textAlignment w:val="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投标报价：</w:t>
            </w:r>
            <w:r>
              <w:rPr>
                <w:rFonts w:hint="eastAsia" w:ascii="仿宋" w:hAnsi="仿宋" w:eastAsia="仿宋" w:cs="仿宋"/>
                <w:color w:val="auto"/>
                <w:szCs w:val="21"/>
                <w:highlight w:val="none"/>
                <w:u w:val="single"/>
                <w:lang w:val="en-US" w:eastAsia="zh-CN"/>
              </w:rPr>
              <w:t>40</w:t>
            </w:r>
            <w:r>
              <w:rPr>
                <w:rFonts w:hint="eastAsia" w:ascii="仿宋" w:hAnsi="仿宋" w:eastAsia="仿宋" w:cs="仿宋"/>
                <w:color w:val="auto"/>
                <w:szCs w:val="21"/>
                <w:highlight w:val="none"/>
                <w:u w:val="single"/>
              </w:rPr>
              <w:t xml:space="preserve"> </w:t>
            </w:r>
            <w:r>
              <w:rPr>
                <w:rFonts w:hint="eastAsia" w:ascii="仿宋" w:hAnsi="仿宋" w:eastAsia="仿宋" w:cs="仿宋"/>
                <w:color w:val="auto"/>
                <w:szCs w:val="21"/>
                <w:highlight w:val="none"/>
              </w:rPr>
              <w:t>分</w:t>
            </w:r>
          </w:p>
        </w:tc>
      </w:tr>
      <w:tr w14:paraId="05CB85A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024" w:type="dxa"/>
            <w:gridSpan w:val="2"/>
            <w:tcBorders>
              <w:top w:val="single" w:color="auto" w:sz="4" w:space="0"/>
              <w:bottom w:val="single" w:color="auto" w:sz="4" w:space="0"/>
              <w:right w:val="single" w:color="auto" w:sz="4" w:space="0"/>
            </w:tcBorders>
            <w:noWrap w:val="0"/>
            <w:vAlign w:val="center"/>
          </w:tcPr>
          <w:p w14:paraId="332CCB2A">
            <w:pPr>
              <w:keepNext w:val="0"/>
              <w:keepLines w:val="0"/>
              <w:pageBreakBefore w:val="0"/>
              <w:widowControl/>
              <w:kinsoku/>
              <w:wordWrap/>
              <w:overflowPunct/>
              <w:topLinePunct w:val="0"/>
              <w:autoSpaceDE/>
              <w:autoSpaceDN/>
              <w:bidi w:val="0"/>
              <w:adjustRightInd/>
              <w:snapToGrid/>
              <w:spacing w:line="440" w:lineRule="exact"/>
              <w:ind w:firstLine="0" w:firstLineChars="0"/>
              <w:jc w:val="left"/>
              <w:textAlignment w:val="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2.2.2</w:t>
            </w:r>
          </w:p>
        </w:tc>
        <w:tc>
          <w:tcPr>
            <w:tcW w:w="2654" w:type="dxa"/>
            <w:tcBorders>
              <w:top w:val="single" w:color="auto" w:sz="4" w:space="0"/>
              <w:left w:val="single" w:color="auto" w:sz="4" w:space="0"/>
              <w:bottom w:val="single" w:color="auto" w:sz="4" w:space="0"/>
              <w:right w:val="single" w:color="auto" w:sz="4" w:space="0"/>
            </w:tcBorders>
            <w:noWrap w:val="0"/>
            <w:vAlign w:val="center"/>
          </w:tcPr>
          <w:p w14:paraId="758763D6">
            <w:pPr>
              <w:keepNext w:val="0"/>
              <w:keepLines w:val="0"/>
              <w:pageBreakBefore w:val="0"/>
              <w:widowControl/>
              <w:kinsoku/>
              <w:wordWrap/>
              <w:overflowPunct/>
              <w:topLinePunct w:val="0"/>
              <w:autoSpaceDE/>
              <w:autoSpaceDN/>
              <w:bidi w:val="0"/>
              <w:adjustRightInd/>
              <w:snapToGrid/>
              <w:spacing w:line="440" w:lineRule="exact"/>
              <w:ind w:firstLine="0" w:firstLineChars="0"/>
              <w:jc w:val="left"/>
              <w:textAlignment w:val="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评标基准价计算方法</w:t>
            </w:r>
          </w:p>
        </w:tc>
        <w:tc>
          <w:tcPr>
            <w:tcW w:w="4502" w:type="dxa"/>
            <w:tcBorders>
              <w:top w:val="single" w:color="auto" w:sz="4" w:space="0"/>
              <w:left w:val="single" w:color="auto" w:sz="4" w:space="0"/>
              <w:bottom w:val="single" w:color="auto" w:sz="4" w:space="0"/>
            </w:tcBorders>
            <w:noWrap w:val="0"/>
            <w:vAlign w:val="center"/>
          </w:tcPr>
          <w:p w14:paraId="70893536">
            <w:pPr>
              <w:keepNext w:val="0"/>
              <w:keepLines w:val="0"/>
              <w:pageBreakBefore w:val="0"/>
              <w:widowControl/>
              <w:kinsoku/>
              <w:wordWrap/>
              <w:overflowPunct/>
              <w:topLinePunct w:val="0"/>
              <w:autoSpaceDE/>
              <w:autoSpaceDN/>
              <w:bidi w:val="0"/>
              <w:adjustRightInd/>
              <w:snapToGrid/>
              <w:spacing w:line="440" w:lineRule="exact"/>
              <w:ind w:firstLine="0" w:firstLineChars="0"/>
              <w:jc w:val="left"/>
              <w:textAlignment w:val="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见2.2.4（4）</w:t>
            </w:r>
          </w:p>
        </w:tc>
      </w:tr>
      <w:tr w14:paraId="44B85E3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2" w:hRule="atLeast"/>
        </w:trPr>
        <w:tc>
          <w:tcPr>
            <w:tcW w:w="2024" w:type="dxa"/>
            <w:gridSpan w:val="2"/>
            <w:tcBorders>
              <w:top w:val="single" w:color="auto" w:sz="4" w:space="0"/>
              <w:bottom w:val="single" w:color="auto" w:sz="4" w:space="0"/>
              <w:right w:val="single" w:color="auto" w:sz="4" w:space="0"/>
            </w:tcBorders>
            <w:noWrap w:val="0"/>
            <w:vAlign w:val="center"/>
          </w:tcPr>
          <w:p w14:paraId="773E9EA0">
            <w:pPr>
              <w:keepNext w:val="0"/>
              <w:keepLines w:val="0"/>
              <w:pageBreakBefore w:val="0"/>
              <w:widowControl/>
              <w:kinsoku/>
              <w:wordWrap/>
              <w:overflowPunct/>
              <w:topLinePunct w:val="0"/>
              <w:autoSpaceDE/>
              <w:autoSpaceDN/>
              <w:bidi w:val="0"/>
              <w:adjustRightInd/>
              <w:snapToGrid/>
              <w:spacing w:line="440" w:lineRule="exact"/>
              <w:ind w:firstLine="0" w:firstLineChars="0"/>
              <w:jc w:val="left"/>
              <w:textAlignment w:val="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2.2.3</w:t>
            </w:r>
          </w:p>
        </w:tc>
        <w:tc>
          <w:tcPr>
            <w:tcW w:w="2654" w:type="dxa"/>
            <w:tcBorders>
              <w:top w:val="single" w:color="auto" w:sz="4" w:space="0"/>
              <w:left w:val="single" w:color="auto" w:sz="4" w:space="0"/>
              <w:right w:val="single" w:color="auto" w:sz="4" w:space="0"/>
            </w:tcBorders>
            <w:noWrap w:val="0"/>
            <w:vAlign w:val="center"/>
          </w:tcPr>
          <w:p w14:paraId="34C38C12">
            <w:pPr>
              <w:keepNext w:val="0"/>
              <w:keepLines w:val="0"/>
              <w:pageBreakBefore w:val="0"/>
              <w:widowControl/>
              <w:kinsoku/>
              <w:wordWrap/>
              <w:overflowPunct/>
              <w:topLinePunct w:val="0"/>
              <w:autoSpaceDE/>
              <w:autoSpaceDN/>
              <w:bidi w:val="0"/>
              <w:adjustRightInd/>
              <w:snapToGrid/>
              <w:spacing w:line="440" w:lineRule="exact"/>
              <w:ind w:firstLine="0" w:firstLineChars="0"/>
              <w:jc w:val="left"/>
              <w:textAlignment w:val="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投标报价的偏差率</w:t>
            </w:r>
          </w:p>
          <w:p w14:paraId="3959BACC">
            <w:pPr>
              <w:keepNext w:val="0"/>
              <w:keepLines w:val="0"/>
              <w:pageBreakBefore w:val="0"/>
              <w:widowControl/>
              <w:kinsoku/>
              <w:wordWrap/>
              <w:overflowPunct/>
              <w:topLinePunct w:val="0"/>
              <w:autoSpaceDE/>
              <w:autoSpaceDN/>
              <w:bidi w:val="0"/>
              <w:adjustRightInd/>
              <w:snapToGrid/>
              <w:spacing w:line="440" w:lineRule="exact"/>
              <w:ind w:firstLine="0" w:firstLineChars="0"/>
              <w:jc w:val="left"/>
              <w:textAlignment w:val="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计算公式</w:t>
            </w:r>
          </w:p>
        </w:tc>
        <w:tc>
          <w:tcPr>
            <w:tcW w:w="4502" w:type="dxa"/>
            <w:tcBorders>
              <w:top w:val="single" w:color="auto" w:sz="4" w:space="0"/>
              <w:left w:val="single" w:color="auto" w:sz="4" w:space="0"/>
            </w:tcBorders>
            <w:noWrap w:val="0"/>
            <w:vAlign w:val="center"/>
          </w:tcPr>
          <w:p w14:paraId="6C285017">
            <w:pPr>
              <w:keepNext w:val="0"/>
              <w:keepLines w:val="0"/>
              <w:pageBreakBefore w:val="0"/>
              <w:widowControl/>
              <w:kinsoku/>
              <w:wordWrap/>
              <w:overflowPunct/>
              <w:topLinePunct w:val="0"/>
              <w:autoSpaceDE/>
              <w:autoSpaceDN/>
              <w:bidi w:val="0"/>
              <w:adjustRightInd/>
              <w:snapToGrid/>
              <w:spacing w:line="440" w:lineRule="exact"/>
              <w:ind w:firstLine="0" w:firstLineChars="0"/>
              <w:jc w:val="left"/>
              <w:textAlignment w:val="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偏差率=</w:t>
            </w:r>
            <w:r>
              <w:rPr>
                <w:rFonts w:hint="eastAsia" w:ascii="仿宋" w:hAnsi="仿宋" w:eastAsia="仿宋" w:cs="仿宋"/>
                <w:color w:val="auto"/>
                <w:kern w:val="0"/>
                <w:sz w:val="21"/>
                <w:szCs w:val="21"/>
                <w:highlight w:val="none"/>
              </w:rPr>
              <w:t>︱</w:t>
            </w:r>
            <w:r>
              <w:rPr>
                <w:rFonts w:hint="eastAsia" w:ascii="仿宋" w:hAnsi="仿宋" w:eastAsia="仿宋" w:cs="仿宋"/>
                <w:color w:val="auto"/>
                <w:szCs w:val="21"/>
                <w:highlight w:val="none"/>
              </w:rPr>
              <w:t>（投标人报价－评标基准价）</w:t>
            </w:r>
            <w:r>
              <w:rPr>
                <w:rFonts w:hint="eastAsia" w:ascii="仿宋" w:hAnsi="仿宋" w:eastAsia="仿宋" w:cs="仿宋"/>
                <w:color w:val="auto"/>
                <w:kern w:val="0"/>
                <w:sz w:val="21"/>
                <w:szCs w:val="21"/>
                <w:highlight w:val="none"/>
              </w:rPr>
              <w:t>︱</w:t>
            </w:r>
            <w:r>
              <w:rPr>
                <w:rFonts w:hint="eastAsia" w:ascii="仿宋" w:hAnsi="仿宋" w:eastAsia="仿宋" w:cs="仿宋"/>
                <w:color w:val="auto"/>
                <w:szCs w:val="21"/>
                <w:highlight w:val="none"/>
              </w:rPr>
              <w:t>/评标基准价</w:t>
            </w:r>
          </w:p>
        </w:tc>
      </w:tr>
      <w:tr w14:paraId="162629D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024" w:type="dxa"/>
            <w:gridSpan w:val="2"/>
            <w:tcBorders>
              <w:top w:val="nil"/>
              <w:bottom w:val="single" w:color="auto" w:sz="4" w:space="0"/>
              <w:right w:val="single" w:color="auto" w:sz="4" w:space="0"/>
            </w:tcBorders>
            <w:noWrap w:val="0"/>
            <w:vAlign w:val="center"/>
          </w:tcPr>
          <w:p w14:paraId="68E46DF4">
            <w:pPr>
              <w:spacing w:line="440" w:lineRule="exact"/>
              <w:jc w:val="left"/>
              <w:rPr>
                <w:rFonts w:hint="eastAsia" w:ascii="仿宋" w:hAnsi="仿宋" w:eastAsia="仿宋" w:cs="仿宋"/>
                <w:color w:val="auto"/>
                <w:szCs w:val="21"/>
                <w:highlight w:val="none"/>
              </w:rPr>
            </w:pPr>
            <w:r>
              <w:rPr>
                <w:rFonts w:hint="eastAsia" w:ascii="仿宋" w:hAnsi="仿宋" w:eastAsia="仿宋" w:cs="仿宋"/>
                <w:b/>
                <w:color w:val="auto"/>
                <w:szCs w:val="21"/>
                <w:highlight w:val="none"/>
              </w:rPr>
              <w:t>条款号</w:t>
            </w:r>
          </w:p>
        </w:tc>
        <w:tc>
          <w:tcPr>
            <w:tcW w:w="2654" w:type="dxa"/>
            <w:tcBorders>
              <w:top w:val="single" w:color="auto" w:sz="4" w:space="0"/>
              <w:left w:val="single" w:color="auto" w:sz="4" w:space="0"/>
              <w:bottom w:val="single" w:color="auto" w:sz="4" w:space="0"/>
              <w:right w:val="single" w:color="auto" w:sz="4" w:space="0"/>
            </w:tcBorders>
            <w:noWrap w:val="0"/>
            <w:vAlign w:val="center"/>
          </w:tcPr>
          <w:p w14:paraId="59797FA7">
            <w:pPr>
              <w:spacing w:line="440" w:lineRule="exact"/>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评分因素（偏差率）</w:t>
            </w:r>
          </w:p>
        </w:tc>
        <w:tc>
          <w:tcPr>
            <w:tcW w:w="4502" w:type="dxa"/>
            <w:tcBorders>
              <w:top w:val="single" w:color="auto" w:sz="4" w:space="0"/>
              <w:left w:val="single" w:color="auto" w:sz="4" w:space="0"/>
              <w:bottom w:val="single" w:color="auto" w:sz="4" w:space="0"/>
            </w:tcBorders>
            <w:noWrap w:val="0"/>
            <w:vAlign w:val="center"/>
          </w:tcPr>
          <w:p w14:paraId="17448D84">
            <w:pPr>
              <w:spacing w:line="440" w:lineRule="exact"/>
              <w:jc w:val="left"/>
              <w:rPr>
                <w:rFonts w:hint="eastAsia" w:ascii="仿宋" w:hAnsi="仿宋" w:eastAsia="仿宋" w:cs="仿宋"/>
                <w:color w:val="auto"/>
                <w:szCs w:val="21"/>
                <w:highlight w:val="none"/>
              </w:rPr>
            </w:pPr>
            <w:r>
              <w:rPr>
                <w:rFonts w:hint="eastAsia" w:ascii="仿宋" w:hAnsi="仿宋" w:eastAsia="仿宋" w:cs="仿宋"/>
                <w:b/>
                <w:color w:val="auto"/>
                <w:szCs w:val="21"/>
                <w:highlight w:val="none"/>
              </w:rPr>
              <w:t>评分标准</w:t>
            </w:r>
          </w:p>
        </w:tc>
      </w:tr>
      <w:tr w14:paraId="6E401F2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00" w:type="dxa"/>
            <w:vMerge w:val="restart"/>
            <w:tcBorders>
              <w:right w:val="single" w:color="auto" w:sz="4" w:space="0"/>
            </w:tcBorders>
            <w:noWrap w:val="0"/>
            <w:vAlign w:val="top"/>
          </w:tcPr>
          <w:p w14:paraId="5A309C25">
            <w:pPr>
              <w:keepNext w:val="0"/>
              <w:keepLines w:val="0"/>
              <w:pageBreakBefore w:val="0"/>
              <w:widowControl/>
              <w:kinsoku/>
              <w:wordWrap/>
              <w:overflowPunct/>
              <w:topLinePunct w:val="0"/>
              <w:autoSpaceDE/>
              <w:autoSpaceDN/>
              <w:bidi w:val="0"/>
              <w:adjustRightInd/>
              <w:snapToGrid/>
              <w:spacing w:line="440" w:lineRule="exact"/>
              <w:ind w:firstLine="0" w:firstLineChars="0"/>
              <w:jc w:val="left"/>
              <w:textAlignment w:val="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2.2.4（1）</w:t>
            </w:r>
          </w:p>
        </w:tc>
        <w:tc>
          <w:tcPr>
            <w:tcW w:w="1124" w:type="dxa"/>
            <w:vMerge w:val="restart"/>
            <w:tcBorders>
              <w:right w:val="single" w:color="auto" w:sz="4" w:space="0"/>
            </w:tcBorders>
            <w:noWrap w:val="0"/>
            <w:vAlign w:val="top"/>
          </w:tcPr>
          <w:p w14:paraId="3A8C8EEF">
            <w:pPr>
              <w:keepNext w:val="0"/>
              <w:keepLines w:val="0"/>
              <w:pageBreakBefore w:val="0"/>
              <w:widowControl/>
              <w:kinsoku/>
              <w:wordWrap/>
              <w:overflowPunct/>
              <w:topLinePunct w:val="0"/>
              <w:autoSpaceDE/>
              <w:autoSpaceDN/>
              <w:bidi w:val="0"/>
              <w:adjustRightInd/>
              <w:snapToGrid/>
              <w:spacing w:line="440" w:lineRule="exact"/>
              <w:ind w:firstLine="0" w:firstLineChars="0"/>
              <w:jc w:val="left"/>
              <w:textAlignment w:val="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建议书及相关方案评分标准</w:t>
            </w:r>
          </w:p>
        </w:tc>
        <w:tc>
          <w:tcPr>
            <w:tcW w:w="2654" w:type="dxa"/>
            <w:tcBorders>
              <w:top w:val="single" w:color="auto" w:sz="4" w:space="0"/>
              <w:left w:val="single" w:color="auto" w:sz="4" w:space="0"/>
              <w:bottom w:val="single" w:color="auto" w:sz="4" w:space="0"/>
              <w:right w:val="single" w:color="auto" w:sz="4" w:space="0"/>
            </w:tcBorders>
            <w:noWrap w:val="0"/>
            <w:vAlign w:val="center"/>
          </w:tcPr>
          <w:p w14:paraId="105DE6CA">
            <w:pPr>
              <w:keepNext w:val="0"/>
              <w:keepLines w:val="0"/>
              <w:pageBreakBefore w:val="0"/>
              <w:widowControl/>
              <w:kinsoku/>
              <w:wordWrap/>
              <w:overflowPunct/>
              <w:topLinePunct w:val="0"/>
              <w:autoSpaceDE/>
              <w:autoSpaceDN/>
              <w:bidi w:val="0"/>
              <w:adjustRightInd/>
              <w:snapToGrid/>
              <w:ind w:firstLine="0" w:firstLineChars="0"/>
              <w:jc w:val="left"/>
              <w:textAlignment w:val="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设计方案（3分）</w:t>
            </w:r>
          </w:p>
        </w:tc>
        <w:tc>
          <w:tcPr>
            <w:tcW w:w="4502" w:type="dxa"/>
            <w:tcBorders>
              <w:top w:val="single" w:color="auto" w:sz="4" w:space="0"/>
              <w:left w:val="single" w:color="auto" w:sz="4" w:space="0"/>
              <w:bottom w:val="single" w:color="auto" w:sz="4" w:space="0"/>
            </w:tcBorders>
            <w:noWrap w:val="0"/>
            <w:vAlign w:val="top"/>
          </w:tcPr>
          <w:p w14:paraId="24508025">
            <w:pPr>
              <w:keepNext w:val="0"/>
              <w:keepLines w:val="0"/>
              <w:pageBreakBefore w:val="0"/>
              <w:widowControl/>
              <w:kinsoku/>
              <w:wordWrap/>
              <w:overflowPunct/>
              <w:topLinePunct w:val="0"/>
              <w:autoSpaceDE/>
              <w:autoSpaceDN/>
              <w:bidi w:val="0"/>
              <w:adjustRightInd/>
              <w:snapToGrid/>
              <w:spacing w:line="276" w:lineRule="auto"/>
              <w:ind w:firstLine="0" w:firstLineChars="0"/>
              <w:jc w:val="left"/>
              <w:textAlignment w:val="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（1）对项目分析透彻，水质水量论证合理充分，得1.0分，</w:t>
            </w:r>
            <w:r>
              <w:rPr>
                <w:rFonts w:hint="eastAsia" w:ascii="仿宋" w:hAnsi="仿宋" w:cs="仿宋"/>
                <w:color w:val="auto"/>
                <w:szCs w:val="21"/>
                <w:highlight w:val="none"/>
                <w:lang w:val="en-US" w:eastAsia="zh-CN"/>
              </w:rPr>
              <w:t>水质水量论证比较充分合理</w:t>
            </w:r>
            <w:r>
              <w:rPr>
                <w:rFonts w:hint="eastAsia" w:ascii="仿宋" w:hAnsi="仿宋" w:eastAsia="仿宋" w:cs="仿宋"/>
                <w:color w:val="auto"/>
                <w:szCs w:val="21"/>
                <w:highlight w:val="none"/>
              </w:rPr>
              <w:t>得</w:t>
            </w:r>
            <w:r>
              <w:rPr>
                <w:rFonts w:hint="eastAsia" w:ascii="仿宋" w:hAnsi="仿宋" w:cs="仿宋"/>
                <w:color w:val="auto"/>
                <w:szCs w:val="21"/>
                <w:highlight w:val="none"/>
                <w:lang w:val="en-US" w:eastAsia="zh-CN"/>
              </w:rPr>
              <w:t>0.5分，不合理或未提供的得</w:t>
            </w:r>
            <w:r>
              <w:rPr>
                <w:rFonts w:hint="eastAsia" w:ascii="仿宋" w:hAnsi="仿宋" w:eastAsia="仿宋" w:cs="仿宋"/>
                <w:color w:val="auto"/>
                <w:szCs w:val="21"/>
                <w:highlight w:val="none"/>
              </w:rPr>
              <w:t>0分。</w:t>
            </w:r>
          </w:p>
          <w:p w14:paraId="4EC2E15C">
            <w:pPr>
              <w:keepNext w:val="0"/>
              <w:keepLines w:val="0"/>
              <w:pageBreakBefore w:val="0"/>
              <w:widowControl/>
              <w:kinsoku/>
              <w:wordWrap/>
              <w:overflowPunct/>
              <w:topLinePunct w:val="0"/>
              <w:autoSpaceDE/>
              <w:autoSpaceDN/>
              <w:bidi w:val="0"/>
              <w:adjustRightInd/>
              <w:snapToGrid/>
              <w:spacing w:line="276" w:lineRule="auto"/>
              <w:ind w:firstLine="0" w:firstLineChars="0"/>
              <w:jc w:val="left"/>
              <w:textAlignment w:val="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（2）进行本项目关键指标工艺模拟实验，有详细的数据及过程图片并形成报告，得1.0分，</w:t>
            </w:r>
            <w:r>
              <w:rPr>
                <w:rFonts w:hint="eastAsia" w:ascii="仿宋" w:hAnsi="仿宋" w:cs="仿宋"/>
                <w:color w:val="auto"/>
                <w:szCs w:val="21"/>
                <w:highlight w:val="none"/>
                <w:lang w:val="en-US" w:eastAsia="zh-CN"/>
              </w:rPr>
              <w:t>模拟实验</w:t>
            </w:r>
            <w:r>
              <w:rPr>
                <w:rFonts w:hint="eastAsia" w:ascii="仿宋" w:hAnsi="仿宋" w:eastAsia="仿宋" w:cs="仿宋"/>
                <w:color w:val="auto"/>
                <w:szCs w:val="21"/>
                <w:highlight w:val="none"/>
              </w:rPr>
              <w:t>数据</w:t>
            </w:r>
            <w:r>
              <w:rPr>
                <w:rFonts w:hint="eastAsia" w:ascii="仿宋" w:hAnsi="仿宋" w:cs="仿宋"/>
                <w:color w:val="auto"/>
                <w:szCs w:val="21"/>
                <w:highlight w:val="none"/>
                <w:lang w:eastAsia="zh-CN"/>
              </w:rPr>
              <w:t>、</w:t>
            </w:r>
            <w:r>
              <w:rPr>
                <w:rFonts w:hint="eastAsia" w:ascii="仿宋" w:hAnsi="仿宋" w:eastAsia="仿宋" w:cs="仿宋"/>
                <w:color w:val="auto"/>
                <w:szCs w:val="21"/>
                <w:highlight w:val="none"/>
              </w:rPr>
              <w:t>过程图片</w:t>
            </w:r>
            <w:r>
              <w:rPr>
                <w:rFonts w:hint="eastAsia" w:ascii="仿宋" w:hAnsi="仿宋" w:cs="仿宋"/>
                <w:color w:val="auto"/>
                <w:szCs w:val="21"/>
                <w:highlight w:val="none"/>
                <w:lang w:val="en-US" w:eastAsia="zh-CN"/>
              </w:rPr>
              <w:t>及</w:t>
            </w:r>
            <w:r>
              <w:rPr>
                <w:rFonts w:hint="eastAsia" w:ascii="仿宋" w:hAnsi="仿宋" w:eastAsia="仿宋" w:cs="仿宋"/>
                <w:color w:val="auto"/>
                <w:szCs w:val="21"/>
                <w:highlight w:val="none"/>
              </w:rPr>
              <w:t>形成</w:t>
            </w:r>
            <w:r>
              <w:rPr>
                <w:rFonts w:hint="eastAsia" w:ascii="仿宋" w:hAnsi="仿宋" w:cs="仿宋"/>
                <w:color w:val="auto"/>
                <w:szCs w:val="21"/>
                <w:highlight w:val="none"/>
                <w:lang w:val="en-US" w:eastAsia="zh-CN"/>
              </w:rPr>
              <w:t>的</w:t>
            </w:r>
            <w:r>
              <w:rPr>
                <w:rFonts w:hint="eastAsia" w:ascii="仿宋" w:hAnsi="仿宋" w:eastAsia="仿宋" w:cs="仿宋"/>
                <w:color w:val="auto"/>
                <w:szCs w:val="21"/>
                <w:highlight w:val="none"/>
              </w:rPr>
              <w:t>报告</w:t>
            </w:r>
            <w:r>
              <w:rPr>
                <w:rFonts w:hint="eastAsia" w:ascii="仿宋" w:hAnsi="仿宋" w:cs="仿宋"/>
                <w:color w:val="auto"/>
                <w:szCs w:val="21"/>
                <w:highlight w:val="none"/>
                <w:lang w:eastAsia="zh-CN"/>
              </w:rPr>
              <w:t>，</w:t>
            </w:r>
            <w:r>
              <w:rPr>
                <w:rFonts w:hint="eastAsia" w:ascii="仿宋" w:hAnsi="仿宋" w:cs="仿宋"/>
                <w:color w:val="auto"/>
                <w:szCs w:val="21"/>
                <w:highlight w:val="none"/>
                <w:lang w:val="en-US" w:eastAsia="zh-CN"/>
              </w:rPr>
              <w:t>上述材料不全，缺少其中一项或两项内容的得</w:t>
            </w:r>
            <w:r>
              <w:rPr>
                <w:rFonts w:hint="eastAsia" w:ascii="仿宋" w:hAnsi="仿宋" w:eastAsia="仿宋" w:cs="仿宋"/>
                <w:color w:val="auto"/>
                <w:szCs w:val="21"/>
                <w:highlight w:val="none"/>
              </w:rPr>
              <w:t>0.5分</w:t>
            </w:r>
            <w:r>
              <w:rPr>
                <w:rFonts w:hint="eastAsia" w:ascii="仿宋" w:hAnsi="仿宋" w:cs="仿宋"/>
                <w:color w:val="auto"/>
                <w:szCs w:val="21"/>
                <w:highlight w:val="none"/>
                <w:lang w:eastAsia="zh-CN"/>
              </w:rPr>
              <w:t>，</w:t>
            </w:r>
            <w:r>
              <w:rPr>
                <w:rFonts w:hint="eastAsia" w:ascii="仿宋" w:hAnsi="仿宋" w:cs="仿宋"/>
                <w:color w:val="auto"/>
                <w:szCs w:val="21"/>
                <w:highlight w:val="none"/>
                <w:lang w:val="en-US" w:eastAsia="zh-CN"/>
              </w:rPr>
              <w:t>其他情况得0分。</w:t>
            </w:r>
            <w:r>
              <w:rPr>
                <w:rFonts w:hint="eastAsia" w:ascii="仿宋" w:hAnsi="仿宋" w:eastAsia="仿宋" w:cs="仿宋"/>
                <w:color w:val="auto"/>
                <w:szCs w:val="21"/>
                <w:highlight w:val="none"/>
              </w:rPr>
              <w:t>（3）方案工艺路线与初步设计工艺路线</w:t>
            </w:r>
            <w:r>
              <w:rPr>
                <w:rFonts w:hint="eastAsia" w:ascii="仿宋" w:hAnsi="仿宋" w:eastAsia="仿宋" w:cs="仿宋"/>
                <w:color w:val="auto"/>
                <w:szCs w:val="21"/>
                <w:highlight w:val="none"/>
                <w:lang w:val="en-US" w:eastAsia="zh-CN"/>
              </w:rPr>
              <w:t>相吻合</w:t>
            </w:r>
            <w:r>
              <w:rPr>
                <w:rFonts w:hint="eastAsia" w:ascii="仿宋" w:hAnsi="仿宋" w:eastAsia="仿宋" w:cs="仿宋"/>
                <w:color w:val="auto"/>
                <w:szCs w:val="21"/>
                <w:highlight w:val="none"/>
              </w:rPr>
              <w:t>，方案细化设计内容完整且合理，得1.0分，方案细化设计内容</w:t>
            </w:r>
            <w:r>
              <w:rPr>
                <w:rFonts w:hint="eastAsia" w:ascii="仿宋" w:hAnsi="仿宋" w:cs="仿宋"/>
                <w:color w:val="auto"/>
                <w:szCs w:val="21"/>
                <w:highlight w:val="none"/>
                <w:lang w:val="en-US" w:eastAsia="zh-CN"/>
              </w:rPr>
              <w:t>较</w:t>
            </w:r>
            <w:r>
              <w:rPr>
                <w:rFonts w:hint="eastAsia" w:ascii="仿宋" w:hAnsi="仿宋" w:eastAsia="仿宋" w:cs="仿宋"/>
                <w:color w:val="auto"/>
                <w:szCs w:val="21"/>
                <w:highlight w:val="none"/>
              </w:rPr>
              <w:t>完整合理</w:t>
            </w:r>
            <w:r>
              <w:rPr>
                <w:rFonts w:hint="eastAsia" w:ascii="仿宋" w:hAnsi="仿宋" w:cs="仿宋"/>
                <w:color w:val="auto"/>
                <w:szCs w:val="21"/>
                <w:highlight w:val="none"/>
                <w:lang w:val="en-US" w:eastAsia="zh-CN"/>
              </w:rPr>
              <w:t>得0.5分，没有或方案工艺路线与初步设计工艺路线不一致的</w:t>
            </w:r>
            <w:r>
              <w:rPr>
                <w:rFonts w:hint="eastAsia" w:ascii="仿宋" w:hAnsi="仿宋" w:eastAsia="仿宋" w:cs="仿宋"/>
                <w:color w:val="auto"/>
                <w:szCs w:val="21"/>
                <w:highlight w:val="none"/>
              </w:rPr>
              <w:t>，得</w:t>
            </w:r>
            <w:r>
              <w:rPr>
                <w:rFonts w:hint="eastAsia" w:ascii="仿宋" w:hAnsi="仿宋" w:cs="仿宋"/>
                <w:color w:val="auto"/>
                <w:szCs w:val="21"/>
                <w:highlight w:val="none"/>
                <w:lang w:val="en-US" w:eastAsia="zh-CN"/>
              </w:rPr>
              <w:t>0</w:t>
            </w:r>
            <w:r>
              <w:rPr>
                <w:rFonts w:hint="eastAsia" w:ascii="仿宋" w:hAnsi="仿宋" w:eastAsia="仿宋" w:cs="仿宋"/>
                <w:color w:val="auto"/>
                <w:szCs w:val="21"/>
                <w:highlight w:val="none"/>
              </w:rPr>
              <w:t>分。</w:t>
            </w:r>
          </w:p>
        </w:tc>
      </w:tr>
      <w:tr w14:paraId="4D77B06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941" w:hRule="atLeast"/>
        </w:trPr>
        <w:tc>
          <w:tcPr>
            <w:tcW w:w="900" w:type="dxa"/>
            <w:vMerge w:val="continue"/>
            <w:tcBorders>
              <w:right w:val="single" w:color="auto" w:sz="4" w:space="0"/>
            </w:tcBorders>
            <w:noWrap w:val="0"/>
            <w:vAlign w:val="top"/>
          </w:tcPr>
          <w:p w14:paraId="5DCAF1DC">
            <w:pPr>
              <w:spacing w:line="440" w:lineRule="exact"/>
              <w:jc w:val="left"/>
              <w:rPr>
                <w:rFonts w:hint="eastAsia" w:ascii="仿宋" w:hAnsi="仿宋" w:eastAsia="仿宋" w:cs="仿宋"/>
                <w:color w:val="auto"/>
                <w:szCs w:val="21"/>
                <w:highlight w:val="none"/>
              </w:rPr>
            </w:pPr>
          </w:p>
        </w:tc>
        <w:tc>
          <w:tcPr>
            <w:tcW w:w="1124" w:type="dxa"/>
            <w:vMerge w:val="continue"/>
            <w:tcBorders>
              <w:right w:val="single" w:color="auto" w:sz="4" w:space="0"/>
            </w:tcBorders>
            <w:noWrap w:val="0"/>
            <w:vAlign w:val="top"/>
          </w:tcPr>
          <w:p w14:paraId="7478ECD0">
            <w:pPr>
              <w:spacing w:line="440" w:lineRule="exact"/>
              <w:jc w:val="left"/>
              <w:rPr>
                <w:rFonts w:hint="eastAsia" w:ascii="仿宋" w:hAnsi="仿宋" w:eastAsia="仿宋" w:cs="仿宋"/>
                <w:color w:val="auto"/>
                <w:szCs w:val="21"/>
                <w:highlight w:val="none"/>
              </w:rPr>
            </w:pPr>
          </w:p>
        </w:tc>
        <w:tc>
          <w:tcPr>
            <w:tcW w:w="2654" w:type="dxa"/>
            <w:tcBorders>
              <w:top w:val="single" w:color="auto" w:sz="4" w:space="0"/>
              <w:left w:val="single" w:color="auto" w:sz="4" w:space="0"/>
              <w:bottom w:val="single" w:color="auto" w:sz="4" w:space="0"/>
              <w:right w:val="single" w:color="auto" w:sz="4" w:space="0"/>
            </w:tcBorders>
            <w:noWrap w:val="0"/>
            <w:vAlign w:val="center"/>
          </w:tcPr>
          <w:p w14:paraId="441AE9C5">
            <w:pPr>
              <w:keepNext w:val="0"/>
              <w:keepLines w:val="0"/>
              <w:pageBreakBefore w:val="0"/>
              <w:widowControl/>
              <w:kinsoku/>
              <w:wordWrap/>
              <w:overflowPunct/>
              <w:topLinePunct w:val="0"/>
              <w:autoSpaceDE/>
              <w:autoSpaceDN/>
              <w:bidi w:val="0"/>
              <w:adjustRightInd/>
              <w:snapToGrid/>
              <w:ind w:firstLine="0" w:firstLineChars="0"/>
              <w:jc w:val="left"/>
              <w:textAlignment w:val="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设计图纸（5分）</w:t>
            </w:r>
          </w:p>
        </w:tc>
        <w:tc>
          <w:tcPr>
            <w:tcW w:w="4502" w:type="dxa"/>
            <w:tcBorders>
              <w:top w:val="single" w:color="auto" w:sz="4" w:space="0"/>
              <w:left w:val="single" w:color="auto" w:sz="4" w:space="0"/>
              <w:bottom w:val="single" w:color="auto" w:sz="4" w:space="0"/>
            </w:tcBorders>
            <w:noWrap w:val="0"/>
            <w:vAlign w:val="top"/>
          </w:tcPr>
          <w:p w14:paraId="0F8C4B39">
            <w:pPr>
              <w:keepNext w:val="0"/>
              <w:keepLines w:val="0"/>
              <w:pageBreakBefore w:val="0"/>
              <w:widowControl/>
              <w:kinsoku/>
              <w:wordWrap/>
              <w:overflowPunct/>
              <w:topLinePunct w:val="0"/>
              <w:autoSpaceDE/>
              <w:autoSpaceDN/>
              <w:bidi w:val="0"/>
              <w:adjustRightInd/>
              <w:snapToGrid/>
              <w:spacing w:line="276" w:lineRule="auto"/>
              <w:ind w:firstLine="0" w:firstLineChars="0"/>
              <w:jc w:val="left"/>
              <w:textAlignment w:val="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（1）投标人完整提供厂区总平面布置图，管线平面布置图，工艺单体平、剖面图，建筑结构单体平、剖面图，电气及自控图纸等图纸，且设计深度较初设图纸有明显细化</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lang w:val="en-US" w:eastAsia="zh-CN"/>
              </w:rPr>
              <w:t>得</w:t>
            </w:r>
            <w:r>
              <w:rPr>
                <w:rFonts w:hint="eastAsia" w:ascii="仿宋" w:hAnsi="仿宋" w:eastAsia="仿宋" w:cs="仿宋"/>
                <w:color w:val="auto"/>
                <w:szCs w:val="21"/>
                <w:highlight w:val="none"/>
              </w:rPr>
              <w:t>5.0分。</w:t>
            </w:r>
          </w:p>
          <w:p w14:paraId="445E860B">
            <w:pPr>
              <w:keepNext w:val="0"/>
              <w:keepLines w:val="0"/>
              <w:pageBreakBefore w:val="0"/>
              <w:widowControl/>
              <w:kinsoku/>
              <w:wordWrap/>
              <w:overflowPunct/>
              <w:topLinePunct w:val="0"/>
              <w:autoSpaceDE/>
              <w:autoSpaceDN/>
              <w:bidi w:val="0"/>
              <w:adjustRightInd/>
              <w:snapToGrid/>
              <w:spacing w:line="276" w:lineRule="auto"/>
              <w:ind w:firstLine="0" w:firstLineChars="0"/>
              <w:jc w:val="left"/>
              <w:textAlignment w:val="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（2）投标人提供的厂区总平面布置图，管线平面布置图，工艺单体平、剖面图，建筑结构单体平、剖面图，电气及自控图纸等图纸中存在漏项或设计深度较初设图纸无明显</w:t>
            </w:r>
            <w:r>
              <w:rPr>
                <w:rFonts w:hint="eastAsia" w:ascii="仿宋" w:hAnsi="仿宋" w:cs="仿宋"/>
                <w:color w:val="auto"/>
                <w:szCs w:val="21"/>
                <w:highlight w:val="none"/>
                <w:lang w:val="en-US" w:eastAsia="zh-CN"/>
              </w:rPr>
              <w:t>细化</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lang w:val="en-US" w:eastAsia="zh-CN"/>
              </w:rPr>
              <w:t>得3</w:t>
            </w:r>
            <w:r>
              <w:rPr>
                <w:rFonts w:hint="eastAsia" w:ascii="仿宋" w:hAnsi="仿宋" w:eastAsia="仿宋" w:cs="仿宋"/>
                <w:color w:val="auto"/>
                <w:szCs w:val="21"/>
                <w:highlight w:val="none"/>
              </w:rPr>
              <w:t>.0分；</w:t>
            </w:r>
          </w:p>
          <w:p w14:paraId="4B5245D6">
            <w:pPr>
              <w:keepNext w:val="0"/>
              <w:keepLines w:val="0"/>
              <w:pageBreakBefore w:val="0"/>
              <w:widowControl/>
              <w:kinsoku/>
              <w:wordWrap/>
              <w:overflowPunct/>
              <w:topLinePunct w:val="0"/>
              <w:autoSpaceDE/>
              <w:autoSpaceDN/>
              <w:bidi w:val="0"/>
              <w:adjustRightInd/>
              <w:snapToGrid/>
              <w:spacing w:line="276" w:lineRule="auto"/>
              <w:ind w:firstLine="0" w:firstLineChars="0"/>
              <w:jc w:val="left"/>
              <w:textAlignment w:val="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（3）投标人未完整提供厂区总平面布置图，管线平面布置图，工艺单体平、剖面图，建筑结构单体平、剖面图，电气及自控图纸等图纸</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lang w:val="en-US" w:eastAsia="zh-CN"/>
              </w:rPr>
              <w:t>得1</w:t>
            </w:r>
            <w:r>
              <w:rPr>
                <w:rFonts w:hint="eastAsia" w:ascii="仿宋" w:hAnsi="仿宋" w:eastAsia="仿宋" w:cs="仿宋"/>
                <w:color w:val="auto"/>
                <w:szCs w:val="21"/>
                <w:highlight w:val="none"/>
              </w:rPr>
              <w:t>分。</w:t>
            </w:r>
          </w:p>
          <w:p w14:paraId="35987BD5">
            <w:pPr>
              <w:keepNext w:val="0"/>
              <w:keepLines w:val="0"/>
              <w:pageBreakBefore w:val="0"/>
              <w:widowControl/>
              <w:kinsoku/>
              <w:wordWrap/>
              <w:overflowPunct/>
              <w:topLinePunct w:val="0"/>
              <w:autoSpaceDE/>
              <w:autoSpaceDN/>
              <w:bidi w:val="0"/>
              <w:adjustRightInd/>
              <w:snapToGrid/>
              <w:spacing w:line="276" w:lineRule="auto"/>
              <w:ind w:firstLine="0" w:firstLineChars="0"/>
              <w:jc w:val="left"/>
              <w:textAlignment w:val="auto"/>
              <w:rPr>
                <w:rFonts w:hint="eastAsia" w:ascii="仿宋" w:hAnsi="仿宋" w:eastAsia="仿宋" w:cs="仿宋"/>
                <w:color w:val="auto"/>
                <w:highlight w:val="none"/>
                <w:lang w:val="en-US" w:eastAsia="zh-CN"/>
              </w:rPr>
            </w:pP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lang w:val="en-US" w:eastAsia="zh-CN"/>
              </w:rPr>
              <w:t>4</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lang w:val="en-US" w:eastAsia="zh-CN"/>
              </w:rPr>
              <w:t>未提供的不得分。</w:t>
            </w:r>
          </w:p>
        </w:tc>
      </w:tr>
      <w:tr w14:paraId="5D942AA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00" w:type="dxa"/>
            <w:vMerge w:val="continue"/>
            <w:tcBorders>
              <w:right w:val="single" w:color="auto" w:sz="4" w:space="0"/>
            </w:tcBorders>
            <w:noWrap w:val="0"/>
            <w:vAlign w:val="top"/>
          </w:tcPr>
          <w:p w14:paraId="04C18B69">
            <w:pPr>
              <w:spacing w:line="440" w:lineRule="exact"/>
              <w:jc w:val="left"/>
              <w:rPr>
                <w:rFonts w:hint="eastAsia" w:ascii="仿宋" w:hAnsi="仿宋" w:eastAsia="仿宋" w:cs="仿宋"/>
                <w:color w:val="auto"/>
                <w:szCs w:val="21"/>
                <w:highlight w:val="none"/>
              </w:rPr>
            </w:pPr>
          </w:p>
        </w:tc>
        <w:tc>
          <w:tcPr>
            <w:tcW w:w="1124" w:type="dxa"/>
            <w:vMerge w:val="continue"/>
            <w:tcBorders>
              <w:right w:val="single" w:color="auto" w:sz="4" w:space="0"/>
            </w:tcBorders>
            <w:noWrap w:val="0"/>
            <w:vAlign w:val="top"/>
          </w:tcPr>
          <w:p w14:paraId="13962D08">
            <w:pPr>
              <w:spacing w:line="440" w:lineRule="exact"/>
              <w:jc w:val="left"/>
              <w:rPr>
                <w:rFonts w:hint="eastAsia" w:ascii="仿宋" w:hAnsi="仿宋" w:eastAsia="仿宋" w:cs="仿宋"/>
                <w:color w:val="auto"/>
                <w:szCs w:val="21"/>
                <w:highlight w:val="none"/>
              </w:rPr>
            </w:pPr>
          </w:p>
        </w:tc>
        <w:tc>
          <w:tcPr>
            <w:tcW w:w="2654" w:type="dxa"/>
            <w:tcBorders>
              <w:top w:val="single" w:color="auto" w:sz="4" w:space="0"/>
              <w:left w:val="single" w:color="auto" w:sz="4" w:space="0"/>
              <w:bottom w:val="single" w:color="auto" w:sz="4" w:space="0"/>
              <w:right w:val="single" w:color="auto" w:sz="4" w:space="0"/>
            </w:tcBorders>
            <w:noWrap w:val="0"/>
            <w:vAlign w:val="center"/>
          </w:tcPr>
          <w:p w14:paraId="22E2E651">
            <w:pPr>
              <w:keepNext w:val="0"/>
              <w:keepLines w:val="0"/>
              <w:pageBreakBefore w:val="0"/>
              <w:widowControl/>
              <w:kinsoku/>
              <w:wordWrap/>
              <w:overflowPunct/>
              <w:topLinePunct w:val="0"/>
              <w:autoSpaceDE/>
              <w:autoSpaceDN/>
              <w:bidi w:val="0"/>
              <w:adjustRightInd/>
              <w:snapToGrid/>
              <w:ind w:firstLine="0" w:firstLineChars="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设备配置（5分）</w:t>
            </w:r>
          </w:p>
        </w:tc>
        <w:tc>
          <w:tcPr>
            <w:tcW w:w="4502" w:type="dxa"/>
            <w:tcBorders>
              <w:top w:val="single" w:color="auto" w:sz="4" w:space="0"/>
              <w:left w:val="single" w:color="auto" w:sz="4" w:space="0"/>
              <w:bottom w:val="single" w:color="auto" w:sz="4" w:space="0"/>
            </w:tcBorders>
            <w:noWrap w:val="0"/>
            <w:vAlign w:val="top"/>
          </w:tcPr>
          <w:p w14:paraId="4E22EC2C">
            <w:pPr>
              <w:keepNext w:val="0"/>
              <w:keepLines w:val="0"/>
              <w:pageBreakBefore w:val="0"/>
              <w:widowControl/>
              <w:kinsoku/>
              <w:wordWrap/>
              <w:overflowPunct/>
              <w:topLinePunct w:val="0"/>
              <w:autoSpaceDE/>
              <w:autoSpaceDN/>
              <w:bidi w:val="0"/>
              <w:adjustRightInd/>
              <w:snapToGrid/>
              <w:spacing w:line="276" w:lineRule="auto"/>
              <w:ind w:firstLine="0" w:firstLineChars="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根据所投设备（包括但不限于格栅、风机、水泵、加药、消毒等）关键型式、设备材质及关键设备的要求等进行</w:t>
            </w:r>
            <w:r>
              <w:rPr>
                <w:rFonts w:hint="eastAsia" w:ascii="仿宋" w:hAnsi="仿宋" w:eastAsia="仿宋" w:cs="仿宋"/>
                <w:color w:val="auto"/>
                <w:sz w:val="24"/>
                <w:szCs w:val="24"/>
                <w:highlight w:val="none"/>
                <w:lang w:val="en-US" w:eastAsia="zh-CN"/>
              </w:rPr>
              <w:t>综合</w:t>
            </w:r>
            <w:r>
              <w:rPr>
                <w:rFonts w:hint="eastAsia" w:ascii="仿宋" w:hAnsi="仿宋" w:eastAsia="仿宋" w:cs="仿宋"/>
                <w:color w:val="auto"/>
                <w:sz w:val="24"/>
                <w:szCs w:val="24"/>
                <w:highlight w:val="none"/>
              </w:rPr>
              <w:t>评分：</w:t>
            </w:r>
          </w:p>
          <w:p w14:paraId="2BC19811">
            <w:pPr>
              <w:keepNext w:val="0"/>
              <w:keepLines w:val="0"/>
              <w:pageBreakBefore w:val="0"/>
              <w:widowControl/>
              <w:kinsoku/>
              <w:wordWrap/>
              <w:overflowPunct/>
              <w:topLinePunct w:val="0"/>
              <w:autoSpaceDE/>
              <w:autoSpaceDN/>
              <w:bidi w:val="0"/>
              <w:adjustRightInd/>
              <w:snapToGrid/>
              <w:spacing w:line="276" w:lineRule="auto"/>
              <w:ind w:firstLine="0" w:firstLineChars="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（1）投标方提供全部所投设备及配套设施配置技术材料，所有提供关键部件设备与技术要求完全匹配且明确响应关键设备</w:t>
            </w:r>
            <w:r>
              <w:rPr>
                <w:rFonts w:hint="eastAsia" w:ascii="仿宋" w:hAnsi="仿宋" w:eastAsia="仿宋" w:cs="仿宋"/>
                <w:color w:val="auto"/>
                <w:sz w:val="24"/>
                <w:szCs w:val="24"/>
                <w:highlight w:val="none"/>
                <w:lang w:val="en-US" w:eastAsia="zh-CN"/>
              </w:rPr>
              <w:t>并列明所投设备</w:t>
            </w:r>
            <w:r>
              <w:rPr>
                <w:rFonts w:hint="eastAsia" w:ascii="仿宋" w:hAnsi="仿宋" w:eastAsia="仿宋" w:cs="仿宋"/>
                <w:color w:val="auto"/>
                <w:sz w:val="24"/>
                <w:szCs w:val="24"/>
                <w:highlight w:val="none"/>
              </w:rPr>
              <w:t>品牌</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得</w:t>
            </w:r>
            <w:r>
              <w:rPr>
                <w:rFonts w:hint="eastAsia" w:ascii="仿宋" w:hAnsi="仿宋" w:eastAsia="仿宋" w:cs="仿宋"/>
                <w:color w:val="auto"/>
                <w:sz w:val="24"/>
                <w:szCs w:val="24"/>
                <w:highlight w:val="none"/>
              </w:rPr>
              <w:t>5.0分。</w:t>
            </w:r>
          </w:p>
          <w:p w14:paraId="23D8AE1C">
            <w:pPr>
              <w:keepNext w:val="0"/>
              <w:keepLines w:val="0"/>
              <w:pageBreakBefore w:val="0"/>
              <w:widowControl/>
              <w:kinsoku/>
              <w:wordWrap/>
              <w:overflowPunct/>
              <w:topLinePunct w:val="0"/>
              <w:autoSpaceDE/>
              <w:autoSpaceDN/>
              <w:bidi w:val="0"/>
              <w:adjustRightInd/>
              <w:snapToGrid/>
              <w:spacing w:line="276" w:lineRule="auto"/>
              <w:ind w:firstLine="0" w:firstLineChars="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（2）投标方所投设备及配套设施配置资料存在缺项，关键部件设备与技术规格要求存在负偏离，</w:t>
            </w:r>
            <w:r>
              <w:rPr>
                <w:rFonts w:hint="eastAsia" w:ascii="仿宋" w:hAnsi="仿宋" w:eastAsia="仿宋" w:cs="仿宋"/>
                <w:color w:val="auto"/>
                <w:sz w:val="24"/>
                <w:szCs w:val="24"/>
                <w:highlight w:val="none"/>
                <w:lang w:val="en-US" w:eastAsia="zh-CN"/>
              </w:rPr>
              <w:t>得</w:t>
            </w:r>
            <w:r>
              <w:rPr>
                <w:rFonts w:hint="eastAsia" w:ascii="仿宋" w:hAnsi="仿宋" w:eastAsia="仿宋" w:cs="仿宋"/>
                <w:color w:val="auto"/>
                <w:sz w:val="24"/>
                <w:szCs w:val="24"/>
                <w:highlight w:val="none"/>
              </w:rPr>
              <w:t>3.0分。</w:t>
            </w:r>
          </w:p>
          <w:p w14:paraId="5A2BE19E">
            <w:pPr>
              <w:keepNext w:val="0"/>
              <w:keepLines w:val="0"/>
              <w:pageBreakBefore w:val="0"/>
              <w:widowControl/>
              <w:kinsoku/>
              <w:wordWrap/>
              <w:overflowPunct/>
              <w:topLinePunct w:val="0"/>
              <w:autoSpaceDE/>
              <w:autoSpaceDN/>
              <w:bidi w:val="0"/>
              <w:adjustRightInd/>
              <w:snapToGrid/>
              <w:ind w:firstLine="0" w:firstLineChars="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（3）投标方提供所投设备及配套设施配置资料</w:t>
            </w:r>
            <w:r>
              <w:rPr>
                <w:rFonts w:hint="eastAsia" w:ascii="仿宋" w:hAnsi="仿宋" w:cs="仿宋"/>
                <w:color w:val="auto"/>
                <w:sz w:val="24"/>
                <w:szCs w:val="24"/>
                <w:highlight w:val="none"/>
                <w:lang w:val="en-US" w:eastAsia="zh-CN"/>
              </w:rPr>
              <w:t>缺项</w:t>
            </w:r>
            <w:r>
              <w:rPr>
                <w:rFonts w:hint="eastAsia" w:ascii="仿宋" w:hAnsi="仿宋" w:eastAsia="仿宋" w:cs="仿宋"/>
                <w:color w:val="auto"/>
                <w:sz w:val="24"/>
                <w:szCs w:val="24"/>
                <w:highlight w:val="none"/>
              </w:rPr>
              <w:t>，关键部件设备不符合技术规格要求，完全偏离招标文件要求</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得</w:t>
            </w:r>
            <w:r>
              <w:rPr>
                <w:rFonts w:hint="eastAsia" w:ascii="仿宋" w:hAnsi="仿宋" w:cs="仿宋"/>
                <w:color w:val="auto"/>
                <w:sz w:val="24"/>
                <w:szCs w:val="24"/>
                <w:highlight w:val="none"/>
                <w:lang w:val="en-US" w:eastAsia="zh-CN"/>
              </w:rPr>
              <w:t>1</w:t>
            </w:r>
            <w:r>
              <w:rPr>
                <w:rFonts w:hint="eastAsia" w:ascii="仿宋" w:hAnsi="仿宋" w:eastAsia="仿宋" w:cs="仿宋"/>
                <w:color w:val="auto"/>
                <w:sz w:val="24"/>
                <w:szCs w:val="24"/>
                <w:highlight w:val="none"/>
              </w:rPr>
              <w:t>分。</w:t>
            </w:r>
          </w:p>
          <w:p w14:paraId="47C3DDB6">
            <w:pPr>
              <w:pStyle w:val="17"/>
              <w:ind w:left="0" w:leftChars="0" w:firstLine="0" w:firstLineChars="0"/>
              <w:jc w:val="both"/>
              <w:rPr>
                <w:rFonts w:hint="default" w:eastAsia="仿宋"/>
                <w:color w:val="auto"/>
                <w:highlight w:val="none"/>
                <w:lang w:val="en-US" w:eastAsia="zh-CN"/>
              </w:rPr>
            </w:pPr>
            <w:r>
              <w:rPr>
                <w:rFonts w:hint="eastAsia" w:ascii="仿宋" w:hAnsi="仿宋" w:cs="仿宋"/>
                <w:color w:val="auto"/>
                <w:sz w:val="24"/>
                <w:szCs w:val="24"/>
                <w:highlight w:val="none"/>
                <w:lang w:eastAsia="zh-CN"/>
              </w:rPr>
              <w:t>（</w:t>
            </w:r>
            <w:r>
              <w:rPr>
                <w:rFonts w:hint="eastAsia" w:ascii="仿宋" w:hAnsi="仿宋" w:cs="仿宋"/>
                <w:color w:val="auto"/>
                <w:sz w:val="24"/>
                <w:szCs w:val="24"/>
                <w:highlight w:val="none"/>
                <w:lang w:val="en-US" w:eastAsia="zh-CN"/>
              </w:rPr>
              <w:t>4</w:t>
            </w:r>
            <w:r>
              <w:rPr>
                <w:rFonts w:hint="eastAsia" w:ascii="仿宋" w:hAnsi="仿宋" w:cs="仿宋"/>
                <w:color w:val="auto"/>
                <w:sz w:val="24"/>
                <w:szCs w:val="24"/>
                <w:highlight w:val="none"/>
                <w:lang w:eastAsia="zh-CN"/>
              </w:rPr>
              <w:t>）</w:t>
            </w:r>
            <w:r>
              <w:rPr>
                <w:rFonts w:hint="eastAsia" w:ascii="仿宋" w:hAnsi="仿宋" w:cs="仿宋"/>
                <w:color w:val="auto"/>
                <w:sz w:val="24"/>
                <w:szCs w:val="24"/>
                <w:highlight w:val="none"/>
                <w:lang w:val="en-US" w:eastAsia="zh-CN"/>
              </w:rPr>
              <w:t>未提供的不得分。</w:t>
            </w:r>
          </w:p>
        </w:tc>
      </w:tr>
      <w:tr w14:paraId="5CE9321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00" w:type="dxa"/>
            <w:vMerge w:val="continue"/>
            <w:tcBorders>
              <w:right w:val="single" w:color="auto" w:sz="4" w:space="0"/>
            </w:tcBorders>
            <w:noWrap w:val="0"/>
            <w:vAlign w:val="top"/>
          </w:tcPr>
          <w:p w14:paraId="421A6FF5">
            <w:pPr>
              <w:spacing w:line="440" w:lineRule="exact"/>
              <w:jc w:val="left"/>
              <w:rPr>
                <w:rFonts w:hint="eastAsia" w:ascii="仿宋" w:hAnsi="仿宋" w:eastAsia="仿宋" w:cs="仿宋"/>
                <w:color w:val="auto"/>
                <w:szCs w:val="21"/>
                <w:highlight w:val="none"/>
              </w:rPr>
            </w:pPr>
          </w:p>
        </w:tc>
        <w:tc>
          <w:tcPr>
            <w:tcW w:w="1124" w:type="dxa"/>
            <w:vMerge w:val="continue"/>
            <w:tcBorders>
              <w:right w:val="single" w:color="auto" w:sz="4" w:space="0"/>
            </w:tcBorders>
            <w:noWrap w:val="0"/>
            <w:vAlign w:val="top"/>
          </w:tcPr>
          <w:p w14:paraId="4CB4F1CC">
            <w:pPr>
              <w:spacing w:line="440" w:lineRule="exact"/>
              <w:jc w:val="left"/>
              <w:rPr>
                <w:rFonts w:hint="eastAsia" w:ascii="仿宋" w:hAnsi="仿宋" w:eastAsia="仿宋" w:cs="仿宋"/>
                <w:color w:val="auto"/>
                <w:szCs w:val="21"/>
                <w:highlight w:val="none"/>
              </w:rPr>
            </w:pPr>
          </w:p>
        </w:tc>
        <w:tc>
          <w:tcPr>
            <w:tcW w:w="2654" w:type="dxa"/>
            <w:tcBorders>
              <w:top w:val="single" w:color="auto" w:sz="4" w:space="0"/>
              <w:left w:val="single" w:color="auto" w:sz="4" w:space="0"/>
              <w:bottom w:val="single" w:color="auto" w:sz="4" w:space="0"/>
              <w:right w:val="single" w:color="auto" w:sz="4" w:space="0"/>
            </w:tcBorders>
            <w:noWrap w:val="0"/>
            <w:vAlign w:val="center"/>
          </w:tcPr>
          <w:p w14:paraId="1C5DF5D5">
            <w:pPr>
              <w:keepNext w:val="0"/>
              <w:keepLines w:val="0"/>
              <w:pageBreakBefore w:val="0"/>
              <w:widowControl/>
              <w:kinsoku/>
              <w:wordWrap/>
              <w:overflowPunct/>
              <w:topLinePunct w:val="0"/>
              <w:autoSpaceDE/>
              <w:autoSpaceDN/>
              <w:bidi w:val="0"/>
              <w:adjustRightInd/>
              <w:snapToGrid/>
              <w:ind w:firstLine="0" w:firstLineChars="0"/>
              <w:jc w:val="left"/>
              <w:textAlignment w:val="auto"/>
              <w:rPr>
                <w:rFonts w:hint="eastAsia" w:ascii="仿宋" w:hAnsi="仿宋" w:eastAsia="仿宋" w:cs="仿宋"/>
                <w:color w:val="auto"/>
                <w:sz w:val="24"/>
                <w:szCs w:val="24"/>
                <w:highlight w:val="none"/>
                <w:lang w:eastAsia="zh-TW"/>
              </w:rPr>
            </w:pPr>
            <w:r>
              <w:rPr>
                <w:rFonts w:hint="eastAsia" w:ascii="仿宋" w:hAnsi="仿宋" w:eastAsia="仿宋" w:cs="仿宋"/>
                <w:color w:val="auto"/>
                <w:sz w:val="24"/>
                <w:szCs w:val="24"/>
                <w:highlight w:val="none"/>
              </w:rPr>
              <w:t>工艺包设备技术方案及性能（</w:t>
            </w: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rPr>
              <w:t>分）</w:t>
            </w:r>
          </w:p>
        </w:tc>
        <w:tc>
          <w:tcPr>
            <w:tcW w:w="4502" w:type="dxa"/>
            <w:tcBorders>
              <w:top w:val="single" w:color="auto" w:sz="4" w:space="0"/>
              <w:left w:val="single" w:color="auto" w:sz="4" w:space="0"/>
              <w:bottom w:val="single" w:color="auto" w:sz="4" w:space="0"/>
            </w:tcBorders>
            <w:noWrap w:val="0"/>
            <w:vAlign w:val="top"/>
          </w:tcPr>
          <w:p w14:paraId="05F17942">
            <w:pPr>
              <w:keepNext w:val="0"/>
              <w:keepLines w:val="0"/>
              <w:pageBreakBefore w:val="0"/>
              <w:widowControl/>
              <w:kinsoku/>
              <w:wordWrap/>
              <w:overflowPunct/>
              <w:topLinePunct w:val="0"/>
              <w:autoSpaceDE/>
              <w:autoSpaceDN/>
              <w:bidi w:val="0"/>
              <w:adjustRightInd/>
              <w:snapToGrid/>
              <w:spacing w:line="276" w:lineRule="auto"/>
              <w:ind w:firstLine="0" w:firstLineChars="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根据投标人为本项目需求提供的除氟工艺包、改良SBR生化池工艺包、臭氧接触氧化工艺包工艺设备技术方案、设备性能进行评分：</w:t>
            </w:r>
          </w:p>
          <w:p w14:paraId="16953089">
            <w:pPr>
              <w:keepNext w:val="0"/>
              <w:keepLines w:val="0"/>
              <w:pageBreakBefore w:val="0"/>
              <w:widowControl/>
              <w:kinsoku/>
              <w:wordWrap/>
              <w:overflowPunct/>
              <w:topLinePunct w:val="0"/>
              <w:autoSpaceDE/>
              <w:autoSpaceDN/>
              <w:bidi w:val="0"/>
              <w:adjustRightInd/>
              <w:snapToGrid/>
              <w:spacing w:line="276" w:lineRule="auto"/>
              <w:ind w:firstLine="0" w:firstLineChars="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（1）投标人提供的技术方案及设备性能内容详细具体、含工艺包设计工艺图、提资图等，完全符合本项目现场实际需求，实施思路清晰、技术先进、设计布局合理、可行性强且满足实施要求</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得5</w:t>
            </w:r>
            <w:r>
              <w:rPr>
                <w:rFonts w:hint="eastAsia" w:ascii="仿宋" w:hAnsi="仿宋" w:eastAsia="仿宋" w:cs="仿宋"/>
                <w:color w:val="auto"/>
                <w:sz w:val="24"/>
                <w:szCs w:val="24"/>
                <w:highlight w:val="none"/>
              </w:rPr>
              <w:t>.0分。</w:t>
            </w:r>
          </w:p>
          <w:p w14:paraId="69BDC665">
            <w:pPr>
              <w:keepNext w:val="0"/>
              <w:keepLines w:val="0"/>
              <w:pageBreakBefore w:val="0"/>
              <w:widowControl/>
              <w:kinsoku/>
              <w:wordWrap/>
              <w:overflowPunct/>
              <w:topLinePunct w:val="0"/>
              <w:autoSpaceDE/>
              <w:autoSpaceDN/>
              <w:bidi w:val="0"/>
              <w:adjustRightInd/>
              <w:snapToGrid/>
              <w:spacing w:line="276" w:lineRule="auto"/>
              <w:ind w:firstLine="0" w:firstLineChars="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（2）投标人提供的技术方案及设备性能内容完善，含工艺包设计工艺图、提资图等，符合本项目实际需求，项目整体实施思路较清晰、设计布局基本合理、具有一定可行性，能满足实施要求</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得3</w:t>
            </w:r>
            <w:r>
              <w:rPr>
                <w:rFonts w:hint="eastAsia" w:ascii="仿宋" w:hAnsi="仿宋" w:eastAsia="仿宋" w:cs="仿宋"/>
                <w:color w:val="auto"/>
                <w:sz w:val="24"/>
                <w:szCs w:val="24"/>
                <w:highlight w:val="none"/>
              </w:rPr>
              <w:t>.0分。</w:t>
            </w:r>
          </w:p>
          <w:p w14:paraId="16E963F6">
            <w:pPr>
              <w:pStyle w:val="95"/>
              <w:keepNext w:val="0"/>
              <w:keepLines w:val="0"/>
              <w:pageBreakBefore w:val="0"/>
              <w:widowControl/>
              <w:kinsoku/>
              <w:wordWrap/>
              <w:overflowPunct/>
              <w:topLinePunct w:val="0"/>
              <w:autoSpaceDE/>
              <w:autoSpaceDN/>
              <w:bidi w:val="0"/>
              <w:adjustRightInd/>
              <w:snapToGrid/>
              <w:ind w:firstLine="0" w:firstLineChars="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（3）投标人提供的设计方案及设备性能内容不具体且不符合本项目实际需求，项目整体实施思路模糊且可行性较差</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得1.0</w:t>
            </w:r>
            <w:r>
              <w:rPr>
                <w:rFonts w:hint="eastAsia" w:ascii="仿宋" w:hAnsi="仿宋" w:eastAsia="仿宋" w:cs="仿宋"/>
                <w:color w:val="auto"/>
                <w:sz w:val="24"/>
                <w:szCs w:val="24"/>
                <w:highlight w:val="none"/>
              </w:rPr>
              <w:t>分。</w:t>
            </w:r>
          </w:p>
          <w:p w14:paraId="03E8207F">
            <w:pPr>
              <w:pStyle w:val="95"/>
              <w:keepNext w:val="0"/>
              <w:keepLines w:val="0"/>
              <w:pageBreakBefore w:val="0"/>
              <w:widowControl/>
              <w:kinsoku/>
              <w:wordWrap/>
              <w:overflowPunct/>
              <w:topLinePunct w:val="0"/>
              <w:autoSpaceDE/>
              <w:autoSpaceDN/>
              <w:bidi w:val="0"/>
              <w:adjustRightInd/>
              <w:snapToGrid/>
              <w:ind w:firstLine="0" w:firstLineChars="0"/>
              <w:jc w:val="left"/>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（4）未提供的不得分。</w:t>
            </w:r>
          </w:p>
        </w:tc>
      </w:tr>
      <w:tr w14:paraId="4F8647E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00" w:type="dxa"/>
            <w:vMerge w:val="continue"/>
            <w:tcBorders>
              <w:right w:val="single" w:color="auto" w:sz="4" w:space="0"/>
            </w:tcBorders>
            <w:noWrap w:val="0"/>
            <w:vAlign w:val="top"/>
          </w:tcPr>
          <w:p w14:paraId="2D2015FA">
            <w:pPr>
              <w:spacing w:line="440" w:lineRule="exact"/>
              <w:jc w:val="left"/>
              <w:rPr>
                <w:rFonts w:hint="eastAsia" w:ascii="仿宋" w:hAnsi="仿宋" w:eastAsia="仿宋" w:cs="仿宋"/>
                <w:color w:val="auto"/>
                <w:szCs w:val="21"/>
                <w:highlight w:val="none"/>
              </w:rPr>
            </w:pPr>
          </w:p>
        </w:tc>
        <w:tc>
          <w:tcPr>
            <w:tcW w:w="1124" w:type="dxa"/>
            <w:vMerge w:val="continue"/>
            <w:tcBorders>
              <w:right w:val="single" w:color="auto" w:sz="4" w:space="0"/>
            </w:tcBorders>
            <w:noWrap w:val="0"/>
            <w:vAlign w:val="top"/>
          </w:tcPr>
          <w:p w14:paraId="0E8DA5A7">
            <w:pPr>
              <w:spacing w:line="440" w:lineRule="exact"/>
              <w:jc w:val="left"/>
              <w:rPr>
                <w:rFonts w:hint="eastAsia" w:ascii="仿宋" w:hAnsi="仿宋" w:eastAsia="仿宋" w:cs="仿宋"/>
                <w:color w:val="auto"/>
                <w:szCs w:val="21"/>
                <w:highlight w:val="none"/>
              </w:rPr>
            </w:pPr>
          </w:p>
        </w:tc>
        <w:tc>
          <w:tcPr>
            <w:tcW w:w="2654" w:type="dxa"/>
            <w:tcBorders>
              <w:top w:val="single" w:color="auto" w:sz="4" w:space="0"/>
              <w:left w:val="single" w:color="auto" w:sz="4" w:space="0"/>
              <w:bottom w:val="single" w:color="auto" w:sz="4" w:space="0"/>
              <w:right w:val="single" w:color="auto" w:sz="4" w:space="0"/>
            </w:tcBorders>
            <w:noWrap w:val="0"/>
            <w:vAlign w:val="top"/>
          </w:tcPr>
          <w:p w14:paraId="1A4D3C43">
            <w:pPr>
              <w:keepNext w:val="0"/>
              <w:keepLines w:val="0"/>
              <w:pageBreakBefore w:val="0"/>
              <w:widowControl/>
              <w:kinsoku/>
              <w:wordWrap/>
              <w:overflowPunct/>
              <w:topLinePunct w:val="0"/>
              <w:autoSpaceDE/>
              <w:autoSpaceDN/>
              <w:bidi w:val="0"/>
              <w:adjustRightInd/>
              <w:snapToGrid/>
              <w:ind w:firstLine="0" w:firstLineChars="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运营维护方案（</w:t>
            </w:r>
            <w:r>
              <w:rPr>
                <w:rFonts w:hint="eastAsia" w:ascii="仿宋" w:hAnsi="仿宋" w:eastAsia="仿宋" w:cs="仿宋"/>
                <w:color w:val="auto"/>
                <w:sz w:val="24"/>
                <w:szCs w:val="24"/>
                <w:highlight w:val="none"/>
                <w:lang w:val="en-US" w:eastAsia="zh-CN"/>
              </w:rPr>
              <w:t>4</w:t>
            </w:r>
            <w:r>
              <w:rPr>
                <w:rFonts w:hint="eastAsia" w:ascii="仿宋" w:hAnsi="仿宋" w:eastAsia="仿宋" w:cs="仿宋"/>
                <w:color w:val="auto"/>
                <w:sz w:val="24"/>
                <w:szCs w:val="24"/>
                <w:highlight w:val="none"/>
              </w:rPr>
              <w:t>分）</w:t>
            </w:r>
          </w:p>
        </w:tc>
        <w:tc>
          <w:tcPr>
            <w:tcW w:w="4502" w:type="dxa"/>
            <w:tcBorders>
              <w:top w:val="single" w:color="auto" w:sz="4" w:space="0"/>
              <w:left w:val="single" w:color="auto" w:sz="4" w:space="0"/>
              <w:bottom w:val="single" w:color="auto" w:sz="4" w:space="0"/>
            </w:tcBorders>
            <w:noWrap w:val="0"/>
            <w:vAlign w:val="top"/>
          </w:tcPr>
          <w:p w14:paraId="5713E1CC">
            <w:pPr>
              <w:keepNext w:val="0"/>
              <w:keepLines w:val="0"/>
              <w:pageBreakBefore w:val="0"/>
              <w:widowControl/>
              <w:kinsoku/>
              <w:wordWrap/>
              <w:overflowPunct/>
              <w:topLinePunct w:val="0"/>
              <w:autoSpaceDE/>
              <w:autoSpaceDN/>
              <w:bidi w:val="0"/>
              <w:adjustRightInd/>
              <w:snapToGrid/>
              <w:spacing w:line="276" w:lineRule="auto"/>
              <w:ind w:firstLine="0" w:firstLineChars="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投标人提供的运营维护方案的科学性、合理性和可实施性、人员配置、设备设施、保障措施等与本项目特点的适应性进行评分。</w:t>
            </w:r>
          </w:p>
          <w:p w14:paraId="73782D98">
            <w:pPr>
              <w:keepNext w:val="0"/>
              <w:keepLines w:val="0"/>
              <w:pageBreakBefore w:val="0"/>
              <w:widowControl/>
              <w:kinsoku/>
              <w:wordWrap/>
              <w:overflowPunct/>
              <w:topLinePunct w:val="0"/>
              <w:autoSpaceDE/>
              <w:autoSpaceDN/>
              <w:bidi w:val="0"/>
              <w:adjustRightInd/>
              <w:snapToGrid/>
              <w:spacing w:line="276" w:lineRule="auto"/>
              <w:ind w:firstLine="0" w:firstLineChars="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投标人提供的运营维护方案全面、科学、合理</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得4</w:t>
            </w:r>
            <w:r>
              <w:rPr>
                <w:rFonts w:hint="eastAsia" w:ascii="仿宋" w:hAnsi="仿宋" w:eastAsia="仿宋" w:cs="仿宋"/>
                <w:color w:val="auto"/>
                <w:sz w:val="24"/>
                <w:szCs w:val="24"/>
                <w:highlight w:val="none"/>
              </w:rPr>
              <w:t>.0分。</w:t>
            </w:r>
          </w:p>
          <w:p w14:paraId="324DAB39">
            <w:pPr>
              <w:keepNext w:val="0"/>
              <w:keepLines w:val="0"/>
              <w:pageBreakBefore w:val="0"/>
              <w:widowControl/>
              <w:kinsoku/>
              <w:wordWrap/>
              <w:overflowPunct/>
              <w:topLinePunct w:val="0"/>
              <w:autoSpaceDE/>
              <w:autoSpaceDN/>
              <w:bidi w:val="0"/>
              <w:adjustRightInd/>
              <w:snapToGrid/>
              <w:spacing w:line="276" w:lineRule="auto"/>
              <w:ind w:firstLine="0" w:firstLineChars="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（2）投标人提供的运营维护方案基本全面、科学、合理</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得2.0</w:t>
            </w:r>
            <w:r>
              <w:rPr>
                <w:rFonts w:hint="eastAsia" w:ascii="仿宋" w:hAnsi="仿宋" w:eastAsia="仿宋" w:cs="仿宋"/>
                <w:color w:val="auto"/>
                <w:sz w:val="24"/>
                <w:szCs w:val="24"/>
                <w:highlight w:val="none"/>
              </w:rPr>
              <w:t>分。</w:t>
            </w:r>
          </w:p>
          <w:p w14:paraId="191383C5">
            <w:pPr>
              <w:pStyle w:val="95"/>
              <w:keepNext w:val="0"/>
              <w:keepLines w:val="0"/>
              <w:pageBreakBefore w:val="0"/>
              <w:widowControl/>
              <w:kinsoku/>
              <w:wordWrap/>
              <w:overflowPunct/>
              <w:topLinePunct w:val="0"/>
              <w:autoSpaceDE/>
              <w:autoSpaceDN/>
              <w:bidi w:val="0"/>
              <w:adjustRightInd/>
              <w:snapToGrid/>
              <w:ind w:firstLine="0" w:firstLineChars="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（3）有方案但是论证欠全面、表述较差</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得1.0</w:t>
            </w:r>
            <w:r>
              <w:rPr>
                <w:rFonts w:hint="eastAsia" w:ascii="仿宋" w:hAnsi="仿宋" w:eastAsia="仿宋" w:cs="仿宋"/>
                <w:color w:val="auto"/>
                <w:sz w:val="24"/>
                <w:szCs w:val="24"/>
                <w:highlight w:val="none"/>
              </w:rPr>
              <w:t>分。</w:t>
            </w:r>
          </w:p>
          <w:p w14:paraId="20E5B86C">
            <w:pPr>
              <w:pStyle w:val="95"/>
              <w:keepNext w:val="0"/>
              <w:keepLines w:val="0"/>
              <w:pageBreakBefore w:val="0"/>
              <w:widowControl/>
              <w:kinsoku/>
              <w:wordWrap/>
              <w:overflowPunct/>
              <w:topLinePunct w:val="0"/>
              <w:autoSpaceDE/>
              <w:autoSpaceDN/>
              <w:bidi w:val="0"/>
              <w:adjustRightInd/>
              <w:snapToGrid/>
              <w:ind w:firstLine="0" w:firstLineChars="0"/>
              <w:jc w:val="left"/>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4</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未提供的不得分。</w:t>
            </w:r>
          </w:p>
        </w:tc>
      </w:tr>
      <w:tr w14:paraId="2F9B95B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00" w:type="dxa"/>
            <w:vMerge w:val="continue"/>
            <w:tcBorders>
              <w:right w:val="single" w:color="auto" w:sz="4" w:space="0"/>
            </w:tcBorders>
            <w:noWrap w:val="0"/>
            <w:vAlign w:val="top"/>
          </w:tcPr>
          <w:p w14:paraId="35727508">
            <w:pPr>
              <w:spacing w:line="440" w:lineRule="exact"/>
              <w:jc w:val="left"/>
              <w:rPr>
                <w:rFonts w:hint="eastAsia" w:ascii="仿宋" w:hAnsi="仿宋" w:eastAsia="仿宋" w:cs="仿宋"/>
                <w:color w:val="auto"/>
                <w:szCs w:val="21"/>
                <w:highlight w:val="none"/>
              </w:rPr>
            </w:pPr>
          </w:p>
        </w:tc>
        <w:tc>
          <w:tcPr>
            <w:tcW w:w="1124" w:type="dxa"/>
            <w:vMerge w:val="continue"/>
            <w:tcBorders>
              <w:right w:val="single" w:color="auto" w:sz="4" w:space="0"/>
            </w:tcBorders>
            <w:noWrap w:val="0"/>
            <w:vAlign w:val="top"/>
          </w:tcPr>
          <w:p w14:paraId="3FF4B308">
            <w:pPr>
              <w:spacing w:line="440" w:lineRule="exact"/>
              <w:jc w:val="left"/>
              <w:rPr>
                <w:rFonts w:hint="eastAsia" w:ascii="仿宋" w:hAnsi="仿宋" w:eastAsia="仿宋" w:cs="仿宋"/>
                <w:color w:val="auto"/>
                <w:szCs w:val="21"/>
                <w:highlight w:val="none"/>
              </w:rPr>
            </w:pPr>
          </w:p>
        </w:tc>
        <w:tc>
          <w:tcPr>
            <w:tcW w:w="2654" w:type="dxa"/>
            <w:tcBorders>
              <w:top w:val="single" w:color="auto" w:sz="4" w:space="0"/>
              <w:left w:val="single" w:color="auto" w:sz="4" w:space="0"/>
              <w:bottom w:val="single" w:color="auto" w:sz="4" w:space="0"/>
              <w:right w:val="single" w:color="auto" w:sz="4" w:space="0"/>
            </w:tcBorders>
            <w:noWrap w:val="0"/>
            <w:vAlign w:val="center"/>
          </w:tcPr>
          <w:p w14:paraId="3BB8059A">
            <w:pPr>
              <w:keepNext w:val="0"/>
              <w:keepLines w:val="0"/>
              <w:pageBreakBefore w:val="0"/>
              <w:widowControl/>
              <w:kinsoku/>
              <w:wordWrap/>
              <w:overflowPunct/>
              <w:topLinePunct w:val="0"/>
              <w:autoSpaceDE/>
              <w:autoSpaceDN/>
              <w:bidi w:val="0"/>
              <w:adjustRightInd/>
              <w:snapToGrid/>
              <w:ind w:firstLine="0" w:firstLineChars="0"/>
              <w:jc w:val="left"/>
              <w:textAlignment w:val="auto"/>
              <w:rPr>
                <w:rFonts w:hint="eastAsia" w:ascii="仿宋" w:hAnsi="仿宋" w:eastAsia="仿宋" w:cs="仿宋"/>
                <w:color w:val="auto"/>
                <w:sz w:val="24"/>
                <w:szCs w:val="24"/>
                <w:highlight w:val="none"/>
                <w:lang w:eastAsia="zh-TW"/>
              </w:rPr>
            </w:pPr>
            <w:r>
              <w:rPr>
                <w:rFonts w:hint="eastAsia" w:ascii="仿宋" w:hAnsi="仿宋" w:eastAsia="仿宋" w:cs="仿宋"/>
                <w:color w:val="auto"/>
                <w:sz w:val="24"/>
                <w:szCs w:val="24"/>
                <w:highlight w:val="none"/>
              </w:rPr>
              <w:t>应急预案（</w:t>
            </w: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rPr>
              <w:t>分）</w:t>
            </w:r>
          </w:p>
        </w:tc>
        <w:tc>
          <w:tcPr>
            <w:tcW w:w="4502" w:type="dxa"/>
            <w:tcBorders>
              <w:top w:val="single" w:color="auto" w:sz="4" w:space="0"/>
              <w:left w:val="single" w:color="auto" w:sz="4" w:space="0"/>
              <w:bottom w:val="single" w:color="auto" w:sz="4" w:space="0"/>
            </w:tcBorders>
            <w:noWrap w:val="0"/>
            <w:vAlign w:val="top"/>
          </w:tcPr>
          <w:p w14:paraId="15E16111">
            <w:pPr>
              <w:pStyle w:val="95"/>
              <w:keepNext w:val="0"/>
              <w:keepLines w:val="0"/>
              <w:pageBreakBefore w:val="0"/>
              <w:widowControl/>
              <w:kinsoku/>
              <w:wordWrap/>
              <w:overflowPunct/>
              <w:topLinePunct w:val="0"/>
              <w:autoSpaceDE/>
              <w:autoSpaceDN/>
              <w:bidi w:val="0"/>
              <w:adjustRightInd/>
              <w:snapToGrid/>
              <w:spacing w:line="276" w:lineRule="auto"/>
              <w:ind w:firstLine="0" w:firstLineChars="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投标人提供的应急预案对突发事件（包括重大节假日、极端天气、突发事件等）的解决方案、媒体与公众投诉处置应对方案要有针对性，符合项目实际情况。</w:t>
            </w:r>
          </w:p>
          <w:p w14:paraId="00B9E93A">
            <w:pPr>
              <w:pStyle w:val="95"/>
              <w:keepNext w:val="0"/>
              <w:keepLines w:val="0"/>
              <w:pageBreakBefore w:val="0"/>
              <w:widowControl/>
              <w:kinsoku/>
              <w:wordWrap/>
              <w:overflowPunct/>
              <w:topLinePunct w:val="0"/>
              <w:autoSpaceDE/>
              <w:autoSpaceDN/>
              <w:bidi w:val="0"/>
              <w:adjustRightInd/>
              <w:snapToGrid/>
              <w:spacing w:line="276" w:lineRule="auto"/>
              <w:ind w:firstLine="0" w:firstLineChars="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（1）投标人提供的运营维护方案全面、科学、合理</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得3</w:t>
            </w:r>
            <w:r>
              <w:rPr>
                <w:rFonts w:hint="eastAsia" w:ascii="仿宋" w:hAnsi="仿宋" w:eastAsia="仿宋" w:cs="仿宋"/>
                <w:color w:val="auto"/>
                <w:sz w:val="24"/>
                <w:szCs w:val="24"/>
                <w:highlight w:val="none"/>
              </w:rPr>
              <w:t>.0分。</w:t>
            </w:r>
          </w:p>
          <w:p w14:paraId="6AE9876F">
            <w:pPr>
              <w:pStyle w:val="95"/>
              <w:keepNext w:val="0"/>
              <w:keepLines w:val="0"/>
              <w:pageBreakBefore w:val="0"/>
              <w:widowControl/>
              <w:kinsoku/>
              <w:wordWrap/>
              <w:overflowPunct/>
              <w:topLinePunct w:val="0"/>
              <w:autoSpaceDE/>
              <w:autoSpaceDN/>
              <w:bidi w:val="0"/>
              <w:adjustRightInd/>
              <w:snapToGrid/>
              <w:spacing w:line="276" w:lineRule="auto"/>
              <w:ind w:firstLine="0" w:firstLineChars="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（2）投标人提供的运营维护方案基本全面、科学、合理</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得2.0</w:t>
            </w:r>
            <w:r>
              <w:rPr>
                <w:rFonts w:hint="eastAsia" w:ascii="仿宋" w:hAnsi="仿宋" w:eastAsia="仿宋" w:cs="仿宋"/>
                <w:color w:val="auto"/>
                <w:sz w:val="24"/>
                <w:szCs w:val="24"/>
                <w:highlight w:val="none"/>
              </w:rPr>
              <w:t>分。</w:t>
            </w:r>
          </w:p>
          <w:p w14:paraId="36449062">
            <w:pPr>
              <w:pStyle w:val="95"/>
              <w:keepNext w:val="0"/>
              <w:keepLines w:val="0"/>
              <w:pageBreakBefore w:val="0"/>
              <w:widowControl/>
              <w:kinsoku/>
              <w:wordWrap/>
              <w:overflowPunct/>
              <w:topLinePunct w:val="0"/>
              <w:autoSpaceDE/>
              <w:autoSpaceDN/>
              <w:bidi w:val="0"/>
              <w:adjustRightInd/>
              <w:snapToGrid/>
              <w:ind w:firstLine="0" w:firstLineChars="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（3）有方案但是论证欠全面、表述较差</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得1.0</w:t>
            </w:r>
            <w:r>
              <w:rPr>
                <w:rFonts w:hint="eastAsia" w:ascii="仿宋" w:hAnsi="仿宋" w:eastAsia="仿宋" w:cs="仿宋"/>
                <w:color w:val="auto"/>
                <w:sz w:val="24"/>
                <w:szCs w:val="24"/>
                <w:highlight w:val="none"/>
              </w:rPr>
              <w:t>分。</w:t>
            </w:r>
          </w:p>
          <w:p w14:paraId="569B7FF6">
            <w:pPr>
              <w:pStyle w:val="95"/>
              <w:keepNext w:val="0"/>
              <w:keepLines w:val="0"/>
              <w:pageBreakBefore w:val="0"/>
              <w:widowControl/>
              <w:kinsoku/>
              <w:wordWrap/>
              <w:overflowPunct/>
              <w:topLinePunct w:val="0"/>
              <w:autoSpaceDE/>
              <w:autoSpaceDN/>
              <w:bidi w:val="0"/>
              <w:adjustRightInd/>
              <w:snapToGrid/>
              <w:ind w:firstLine="0" w:firstLineChars="0"/>
              <w:jc w:val="left"/>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4</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未提供的不得分。</w:t>
            </w:r>
          </w:p>
        </w:tc>
      </w:tr>
      <w:tr w14:paraId="4E4CF2B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00" w:type="dxa"/>
            <w:vMerge w:val="continue"/>
            <w:tcBorders>
              <w:right w:val="single" w:color="auto" w:sz="4" w:space="0"/>
            </w:tcBorders>
            <w:noWrap w:val="0"/>
            <w:vAlign w:val="top"/>
          </w:tcPr>
          <w:p w14:paraId="1828BF47">
            <w:pPr>
              <w:spacing w:line="440" w:lineRule="exact"/>
              <w:jc w:val="left"/>
              <w:rPr>
                <w:rFonts w:hint="eastAsia" w:ascii="仿宋" w:hAnsi="仿宋" w:eastAsia="仿宋" w:cs="仿宋"/>
                <w:color w:val="auto"/>
                <w:szCs w:val="21"/>
                <w:highlight w:val="none"/>
              </w:rPr>
            </w:pPr>
          </w:p>
        </w:tc>
        <w:tc>
          <w:tcPr>
            <w:tcW w:w="1124" w:type="dxa"/>
            <w:vMerge w:val="continue"/>
            <w:tcBorders>
              <w:right w:val="single" w:color="auto" w:sz="4" w:space="0"/>
            </w:tcBorders>
            <w:noWrap w:val="0"/>
            <w:vAlign w:val="top"/>
          </w:tcPr>
          <w:p w14:paraId="7D880921">
            <w:pPr>
              <w:spacing w:line="440" w:lineRule="exact"/>
              <w:jc w:val="left"/>
              <w:rPr>
                <w:rFonts w:hint="eastAsia" w:ascii="仿宋" w:hAnsi="仿宋" w:eastAsia="仿宋" w:cs="仿宋"/>
                <w:color w:val="auto"/>
                <w:szCs w:val="21"/>
                <w:highlight w:val="none"/>
              </w:rPr>
            </w:pPr>
          </w:p>
        </w:tc>
        <w:tc>
          <w:tcPr>
            <w:tcW w:w="2654" w:type="dxa"/>
            <w:tcBorders>
              <w:top w:val="single" w:color="auto" w:sz="4" w:space="0"/>
              <w:left w:val="single" w:color="auto" w:sz="4" w:space="0"/>
              <w:bottom w:val="single" w:color="auto" w:sz="4" w:space="0"/>
              <w:right w:val="single" w:color="auto" w:sz="4" w:space="0"/>
            </w:tcBorders>
            <w:noWrap w:val="0"/>
            <w:vAlign w:val="top"/>
          </w:tcPr>
          <w:p w14:paraId="6786C855">
            <w:pPr>
              <w:keepNext w:val="0"/>
              <w:keepLines w:val="0"/>
              <w:pageBreakBefore w:val="0"/>
              <w:kinsoku/>
              <w:wordWrap/>
              <w:overflowPunct/>
              <w:topLinePunct w:val="0"/>
              <w:autoSpaceDE/>
              <w:autoSpaceDN/>
              <w:bidi w:val="0"/>
              <w:ind w:firstLine="0" w:firstLineChars="0"/>
              <w:jc w:val="left"/>
              <w:textAlignment w:val="auto"/>
              <w:rPr>
                <w:rFonts w:hint="eastAsia" w:ascii="仿宋" w:hAnsi="仿宋" w:eastAsia="仿宋" w:cs="仿宋"/>
                <w:color w:val="auto"/>
                <w:highlight w:val="none"/>
                <w:lang w:eastAsia="zh-TW"/>
              </w:rPr>
            </w:pPr>
            <w:r>
              <w:rPr>
                <w:rFonts w:hint="eastAsia" w:ascii="仿宋" w:hAnsi="仿宋" w:eastAsia="仿宋" w:cs="仿宋"/>
                <w:color w:val="auto"/>
                <w:szCs w:val="21"/>
                <w:highlight w:val="none"/>
              </w:rPr>
              <w:t>移交方案（</w:t>
            </w:r>
            <w:r>
              <w:rPr>
                <w:rFonts w:hint="eastAsia" w:ascii="仿宋" w:hAnsi="仿宋" w:eastAsia="仿宋" w:cs="仿宋"/>
                <w:color w:val="auto"/>
                <w:szCs w:val="21"/>
                <w:highlight w:val="none"/>
                <w:lang w:val="en-US" w:eastAsia="zh-CN"/>
              </w:rPr>
              <w:t>3</w:t>
            </w:r>
            <w:r>
              <w:rPr>
                <w:rFonts w:hint="eastAsia" w:ascii="仿宋" w:hAnsi="仿宋" w:eastAsia="仿宋" w:cs="仿宋"/>
                <w:color w:val="auto"/>
                <w:szCs w:val="21"/>
                <w:highlight w:val="none"/>
              </w:rPr>
              <w:t>分）</w:t>
            </w:r>
          </w:p>
        </w:tc>
        <w:tc>
          <w:tcPr>
            <w:tcW w:w="4502" w:type="dxa"/>
            <w:tcBorders>
              <w:top w:val="single" w:color="auto" w:sz="4" w:space="0"/>
              <w:left w:val="single" w:color="auto" w:sz="4" w:space="0"/>
              <w:bottom w:val="single" w:color="auto" w:sz="4" w:space="0"/>
            </w:tcBorders>
            <w:noWrap w:val="0"/>
            <w:vAlign w:val="top"/>
          </w:tcPr>
          <w:p w14:paraId="27B9EB12">
            <w:pPr>
              <w:pStyle w:val="95"/>
              <w:keepNext w:val="0"/>
              <w:keepLines w:val="0"/>
              <w:pageBreakBefore w:val="0"/>
              <w:kinsoku/>
              <w:wordWrap/>
              <w:overflowPunct/>
              <w:topLinePunct w:val="0"/>
              <w:autoSpaceDE/>
              <w:autoSpaceDN/>
              <w:bidi w:val="0"/>
              <w:spacing w:line="276" w:lineRule="auto"/>
              <w:ind w:firstLine="0" w:firstLineChars="0"/>
              <w:jc w:val="left"/>
              <w:textAlignment w:val="auto"/>
              <w:rPr>
                <w:rFonts w:hint="eastAsia" w:ascii="仿宋" w:hAnsi="仿宋" w:eastAsia="仿宋" w:cs="仿宋"/>
                <w:color w:val="auto"/>
                <w:highlight w:val="none"/>
                <w:lang w:eastAsia="zh-TW"/>
              </w:rPr>
            </w:pPr>
            <w:r>
              <w:rPr>
                <w:rFonts w:hint="eastAsia" w:ascii="仿宋" w:hAnsi="仿宋" w:eastAsia="仿宋" w:cs="仿宋"/>
                <w:color w:val="auto"/>
                <w:highlight w:val="none"/>
                <w:lang w:eastAsia="zh-TW"/>
              </w:rPr>
              <w:t>投标人提供的移交方案工作计划要全面，包括移交范围、移交准备、工作程序、风险转移、备品备件移交、人员培训、移交费用和效力、保证期及承诺、移交验收程序等。</w:t>
            </w:r>
          </w:p>
          <w:p w14:paraId="18F51D68">
            <w:pPr>
              <w:pStyle w:val="95"/>
              <w:keepNext w:val="0"/>
              <w:keepLines w:val="0"/>
              <w:pageBreakBefore w:val="0"/>
              <w:kinsoku/>
              <w:wordWrap/>
              <w:overflowPunct/>
              <w:topLinePunct w:val="0"/>
              <w:autoSpaceDE/>
              <w:autoSpaceDN/>
              <w:bidi w:val="0"/>
              <w:spacing w:line="276" w:lineRule="auto"/>
              <w:ind w:firstLine="0" w:firstLineChars="0"/>
              <w:jc w:val="left"/>
              <w:textAlignment w:val="auto"/>
              <w:rPr>
                <w:rFonts w:hint="eastAsia" w:ascii="仿宋" w:hAnsi="仿宋" w:eastAsia="仿宋" w:cs="仿宋"/>
                <w:color w:val="auto"/>
                <w:highlight w:val="none"/>
                <w:lang w:eastAsia="zh-TW"/>
              </w:rPr>
            </w:pPr>
            <w:r>
              <w:rPr>
                <w:rFonts w:hint="eastAsia" w:ascii="仿宋" w:hAnsi="仿宋" w:eastAsia="仿宋" w:cs="仿宋"/>
                <w:color w:val="auto"/>
                <w:highlight w:val="none"/>
                <w:lang w:eastAsia="zh-TW"/>
              </w:rPr>
              <w:t>（1）投标人提供的运营维护方案全面、科学、合理</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lang w:val="en-US" w:eastAsia="zh-CN"/>
              </w:rPr>
              <w:t>得</w:t>
            </w:r>
            <w:r>
              <w:rPr>
                <w:rFonts w:hint="eastAsia" w:ascii="仿宋" w:hAnsi="仿宋" w:eastAsia="仿宋" w:cs="仿宋"/>
                <w:color w:val="auto"/>
                <w:highlight w:val="none"/>
                <w:lang w:val="en-US" w:eastAsia="zh-CN"/>
              </w:rPr>
              <w:t>3</w:t>
            </w:r>
            <w:r>
              <w:rPr>
                <w:rFonts w:hint="eastAsia" w:ascii="仿宋" w:hAnsi="仿宋" w:eastAsia="仿宋" w:cs="仿宋"/>
                <w:color w:val="auto"/>
                <w:highlight w:val="none"/>
                <w:lang w:eastAsia="zh-TW"/>
              </w:rPr>
              <w:t>.0分。</w:t>
            </w:r>
          </w:p>
          <w:p w14:paraId="255B6312">
            <w:pPr>
              <w:pStyle w:val="95"/>
              <w:keepNext w:val="0"/>
              <w:keepLines w:val="0"/>
              <w:pageBreakBefore w:val="0"/>
              <w:kinsoku/>
              <w:wordWrap/>
              <w:overflowPunct/>
              <w:topLinePunct w:val="0"/>
              <w:autoSpaceDE/>
              <w:autoSpaceDN/>
              <w:bidi w:val="0"/>
              <w:spacing w:line="276" w:lineRule="auto"/>
              <w:ind w:firstLine="0" w:firstLineChars="0"/>
              <w:jc w:val="left"/>
              <w:textAlignment w:val="auto"/>
              <w:rPr>
                <w:rFonts w:hint="eastAsia" w:ascii="仿宋" w:hAnsi="仿宋" w:eastAsia="仿宋" w:cs="仿宋"/>
                <w:color w:val="auto"/>
                <w:highlight w:val="none"/>
                <w:lang w:eastAsia="zh-TW"/>
              </w:rPr>
            </w:pPr>
            <w:r>
              <w:rPr>
                <w:rFonts w:hint="eastAsia" w:ascii="仿宋" w:hAnsi="仿宋" w:eastAsia="仿宋" w:cs="仿宋"/>
                <w:color w:val="auto"/>
                <w:highlight w:val="none"/>
                <w:lang w:eastAsia="zh-TW"/>
              </w:rPr>
              <w:t>（2）投标人提供的运营维护方案基本全面、科学、合理</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lang w:val="en-US" w:eastAsia="zh-CN"/>
              </w:rPr>
              <w:t>得</w:t>
            </w:r>
            <w:r>
              <w:rPr>
                <w:rFonts w:hint="eastAsia" w:ascii="仿宋" w:hAnsi="仿宋" w:eastAsia="仿宋" w:cs="仿宋"/>
                <w:color w:val="auto"/>
                <w:highlight w:val="none"/>
                <w:lang w:val="en-US" w:eastAsia="zh-CN"/>
              </w:rPr>
              <w:t>2.0</w:t>
            </w:r>
            <w:r>
              <w:rPr>
                <w:rFonts w:hint="eastAsia" w:ascii="仿宋" w:hAnsi="仿宋" w:eastAsia="仿宋" w:cs="仿宋"/>
                <w:color w:val="auto"/>
                <w:highlight w:val="none"/>
                <w:lang w:eastAsia="zh-TW"/>
              </w:rPr>
              <w:t>分。</w:t>
            </w:r>
          </w:p>
          <w:p w14:paraId="59FB6FF5">
            <w:pPr>
              <w:pStyle w:val="95"/>
              <w:keepNext w:val="0"/>
              <w:keepLines w:val="0"/>
              <w:pageBreakBefore w:val="0"/>
              <w:kinsoku/>
              <w:wordWrap/>
              <w:overflowPunct/>
              <w:topLinePunct w:val="0"/>
              <w:autoSpaceDE/>
              <w:autoSpaceDN/>
              <w:bidi w:val="0"/>
              <w:ind w:firstLine="0" w:firstLineChars="0"/>
              <w:jc w:val="left"/>
              <w:textAlignment w:val="auto"/>
              <w:rPr>
                <w:rFonts w:hint="eastAsia" w:ascii="仿宋" w:hAnsi="仿宋" w:eastAsia="仿宋" w:cs="仿宋"/>
                <w:color w:val="auto"/>
                <w:highlight w:val="none"/>
                <w:lang w:eastAsia="zh-TW"/>
              </w:rPr>
            </w:pPr>
            <w:r>
              <w:rPr>
                <w:rFonts w:hint="eastAsia" w:ascii="仿宋" w:hAnsi="仿宋" w:eastAsia="仿宋" w:cs="仿宋"/>
                <w:color w:val="auto"/>
                <w:highlight w:val="none"/>
                <w:lang w:eastAsia="zh-TW"/>
              </w:rPr>
              <w:t>（3）有方案但是论证欠全面、表述较差</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lang w:val="en-US" w:eastAsia="zh-CN"/>
              </w:rPr>
              <w:t>得</w:t>
            </w:r>
            <w:r>
              <w:rPr>
                <w:rFonts w:hint="eastAsia" w:ascii="仿宋" w:hAnsi="仿宋" w:eastAsia="仿宋" w:cs="仿宋"/>
                <w:color w:val="auto"/>
                <w:highlight w:val="none"/>
                <w:lang w:val="en-US" w:eastAsia="zh-CN"/>
              </w:rPr>
              <w:t>1.0</w:t>
            </w:r>
            <w:r>
              <w:rPr>
                <w:rFonts w:hint="eastAsia" w:ascii="仿宋" w:hAnsi="仿宋" w:eastAsia="仿宋" w:cs="仿宋"/>
                <w:color w:val="auto"/>
                <w:highlight w:val="none"/>
                <w:lang w:eastAsia="zh-TW"/>
              </w:rPr>
              <w:t>分。</w:t>
            </w:r>
          </w:p>
          <w:p w14:paraId="26A8B929">
            <w:pPr>
              <w:pStyle w:val="95"/>
              <w:keepNext w:val="0"/>
              <w:keepLines w:val="0"/>
              <w:pageBreakBefore w:val="0"/>
              <w:kinsoku/>
              <w:wordWrap/>
              <w:overflowPunct/>
              <w:topLinePunct w:val="0"/>
              <w:autoSpaceDE/>
              <w:autoSpaceDN/>
              <w:bidi w:val="0"/>
              <w:ind w:firstLine="0" w:firstLineChars="0"/>
              <w:jc w:val="left"/>
              <w:textAlignment w:val="auto"/>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w:t>
            </w:r>
            <w:r>
              <w:rPr>
                <w:rFonts w:hint="eastAsia" w:ascii="仿宋" w:hAnsi="仿宋" w:eastAsia="仿宋" w:cs="仿宋"/>
                <w:color w:val="auto"/>
                <w:highlight w:val="none"/>
                <w:lang w:val="en-US" w:eastAsia="zh-CN"/>
              </w:rPr>
              <w:t>4</w:t>
            </w:r>
            <w:r>
              <w:rPr>
                <w:rFonts w:hint="eastAsia" w:ascii="仿宋" w:hAnsi="仿宋" w:eastAsia="仿宋" w:cs="仿宋"/>
                <w:color w:val="auto"/>
                <w:highlight w:val="none"/>
                <w:lang w:eastAsia="zh-CN"/>
              </w:rPr>
              <w:t>）</w:t>
            </w:r>
            <w:r>
              <w:rPr>
                <w:rFonts w:hint="eastAsia" w:ascii="仿宋" w:hAnsi="仿宋" w:eastAsia="仿宋" w:cs="仿宋"/>
                <w:color w:val="auto"/>
                <w:highlight w:val="none"/>
                <w:lang w:val="en-US" w:eastAsia="zh-CN"/>
              </w:rPr>
              <w:t>未提供的不得分。</w:t>
            </w:r>
          </w:p>
        </w:tc>
      </w:tr>
      <w:tr w14:paraId="7A181BD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900" w:type="dxa"/>
            <w:vMerge w:val="restart"/>
            <w:tcBorders>
              <w:top w:val="single" w:color="auto" w:sz="4" w:space="0"/>
              <w:right w:val="single" w:color="auto" w:sz="4" w:space="0"/>
            </w:tcBorders>
            <w:noWrap w:val="0"/>
            <w:vAlign w:val="center"/>
          </w:tcPr>
          <w:p w14:paraId="0B4058EE">
            <w:pPr>
              <w:spacing w:line="440" w:lineRule="exact"/>
              <w:ind w:left="0" w:leftChars="0" w:firstLine="0" w:firstLineChars="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2.4.2（2）</w:t>
            </w:r>
          </w:p>
        </w:tc>
        <w:tc>
          <w:tcPr>
            <w:tcW w:w="1124" w:type="dxa"/>
            <w:vMerge w:val="restart"/>
            <w:tcBorders>
              <w:top w:val="single" w:color="auto" w:sz="4" w:space="0"/>
              <w:right w:val="single" w:color="auto" w:sz="4" w:space="0"/>
            </w:tcBorders>
            <w:noWrap w:val="0"/>
            <w:vAlign w:val="center"/>
          </w:tcPr>
          <w:p w14:paraId="0C368F2D">
            <w:pPr>
              <w:spacing w:line="440" w:lineRule="exact"/>
              <w:ind w:left="0" w:leftChars="0" w:firstLine="0" w:firstLineChars="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实施方案（暗标）</w:t>
            </w:r>
          </w:p>
        </w:tc>
        <w:tc>
          <w:tcPr>
            <w:tcW w:w="2654" w:type="dxa"/>
            <w:tcBorders>
              <w:top w:val="single" w:color="auto" w:sz="4" w:space="0"/>
              <w:left w:val="single" w:color="auto" w:sz="4" w:space="0"/>
              <w:bottom w:val="single" w:color="auto" w:sz="4" w:space="0"/>
              <w:right w:val="single" w:color="auto" w:sz="4" w:space="0"/>
            </w:tcBorders>
            <w:noWrap w:val="0"/>
            <w:vAlign w:val="center"/>
          </w:tcPr>
          <w:p w14:paraId="0FD1E194">
            <w:pPr>
              <w:keepNext w:val="0"/>
              <w:keepLines w:val="0"/>
              <w:pageBreakBefore w:val="0"/>
              <w:kinsoku/>
              <w:wordWrap/>
              <w:overflowPunct/>
              <w:topLinePunct w:val="0"/>
              <w:autoSpaceDE/>
              <w:autoSpaceDN/>
              <w:bidi w:val="0"/>
              <w:spacing w:line="440" w:lineRule="exact"/>
              <w:ind w:firstLine="0" w:firstLineChars="0"/>
              <w:jc w:val="left"/>
              <w:textAlignment w:val="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绿色节能控制措施（</w:t>
            </w:r>
            <w:r>
              <w:rPr>
                <w:rFonts w:hint="eastAsia" w:ascii="仿宋" w:hAnsi="仿宋" w:cs="仿宋"/>
                <w:color w:val="auto"/>
                <w:szCs w:val="21"/>
                <w:highlight w:val="none"/>
                <w:lang w:val="en-US" w:eastAsia="zh-CN"/>
              </w:rPr>
              <w:t>4</w:t>
            </w:r>
            <w:r>
              <w:rPr>
                <w:rFonts w:hint="eastAsia" w:ascii="仿宋" w:hAnsi="仿宋" w:eastAsia="仿宋" w:cs="仿宋"/>
                <w:color w:val="auto"/>
                <w:szCs w:val="21"/>
                <w:highlight w:val="none"/>
              </w:rPr>
              <w:t>分）</w:t>
            </w:r>
          </w:p>
        </w:tc>
        <w:tc>
          <w:tcPr>
            <w:tcW w:w="4502" w:type="dxa"/>
            <w:tcBorders>
              <w:top w:val="single" w:color="auto" w:sz="4" w:space="0"/>
              <w:left w:val="single" w:color="auto" w:sz="4" w:space="0"/>
              <w:bottom w:val="single" w:color="auto" w:sz="4" w:space="0"/>
            </w:tcBorders>
            <w:noWrap w:val="0"/>
            <w:vAlign w:val="center"/>
          </w:tcPr>
          <w:p w14:paraId="4E120F71">
            <w:pPr>
              <w:keepNext w:val="0"/>
              <w:keepLines w:val="0"/>
              <w:pageBreakBefore w:val="0"/>
              <w:kinsoku/>
              <w:wordWrap/>
              <w:overflowPunct/>
              <w:topLinePunct w:val="0"/>
              <w:autoSpaceDE/>
              <w:autoSpaceDN/>
              <w:bidi w:val="0"/>
              <w:spacing w:line="276" w:lineRule="auto"/>
              <w:ind w:firstLine="0" w:firstLineChars="0"/>
              <w:jc w:val="left"/>
              <w:textAlignment w:val="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（1）有绿色节能控制措施，且有承诺使用绿色生产达标企业生产的混凝土的</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lang w:val="en-US" w:eastAsia="zh-CN"/>
              </w:rPr>
              <w:t>得</w:t>
            </w:r>
            <w:r>
              <w:rPr>
                <w:rFonts w:hint="eastAsia" w:ascii="仿宋" w:hAnsi="仿宋" w:cs="仿宋"/>
                <w:color w:val="auto"/>
                <w:szCs w:val="21"/>
                <w:highlight w:val="none"/>
                <w:lang w:val="en-US" w:eastAsia="zh-CN"/>
              </w:rPr>
              <w:t>4</w:t>
            </w:r>
            <w:r>
              <w:rPr>
                <w:rFonts w:hint="eastAsia" w:ascii="仿宋" w:hAnsi="仿宋" w:eastAsia="仿宋" w:cs="仿宋"/>
                <w:color w:val="auto"/>
                <w:szCs w:val="21"/>
                <w:highlight w:val="none"/>
              </w:rPr>
              <w:t>.0分。</w:t>
            </w:r>
          </w:p>
          <w:p w14:paraId="2DB92C11">
            <w:pPr>
              <w:keepNext w:val="0"/>
              <w:keepLines w:val="0"/>
              <w:pageBreakBefore w:val="0"/>
              <w:kinsoku/>
              <w:wordWrap/>
              <w:overflowPunct/>
              <w:topLinePunct w:val="0"/>
              <w:autoSpaceDE/>
              <w:autoSpaceDN/>
              <w:bidi w:val="0"/>
              <w:spacing w:line="276" w:lineRule="auto"/>
              <w:ind w:firstLine="0" w:firstLineChars="0"/>
              <w:jc w:val="left"/>
              <w:textAlignment w:val="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（2）有绿色节能控制措施，未承诺使用绿色生产达标企业生产的混凝土的</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lang w:val="en-US" w:eastAsia="zh-CN"/>
              </w:rPr>
              <w:t>得</w:t>
            </w:r>
            <w:r>
              <w:rPr>
                <w:rFonts w:hint="eastAsia" w:ascii="仿宋" w:hAnsi="仿宋" w:cs="仿宋"/>
                <w:color w:val="auto"/>
                <w:szCs w:val="21"/>
                <w:highlight w:val="none"/>
                <w:lang w:val="en-US" w:eastAsia="zh-CN"/>
              </w:rPr>
              <w:t>2</w:t>
            </w:r>
            <w:r>
              <w:rPr>
                <w:rFonts w:hint="eastAsia" w:ascii="仿宋" w:hAnsi="仿宋" w:eastAsia="仿宋" w:cs="仿宋"/>
                <w:color w:val="auto"/>
                <w:szCs w:val="21"/>
                <w:highlight w:val="none"/>
              </w:rPr>
              <w:t>分。</w:t>
            </w:r>
          </w:p>
          <w:p w14:paraId="3494119D">
            <w:pPr>
              <w:keepNext w:val="0"/>
              <w:keepLines w:val="0"/>
              <w:pageBreakBefore w:val="0"/>
              <w:kinsoku/>
              <w:wordWrap/>
              <w:overflowPunct/>
              <w:topLinePunct w:val="0"/>
              <w:autoSpaceDE/>
              <w:autoSpaceDN/>
              <w:bidi w:val="0"/>
              <w:ind w:firstLine="0" w:firstLineChars="0"/>
              <w:jc w:val="left"/>
              <w:textAlignment w:val="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（3）没有提供绿色节能控制措施的</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lang w:val="en-US" w:eastAsia="zh-CN"/>
              </w:rPr>
              <w:t>得</w:t>
            </w:r>
            <w:r>
              <w:rPr>
                <w:rFonts w:hint="eastAsia" w:ascii="仿宋" w:hAnsi="仿宋" w:eastAsia="仿宋" w:cs="仿宋"/>
                <w:color w:val="auto"/>
                <w:szCs w:val="21"/>
                <w:highlight w:val="none"/>
              </w:rPr>
              <w:t>0分。</w:t>
            </w:r>
          </w:p>
        </w:tc>
      </w:tr>
      <w:tr w14:paraId="347D1F5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900" w:type="dxa"/>
            <w:vMerge w:val="continue"/>
            <w:tcBorders>
              <w:top w:val="single" w:color="auto" w:sz="4" w:space="0"/>
              <w:right w:val="single" w:color="auto" w:sz="4" w:space="0"/>
            </w:tcBorders>
            <w:noWrap w:val="0"/>
            <w:vAlign w:val="center"/>
          </w:tcPr>
          <w:p w14:paraId="64ABA61F">
            <w:pPr>
              <w:spacing w:line="440" w:lineRule="exact"/>
              <w:jc w:val="left"/>
              <w:rPr>
                <w:rFonts w:hint="eastAsia" w:ascii="仿宋" w:hAnsi="仿宋" w:eastAsia="仿宋" w:cs="仿宋"/>
                <w:color w:val="auto"/>
                <w:szCs w:val="21"/>
                <w:highlight w:val="none"/>
              </w:rPr>
            </w:pPr>
          </w:p>
        </w:tc>
        <w:tc>
          <w:tcPr>
            <w:tcW w:w="1124" w:type="dxa"/>
            <w:vMerge w:val="continue"/>
            <w:tcBorders>
              <w:top w:val="single" w:color="auto" w:sz="4" w:space="0"/>
              <w:right w:val="single" w:color="auto" w:sz="4" w:space="0"/>
            </w:tcBorders>
            <w:noWrap w:val="0"/>
            <w:vAlign w:val="center"/>
          </w:tcPr>
          <w:p w14:paraId="438B60B8">
            <w:pPr>
              <w:spacing w:line="440" w:lineRule="exact"/>
              <w:jc w:val="left"/>
              <w:rPr>
                <w:rFonts w:hint="eastAsia" w:ascii="仿宋" w:hAnsi="仿宋" w:eastAsia="仿宋" w:cs="仿宋"/>
                <w:color w:val="auto"/>
                <w:szCs w:val="21"/>
                <w:highlight w:val="none"/>
              </w:rPr>
            </w:pPr>
          </w:p>
        </w:tc>
        <w:tc>
          <w:tcPr>
            <w:tcW w:w="2654" w:type="dxa"/>
            <w:tcBorders>
              <w:top w:val="single" w:color="auto" w:sz="4" w:space="0"/>
              <w:left w:val="single" w:color="auto" w:sz="4" w:space="0"/>
              <w:bottom w:val="single" w:color="auto" w:sz="4" w:space="0"/>
              <w:right w:val="single" w:color="auto" w:sz="4" w:space="0"/>
            </w:tcBorders>
            <w:noWrap w:val="0"/>
            <w:vAlign w:val="center"/>
          </w:tcPr>
          <w:p w14:paraId="62906656">
            <w:pPr>
              <w:keepNext w:val="0"/>
              <w:keepLines w:val="0"/>
              <w:pageBreakBefore w:val="0"/>
              <w:kinsoku/>
              <w:wordWrap/>
              <w:overflowPunct/>
              <w:topLinePunct w:val="0"/>
              <w:autoSpaceDE/>
              <w:autoSpaceDN/>
              <w:bidi w:val="0"/>
              <w:spacing w:line="440" w:lineRule="exact"/>
              <w:ind w:firstLine="0" w:firstLineChars="0"/>
              <w:jc w:val="left"/>
              <w:textAlignment w:val="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进度控制措施（</w:t>
            </w:r>
            <w:r>
              <w:rPr>
                <w:rFonts w:hint="eastAsia" w:ascii="仿宋" w:hAnsi="仿宋" w:cs="仿宋"/>
                <w:color w:val="auto"/>
                <w:szCs w:val="21"/>
                <w:highlight w:val="none"/>
                <w:lang w:val="en-US" w:eastAsia="zh-CN"/>
              </w:rPr>
              <w:t>4</w:t>
            </w:r>
            <w:r>
              <w:rPr>
                <w:rFonts w:hint="eastAsia" w:ascii="仿宋" w:hAnsi="仿宋" w:eastAsia="仿宋" w:cs="仿宋"/>
                <w:color w:val="auto"/>
                <w:szCs w:val="21"/>
                <w:highlight w:val="none"/>
              </w:rPr>
              <w:t>分）</w:t>
            </w:r>
          </w:p>
        </w:tc>
        <w:tc>
          <w:tcPr>
            <w:tcW w:w="4502" w:type="dxa"/>
            <w:tcBorders>
              <w:top w:val="single" w:color="auto" w:sz="4" w:space="0"/>
              <w:left w:val="single" w:color="auto" w:sz="4" w:space="0"/>
              <w:bottom w:val="single" w:color="auto" w:sz="4" w:space="0"/>
            </w:tcBorders>
            <w:noWrap w:val="0"/>
            <w:vAlign w:val="center"/>
          </w:tcPr>
          <w:p w14:paraId="2B963004">
            <w:pPr>
              <w:keepNext w:val="0"/>
              <w:keepLines w:val="0"/>
              <w:pageBreakBefore w:val="0"/>
              <w:kinsoku/>
              <w:wordWrap/>
              <w:overflowPunct/>
              <w:topLinePunct w:val="0"/>
              <w:autoSpaceDE/>
              <w:autoSpaceDN/>
              <w:bidi w:val="0"/>
              <w:spacing w:line="276" w:lineRule="auto"/>
              <w:ind w:firstLine="0" w:firstLineChars="0"/>
              <w:jc w:val="left"/>
              <w:textAlignment w:val="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（1）在保证质量、安全、文明施工的前提下，工期计划目标对比招标文件要求提前10天或以上</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lang w:val="en-US" w:eastAsia="zh-CN"/>
              </w:rPr>
              <w:t>得</w:t>
            </w:r>
            <w:r>
              <w:rPr>
                <w:rFonts w:hint="eastAsia" w:ascii="仿宋" w:hAnsi="仿宋" w:cs="仿宋"/>
                <w:color w:val="auto"/>
                <w:szCs w:val="21"/>
                <w:highlight w:val="none"/>
                <w:lang w:val="en-US" w:eastAsia="zh-CN"/>
              </w:rPr>
              <w:t>4</w:t>
            </w:r>
            <w:r>
              <w:rPr>
                <w:rFonts w:hint="eastAsia" w:ascii="仿宋" w:hAnsi="仿宋" w:eastAsia="仿宋" w:cs="仿宋"/>
                <w:color w:val="auto"/>
                <w:szCs w:val="21"/>
                <w:highlight w:val="none"/>
              </w:rPr>
              <w:t>.0分。</w:t>
            </w:r>
          </w:p>
          <w:p w14:paraId="25979156">
            <w:pPr>
              <w:keepNext w:val="0"/>
              <w:keepLines w:val="0"/>
              <w:pageBreakBefore w:val="0"/>
              <w:kinsoku/>
              <w:wordWrap/>
              <w:overflowPunct/>
              <w:topLinePunct w:val="0"/>
              <w:autoSpaceDE/>
              <w:autoSpaceDN/>
              <w:bidi w:val="0"/>
              <w:spacing w:line="276" w:lineRule="auto"/>
              <w:ind w:firstLine="0" w:firstLineChars="0"/>
              <w:jc w:val="left"/>
              <w:textAlignment w:val="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（2）在保证质量、安全、文明施工的前提下，工期计划目标对比招标文件要求提前1至9天</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lang w:val="en-US" w:eastAsia="zh-CN"/>
              </w:rPr>
              <w:t>得2</w:t>
            </w:r>
            <w:r>
              <w:rPr>
                <w:rFonts w:hint="eastAsia" w:ascii="仿宋" w:hAnsi="仿宋" w:eastAsia="仿宋" w:cs="仿宋"/>
                <w:color w:val="auto"/>
                <w:szCs w:val="21"/>
                <w:highlight w:val="none"/>
              </w:rPr>
              <w:t>分。</w:t>
            </w:r>
          </w:p>
          <w:p w14:paraId="3004A4A1">
            <w:pPr>
              <w:keepNext w:val="0"/>
              <w:keepLines w:val="0"/>
              <w:pageBreakBefore w:val="0"/>
              <w:kinsoku/>
              <w:wordWrap/>
              <w:overflowPunct/>
              <w:topLinePunct w:val="0"/>
              <w:autoSpaceDE/>
              <w:autoSpaceDN/>
              <w:bidi w:val="0"/>
              <w:spacing w:line="276" w:lineRule="auto"/>
              <w:ind w:firstLine="0" w:firstLineChars="0"/>
              <w:jc w:val="left"/>
              <w:textAlignment w:val="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（3）在保证质量、安全、文明施工的前提下，工期计划目标满足招标文件要求</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lang w:val="en-US" w:eastAsia="zh-CN"/>
              </w:rPr>
              <w:t>得1</w:t>
            </w:r>
            <w:r>
              <w:rPr>
                <w:rFonts w:hint="eastAsia" w:ascii="仿宋" w:hAnsi="仿宋" w:eastAsia="仿宋" w:cs="仿宋"/>
                <w:color w:val="auto"/>
                <w:szCs w:val="21"/>
                <w:highlight w:val="none"/>
              </w:rPr>
              <w:t>.0分。</w:t>
            </w:r>
          </w:p>
          <w:p w14:paraId="751A35A9">
            <w:pPr>
              <w:keepNext w:val="0"/>
              <w:keepLines w:val="0"/>
              <w:pageBreakBefore w:val="0"/>
              <w:kinsoku/>
              <w:wordWrap/>
              <w:overflowPunct/>
              <w:topLinePunct w:val="0"/>
              <w:autoSpaceDE/>
              <w:autoSpaceDN/>
              <w:bidi w:val="0"/>
              <w:ind w:firstLine="0" w:firstLineChars="0"/>
              <w:jc w:val="left"/>
              <w:textAlignment w:val="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（4）没有提供控制措施的得0分。</w:t>
            </w:r>
          </w:p>
        </w:tc>
      </w:tr>
      <w:tr w14:paraId="23A425C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95" w:hRule="atLeast"/>
        </w:trPr>
        <w:tc>
          <w:tcPr>
            <w:tcW w:w="900" w:type="dxa"/>
            <w:vMerge w:val="continue"/>
            <w:tcBorders>
              <w:top w:val="single" w:color="auto" w:sz="4" w:space="0"/>
              <w:right w:val="single" w:color="auto" w:sz="4" w:space="0"/>
            </w:tcBorders>
            <w:noWrap w:val="0"/>
            <w:vAlign w:val="center"/>
          </w:tcPr>
          <w:p w14:paraId="586036BC">
            <w:pPr>
              <w:spacing w:line="440" w:lineRule="exact"/>
              <w:jc w:val="left"/>
              <w:rPr>
                <w:rFonts w:hint="eastAsia" w:ascii="仿宋" w:hAnsi="仿宋" w:eastAsia="仿宋" w:cs="仿宋"/>
                <w:color w:val="auto"/>
                <w:szCs w:val="21"/>
                <w:highlight w:val="none"/>
              </w:rPr>
            </w:pPr>
          </w:p>
        </w:tc>
        <w:tc>
          <w:tcPr>
            <w:tcW w:w="1124" w:type="dxa"/>
            <w:vMerge w:val="continue"/>
            <w:tcBorders>
              <w:top w:val="single" w:color="auto" w:sz="4" w:space="0"/>
              <w:right w:val="single" w:color="auto" w:sz="4" w:space="0"/>
            </w:tcBorders>
            <w:noWrap w:val="0"/>
            <w:vAlign w:val="center"/>
          </w:tcPr>
          <w:p w14:paraId="1674D3CC">
            <w:pPr>
              <w:spacing w:line="440" w:lineRule="exact"/>
              <w:jc w:val="left"/>
              <w:rPr>
                <w:rFonts w:hint="eastAsia" w:ascii="仿宋" w:hAnsi="仿宋" w:eastAsia="仿宋" w:cs="仿宋"/>
                <w:color w:val="auto"/>
                <w:szCs w:val="21"/>
                <w:highlight w:val="none"/>
              </w:rPr>
            </w:pPr>
          </w:p>
        </w:tc>
        <w:tc>
          <w:tcPr>
            <w:tcW w:w="2654" w:type="dxa"/>
            <w:tcBorders>
              <w:top w:val="single" w:color="auto" w:sz="4" w:space="0"/>
              <w:left w:val="single" w:color="auto" w:sz="4" w:space="0"/>
              <w:bottom w:val="single" w:color="auto" w:sz="4" w:space="0"/>
              <w:right w:val="single" w:color="auto" w:sz="4" w:space="0"/>
            </w:tcBorders>
            <w:noWrap w:val="0"/>
            <w:vAlign w:val="center"/>
          </w:tcPr>
          <w:p w14:paraId="5041CF31">
            <w:pPr>
              <w:keepNext w:val="0"/>
              <w:keepLines w:val="0"/>
              <w:pageBreakBefore w:val="0"/>
              <w:kinsoku/>
              <w:wordWrap/>
              <w:overflowPunct/>
              <w:topLinePunct w:val="0"/>
              <w:autoSpaceDE/>
              <w:autoSpaceDN/>
              <w:bidi w:val="0"/>
              <w:spacing w:line="440" w:lineRule="exact"/>
              <w:ind w:firstLine="0" w:firstLineChars="0"/>
              <w:jc w:val="left"/>
              <w:textAlignment w:val="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质量、安全管理措施（4分）</w:t>
            </w:r>
          </w:p>
        </w:tc>
        <w:tc>
          <w:tcPr>
            <w:tcW w:w="4502" w:type="dxa"/>
            <w:tcBorders>
              <w:top w:val="single" w:color="auto" w:sz="4" w:space="0"/>
              <w:left w:val="single" w:color="auto" w:sz="4" w:space="0"/>
              <w:bottom w:val="single" w:color="auto" w:sz="4" w:space="0"/>
            </w:tcBorders>
            <w:noWrap w:val="0"/>
            <w:vAlign w:val="center"/>
          </w:tcPr>
          <w:p w14:paraId="4456FEA4">
            <w:pPr>
              <w:keepNext w:val="0"/>
              <w:keepLines w:val="0"/>
              <w:pageBreakBefore w:val="0"/>
              <w:kinsoku/>
              <w:wordWrap/>
              <w:overflowPunct/>
              <w:topLinePunct w:val="0"/>
              <w:autoSpaceDE/>
              <w:autoSpaceDN/>
              <w:bidi w:val="0"/>
              <w:spacing w:line="276" w:lineRule="auto"/>
              <w:ind w:right="0" w:firstLine="0" w:firstLineChars="0"/>
              <w:jc w:val="left"/>
              <w:textAlignment w:val="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（1）质量、安全目标符合招标文件要求，质量、安全控制措施完整、具体、可行、合理，争创省级或以上优良样板工程</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lang w:val="en-US" w:eastAsia="zh-CN"/>
              </w:rPr>
              <w:t>得</w:t>
            </w:r>
            <w:r>
              <w:rPr>
                <w:rFonts w:hint="eastAsia" w:ascii="仿宋" w:hAnsi="仿宋" w:eastAsia="仿宋" w:cs="仿宋"/>
                <w:color w:val="auto"/>
                <w:szCs w:val="21"/>
                <w:highlight w:val="none"/>
              </w:rPr>
              <w:t>4.0分。</w:t>
            </w:r>
          </w:p>
          <w:p w14:paraId="3AC3223C">
            <w:pPr>
              <w:keepNext w:val="0"/>
              <w:keepLines w:val="0"/>
              <w:pageBreakBefore w:val="0"/>
              <w:kinsoku/>
              <w:wordWrap/>
              <w:overflowPunct/>
              <w:topLinePunct w:val="0"/>
              <w:autoSpaceDE/>
              <w:autoSpaceDN/>
              <w:bidi w:val="0"/>
              <w:spacing w:line="276" w:lineRule="auto"/>
              <w:ind w:right="0" w:firstLine="0" w:firstLineChars="0"/>
              <w:jc w:val="left"/>
              <w:textAlignment w:val="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（2）质量、安全目标符合招标文件要求，质量、安全控制措施较完整、可行、较合理，争创市级优良样板工程</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lang w:val="en-US" w:eastAsia="zh-CN"/>
              </w:rPr>
              <w:t>得</w:t>
            </w:r>
            <w:r>
              <w:rPr>
                <w:rFonts w:hint="eastAsia" w:ascii="仿宋" w:hAnsi="仿宋" w:eastAsia="仿宋" w:cs="仿宋"/>
                <w:color w:val="auto"/>
                <w:szCs w:val="21"/>
                <w:highlight w:val="none"/>
              </w:rPr>
              <w:t>3分。</w:t>
            </w:r>
          </w:p>
          <w:p w14:paraId="43B846A2">
            <w:pPr>
              <w:keepNext w:val="0"/>
              <w:keepLines w:val="0"/>
              <w:pageBreakBefore w:val="0"/>
              <w:kinsoku/>
              <w:wordWrap/>
              <w:overflowPunct/>
              <w:topLinePunct w:val="0"/>
              <w:autoSpaceDE/>
              <w:autoSpaceDN/>
              <w:bidi w:val="0"/>
              <w:spacing w:line="276" w:lineRule="auto"/>
              <w:ind w:right="0" w:firstLine="0" w:firstLineChars="0"/>
              <w:jc w:val="left"/>
              <w:textAlignment w:val="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（3）质量、安全目标符合招标文件要求，质量、安全控制措施一般</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lang w:val="en-US" w:eastAsia="zh-CN"/>
              </w:rPr>
              <w:t>得1.5</w:t>
            </w:r>
            <w:r>
              <w:rPr>
                <w:rFonts w:hint="eastAsia" w:ascii="仿宋" w:hAnsi="仿宋" w:eastAsia="仿宋" w:cs="仿宋"/>
                <w:color w:val="auto"/>
                <w:szCs w:val="21"/>
                <w:highlight w:val="none"/>
              </w:rPr>
              <w:t>分。</w:t>
            </w:r>
          </w:p>
          <w:p w14:paraId="4D6B314C">
            <w:pPr>
              <w:keepNext w:val="0"/>
              <w:keepLines w:val="0"/>
              <w:pageBreakBefore w:val="0"/>
              <w:kinsoku/>
              <w:wordWrap/>
              <w:overflowPunct/>
              <w:topLinePunct w:val="0"/>
              <w:autoSpaceDE/>
              <w:autoSpaceDN/>
              <w:bidi w:val="0"/>
              <w:ind w:right="840" w:firstLine="0" w:firstLineChars="0"/>
              <w:jc w:val="left"/>
              <w:textAlignment w:val="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（4）没有提供控制措施的得0分。</w:t>
            </w:r>
          </w:p>
        </w:tc>
      </w:tr>
      <w:tr w14:paraId="634290E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036" w:hRule="atLeast"/>
        </w:trPr>
        <w:tc>
          <w:tcPr>
            <w:tcW w:w="900" w:type="dxa"/>
            <w:vMerge w:val="restart"/>
            <w:tcBorders>
              <w:top w:val="single" w:color="auto" w:sz="4" w:space="0"/>
              <w:right w:val="single" w:color="auto" w:sz="4" w:space="0"/>
            </w:tcBorders>
            <w:noWrap w:val="0"/>
            <w:vAlign w:val="center"/>
          </w:tcPr>
          <w:p w14:paraId="11B73689">
            <w:pPr>
              <w:spacing w:line="440" w:lineRule="exact"/>
              <w:ind w:left="0" w:leftChars="0" w:firstLine="0" w:firstLineChars="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2.2.4（3）</w:t>
            </w:r>
          </w:p>
        </w:tc>
        <w:tc>
          <w:tcPr>
            <w:tcW w:w="1124" w:type="dxa"/>
            <w:vMerge w:val="restart"/>
            <w:tcBorders>
              <w:top w:val="single" w:color="auto" w:sz="4" w:space="0"/>
              <w:right w:val="single" w:color="auto" w:sz="4" w:space="0"/>
            </w:tcBorders>
            <w:noWrap w:val="0"/>
            <w:vAlign w:val="center"/>
          </w:tcPr>
          <w:p w14:paraId="1E4F8459">
            <w:pPr>
              <w:spacing w:line="440" w:lineRule="exact"/>
              <w:ind w:left="0" w:leftChars="0" w:firstLine="0" w:firstLineChars="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其他评审因素</w:t>
            </w:r>
          </w:p>
        </w:tc>
        <w:tc>
          <w:tcPr>
            <w:tcW w:w="2654" w:type="dxa"/>
            <w:tcBorders>
              <w:top w:val="single" w:color="auto" w:sz="4" w:space="0"/>
              <w:left w:val="single" w:color="auto" w:sz="4" w:space="0"/>
              <w:right w:val="single" w:color="auto" w:sz="4" w:space="0"/>
            </w:tcBorders>
            <w:noWrap w:val="0"/>
            <w:vAlign w:val="center"/>
          </w:tcPr>
          <w:p w14:paraId="346DFF17">
            <w:pPr>
              <w:keepNext w:val="0"/>
              <w:keepLines w:val="0"/>
              <w:pageBreakBefore w:val="0"/>
              <w:kinsoku/>
              <w:wordWrap/>
              <w:overflowPunct/>
              <w:topLinePunct w:val="0"/>
              <w:autoSpaceDE/>
              <w:autoSpaceDN/>
              <w:bidi w:val="0"/>
              <w:spacing w:line="440" w:lineRule="exact"/>
              <w:ind w:firstLine="0" w:firstLineChars="0"/>
              <w:jc w:val="left"/>
              <w:textAlignment w:val="auto"/>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rPr>
              <w:t>施工业绩</w:t>
            </w:r>
            <w:r>
              <w:rPr>
                <w:rFonts w:hint="eastAsia" w:ascii="仿宋" w:hAnsi="仿宋" w:eastAsia="仿宋" w:cs="仿宋"/>
                <w:color w:val="auto"/>
                <w:szCs w:val="21"/>
                <w:highlight w:val="none"/>
              </w:rPr>
              <w:t>（3分）</w:t>
            </w:r>
          </w:p>
        </w:tc>
        <w:tc>
          <w:tcPr>
            <w:tcW w:w="4502" w:type="dxa"/>
            <w:tcBorders>
              <w:top w:val="single" w:color="auto" w:sz="4" w:space="0"/>
              <w:left w:val="single" w:color="auto" w:sz="4" w:space="0"/>
            </w:tcBorders>
            <w:noWrap w:val="0"/>
            <w:vAlign w:val="center"/>
          </w:tcPr>
          <w:p w14:paraId="49AD3B1A">
            <w:pPr>
              <w:keepNext w:val="0"/>
              <w:keepLines w:val="0"/>
              <w:pageBreakBefore w:val="0"/>
              <w:kinsoku/>
              <w:wordWrap/>
              <w:overflowPunct/>
              <w:topLinePunct w:val="0"/>
              <w:autoSpaceDE/>
              <w:autoSpaceDN/>
              <w:bidi w:val="0"/>
              <w:spacing w:line="276" w:lineRule="auto"/>
              <w:ind w:firstLine="0" w:firstLineChars="0"/>
              <w:jc w:val="left"/>
              <w:textAlignment w:val="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投标人（如为联合体投标，指承担施工任务的单位）自2020年1月1日至今，完成过污水处理厂施工业绩的，每个得1分，本项最高得3分。</w:t>
            </w:r>
          </w:p>
          <w:p w14:paraId="17097E50">
            <w:pPr>
              <w:keepNext w:val="0"/>
              <w:keepLines w:val="0"/>
              <w:pageBreakBefore w:val="0"/>
              <w:kinsoku/>
              <w:wordWrap/>
              <w:overflowPunct/>
              <w:topLinePunct w:val="0"/>
              <w:autoSpaceDE/>
              <w:autoSpaceDN/>
              <w:bidi w:val="0"/>
              <w:spacing w:line="440" w:lineRule="exact"/>
              <w:ind w:firstLine="0" w:firstLineChars="0"/>
              <w:jc w:val="left"/>
              <w:textAlignment w:val="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注：须提供中标通知书、合同关键页、竣（完）工验收报告等扫描件。业绩认定时间以竣工验收报告时间为准。</w:t>
            </w:r>
          </w:p>
        </w:tc>
      </w:tr>
      <w:tr w14:paraId="2D887A4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754" w:hRule="atLeast"/>
        </w:trPr>
        <w:tc>
          <w:tcPr>
            <w:tcW w:w="900" w:type="dxa"/>
            <w:vMerge w:val="continue"/>
            <w:tcBorders>
              <w:top w:val="single" w:color="auto" w:sz="4" w:space="0"/>
              <w:right w:val="single" w:color="auto" w:sz="4" w:space="0"/>
            </w:tcBorders>
            <w:noWrap w:val="0"/>
            <w:vAlign w:val="center"/>
          </w:tcPr>
          <w:p w14:paraId="5928C1F9">
            <w:pPr>
              <w:spacing w:line="440" w:lineRule="exact"/>
              <w:jc w:val="left"/>
              <w:rPr>
                <w:rFonts w:hint="eastAsia" w:ascii="仿宋" w:hAnsi="仿宋" w:eastAsia="仿宋" w:cs="仿宋"/>
                <w:color w:val="auto"/>
                <w:szCs w:val="21"/>
                <w:highlight w:val="none"/>
              </w:rPr>
            </w:pPr>
          </w:p>
        </w:tc>
        <w:tc>
          <w:tcPr>
            <w:tcW w:w="1124" w:type="dxa"/>
            <w:vMerge w:val="continue"/>
            <w:tcBorders>
              <w:top w:val="single" w:color="auto" w:sz="4" w:space="0"/>
              <w:right w:val="single" w:color="auto" w:sz="4" w:space="0"/>
            </w:tcBorders>
            <w:noWrap w:val="0"/>
            <w:vAlign w:val="center"/>
          </w:tcPr>
          <w:p w14:paraId="4AE5B29F">
            <w:pPr>
              <w:spacing w:line="440" w:lineRule="exact"/>
              <w:jc w:val="left"/>
              <w:rPr>
                <w:rFonts w:hint="eastAsia" w:ascii="仿宋" w:hAnsi="仿宋" w:eastAsia="仿宋" w:cs="仿宋"/>
                <w:color w:val="auto"/>
                <w:szCs w:val="21"/>
                <w:highlight w:val="none"/>
              </w:rPr>
            </w:pPr>
          </w:p>
        </w:tc>
        <w:tc>
          <w:tcPr>
            <w:tcW w:w="2654" w:type="dxa"/>
            <w:tcBorders>
              <w:top w:val="single" w:color="auto" w:sz="4" w:space="0"/>
              <w:left w:val="single" w:color="auto" w:sz="4" w:space="0"/>
              <w:right w:val="single" w:color="auto" w:sz="4" w:space="0"/>
            </w:tcBorders>
            <w:noWrap w:val="0"/>
            <w:vAlign w:val="center"/>
          </w:tcPr>
          <w:p w14:paraId="04F3B6F2">
            <w:pPr>
              <w:keepNext w:val="0"/>
              <w:keepLines w:val="0"/>
              <w:pageBreakBefore w:val="0"/>
              <w:kinsoku/>
              <w:wordWrap/>
              <w:overflowPunct/>
              <w:topLinePunct w:val="0"/>
              <w:autoSpaceDE/>
              <w:autoSpaceDN/>
              <w:bidi w:val="0"/>
              <w:spacing w:line="276" w:lineRule="auto"/>
              <w:ind w:firstLine="0" w:firstLineChars="0"/>
              <w:jc w:val="left"/>
              <w:textAlignment w:val="auto"/>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rPr>
              <w:t>设计业绩</w:t>
            </w:r>
            <w:r>
              <w:rPr>
                <w:rFonts w:hint="eastAsia" w:ascii="仿宋" w:hAnsi="仿宋" w:eastAsia="仿宋" w:cs="仿宋"/>
                <w:color w:val="auto"/>
                <w:szCs w:val="21"/>
                <w:highlight w:val="none"/>
              </w:rPr>
              <w:t>（3分）</w:t>
            </w:r>
          </w:p>
        </w:tc>
        <w:tc>
          <w:tcPr>
            <w:tcW w:w="4502" w:type="dxa"/>
            <w:tcBorders>
              <w:top w:val="single" w:color="auto" w:sz="4" w:space="0"/>
              <w:left w:val="single" w:color="auto" w:sz="4" w:space="0"/>
            </w:tcBorders>
            <w:noWrap w:val="0"/>
            <w:vAlign w:val="center"/>
          </w:tcPr>
          <w:p w14:paraId="2E8D352F">
            <w:pPr>
              <w:pStyle w:val="95"/>
              <w:keepNext w:val="0"/>
              <w:keepLines w:val="0"/>
              <w:pageBreakBefore w:val="0"/>
              <w:kinsoku/>
              <w:wordWrap/>
              <w:overflowPunct/>
              <w:topLinePunct w:val="0"/>
              <w:autoSpaceDE/>
              <w:autoSpaceDN/>
              <w:bidi w:val="0"/>
              <w:spacing w:line="276" w:lineRule="auto"/>
              <w:ind w:firstLine="0" w:firstLineChars="0"/>
              <w:jc w:val="left"/>
              <w:textAlignment w:val="auto"/>
              <w:rPr>
                <w:rFonts w:hint="eastAsia" w:ascii="仿宋" w:hAnsi="仿宋" w:eastAsia="仿宋" w:cs="仿宋"/>
                <w:color w:val="auto"/>
                <w:kern w:val="0"/>
                <w:highlight w:val="none"/>
                <w:lang w:eastAsia="zh-TW"/>
              </w:rPr>
            </w:pPr>
            <w:r>
              <w:rPr>
                <w:rFonts w:hint="eastAsia" w:ascii="仿宋" w:hAnsi="仿宋" w:eastAsia="仿宋" w:cs="仿宋"/>
                <w:color w:val="auto"/>
                <w:kern w:val="0"/>
                <w:highlight w:val="none"/>
                <w:lang w:eastAsia="zh-TW"/>
              </w:rPr>
              <w:t>投标人（</w:t>
            </w:r>
            <w:r>
              <w:rPr>
                <w:rFonts w:hint="eastAsia" w:ascii="仿宋" w:hAnsi="仿宋" w:eastAsia="仿宋" w:cs="仿宋"/>
                <w:color w:val="auto"/>
                <w:kern w:val="0"/>
                <w:highlight w:val="none"/>
              </w:rPr>
              <w:t>如为联合体投标，指承担设计任务的单位</w:t>
            </w:r>
            <w:r>
              <w:rPr>
                <w:rFonts w:hint="eastAsia" w:ascii="仿宋" w:hAnsi="仿宋" w:eastAsia="仿宋" w:cs="仿宋"/>
                <w:color w:val="auto"/>
                <w:kern w:val="0"/>
                <w:highlight w:val="none"/>
                <w:lang w:eastAsia="zh-TW"/>
              </w:rPr>
              <w:t>）自20</w:t>
            </w:r>
            <w:r>
              <w:rPr>
                <w:rFonts w:hint="eastAsia" w:ascii="仿宋" w:hAnsi="仿宋" w:eastAsia="仿宋" w:cs="仿宋"/>
                <w:color w:val="auto"/>
                <w:kern w:val="0"/>
                <w:highlight w:val="none"/>
              </w:rPr>
              <w:t>20</w:t>
            </w:r>
            <w:r>
              <w:rPr>
                <w:rFonts w:hint="eastAsia" w:ascii="仿宋" w:hAnsi="仿宋" w:eastAsia="仿宋" w:cs="仿宋"/>
                <w:color w:val="auto"/>
                <w:kern w:val="0"/>
                <w:highlight w:val="none"/>
                <w:lang w:eastAsia="zh-TW"/>
              </w:rPr>
              <w:t>年1月1日至今，完成过单个项目日处理量0.</w:t>
            </w:r>
            <w:r>
              <w:rPr>
                <w:rFonts w:hint="eastAsia" w:ascii="仿宋" w:hAnsi="仿宋" w:eastAsia="仿宋" w:cs="仿宋"/>
                <w:color w:val="auto"/>
                <w:kern w:val="0"/>
                <w:highlight w:val="none"/>
              </w:rPr>
              <w:t>5</w:t>
            </w:r>
            <w:r>
              <w:rPr>
                <w:rFonts w:hint="eastAsia" w:ascii="仿宋" w:hAnsi="仿宋" w:eastAsia="仿宋" w:cs="仿宋"/>
                <w:color w:val="auto"/>
                <w:kern w:val="0"/>
                <w:highlight w:val="none"/>
                <w:lang w:eastAsia="zh-TW"/>
              </w:rPr>
              <w:t>万吨及以上的污水处理厂设计业绩的，每个得</w:t>
            </w:r>
            <w:r>
              <w:rPr>
                <w:rFonts w:hint="eastAsia" w:ascii="仿宋" w:hAnsi="仿宋" w:eastAsia="仿宋" w:cs="仿宋"/>
                <w:color w:val="auto"/>
                <w:kern w:val="0"/>
                <w:highlight w:val="none"/>
              </w:rPr>
              <w:t>1</w:t>
            </w:r>
            <w:r>
              <w:rPr>
                <w:rFonts w:hint="eastAsia" w:ascii="仿宋" w:hAnsi="仿宋" w:eastAsia="仿宋" w:cs="仿宋"/>
                <w:color w:val="auto"/>
                <w:kern w:val="0"/>
                <w:highlight w:val="none"/>
                <w:lang w:eastAsia="zh-TW"/>
              </w:rPr>
              <w:t>分，本项最高得</w:t>
            </w:r>
            <w:r>
              <w:rPr>
                <w:rFonts w:hint="eastAsia" w:ascii="仿宋" w:hAnsi="仿宋" w:eastAsia="仿宋" w:cs="仿宋"/>
                <w:color w:val="auto"/>
                <w:kern w:val="0"/>
                <w:highlight w:val="none"/>
              </w:rPr>
              <w:t>3</w:t>
            </w:r>
            <w:r>
              <w:rPr>
                <w:rFonts w:hint="eastAsia" w:ascii="仿宋" w:hAnsi="仿宋" w:eastAsia="仿宋" w:cs="仿宋"/>
                <w:color w:val="auto"/>
                <w:kern w:val="0"/>
                <w:highlight w:val="none"/>
                <w:lang w:eastAsia="zh-TW"/>
              </w:rPr>
              <w:t>分。</w:t>
            </w:r>
          </w:p>
          <w:p w14:paraId="2FC7C30C">
            <w:pPr>
              <w:keepNext w:val="0"/>
              <w:keepLines w:val="0"/>
              <w:pageBreakBefore w:val="0"/>
              <w:kinsoku/>
              <w:wordWrap/>
              <w:overflowPunct/>
              <w:topLinePunct w:val="0"/>
              <w:autoSpaceDE/>
              <w:autoSpaceDN/>
              <w:bidi w:val="0"/>
              <w:spacing w:line="440" w:lineRule="exact"/>
              <w:ind w:firstLine="0" w:firstLineChars="0"/>
              <w:jc w:val="left"/>
              <w:textAlignment w:val="auto"/>
              <w:rPr>
                <w:rFonts w:hint="eastAsia" w:ascii="仿宋" w:hAnsi="仿宋" w:eastAsia="仿宋" w:cs="仿宋"/>
                <w:color w:val="auto"/>
                <w:highlight w:val="none"/>
              </w:rPr>
            </w:pPr>
            <w:r>
              <w:rPr>
                <w:rFonts w:hint="eastAsia" w:ascii="仿宋" w:hAnsi="仿宋" w:eastAsia="仿宋" w:cs="仿宋"/>
                <w:color w:val="auto"/>
                <w:kern w:val="0"/>
                <w:szCs w:val="21"/>
                <w:highlight w:val="none"/>
                <w:lang w:eastAsia="zh-TW"/>
              </w:rPr>
              <w:t>注：须提供中标通知书、合同关键页扫描件。业绩认定时间以合同签订时间为准。</w:t>
            </w:r>
          </w:p>
        </w:tc>
      </w:tr>
      <w:tr w14:paraId="69195F6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754" w:hRule="atLeast"/>
        </w:trPr>
        <w:tc>
          <w:tcPr>
            <w:tcW w:w="900" w:type="dxa"/>
            <w:vMerge w:val="continue"/>
            <w:tcBorders>
              <w:top w:val="single" w:color="auto" w:sz="4" w:space="0"/>
              <w:right w:val="single" w:color="auto" w:sz="4" w:space="0"/>
            </w:tcBorders>
            <w:noWrap w:val="0"/>
            <w:vAlign w:val="center"/>
          </w:tcPr>
          <w:p w14:paraId="4843B183">
            <w:pPr>
              <w:spacing w:line="440" w:lineRule="exact"/>
              <w:jc w:val="left"/>
              <w:rPr>
                <w:rFonts w:hint="eastAsia" w:ascii="仿宋" w:hAnsi="仿宋" w:eastAsia="仿宋" w:cs="仿宋"/>
                <w:color w:val="auto"/>
                <w:szCs w:val="21"/>
                <w:highlight w:val="none"/>
              </w:rPr>
            </w:pPr>
          </w:p>
        </w:tc>
        <w:tc>
          <w:tcPr>
            <w:tcW w:w="1124" w:type="dxa"/>
            <w:vMerge w:val="continue"/>
            <w:tcBorders>
              <w:top w:val="single" w:color="auto" w:sz="4" w:space="0"/>
              <w:right w:val="single" w:color="auto" w:sz="4" w:space="0"/>
            </w:tcBorders>
            <w:noWrap w:val="0"/>
            <w:vAlign w:val="center"/>
          </w:tcPr>
          <w:p w14:paraId="1EDFEA16">
            <w:pPr>
              <w:spacing w:line="440" w:lineRule="exact"/>
              <w:jc w:val="left"/>
              <w:rPr>
                <w:rFonts w:hint="eastAsia" w:ascii="仿宋" w:hAnsi="仿宋" w:eastAsia="仿宋" w:cs="仿宋"/>
                <w:color w:val="auto"/>
                <w:szCs w:val="21"/>
                <w:highlight w:val="none"/>
              </w:rPr>
            </w:pPr>
          </w:p>
        </w:tc>
        <w:tc>
          <w:tcPr>
            <w:tcW w:w="2654" w:type="dxa"/>
            <w:tcBorders>
              <w:top w:val="single" w:color="auto" w:sz="4" w:space="0"/>
              <w:left w:val="single" w:color="auto" w:sz="4" w:space="0"/>
              <w:right w:val="single" w:color="auto" w:sz="4" w:space="0"/>
            </w:tcBorders>
            <w:noWrap w:val="0"/>
            <w:vAlign w:val="center"/>
          </w:tcPr>
          <w:p w14:paraId="553B595A">
            <w:pPr>
              <w:keepNext w:val="0"/>
              <w:keepLines w:val="0"/>
              <w:pageBreakBefore w:val="0"/>
              <w:kinsoku/>
              <w:wordWrap/>
              <w:overflowPunct/>
              <w:topLinePunct w:val="0"/>
              <w:autoSpaceDE/>
              <w:autoSpaceDN/>
              <w:bidi w:val="0"/>
              <w:spacing w:line="440" w:lineRule="exact"/>
              <w:ind w:firstLine="0" w:firstLineChars="0"/>
              <w:jc w:val="left"/>
              <w:textAlignment w:val="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供货服务业绩（3分）</w:t>
            </w:r>
          </w:p>
        </w:tc>
        <w:tc>
          <w:tcPr>
            <w:tcW w:w="4502" w:type="dxa"/>
            <w:tcBorders>
              <w:top w:val="single" w:color="auto" w:sz="4" w:space="0"/>
              <w:left w:val="single" w:color="auto" w:sz="4" w:space="0"/>
            </w:tcBorders>
            <w:noWrap w:val="0"/>
            <w:vAlign w:val="center"/>
          </w:tcPr>
          <w:p w14:paraId="051F9C2B">
            <w:pPr>
              <w:keepNext w:val="0"/>
              <w:keepLines w:val="0"/>
              <w:pageBreakBefore w:val="0"/>
              <w:kinsoku/>
              <w:wordWrap/>
              <w:overflowPunct/>
              <w:topLinePunct w:val="0"/>
              <w:autoSpaceDE/>
              <w:autoSpaceDN/>
              <w:bidi w:val="0"/>
              <w:spacing w:line="276" w:lineRule="auto"/>
              <w:ind w:firstLine="0" w:firstLineChars="0"/>
              <w:jc w:val="left"/>
              <w:textAlignment w:val="auto"/>
              <w:rPr>
                <w:rFonts w:hint="eastAsia" w:ascii="仿宋" w:hAnsi="仿宋" w:eastAsia="仿宋" w:cs="仿宋"/>
                <w:color w:val="auto"/>
                <w:spacing w:val="-5"/>
                <w:kern w:val="0"/>
                <w:szCs w:val="21"/>
                <w:highlight w:val="none"/>
              </w:rPr>
            </w:pPr>
            <w:r>
              <w:rPr>
                <w:rFonts w:hint="eastAsia" w:ascii="仿宋" w:hAnsi="仿宋" w:eastAsia="仿宋" w:cs="仿宋"/>
                <w:color w:val="auto"/>
                <w:spacing w:val="-5"/>
                <w:kern w:val="0"/>
                <w:szCs w:val="21"/>
                <w:highlight w:val="none"/>
              </w:rPr>
              <w:t>投标人（如为联合体投标，指承担设备集成供货服务任务的单位）自2020年1月1日至今：</w:t>
            </w:r>
          </w:p>
          <w:p w14:paraId="2A6A82FD">
            <w:pPr>
              <w:keepNext w:val="0"/>
              <w:keepLines w:val="0"/>
              <w:pageBreakBefore w:val="0"/>
              <w:kinsoku/>
              <w:wordWrap/>
              <w:overflowPunct/>
              <w:topLinePunct w:val="0"/>
              <w:autoSpaceDE/>
              <w:autoSpaceDN/>
              <w:bidi w:val="0"/>
              <w:spacing w:line="276" w:lineRule="auto"/>
              <w:ind w:firstLine="0" w:firstLineChars="0"/>
              <w:jc w:val="left"/>
              <w:textAlignment w:val="auto"/>
              <w:rPr>
                <w:rFonts w:hint="eastAsia" w:ascii="仿宋" w:hAnsi="仿宋" w:eastAsia="仿宋" w:cs="仿宋"/>
                <w:color w:val="auto"/>
                <w:spacing w:val="-5"/>
                <w:kern w:val="0"/>
                <w:szCs w:val="21"/>
                <w:highlight w:val="none"/>
              </w:rPr>
            </w:pPr>
            <w:r>
              <w:rPr>
                <w:rFonts w:hint="eastAsia" w:ascii="仿宋" w:hAnsi="仿宋" w:eastAsia="仿宋" w:cs="仿宋"/>
                <w:color w:val="auto"/>
                <w:spacing w:val="-5"/>
                <w:kern w:val="0"/>
                <w:szCs w:val="21"/>
                <w:highlight w:val="none"/>
              </w:rPr>
              <w:t>完成过类似污水处理厂供货业绩的，得</w:t>
            </w:r>
            <w:r>
              <w:rPr>
                <w:rFonts w:hint="eastAsia" w:ascii="仿宋" w:hAnsi="仿宋" w:eastAsia="仿宋" w:cs="仿宋"/>
                <w:color w:val="auto"/>
                <w:spacing w:val="-5"/>
                <w:kern w:val="0"/>
                <w:szCs w:val="21"/>
                <w:highlight w:val="none"/>
                <w:lang w:val="en-US"/>
              </w:rPr>
              <w:t>1</w:t>
            </w:r>
            <w:r>
              <w:rPr>
                <w:rFonts w:hint="eastAsia" w:ascii="仿宋" w:hAnsi="仿宋" w:eastAsia="仿宋" w:cs="仿宋"/>
                <w:color w:val="auto"/>
                <w:spacing w:val="-5"/>
                <w:kern w:val="0"/>
                <w:szCs w:val="21"/>
                <w:highlight w:val="none"/>
              </w:rPr>
              <w:t>分。供货</w:t>
            </w:r>
            <w:r>
              <w:rPr>
                <w:rFonts w:hint="eastAsia" w:ascii="仿宋" w:hAnsi="仿宋" w:eastAsia="仿宋" w:cs="仿宋"/>
                <w:color w:val="auto"/>
                <w:spacing w:val="-5"/>
                <w:kern w:val="0"/>
                <w:szCs w:val="21"/>
                <w:highlight w:val="none"/>
                <w:lang w:val="en-US" w:eastAsia="zh-CN"/>
              </w:rPr>
              <w:t>业绩中</w:t>
            </w:r>
            <w:r>
              <w:rPr>
                <w:rFonts w:hint="eastAsia" w:ascii="仿宋" w:hAnsi="仿宋" w:eastAsia="仿宋" w:cs="仿宋"/>
                <w:color w:val="auto"/>
                <w:spacing w:val="-5"/>
                <w:kern w:val="0"/>
                <w:szCs w:val="21"/>
                <w:highlight w:val="none"/>
              </w:rPr>
              <w:t>含改良SBR一体化设备</w:t>
            </w:r>
            <w:r>
              <w:rPr>
                <w:rFonts w:hint="eastAsia" w:ascii="仿宋" w:hAnsi="仿宋" w:eastAsia="仿宋" w:cs="仿宋"/>
                <w:color w:val="auto"/>
                <w:spacing w:val="-5"/>
                <w:kern w:val="0"/>
                <w:szCs w:val="21"/>
                <w:highlight w:val="none"/>
                <w:lang w:val="en-US" w:eastAsia="zh-CN"/>
              </w:rPr>
              <w:t>的，加</w:t>
            </w:r>
            <w:r>
              <w:rPr>
                <w:rFonts w:hint="eastAsia" w:ascii="仿宋" w:hAnsi="仿宋" w:eastAsia="仿宋" w:cs="仿宋"/>
                <w:color w:val="auto"/>
                <w:spacing w:val="-5"/>
                <w:kern w:val="0"/>
                <w:szCs w:val="21"/>
                <w:highlight w:val="none"/>
              </w:rPr>
              <w:t>2分</w:t>
            </w:r>
            <w:r>
              <w:rPr>
                <w:rFonts w:hint="eastAsia" w:ascii="仿宋" w:hAnsi="仿宋" w:eastAsia="仿宋" w:cs="仿宋"/>
                <w:color w:val="auto"/>
                <w:spacing w:val="-5"/>
                <w:kern w:val="0"/>
                <w:szCs w:val="21"/>
                <w:highlight w:val="none"/>
                <w:lang w:eastAsia="zh-CN"/>
              </w:rPr>
              <w:t>。</w:t>
            </w:r>
            <w:r>
              <w:rPr>
                <w:rFonts w:hint="eastAsia" w:ascii="仿宋" w:hAnsi="仿宋" w:eastAsia="仿宋" w:cs="仿宋"/>
                <w:color w:val="auto"/>
                <w:spacing w:val="-5"/>
                <w:kern w:val="0"/>
                <w:szCs w:val="21"/>
                <w:highlight w:val="none"/>
              </w:rPr>
              <w:t>本项最高得</w:t>
            </w:r>
            <w:r>
              <w:rPr>
                <w:rFonts w:hint="eastAsia" w:ascii="仿宋" w:hAnsi="仿宋" w:eastAsia="仿宋" w:cs="仿宋"/>
                <w:color w:val="auto"/>
                <w:spacing w:val="-5"/>
                <w:kern w:val="0"/>
                <w:szCs w:val="21"/>
                <w:highlight w:val="none"/>
                <w:lang w:val="en-US" w:eastAsia="zh-CN"/>
              </w:rPr>
              <w:t>3</w:t>
            </w:r>
            <w:r>
              <w:rPr>
                <w:rFonts w:hint="eastAsia" w:ascii="仿宋" w:hAnsi="仿宋" w:eastAsia="仿宋" w:cs="仿宋"/>
                <w:color w:val="auto"/>
                <w:spacing w:val="-5"/>
                <w:kern w:val="0"/>
                <w:szCs w:val="21"/>
                <w:highlight w:val="none"/>
              </w:rPr>
              <w:t>分。</w:t>
            </w:r>
          </w:p>
          <w:p w14:paraId="153FA419">
            <w:pPr>
              <w:keepNext w:val="0"/>
              <w:keepLines w:val="0"/>
              <w:pageBreakBefore w:val="0"/>
              <w:kinsoku/>
              <w:wordWrap/>
              <w:overflowPunct/>
              <w:topLinePunct w:val="0"/>
              <w:autoSpaceDE/>
              <w:autoSpaceDN/>
              <w:bidi w:val="0"/>
              <w:spacing w:line="440" w:lineRule="exact"/>
              <w:ind w:firstLine="0" w:firstLineChars="0"/>
              <w:jc w:val="left"/>
              <w:textAlignment w:val="auto"/>
              <w:rPr>
                <w:rFonts w:hint="eastAsia" w:ascii="仿宋" w:hAnsi="仿宋" w:eastAsia="仿宋" w:cs="仿宋"/>
                <w:b/>
                <w:bCs/>
                <w:color w:val="auto"/>
                <w:szCs w:val="21"/>
                <w:highlight w:val="none"/>
              </w:rPr>
            </w:pPr>
            <w:r>
              <w:rPr>
                <w:rFonts w:hint="eastAsia" w:ascii="仿宋" w:hAnsi="仿宋" w:eastAsia="仿宋" w:cs="仿宋"/>
                <w:color w:val="auto"/>
                <w:spacing w:val="-5"/>
                <w:kern w:val="0"/>
                <w:szCs w:val="21"/>
                <w:highlight w:val="none"/>
              </w:rPr>
              <w:t>注：须提供项目中标通知书、合同关键页扫描件。业绩认定时间以合同签订时间为准。</w:t>
            </w:r>
          </w:p>
        </w:tc>
      </w:tr>
      <w:tr w14:paraId="4A3343C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754" w:hRule="atLeast"/>
        </w:trPr>
        <w:tc>
          <w:tcPr>
            <w:tcW w:w="900" w:type="dxa"/>
            <w:vMerge w:val="continue"/>
            <w:tcBorders>
              <w:top w:val="single" w:color="auto" w:sz="4" w:space="0"/>
              <w:right w:val="single" w:color="auto" w:sz="4" w:space="0"/>
            </w:tcBorders>
            <w:noWrap w:val="0"/>
            <w:vAlign w:val="center"/>
          </w:tcPr>
          <w:p w14:paraId="3EAEF738">
            <w:pPr>
              <w:spacing w:line="440" w:lineRule="exact"/>
              <w:jc w:val="left"/>
              <w:rPr>
                <w:rFonts w:hint="eastAsia" w:ascii="仿宋" w:hAnsi="仿宋" w:eastAsia="仿宋" w:cs="仿宋"/>
                <w:color w:val="auto"/>
                <w:szCs w:val="21"/>
                <w:highlight w:val="none"/>
              </w:rPr>
            </w:pPr>
          </w:p>
        </w:tc>
        <w:tc>
          <w:tcPr>
            <w:tcW w:w="1124" w:type="dxa"/>
            <w:vMerge w:val="continue"/>
            <w:tcBorders>
              <w:top w:val="single" w:color="auto" w:sz="4" w:space="0"/>
              <w:right w:val="single" w:color="auto" w:sz="4" w:space="0"/>
            </w:tcBorders>
            <w:noWrap w:val="0"/>
            <w:vAlign w:val="center"/>
          </w:tcPr>
          <w:p w14:paraId="5743462C">
            <w:pPr>
              <w:spacing w:line="440" w:lineRule="exact"/>
              <w:jc w:val="left"/>
              <w:rPr>
                <w:rFonts w:hint="eastAsia" w:ascii="仿宋" w:hAnsi="仿宋" w:eastAsia="仿宋" w:cs="仿宋"/>
                <w:color w:val="auto"/>
                <w:szCs w:val="21"/>
                <w:highlight w:val="none"/>
              </w:rPr>
            </w:pPr>
          </w:p>
        </w:tc>
        <w:tc>
          <w:tcPr>
            <w:tcW w:w="2654" w:type="dxa"/>
            <w:tcBorders>
              <w:top w:val="single" w:color="auto" w:sz="4" w:space="0"/>
              <w:left w:val="single" w:color="auto" w:sz="4" w:space="0"/>
              <w:right w:val="single" w:color="auto" w:sz="4" w:space="0"/>
            </w:tcBorders>
            <w:noWrap w:val="0"/>
            <w:vAlign w:val="center"/>
          </w:tcPr>
          <w:p w14:paraId="564A2782">
            <w:pPr>
              <w:keepNext w:val="0"/>
              <w:keepLines w:val="0"/>
              <w:pageBreakBefore w:val="0"/>
              <w:kinsoku/>
              <w:wordWrap/>
              <w:overflowPunct/>
              <w:topLinePunct w:val="0"/>
              <w:autoSpaceDE/>
              <w:autoSpaceDN/>
              <w:bidi w:val="0"/>
              <w:spacing w:line="440" w:lineRule="exact"/>
              <w:ind w:firstLine="0" w:firstLineChars="0"/>
              <w:jc w:val="left"/>
              <w:textAlignment w:val="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运营业绩（3分）</w:t>
            </w:r>
          </w:p>
        </w:tc>
        <w:tc>
          <w:tcPr>
            <w:tcW w:w="4502" w:type="dxa"/>
            <w:tcBorders>
              <w:top w:val="single" w:color="auto" w:sz="4" w:space="0"/>
              <w:left w:val="single" w:color="auto" w:sz="4" w:space="0"/>
            </w:tcBorders>
            <w:noWrap w:val="0"/>
            <w:vAlign w:val="center"/>
          </w:tcPr>
          <w:p w14:paraId="58797C34">
            <w:pPr>
              <w:keepNext w:val="0"/>
              <w:keepLines w:val="0"/>
              <w:pageBreakBefore w:val="0"/>
              <w:kinsoku/>
              <w:wordWrap/>
              <w:overflowPunct/>
              <w:topLinePunct w:val="0"/>
              <w:autoSpaceDE/>
              <w:autoSpaceDN/>
              <w:bidi w:val="0"/>
              <w:spacing w:line="276" w:lineRule="auto"/>
              <w:ind w:firstLine="0" w:firstLineChars="0"/>
              <w:jc w:val="left"/>
              <w:textAlignment w:val="auto"/>
              <w:rPr>
                <w:rFonts w:hint="eastAsia" w:ascii="仿宋" w:hAnsi="仿宋" w:eastAsia="仿宋" w:cs="仿宋"/>
                <w:color w:val="auto"/>
                <w:spacing w:val="-5"/>
                <w:kern w:val="0"/>
                <w:szCs w:val="21"/>
                <w:highlight w:val="none"/>
              </w:rPr>
            </w:pPr>
            <w:r>
              <w:rPr>
                <w:rFonts w:hint="eastAsia" w:ascii="仿宋" w:hAnsi="仿宋" w:eastAsia="仿宋" w:cs="仿宋"/>
                <w:color w:val="auto"/>
                <w:spacing w:val="-5"/>
                <w:kern w:val="0"/>
                <w:szCs w:val="21"/>
                <w:highlight w:val="none"/>
              </w:rPr>
              <w:t>投标人（如为联合体投标，指承担运营任务的单位）自2020年1月1日至今：</w:t>
            </w:r>
          </w:p>
          <w:p w14:paraId="455EA549">
            <w:pPr>
              <w:keepNext w:val="0"/>
              <w:keepLines w:val="0"/>
              <w:pageBreakBefore w:val="0"/>
              <w:kinsoku/>
              <w:wordWrap/>
              <w:overflowPunct/>
              <w:topLinePunct w:val="0"/>
              <w:autoSpaceDE/>
              <w:autoSpaceDN/>
              <w:bidi w:val="0"/>
              <w:spacing w:line="276" w:lineRule="auto"/>
              <w:ind w:firstLine="0" w:firstLineChars="0"/>
              <w:jc w:val="left"/>
              <w:textAlignment w:val="auto"/>
              <w:rPr>
                <w:rFonts w:hint="eastAsia" w:ascii="仿宋" w:hAnsi="仿宋" w:eastAsia="仿宋" w:cs="仿宋"/>
                <w:color w:val="auto"/>
                <w:spacing w:val="-5"/>
                <w:kern w:val="0"/>
                <w:szCs w:val="21"/>
                <w:highlight w:val="none"/>
              </w:rPr>
            </w:pPr>
            <w:r>
              <w:rPr>
                <w:rFonts w:hint="eastAsia" w:ascii="仿宋" w:hAnsi="仿宋" w:eastAsia="仿宋" w:cs="仿宋"/>
                <w:color w:val="auto"/>
                <w:spacing w:val="-5"/>
                <w:kern w:val="0"/>
                <w:szCs w:val="21"/>
                <w:highlight w:val="none"/>
              </w:rPr>
              <w:t>1.拥有污水处理项目运营业绩的</w:t>
            </w:r>
            <w:r>
              <w:rPr>
                <w:rFonts w:hint="eastAsia" w:ascii="仿宋" w:hAnsi="仿宋" w:eastAsia="仿宋" w:cs="仿宋"/>
                <w:color w:val="auto"/>
                <w:spacing w:val="-5"/>
                <w:kern w:val="0"/>
                <w:szCs w:val="21"/>
                <w:highlight w:val="none"/>
                <w:lang w:eastAsia="zh-CN"/>
              </w:rPr>
              <w:t>，</w:t>
            </w:r>
            <w:r>
              <w:rPr>
                <w:rFonts w:hint="eastAsia" w:ascii="仿宋" w:hAnsi="仿宋" w:eastAsia="仿宋" w:cs="仿宋"/>
                <w:color w:val="auto"/>
                <w:spacing w:val="-5"/>
                <w:kern w:val="0"/>
                <w:szCs w:val="21"/>
                <w:highlight w:val="none"/>
              </w:rPr>
              <w:t>得</w:t>
            </w:r>
            <w:r>
              <w:rPr>
                <w:rFonts w:hint="eastAsia" w:ascii="仿宋" w:hAnsi="仿宋" w:eastAsia="仿宋" w:cs="仿宋"/>
                <w:color w:val="auto"/>
                <w:spacing w:val="-5"/>
                <w:kern w:val="0"/>
                <w:szCs w:val="21"/>
                <w:highlight w:val="none"/>
                <w:lang w:val="en-US" w:eastAsia="zh-CN"/>
              </w:rPr>
              <w:t>1</w:t>
            </w:r>
            <w:r>
              <w:rPr>
                <w:rFonts w:hint="eastAsia" w:ascii="仿宋" w:hAnsi="仿宋" w:eastAsia="仿宋" w:cs="仿宋"/>
                <w:color w:val="auto"/>
                <w:spacing w:val="-5"/>
                <w:kern w:val="0"/>
                <w:szCs w:val="21"/>
                <w:highlight w:val="none"/>
              </w:rPr>
              <w:t>分。</w:t>
            </w:r>
            <w:r>
              <w:rPr>
                <w:rFonts w:hint="eastAsia" w:ascii="仿宋" w:hAnsi="仿宋" w:eastAsia="仿宋" w:cs="仿宋"/>
                <w:color w:val="auto"/>
                <w:spacing w:val="-5"/>
                <w:kern w:val="0"/>
                <w:szCs w:val="21"/>
                <w:highlight w:val="none"/>
                <w:lang w:val="en-US" w:eastAsia="zh-CN"/>
              </w:rPr>
              <w:t>污水处理项目运营业绩</w:t>
            </w:r>
            <w:r>
              <w:rPr>
                <w:rFonts w:hint="eastAsia" w:ascii="仿宋" w:hAnsi="仿宋" w:eastAsia="仿宋" w:cs="仿宋"/>
                <w:color w:val="auto"/>
                <w:spacing w:val="-5"/>
                <w:kern w:val="0"/>
                <w:szCs w:val="21"/>
                <w:highlight w:val="none"/>
              </w:rPr>
              <w:t>为</w:t>
            </w:r>
            <w:r>
              <w:rPr>
                <w:rFonts w:hint="eastAsia" w:ascii="仿宋" w:hAnsi="仿宋" w:cs="仿宋"/>
                <w:color w:val="auto"/>
                <w:spacing w:val="-5"/>
                <w:kern w:val="0"/>
                <w:szCs w:val="21"/>
                <w:highlight w:val="none"/>
                <w:lang w:val="en-US" w:eastAsia="zh-CN"/>
              </w:rPr>
              <w:t>类似</w:t>
            </w:r>
            <w:r>
              <w:rPr>
                <w:rFonts w:hint="eastAsia" w:ascii="仿宋" w:hAnsi="仿宋" w:eastAsia="仿宋" w:cs="仿宋"/>
                <w:color w:val="auto"/>
                <w:spacing w:val="-5"/>
                <w:kern w:val="0"/>
                <w:szCs w:val="21"/>
                <w:highlight w:val="none"/>
              </w:rPr>
              <w:t>工业废水运营业绩的，加</w:t>
            </w:r>
            <w:r>
              <w:rPr>
                <w:rFonts w:hint="eastAsia" w:ascii="仿宋" w:hAnsi="仿宋" w:eastAsia="仿宋" w:cs="仿宋"/>
                <w:color w:val="auto"/>
                <w:spacing w:val="-5"/>
                <w:kern w:val="0"/>
                <w:szCs w:val="21"/>
                <w:highlight w:val="none"/>
                <w:lang w:val="en-US" w:eastAsia="zh-CN"/>
              </w:rPr>
              <w:t>2</w:t>
            </w:r>
            <w:r>
              <w:rPr>
                <w:rFonts w:hint="eastAsia" w:ascii="仿宋" w:hAnsi="仿宋" w:eastAsia="仿宋" w:cs="仿宋"/>
                <w:color w:val="auto"/>
                <w:spacing w:val="-5"/>
                <w:kern w:val="0"/>
                <w:szCs w:val="21"/>
                <w:highlight w:val="none"/>
              </w:rPr>
              <w:t>分，本项最高加</w:t>
            </w:r>
            <w:r>
              <w:rPr>
                <w:rFonts w:hint="eastAsia" w:ascii="仿宋" w:hAnsi="仿宋" w:eastAsia="仿宋" w:cs="仿宋"/>
                <w:color w:val="auto"/>
                <w:spacing w:val="-5"/>
                <w:kern w:val="0"/>
                <w:szCs w:val="21"/>
                <w:highlight w:val="none"/>
                <w:lang w:val="en-US" w:eastAsia="zh-CN"/>
              </w:rPr>
              <w:t>3</w:t>
            </w:r>
            <w:r>
              <w:rPr>
                <w:rFonts w:hint="eastAsia" w:ascii="仿宋" w:hAnsi="仿宋" w:eastAsia="仿宋" w:cs="仿宋"/>
                <w:color w:val="auto"/>
                <w:spacing w:val="-5"/>
                <w:kern w:val="0"/>
                <w:szCs w:val="21"/>
                <w:highlight w:val="none"/>
              </w:rPr>
              <w:t>分。</w:t>
            </w:r>
          </w:p>
          <w:p w14:paraId="57873EDF">
            <w:pPr>
              <w:keepNext w:val="0"/>
              <w:keepLines w:val="0"/>
              <w:pageBreakBefore w:val="0"/>
              <w:kinsoku/>
              <w:wordWrap/>
              <w:overflowPunct/>
              <w:topLinePunct w:val="0"/>
              <w:autoSpaceDE/>
              <w:autoSpaceDN/>
              <w:bidi w:val="0"/>
              <w:spacing w:line="360" w:lineRule="exact"/>
              <w:ind w:left="72" w:leftChars="30" w:right="72" w:rightChars="30" w:firstLine="0" w:firstLineChars="0"/>
              <w:jc w:val="left"/>
              <w:textAlignment w:val="auto"/>
              <w:rPr>
                <w:rFonts w:hint="eastAsia" w:ascii="仿宋" w:hAnsi="仿宋" w:eastAsia="仿宋" w:cs="仿宋"/>
                <w:color w:val="auto"/>
                <w:spacing w:val="-5"/>
                <w:kern w:val="0"/>
                <w:szCs w:val="21"/>
                <w:highlight w:val="none"/>
              </w:rPr>
            </w:pPr>
            <w:r>
              <w:rPr>
                <w:rFonts w:hint="eastAsia" w:ascii="仿宋" w:hAnsi="仿宋" w:eastAsia="仿宋" w:cs="仿宋"/>
                <w:color w:val="auto"/>
                <w:spacing w:val="-5"/>
                <w:kern w:val="0"/>
                <w:szCs w:val="21"/>
                <w:highlight w:val="none"/>
              </w:rPr>
              <w:t>注：须提供项目合同关键页扫描件。业绩认定时间以合同签订时间为准。</w:t>
            </w:r>
          </w:p>
        </w:tc>
      </w:tr>
      <w:tr w14:paraId="3891546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754" w:hRule="atLeast"/>
        </w:trPr>
        <w:tc>
          <w:tcPr>
            <w:tcW w:w="900" w:type="dxa"/>
            <w:vMerge w:val="continue"/>
            <w:tcBorders>
              <w:top w:val="single" w:color="auto" w:sz="4" w:space="0"/>
              <w:right w:val="single" w:color="auto" w:sz="4" w:space="0"/>
            </w:tcBorders>
            <w:noWrap w:val="0"/>
            <w:vAlign w:val="center"/>
          </w:tcPr>
          <w:p w14:paraId="4789D1CA">
            <w:pPr>
              <w:spacing w:line="440" w:lineRule="exact"/>
              <w:jc w:val="left"/>
              <w:rPr>
                <w:rFonts w:hint="eastAsia" w:ascii="仿宋" w:hAnsi="仿宋" w:eastAsia="仿宋" w:cs="仿宋"/>
                <w:color w:val="auto"/>
                <w:szCs w:val="21"/>
                <w:highlight w:val="none"/>
              </w:rPr>
            </w:pPr>
          </w:p>
        </w:tc>
        <w:tc>
          <w:tcPr>
            <w:tcW w:w="1124" w:type="dxa"/>
            <w:vMerge w:val="continue"/>
            <w:tcBorders>
              <w:top w:val="single" w:color="auto" w:sz="4" w:space="0"/>
              <w:right w:val="single" w:color="auto" w:sz="4" w:space="0"/>
            </w:tcBorders>
            <w:noWrap w:val="0"/>
            <w:vAlign w:val="center"/>
          </w:tcPr>
          <w:p w14:paraId="39113966">
            <w:pPr>
              <w:spacing w:line="440" w:lineRule="exact"/>
              <w:jc w:val="left"/>
              <w:rPr>
                <w:rFonts w:hint="eastAsia" w:ascii="仿宋" w:hAnsi="仿宋" w:eastAsia="仿宋" w:cs="仿宋"/>
                <w:color w:val="auto"/>
                <w:szCs w:val="21"/>
                <w:highlight w:val="none"/>
              </w:rPr>
            </w:pPr>
          </w:p>
        </w:tc>
        <w:tc>
          <w:tcPr>
            <w:tcW w:w="2654" w:type="dxa"/>
            <w:tcBorders>
              <w:top w:val="single" w:color="auto" w:sz="4" w:space="0"/>
              <w:left w:val="single" w:color="auto" w:sz="4" w:space="0"/>
              <w:right w:val="single" w:color="auto" w:sz="4" w:space="0"/>
            </w:tcBorders>
            <w:noWrap w:val="0"/>
            <w:vAlign w:val="center"/>
          </w:tcPr>
          <w:p w14:paraId="7776363B">
            <w:pPr>
              <w:keepNext w:val="0"/>
              <w:keepLines w:val="0"/>
              <w:pageBreakBefore w:val="0"/>
              <w:kinsoku/>
              <w:wordWrap/>
              <w:overflowPunct/>
              <w:topLinePunct w:val="0"/>
              <w:autoSpaceDE/>
              <w:autoSpaceDN/>
              <w:bidi w:val="0"/>
              <w:spacing w:line="360" w:lineRule="exact"/>
              <w:ind w:left="72" w:leftChars="30" w:right="72" w:rightChars="30" w:firstLine="0" w:firstLineChars="0"/>
              <w:jc w:val="left"/>
              <w:textAlignment w:val="auto"/>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rPr>
              <w:t>施工团队人员配置（</w:t>
            </w:r>
            <w:r>
              <w:rPr>
                <w:rFonts w:hint="eastAsia" w:ascii="仿宋" w:hAnsi="仿宋" w:eastAsia="仿宋" w:cs="仿宋"/>
                <w:color w:val="auto"/>
                <w:kern w:val="0"/>
                <w:szCs w:val="21"/>
                <w:highlight w:val="none"/>
                <w:lang w:val="en-US" w:eastAsia="zh-CN"/>
              </w:rPr>
              <w:t>2</w:t>
            </w:r>
            <w:r>
              <w:rPr>
                <w:rFonts w:hint="eastAsia" w:ascii="仿宋" w:hAnsi="仿宋" w:eastAsia="仿宋" w:cs="仿宋"/>
                <w:color w:val="auto"/>
                <w:kern w:val="0"/>
                <w:szCs w:val="21"/>
                <w:highlight w:val="none"/>
              </w:rPr>
              <w:t>分）</w:t>
            </w:r>
          </w:p>
        </w:tc>
        <w:tc>
          <w:tcPr>
            <w:tcW w:w="4502" w:type="dxa"/>
            <w:tcBorders>
              <w:top w:val="single" w:color="auto" w:sz="4" w:space="0"/>
              <w:left w:val="single" w:color="auto" w:sz="4" w:space="0"/>
            </w:tcBorders>
            <w:noWrap w:val="0"/>
            <w:vAlign w:val="center"/>
          </w:tcPr>
          <w:p w14:paraId="203EE160">
            <w:pPr>
              <w:pStyle w:val="95"/>
              <w:keepNext w:val="0"/>
              <w:keepLines w:val="0"/>
              <w:pageBreakBefore w:val="0"/>
              <w:kinsoku/>
              <w:wordWrap/>
              <w:overflowPunct/>
              <w:topLinePunct w:val="0"/>
              <w:autoSpaceDE/>
              <w:autoSpaceDN/>
              <w:bidi w:val="0"/>
              <w:spacing w:line="276" w:lineRule="auto"/>
              <w:ind w:firstLine="0" w:firstLineChars="0"/>
              <w:jc w:val="left"/>
              <w:textAlignment w:val="auto"/>
              <w:rPr>
                <w:rFonts w:hint="eastAsia" w:ascii="仿宋" w:hAnsi="仿宋" w:eastAsia="仿宋" w:cs="仿宋"/>
                <w:color w:val="auto"/>
                <w:kern w:val="0"/>
                <w:highlight w:val="none"/>
              </w:rPr>
            </w:pPr>
            <w:r>
              <w:rPr>
                <w:rFonts w:hint="eastAsia" w:ascii="仿宋" w:hAnsi="仿宋" w:eastAsia="仿宋" w:cs="仿宋"/>
                <w:color w:val="auto"/>
                <w:kern w:val="0"/>
                <w:highlight w:val="none"/>
              </w:rPr>
              <w:t>投标人（如为联合体投标，指承担施工任务的单位）的人员配置：</w:t>
            </w:r>
          </w:p>
          <w:p w14:paraId="6CC390DA">
            <w:pPr>
              <w:pStyle w:val="95"/>
              <w:keepNext w:val="0"/>
              <w:keepLines w:val="0"/>
              <w:pageBreakBefore w:val="0"/>
              <w:kinsoku/>
              <w:wordWrap/>
              <w:overflowPunct/>
              <w:topLinePunct w:val="0"/>
              <w:autoSpaceDE/>
              <w:autoSpaceDN/>
              <w:bidi w:val="0"/>
              <w:spacing w:line="276" w:lineRule="auto"/>
              <w:ind w:firstLine="0" w:firstLineChars="0"/>
              <w:jc w:val="left"/>
              <w:textAlignment w:val="auto"/>
              <w:rPr>
                <w:rFonts w:hint="eastAsia" w:ascii="仿宋" w:hAnsi="仿宋" w:eastAsia="仿宋" w:cs="仿宋"/>
                <w:color w:val="auto"/>
                <w:kern w:val="0"/>
                <w:highlight w:val="none"/>
              </w:rPr>
            </w:pPr>
            <w:r>
              <w:rPr>
                <w:rFonts w:hint="eastAsia" w:ascii="仿宋" w:hAnsi="仿宋" w:eastAsia="仿宋" w:cs="仿宋"/>
                <w:color w:val="auto"/>
                <w:kern w:val="0"/>
                <w:highlight w:val="none"/>
              </w:rPr>
              <w:t>1、技术负责人具有市政类专业高级(或以上）技术职称的，得1分。</w:t>
            </w:r>
          </w:p>
          <w:p w14:paraId="5B9D29D9">
            <w:pPr>
              <w:pStyle w:val="95"/>
              <w:keepNext w:val="0"/>
              <w:keepLines w:val="0"/>
              <w:pageBreakBefore w:val="0"/>
              <w:kinsoku/>
              <w:wordWrap/>
              <w:overflowPunct/>
              <w:topLinePunct w:val="0"/>
              <w:autoSpaceDE/>
              <w:autoSpaceDN/>
              <w:bidi w:val="0"/>
              <w:spacing w:line="276" w:lineRule="auto"/>
              <w:ind w:firstLine="0" w:firstLineChars="0"/>
              <w:jc w:val="left"/>
              <w:textAlignment w:val="auto"/>
              <w:rPr>
                <w:rFonts w:hint="eastAsia" w:ascii="仿宋" w:hAnsi="仿宋" w:eastAsia="仿宋" w:cs="仿宋"/>
                <w:color w:val="auto"/>
                <w:kern w:val="0"/>
                <w:highlight w:val="none"/>
              </w:rPr>
            </w:pPr>
            <w:r>
              <w:rPr>
                <w:rFonts w:hint="eastAsia" w:ascii="仿宋" w:hAnsi="仿宋" w:eastAsia="仿宋" w:cs="仿宋"/>
                <w:color w:val="auto"/>
                <w:kern w:val="0"/>
                <w:highlight w:val="none"/>
              </w:rPr>
              <w:t>2、造价负责人具有有效期内的一级注册造价工程师证书且具有工程类高级(或以上)技术职称的，得1分。</w:t>
            </w:r>
          </w:p>
          <w:p w14:paraId="3B75445B">
            <w:pPr>
              <w:pStyle w:val="95"/>
              <w:keepNext w:val="0"/>
              <w:keepLines w:val="0"/>
              <w:pageBreakBefore w:val="0"/>
              <w:kinsoku/>
              <w:wordWrap/>
              <w:overflowPunct/>
              <w:topLinePunct w:val="0"/>
              <w:autoSpaceDE/>
              <w:autoSpaceDN/>
              <w:bidi w:val="0"/>
              <w:ind w:firstLine="0" w:firstLineChars="0"/>
              <w:jc w:val="left"/>
              <w:textAlignment w:val="auto"/>
              <w:rPr>
                <w:rFonts w:hint="eastAsia" w:ascii="仿宋" w:hAnsi="仿宋" w:eastAsia="仿宋" w:cs="仿宋"/>
                <w:b/>
                <w:bCs/>
                <w:color w:val="auto"/>
                <w:highlight w:val="none"/>
              </w:rPr>
            </w:pPr>
            <w:r>
              <w:rPr>
                <w:rFonts w:hint="eastAsia" w:ascii="仿宋" w:hAnsi="仿宋" w:eastAsia="仿宋" w:cs="仿宋"/>
                <w:color w:val="auto"/>
                <w:kern w:val="0"/>
                <w:highlight w:val="none"/>
              </w:rPr>
              <w:t>注：以上人员不得重复且须提供递交投标文件截止前6个月内任意1个月在本公司缴纳社保的证明，须提供相关证明文件扫描件。</w:t>
            </w:r>
          </w:p>
        </w:tc>
      </w:tr>
      <w:tr w14:paraId="28AA5A9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754" w:hRule="atLeast"/>
        </w:trPr>
        <w:tc>
          <w:tcPr>
            <w:tcW w:w="900" w:type="dxa"/>
            <w:vMerge w:val="continue"/>
            <w:tcBorders>
              <w:top w:val="single" w:color="auto" w:sz="4" w:space="0"/>
              <w:right w:val="single" w:color="auto" w:sz="4" w:space="0"/>
            </w:tcBorders>
            <w:noWrap w:val="0"/>
            <w:vAlign w:val="center"/>
          </w:tcPr>
          <w:p w14:paraId="75012BB3">
            <w:pPr>
              <w:spacing w:line="440" w:lineRule="exact"/>
              <w:jc w:val="left"/>
              <w:rPr>
                <w:rFonts w:hint="eastAsia" w:ascii="仿宋" w:hAnsi="仿宋" w:eastAsia="仿宋" w:cs="仿宋"/>
                <w:color w:val="auto"/>
                <w:szCs w:val="21"/>
                <w:highlight w:val="none"/>
              </w:rPr>
            </w:pPr>
          </w:p>
        </w:tc>
        <w:tc>
          <w:tcPr>
            <w:tcW w:w="1124" w:type="dxa"/>
            <w:vMerge w:val="continue"/>
            <w:tcBorders>
              <w:top w:val="single" w:color="auto" w:sz="4" w:space="0"/>
              <w:right w:val="single" w:color="auto" w:sz="4" w:space="0"/>
            </w:tcBorders>
            <w:noWrap w:val="0"/>
            <w:vAlign w:val="center"/>
          </w:tcPr>
          <w:p w14:paraId="34FBA609">
            <w:pPr>
              <w:spacing w:line="440" w:lineRule="exact"/>
              <w:jc w:val="left"/>
              <w:rPr>
                <w:rFonts w:hint="eastAsia" w:ascii="仿宋" w:hAnsi="仿宋" w:eastAsia="仿宋" w:cs="仿宋"/>
                <w:color w:val="auto"/>
                <w:szCs w:val="21"/>
                <w:highlight w:val="none"/>
              </w:rPr>
            </w:pPr>
          </w:p>
        </w:tc>
        <w:tc>
          <w:tcPr>
            <w:tcW w:w="2654" w:type="dxa"/>
            <w:tcBorders>
              <w:top w:val="single" w:color="auto" w:sz="4" w:space="0"/>
              <w:left w:val="single" w:color="auto" w:sz="4" w:space="0"/>
              <w:right w:val="single" w:color="auto" w:sz="4" w:space="0"/>
            </w:tcBorders>
            <w:noWrap w:val="0"/>
            <w:vAlign w:val="center"/>
          </w:tcPr>
          <w:p w14:paraId="2944AF9B">
            <w:pPr>
              <w:keepNext w:val="0"/>
              <w:keepLines w:val="0"/>
              <w:pageBreakBefore w:val="0"/>
              <w:kinsoku/>
              <w:wordWrap/>
              <w:overflowPunct/>
              <w:topLinePunct w:val="0"/>
              <w:autoSpaceDE/>
              <w:autoSpaceDN/>
              <w:bidi w:val="0"/>
              <w:spacing w:line="360" w:lineRule="exact"/>
              <w:ind w:left="72" w:leftChars="30" w:right="72" w:rightChars="30" w:firstLine="0" w:firstLineChars="0"/>
              <w:jc w:val="left"/>
              <w:textAlignment w:val="auto"/>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设计团队人员配置（2分）</w:t>
            </w:r>
          </w:p>
        </w:tc>
        <w:tc>
          <w:tcPr>
            <w:tcW w:w="4502" w:type="dxa"/>
            <w:tcBorders>
              <w:top w:val="single" w:color="auto" w:sz="4" w:space="0"/>
              <w:left w:val="single" w:color="auto" w:sz="4" w:space="0"/>
            </w:tcBorders>
            <w:noWrap w:val="0"/>
            <w:vAlign w:val="center"/>
          </w:tcPr>
          <w:p w14:paraId="18511F59">
            <w:pPr>
              <w:pStyle w:val="95"/>
              <w:keepNext w:val="0"/>
              <w:keepLines w:val="0"/>
              <w:pageBreakBefore w:val="0"/>
              <w:kinsoku/>
              <w:wordWrap/>
              <w:overflowPunct/>
              <w:topLinePunct w:val="0"/>
              <w:autoSpaceDE/>
              <w:autoSpaceDN/>
              <w:bidi w:val="0"/>
              <w:spacing w:line="276" w:lineRule="auto"/>
              <w:ind w:firstLine="0" w:firstLineChars="0"/>
              <w:jc w:val="left"/>
              <w:textAlignment w:val="auto"/>
              <w:rPr>
                <w:rFonts w:hint="eastAsia" w:ascii="仿宋" w:hAnsi="仿宋" w:eastAsia="仿宋" w:cs="仿宋"/>
                <w:color w:val="auto"/>
                <w:kern w:val="0"/>
                <w:highlight w:val="none"/>
              </w:rPr>
            </w:pPr>
            <w:r>
              <w:rPr>
                <w:rFonts w:hint="eastAsia" w:ascii="仿宋" w:hAnsi="仿宋" w:eastAsia="仿宋" w:cs="仿宋"/>
                <w:color w:val="auto"/>
                <w:kern w:val="0"/>
                <w:highlight w:val="none"/>
              </w:rPr>
              <w:t>投标人（如为联合体投标，指承担设计任务的单位）的人员配置：</w:t>
            </w:r>
          </w:p>
          <w:p w14:paraId="0A0539BD">
            <w:pPr>
              <w:pStyle w:val="95"/>
              <w:keepNext w:val="0"/>
              <w:keepLines w:val="0"/>
              <w:pageBreakBefore w:val="0"/>
              <w:kinsoku/>
              <w:wordWrap/>
              <w:overflowPunct/>
              <w:topLinePunct w:val="0"/>
              <w:autoSpaceDE/>
              <w:autoSpaceDN/>
              <w:bidi w:val="0"/>
              <w:spacing w:line="276" w:lineRule="auto"/>
              <w:ind w:firstLine="0" w:firstLineChars="0"/>
              <w:jc w:val="left"/>
              <w:textAlignment w:val="auto"/>
              <w:rPr>
                <w:rFonts w:hint="eastAsia" w:ascii="仿宋" w:hAnsi="仿宋" w:eastAsia="仿宋" w:cs="仿宋"/>
                <w:color w:val="auto"/>
                <w:kern w:val="0"/>
                <w:highlight w:val="none"/>
                <w:lang w:eastAsia="zh-TW"/>
              </w:rPr>
            </w:pPr>
            <w:r>
              <w:rPr>
                <w:rFonts w:hint="eastAsia" w:ascii="仿宋" w:hAnsi="仿宋" w:eastAsia="仿宋" w:cs="仿宋"/>
                <w:color w:val="auto"/>
                <w:kern w:val="0"/>
                <w:highlight w:val="none"/>
              </w:rPr>
              <w:t>1.</w:t>
            </w:r>
            <w:r>
              <w:rPr>
                <w:rFonts w:hint="eastAsia" w:ascii="仿宋" w:hAnsi="仿宋" w:eastAsia="仿宋" w:cs="仿宋"/>
                <w:color w:val="auto"/>
                <w:kern w:val="0"/>
                <w:highlight w:val="none"/>
                <w:lang w:eastAsia="zh-TW"/>
              </w:rPr>
              <w:t>设计负责人具有注册公用设备工程师（给水排水专业）的，得</w:t>
            </w:r>
            <w:r>
              <w:rPr>
                <w:rFonts w:hint="eastAsia" w:ascii="仿宋" w:hAnsi="仿宋" w:eastAsia="仿宋" w:cs="仿宋"/>
                <w:color w:val="auto"/>
                <w:kern w:val="0"/>
                <w:highlight w:val="none"/>
              </w:rPr>
              <w:t>1分，</w:t>
            </w:r>
            <w:r>
              <w:rPr>
                <w:rFonts w:hint="eastAsia" w:ascii="仿宋" w:hAnsi="仿宋" w:eastAsia="仿宋" w:cs="仿宋"/>
                <w:color w:val="auto"/>
                <w:kern w:val="0"/>
                <w:highlight w:val="none"/>
                <w:lang w:eastAsia="zh-TW"/>
              </w:rPr>
              <w:t>具有高级工程师（给水排水专业）职称的，得</w:t>
            </w:r>
            <w:r>
              <w:rPr>
                <w:rFonts w:hint="eastAsia" w:ascii="仿宋" w:hAnsi="仿宋" w:eastAsia="仿宋" w:cs="仿宋"/>
                <w:color w:val="auto"/>
                <w:kern w:val="0"/>
                <w:highlight w:val="none"/>
              </w:rPr>
              <w:t>1</w:t>
            </w:r>
            <w:r>
              <w:rPr>
                <w:rFonts w:hint="eastAsia" w:ascii="仿宋" w:hAnsi="仿宋" w:eastAsia="仿宋" w:cs="仿宋"/>
                <w:color w:val="auto"/>
                <w:kern w:val="0"/>
                <w:highlight w:val="none"/>
                <w:lang w:eastAsia="zh-TW"/>
              </w:rPr>
              <w:t>分</w:t>
            </w:r>
            <w:r>
              <w:rPr>
                <w:rFonts w:hint="eastAsia" w:ascii="仿宋" w:hAnsi="仿宋" w:eastAsia="仿宋" w:cs="仿宋"/>
                <w:color w:val="auto"/>
                <w:kern w:val="0"/>
                <w:highlight w:val="none"/>
              </w:rPr>
              <w:t>，其余不得分，</w:t>
            </w:r>
            <w:r>
              <w:rPr>
                <w:rFonts w:hint="eastAsia" w:ascii="仿宋" w:hAnsi="仿宋" w:eastAsia="仿宋" w:cs="仿宋"/>
                <w:color w:val="auto"/>
                <w:kern w:val="0"/>
                <w:highlight w:val="none"/>
                <w:lang w:eastAsia="zh-TW"/>
              </w:rPr>
              <w:t>本项最多得</w:t>
            </w:r>
            <w:r>
              <w:rPr>
                <w:rFonts w:hint="eastAsia" w:ascii="仿宋" w:hAnsi="仿宋" w:eastAsia="仿宋" w:cs="仿宋"/>
                <w:color w:val="auto"/>
                <w:kern w:val="0"/>
                <w:highlight w:val="none"/>
              </w:rPr>
              <w:t>2</w:t>
            </w:r>
            <w:r>
              <w:rPr>
                <w:rFonts w:hint="eastAsia" w:ascii="仿宋" w:hAnsi="仿宋" w:eastAsia="仿宋" w:cs="仿宋"/>
                <w:color w:val="auto"/>
                <w:kern w:val="0"/>
                <w:highlight w:val="none"/>
                <w:lang w:eastAsia="zh-TW"/>
              </w:rPr>
              <w:t>分。</w:t>
            </w:r>
          </w:p>
          <w:p w14:paraId="6086C335">
            <w:pPr>
              <w:keepNext w:val="0"/>
              <w:keepLines w:val="0"/>
              <w:pageBreakBefore w:val="0"/>
              <w:kinsoku/>
              <w:wordWrap/>
              <w:overflowPunct/>
              <w:topLinePunct w:val="0"/>
              <w:autoSpaceDE/>
              <w:autoSpaceDN/>
              <w:bidi w:val="0"/>
              <w:spacing w:line="440" w:lineRule="exact"/>
              <w:ind w:firstLine="0" w:firstLineChars="0"/>
              <w:jc w:val="left"/>
              <w:textAlignment w:val="auto"/>
              <w:rPr>
                <w:rFonts w:hint="eastAsia" w:ascii="仿宋" w:hAnsi="仿宋" w:eastAsia="仿宋" w:cs="仿宋"/>
                <w:b/>
                <w:bCs/>
                <w:color w:val="auto"/>
                <w:szCs w:val="21"/>
                <w:highlight w:val="none"/>
              </w:rPr>
            </w:pPr>
            <w:r>
              <w:rPr>
                <w:rFonts w:hint="eastAsia" w:ascii="仿宋" w:hAnsi="仿宋" w:eastAsia="仿宋" w:cs="仿宋"/>
                <w:color w:val="auto"/>
                <w:kern w:val="0"/>
                <w:highlight w:val="none"/>
                <w:lang w:eastAsia="zh-TW"/>
              </w:rPr>
              <w:t>注：须提供</w:t>
            </w:r>
            <w:r>
              <w:rPr>
                <w:rFonts w:hint="eastAsia" w:ascii="仿宋" w:hAnsi="仿宋" w:eastAsia="仿宋" w:cs="仿宋"/>
                <w:color w:val="auto"/>
                <w:kern w:val="0"/>
                <w:highlight w:val="none"/>
              </w:rPr>
              <w:t>递交投标文件截止前6个月内任意1个月</w:t>
            </w:r>
            <w:r>
              <w:rPr>
                <w:rFonts w:hint="eastAsia" w:ascii="仿宋" w:hAnsi="仿宋" w:eastAsia="仿宋" w:cs="仿宋"/>
                <w:color w:val="auto"/>
                <w:kern w:val="0"/>
                <w:highlight w:val="none"/>
                <w:lang w:eastAsia="zh-TW"/>
              </w:rPr>
              <w:t>在本公司缴纳社保的证明，</w:t>
            </w:r>
            <w:r>
              <w:rPr>
                <w:rFonts w:hint="eastAsia" w:ascii="仿宋" w:hAnsi="仿宋" w:eastAsia="仿宋" w:cs="仿宋"/>
                <w:color w:val="auto"/>
                <w:kern w:val="0"/>
                <w:highlight w:val="none"/>
              </w:rPr>
              <w:t>须提供相关证明文件扫描件。</w:t>
            </w:r>
          </w:p>
        </w:tc>
      </w:tr>
      <w:tr w14:paraId="187A354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086" w:hRule="atLeast"/>
        </w:trPr>
        <w:tc>
          <w:tcPr>
            <w:tcW w:w="900" w:type="dxa"/>
            <w:vMerge w:val="continue"/>
            <w:tcBorders>
              <w:top w:val="single" w:color="auto" w:sz="4" w:space="0"/>
              <w:right w:val="single" w:color="auto" w:sz="4" w:space="0"/>
            </w:tcBorders>
            <w:noWrap w:val="0"/>
            <w:vAlign w:val="center"/>
          </w:tcPr>
          <w:p w14:paraId="114C5B34">
            <w:pPr>
              <w:spacing w:line="440" w:lineRule="exact"/>
              <w:jc w:val="left"/>
              <w:rPr>
                <w:rFonts w:hint="eastAsia" w:ascii="仿宋" w:hAnsi="仿宋" w:eastAsia="仿宋" w:cs="仿宋"/>
                <w:color w:val="auto"/>
                <w:szCs w:val="21"/>
                <w:highlight w:val="none"/>
              </w:rPr>
            </w:pPr>
          </w:p>
        </w:tc>
        <w:tc>
          <w:tcPr>
            <w:tcW w:w="1124" w:type="dxa"/>
            <w:vMerge w:val="continue"/>
            <w:tcBorders>
              <w:top w:val="single" w:color="auto" w:sz="4" w:space="0"/>
              <w:right w:val="single" w:color="auto" w:sz="4" w:space="0"/>
            </w:tcBorders>
            <w:noWrap w:val="0"/>
            <w:vAlign w:val="center"/>
          </w:tcPr>
          <w:p w14:paraId="5CE6AFAB">
            <w:pPr>
              <w:spacing w:line="440" w:lineRule="exact"/>
              <w:jc w:val="left"/>
              <w:rPr>
                <w:rFonts w:hint="eastAsia" w:ascii="仿宋" w:hAnsi="仿宋" w:eastAsia="仿宋" w:cs="仿宋"/>
                <w:color w:val="auto"/>
                <w:szCs w:val="21"/>
                <w:highlight w:val="none"/>
              </w:rPr>
            </w:pPr>
          </w:p>
        </w:tc>
        <w:tc>
          <w:tcPr>
            <w:tcW w:w="2654" w:type="dxa"/>
            <w:tcBorders>
              <w:top w:val="single" w:color="auto" w:sz="4" w:space="0"/>
              <w:left w:val="single" w:color="auto" w:sz="4" w:space="0"/>
              <w:right w:val="single" w:color="auto" w:sz="4" w:space="0"/>
            </w:tcBorders>
            <w:noWrap w:val="0"/>
            <w:vAlign w:val="center"/>
          </w:tcPr>
          <w:p w14:paraId="5C63A8C3">
            <w:pPr>
              <w:keepNext w:val="0"/>
              <w:keepLines w:val="0"/>
              <w:pageBreakBefore w:val="0"/>
              <w:kinsoku/>
              <w:wordWrap/>
              <w:overflowPunct/>
              <w:topLinePunct w:val="0"/>
              <w:autoSpaceDE/>
              <w:autoSpaceDN/>
              <w:bidi w:val="0"/>
              <w:spacing w:line="360" w:lineRule="exact"/>
              <w:ind w:left="72" w:leftChars="30" w:right="72" w:rightChars="30" w:firstLine="0" w:firstLineChars="0"/>
              <w:jc w:val="left"/>
              <w:textAlignment w:val="auto"/>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认证体系（</w:t>
            </w:r>
            <w:r>
              <w:rPr>
                <w:rFonts w:hint="eastAsia" w:ascii="仿宋" w:hAnsi="仿宋" w:cs="仿宋"/>
                <w:color w:val="auto"/>
                <w:kern w:val="0"/>
                <w:szCs w:val="21"/>
                <w:highlight w:val="none"/>
                <w:lang w:val="en-US" w:eastAsia="zh-CN"/>
              </w:rPr>
              <w:t>4</w:t>
            </w:r>
            <w:r>
              <w:rPr>
                <w:rFonts w:hint="eastAsia" w:ascii="仿宋" w:hAnsi="仿宋" w:eastAsia="仿宋" w:cs="仿宋"/>
                <w:color w:val="auto"/>
                <w:kern w:val="0"/>
                <w:szCs w:val="21"/>
                <w:highlight w:val="none"/>
              </w:rPr>
              <w:t>分）</w:t>
            </w:r>
          </w:p>
        </w:tc>
        <w:tc>
          <w:tcPr>
            <w:tcW w:w="4502" w:type="dxa"/>
            <w:tcBorders>
              <w:top w:val="single" w:color="auto" w:sz="4" w:space="0"/>
              <w:left w:val="single" w:color="auto" w:sz="4" w:space="0"/>
            </w:tcBorders>
            <w:noWrap w:val="0"/>
            <w:vAlign w:val="center"/>
          </w:tcPr>
          <w:p w14:paraId="1F52AF6B">
            <w:pPr>
              <w:keepNext w:val="0"/>
              <w:keepLines w:val="0"/>
              <w:pageBreakBefore w:val="0"/>
              <w:kinsoku/>
              <w:wordWrap/>
              <w:overflowPunct/>
              <w:topLinePunct w:val="0"/>
              <w:autoSpaceDE/>
              <w:autoSpaceDN/>
              <w:bidi w:val="0"/>
              <w:spacing w:line="276" w:lineRule="auto"/>
              <w:ind w:firstLine="0" w:firstLineChars="0"/>
              <w:jc w:val="left"/>
              <w:textAlignment w:val="auto"/>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1.投标人（如为联合体投标，指承担施工任务的单位）具有在有效期内的体系认证：</w:t>
            </w:r>
          </w:p>
          <w:p w14:paraId="08CF8726">
            <w:pPr>
              <w:keepNext w:val="0"/>
              <w:keepLines w:val="0"/>
              <w:pageBreakBefore w:val="0"/>
              <w:kinsoku/>
              <w:wordWrap/>
              <w:overflowPunct/>
              <w:topLinePunct w:val="0"/>
              <w:autoSpaceDE/>
              <w:autoSpaceDN/>
              <w:bidi w:val="0"/>
              <w:spacing w:line="276" w:lineRule="auto"/>
              <w:ind w:firstLine="0" w:firstLineChars="0"/>
              <w:jc w:val="left"/>
              <w:textAlignment w:val="auto"/>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（1）质量管理体系认证证书；</w:t>
            </w:r>
          </w:p>
          <w:p w14:paraId="43362F8C">
            <w:pPr>
              <w:keepNext w:val="0"/>
              <w:keepLines w:val="0"/>
              <w:pageBreakBefore w:val="0"/>
              <w:kinsoku/>
              <w:wordWrap/>
              <w:overflowPunct/>
              <w:topLinePunct w:val="0"/>
              <w:autoSpaceDE/>
              <w:autoSpaceDN/>
              <w:bidi w:val="0"/>
              <w:spacing w:line="276" w:lineRule="auto"/>
              <w:ind w:firstLine="0" w:firstLineChars="0"/>
              <w:jc w:val="left"/>
              <w:textAlignment w:val="auto"/>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（2）职业健康安全管理体系认证证书；</w:t>
            </w:r>
          </w:p>
          <w:p w14:paraId="5AB101F6">
            <w:pPr>
              <w:keepNext w:val="0"/>
              <w:keepLines w:val="0"/>
              <w:pageBreakBefore w:val="0"/>
              <w:kinsoku/>
              <w:wordWrap/>
              <w:overflowPunct/>
              <w:topLinePunct w:val="0"/>
              <w:autoSpaceDE/>
              <w:autoSpaceDN/>
              <w:bidi w:val="0"/>
              <w:spacing w:line="276" w:lineRule="auto"/>
              <w:ind w:firstLine="0" w:firstLineChars="0"/>
              <w:jc w:val="left"/>
              <w:textAlignment w:val="auto"/>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（3）环境管理体系认证证书；</w:t>
            </w:r>
          </w:p>
          <w:p w14:paraId="00F470BE">
            <w:pPr>
              <w:spacing w:line="276" w:lineRule="auto"/>
              <w:ind w:left="0" w:leftChars="0" w:firstLine="0" w:firstLineChars="0"/>
              <w:jc w:val="left"/>
              <w:rPr>
                <w:rFonts w:hint="eastAsia" w:ascii="宋体" w:hAnsi="宋体" w:cs="等线"/>
                <w:color w:val="auto"/>
                <w:kern w:val="0"/>
                <w:szCs w:val="21"/>
                <w:highlight w:val="none"/>
              </w:rPr>
            </w:pPr>
            <w:r>
              <w:rPr>
                <w:rFonts w:hint="eastAsia" w:ascii="宋体" w:hAnsi="宋体" w:cs="等线"/>
                <w:color w:val="auto"/>
                <w:kern w:val="0"/>
                <w:szCs w:val="21"/>
                <w:highlight w:val="none"/>
              </w:rPr>
              <w:t>（4）工程质量评价体系认证证书；</w:t>
            </w:r>
          </w:p>
          <w:p w14:paraId="321D1FAB">
            <w:pPr>
              <w:spacing w:line="276" w:lineRule="auto"/>
              <w:ind w:left="0" w:leftChars="0" w:firstLine="0" w:firstLineChars="0"/>
              <w:jc w:val="left"/>
              <w:rPr>
                <w:rFonts w:hint="eastAsia" w:ascii="宋体" w:hAnsi="宋体" w:cs="等线"/>
                <w:color w:val="auto"/>
                <w:kern w:val="0"/>
                <w:szCs w:val="21"/>
                <w:highlight w:val="none"/>
              </w:rPr>
            </w:pPr>
            <w:r>
              <w:rPr>
                <w:rFonts w:hint="eastAsia" w:ascii="宋体" w:hAnsi="宋体" w:cs="等线"/>
                <w:color w:val="auto"/>
                <w:kern w:val="0"/>
                <w:szCs w:val="21"/>
                <w:highlight w:val="none"/>
              </w:rPr>
              <w:t>（5）施工现场易发事故防治标准体系认证证书；</w:t>
            </w:r>
          </w:p>
          <w:p w14:paraId="2638BF8D">
            <w:pPr>
              <w:spacing w:line="276" w:lineRule="auto"/>
              <w:ind w:left="0" w:leftChars="0" w:firstLine="0" w:firstLineChars="0"/>
              <w:jc w:val="left"/>
              <w:rPr>
                <w:rFonts w:hint="eastAsia"/>
                <w:color w:val="auto"/>
                <w:highlight w:val="none"/>
              </w:rPr>
            </w:pPr>
            <w:r>
              <w:rPr>
                <w:rFonts w:hint="eastAsia" w:ascii="宋体" w:hAnsi="宋体" w:cs="等线"/>
                <w:color w:val="auto"/>
                <w:kern w:val="0"/>
                <w:szCs w:val="21"/>
                <w:highlight w:val="none"/>
              </w:rPr>
              <w:t>（</w:t>
            </w:r>
            <w:r>
              <w:rPr>
                <w:rFonts w:hint="eastAsia" w:ascii="宋体" w:hAnsi="宋体" w:cs="等线"/>
                <w:color w:val="auto"/>
                <w:kern w:val="0"/>
                <w:szCs w:val="21"/>
                <w:highlight w:val="none"/>
                <w:lang w:val="en-US" w:eastAsia="zh-CN"/>
              </w:rPr>
              <w:t>6</w:t>
            </w:r>
            <w:r>
              <w:rPr>
                <w:rFonts w:hint="eastAsia" w:ascii="宋体" w:hAnsi="宋体" w:cs="等线"/>
                <w:color w:val="auto"/>
                <w:kern w:val="0"/>
                <w:szCs w:val="21"/>
                <w:highlight w:val="none"/>
              </w:rPr>
              <w:t>）市政工程施工安全规范体系认证证书。</w:t>
            </w:r>
          </w:p>
          <w:p w14:paraId="3158779C">
            <w:pPr>
              <w:pStyle w:val="95"/>
              <w:keepNext w:val="0"/>
              <w:keepLines w:val="0"/>
              <w:pageBreakBefore w:val="0"/>
              <w:kinsoku/>
              <w:wordWrap/>
              <w:overflowPunct/>
              <w:topLinePunct w:val="0"/>
              <w:autoSpaceDE/>
              <w:autoSpaceDN/>
              <w:bidi w:val="0"/>
              <w:spacing w:line="276" w:lineRule="auto"/>
              <w:ind w:firstLine="0" w:firstLineChars="0"/>
              <w:jc w:val="left"/>
              <w:textAlignment w:val="auto"/>
              <w:rPr>
                <w:rFonts w:hint="eastAsia" w:ascii="仿宋" w:hAnsi="仿宋" w:eastAsia="仿宋" w:cs="仿宋"/>
                <w:color w:val="auto"/>
                <w:kern w:val="0"/>
                <w:highlight w:val="none"/>
              </w:rPr>
            </w:pPr>
            <w:r>
              <w:rPr>
                <w:rFonts w:hint="eastAsia" w:ascii="仿宋" w:hAnsi="仿宋" w:eastAsia="仿宋" w:cs="仿宋"/>
                <w:color w:val="auto"/>
                <w:kern w:val="0"/>
                <w:highlight w:val="none"/>
              </w:rPr>
              <w:t>注：每提供一项得</w:t>
            </w:r>
            <w:r>
              <w:rPr>
                <w:rFonts w:hint="eastAsia" w:ascii="仿宋" w:hAnsi="仿宋" w:eastAsia="仿宋" w:cs="仿宋"/>
                <w:color w:val="auto"/>
                <w:kern w:val="0"/>
                <w:highlight w:val="none"/>
              </w:rPr>
              <w:t xml:space="preserve"> </w:t>
            </w:r>
            <w:r>
              <w:rPr>
                <w:rFonts w:hint="eastAsia" w:ascii="仿宋" w:hAnsi="仿宋" w:cs="仿宋"/>
                <w:color w:val="auto"/>
                <w:kern w:val="0"/>
                <w:highlight w:val="none"/>
                <w:lang w:val="en-US" w:eastAsia="zh-CN"/>
              </w:rPr>
              <w:t>0.5</w:t>
            </w:r>
            <w:r>
              <w:rPr>
                <w:rFonts w:hint="eastAsia" w:ascii="仿宋" w:hAnsi="仿宋" w:eastAsia="仿宋" w:cs="仿宋"/>
                <w:color w:val="auto"/>
                <w:kern w:val="0"/>
                <w:highlight w:val="none"/>
              </w:rPr>
              <w:t xml:space="preserve">分，最高得 </w:t>
            </w:r>
            <w:r>
              <w:rPr>
                <w:rFonts w:hint="eastAsia" w:ascii="仿宋" w:hAnsi="仿宋" w:cs="仿宋"/>
                <w:color w:val="auto"/>
                <w:kern w:val="0"/>
                <w:highlight w:val="none"/>
                <w:lang w:val="en-US" w:eastAsia="zh-CN"/>
              </w:rPr>
              <w:t>3</w:t>
            </w:r>
            <w:r>
              <w:rPr>
                <w:rFonts w:hint="eastAsia" w:ascii="仿宋" w:hAnsi="仿宋" w:eastAsia="仿宋" w:cs="仿宋"/>
                <w:color w:val="auto"/>
                <w:kern w:val="0"/>
                <w:highlight w:val="none"/>
              </w:rPr>
              <w:t>分。</w:t>
            </w:r>
          </w:p>
          <w:p w14:paraId="7C4E53F0">
            <w:pPr>
              <w:keepNext w:val="0"/>
              <w:keepLines w:val="0"/>
              <w:pageBreakBefore w:val="0"/>
              <w:kinsoku/>
              <w:wordWrap/>
              <w:overflowPunct/>
              <w:topLinePunct w:val="0"/>
              <w:autoSpaceDE/>
              <w:autoSpaceDN/>
              <w:bidi w:val="0"/>
              <w:spacing w:line="276" w:lineRule="auto"/>
              <w:ind w:firstLine="0" w:firstLineChars="0"/>
              <w:jc w:val="left"/>
              <w:textAlignment w:val="auto"/>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2.投标人（如为联合体投标，指承担运营任务的单位）获得中国环境服务认证证书，服务项目含污水处理设施运营服务的得</w:t>
            </w:r>
            <w:r>
              <w:rPr>
                <w:rFonts w:hint="eastAsia" w:ascii="仿宋" w:hAnsi="仿宋" w:eastAsia="仿宋" w:cs="仿宋"/>
                <w:color w:val="auto"/>
                <w:kern w:val="0"/>
                <w:szCs w:val="21"/>
                <w:highlight w:val="none"/>
                <w:lang w:val="en-US" w:eastAsia="zh-CN"/>
              </w:rPr>
              <w:t>1</w:t>
            </w:r>
            <w:r>
              <w:rPr>
                <w:rFonts w:hint="eastAsia" w:ascii="仿宋" w:hAnsi="仿宋" w:eastAsia="仿宋" w:cs="仿宋"/>
                <w:color w:val="auto"/>
                <w:kern w:val="0"/>
                <w:szCs w:val="21"/>
                <w:highlight w:val="none"/>
              </w:rPr>
              <w:t>分。</w:t>
            </w:r>
          </w:p>
          <w:p w14:paraId="6FC39AD9">
            <w:pPr>
              <w:keepNext w:val="0"/>
              <w:keepLines w:val="0"/>
              <w:pageBreakBefore w:val="0"/>
              <w:kinsoku/>
              <w:wordWrap/>
              <w:overflowPunct/>
              <w:topLinePunct w:val="0"/>
              <w:autoSpaceDE/>
              <w:autoSpaceDN/>
              <w:bidi w:val="0"/>
              <w:spacing w:line="440" w:lineRule="exact"/>
              <w:ind w:firstLine="0" w:firstLineChars="0"/>
              <w:jc w:val="left"/>
              <w:textAlignment w:val="auto"/>
              <w:rPr>
                <w:rFonts w:hint="eastAsia" w:ascii="仿宋" w:hAnsi="仿宋" w:eastAsia="仿宋" w:cs="仿宋"/>
                <w:b/>
                <w:bCs/>
                <w:color w:val="auto"/>
                <w:szCs w:val="21"/>
                <w:highlight w:val="none"/>
              </w:rPr>
            </w:pPr>
            <w:r>
              <w:rPr>
                <w:rFonts w:hint="eastAsia" w:ascii="仿宋" w:hAnsi="仿宋" w:eastAsia="仿宋" w:cs="仿宋"/>
                <w:color w:val="auto"/>
                <w:kern w:val="0"/>
                <w:szCs w:val="21"/>
                <w:highlight w:val="none"/>
              </w:rPr>
              <w:t>注：须提供有效的证书扫描件，同时须提供国家认证认可监督管理委员会官方网站中全国认证认可信息公共服务平台（http://cx.cnca.cn/CertECloud/result/skipResultList）查询截图，证书须在有效期内，否则不得分。</w:t>
            </w:r>
          </w:p>
        </w:tc>
      </w:tr>
      <w:tr w14:paraId="4E32943B">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997" w:hRule="atLeast"/>
        </w:trPr>
        <w:tc>
          <w:tcPr>
            <w:tcW w:w="900" w:type="dxa"/>
            <w:tcBorders>
              <w:top w:val="single" w:color="auto" w:sz="4" w:space="0"/>
              <w:left w:val="single" w:color="auto" w:sz="4" w:space="0"/>
              <w:bottom w:val="single" w:color="auto" w:sz="4" w:space="0"/>
              <w:right w:val="single" w:color="auto" w:sz="4" w:space="0"/>
            </w:tcBorders>
            <w:noWrap w:val="0"/>
            <w:vAlign w:val="center"/>
          </w:tcPr>
          <w:p w14:paraId="763812B4">
            <w:pPr>
              <w:spacing w:line="420" w:lineRule="atLeast"/>
              <w:ind w:left="0" w:leftChars="0" w:firstLine="0" w:firstLineChars="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2.2.4（4）</w:t>
            </w:r>
          </w:p>
        </w:tc>
        <w:tc>
          <w:tcPr>
            <w:tcW w:w="1124" w:type="dxa"/>
            <w:tcBorders>
              <w:top w:val="single" w:color="auto" w:sz="4" w:space="0"/>
              <w:left w:val="single" w:color="auto" w:sz="4" w:space="0"/>
              <w:bottom w:val="single" w:color="auto" w:sz="4" w:space="0"/>
              <w:right w:val="single" w:color="auto" w:sz="4" w:space="0"/>
            </w:tcBorders>
            <w:noWrap w:val="0"/>
            <w:vAlign w:val="center"/>
          </w:tcPr>
          <w:p w14:paraId="1B7A58DA">
            <w:pPr>
              <w:spacing w:line="420" w:lineRule="atLeast"/>
              <w:ind w:left="0" w:leftChars="0" w:firstLine="0" w:firstLineChars="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投标报价评分标准</w:t>
            </w:r>
          </w:p>
        </w:tc>
        <w:tc>
          <w:tcPr>
            <w:tcW w:w="2654" w:type="dxa"/>
            <w:tcBorders>
              <w:top w:val="single" w:color="auto" w:sz="4" w:space="0"/>
              <w:left w:val="single" w:color="auto" w:sz="4" w:space="0"/>
              <w:bottom w:val="single" w:color="auto" w:sz="4" w:space="0"/>
              <w:right w:val="single" w:color="auto" w:sz="4" w:space="0"/>
            </w:tcBorders>
            <w:noWrap w:val="0"/>
            <w:vAlign w:val="center"/>
          </w:tcPr>
          <w:p w14:paraId="1862D7CB">
            <w:pPr>
              <w:keepNext w:val="0"/>
              <w:keepLines w:val="0"/>
              <w:pageBreakBefore w:val="0"/>
              <w:kinsoku/>
              <w:wordWrap/>
              <w:overflowPunct/>
              <w:topLinePunct w:val="0"/>
              <w:autoSpaceDE/>
              <w:autoSpaceDN/>
              <w:bidi w:val="0"/>
              <w:spacing w:line="440" w:lineRule="exact"/>
              <w:ind w:firstLine="0" w:firstLineChars="0"/>
              <w:jc w:val="left"/>
              <w:textAlignment w:val="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EPC+O总包投标总价得分</w:t>
            </w:r>
          </w:p>
          <w:p w14:paraId="3188780E">
            <w:pPr>
              <w:keepNext w:val="0"/>
              <w:keepLines w:val="0"/>
              <w:pageBreakBefore w:val="0"/>
              <w:kinsoku/>
              <w:wordWrap/>
              <w:overflowPunct/>
              <w:topLinePunct w:val="0"/>
              <w:autoSpaceDE/>
              <w:autoSpaceDN/>
              <w:bidi w:val="0"/>
              <w:spacing w:line="440" w:lineRule="exact"/>
              <w:ind w:firstLine="0" w:firstLineChars="0"/>
              <w:jc w:val="left"/>
              <w:textAlignment w:val="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40</w:t>
            </w:r>
            <w:r>
              <w:rPr>
                <w:rFonts w:hint="eastAsia" w:ascii="仿宋" w:hAnsi="仿宋" w:eastAsia="仿宋" w:cs="仿宋"/>
                <w:color w:val="auto"/>
                <w:szCs w:val="21"/>
                <w:highlight w:val="none"/>
              </w:rPr>
              <w:t>分）</w:t>
            </w:r>
          </w:p>
        </w:tc>
        <w:tc>
          <w:tcPr>
            <w:tcW w:w="4502" w:type="dxa"/>
            <w:tcBorders>
              <w:top w:val="single" w:color="auto" w:sz="4" w:space="0"/>
              <w:left w:val="single" w:color="auto" w:sz="4" w:space="0"/>
              <w:bottom w:val="single" w:color="auto" w:sz="4" w:space="0"/>
              <w:right w:val="single" w:color="auto" w:sz="4" w:space="0"/>
            </w:tcBorders>
            <w:noWrap w:val="0"/>
            <w:vAlign w:val="top"/>
          </w:tcPr>
          <w:p w14:paraId="77B64AFB">
            <w:pPr>
              <w:keepNext w:val="0"/>
              <w:keepLines w:val="0"/>
              <w:pageBreakBefore w:val="0"/>
              <w:kinsoku/>
              <w:wordWrap/>
              <w:overflowPunct/>
              <w:topLinePunct w:val="0"/>
              <w:autoSpaceDE/>
              <w:autoSpaceDN/>
              <w:bidi w:val="0"/>
              <w:spacing w:line="380" w:lineRule="exact"/>
              <w:ind w:firstLine="0" w:firstLineChars="0"/>
              <w:jc w:val="left"/>
              <w:textAlignment w:val="auto"/>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rPr>
              <w:t>1、评标基准值的确定：</w:t>
            </w:r>
          </w:p>
          <w:p w14:paraId="4A8F517B">
            <w:pPr>
              <w:keepNext w:val="0"/>
              <w:keepLines w:val="0"/>
              <w:pageBreakBefore w:val="0"/>
              <w:kinsoku/>
              <w:wordWrap/>
              <w:overflowPunct/>
              <w:topLinePunct w:val="0"/>
              <w:autoSpaceDE/>
              <w:autoSpaceDN/>
              <w:bidi w:val="0"/>
              <w:spacing w:line="380" w:lineRule="exact"/>
              <w:ind w:firstLine="0" w:firstLineChars="0"/>
              <w:jc w:val="left"/>
              <w:textAlignment w:val="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在投标报价合理的基础上，计算有效投标人投标报价，</w:t>
            </w:r>
          </w:p>
          <w:p w14:paraId="736A4AAB">
            <w:pPr>
              <w:keepNext w:val="0"/>
              <w:keepLines w:val="0"/>
              <w:pageBreakBefore w:val="0"/>
              <w:kinsoku/>
              <w:wordWrap/>
              <w:overflowPunct/>
              <w:topLinePunct w:val="0"/>
              <w:autoSpaceDE/>
              <w:autoSpaceDN/>
              <w:bidi w:val="0"/>
              <w:spacing w:line="380" w:lineRule="exact"/>
              <w:ind w:firstLine="0" w:firstLineChars="0"/>
              <w:jc w:val="left"/>
              <w:textAlignment w:val="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当有效投标人投标报价总数小于5家时，取全部投标人投标价的算术平均值为评标基准值；</w:t>
            </w:r>
          </w:p>
          <w:p w14:paraId="2A992CBC">
            <w:pPr>
              <w:keepNext w:val="0"/>
              <w:keepLines w:val="0"/>
              <w:pageBreakBefore w:val="0"/>
              <w:kinsoku/>
              <w:wordWrap/>
              <w:overflowPunct/>
              <w:topLinePunct w:val="0"/>
              <w:autoSpaceDE/>
              <w:autoSpaceDN/>
              <w:bidi w:val="0"/>
              <w:spacing w:line="380" w:lineRule="exact"/>
              <w:ind w:firstLine="0" w:firstLineChars="0"/>
              <w:jc w:val="left"/>
              <w:textAlignment w:val="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当有效投标人投标报价总数大于等于5家且小于10家时，去掉一个最高价和一个最低价，其余有效投标人投标价的算术平均值为评标基准值。</w:t>
            </w:r>
          </w:p>
          <w:p w14:paraId="0C527CD9">
            <w:pPr>
              <w:keepNext w:val="0"/>
              <w:keepLines w:val="0"/>
              <w:pageBreakBefore w:val="0"/>
              <w:kinsoku/>
              <w:wordWrap/>
              <w:overflowPunct/>
              <w:topLinePunct w:val="0"/>
              <w:autoSpaceDE/>
              <w:autoSpaceDN/>
              <w:bidi w:val="0"/>
              <w:spacing w:line="380" w:lineRule="exact"/>
              <w:ind w:firstLine="0" w:firstLineChars="0"/>
              <w:jc w:val="left"/>
              <w:textAlignment w:val="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当有效投标人投标报价总数大于等于10家时，去掉两个最高价和两个最低价，其余有效投标人投标价的算术平均值为评标基准值。</w:t>
            </w:r>
          </w:p>
          <w:p w14:paraId="0CE95AA9">
            <w:pPr>
              <w:keepNext w:val="0"/>
              <w:keepLines w:val="0"/>
              <w:pageBreakBefore w:val="0"/>
              <w:kinsoku/>
              <w:wordWrap/>
              <w:overflowPunct/>
              <w:topLinePunct w:val="0"/>
              <w:autoSpaceDE/>
              <w:autoSpaceDN/>
              <w:bidi w:val="0"/>
              <w:spacing w:line="440" w:lineRule="exact"/>
              <w:ind w:firstLine="0" w:firstLineChars="0"/>
              <w:jc w:val="left"/>
              <w:textAlignment w:val="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2、EPC+O总包投标总价报价得分：</w:t>
            </w:r>
          </w:p>
          <w:p w14:paraId="2DE9EC97">
            <w:pPr>
              <w:keepNext w:val="0"/>
              <w:keepLines w:val="0"/>
              <w:pageBreakBefore w:val="0"/>
              <w:kinsoku/>
              <w:wordWrap/>
              <w:overflowPunct/>
              <w:topLinePunct w:val="0"/>
              <w:autoSpaceDE/>
              <w:autoSpaceDN/>
              <w:bidi w:val="0"/>
              <w:spacing w:line="380" w:lineRule="exact"/>
              <w:ind w:firstLine="0" w:firstLineChars="0"/>
              <w:jc w:val="left"/>
              <w:textAlignment w:val="auto"/>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（1）投标</w:t>
            </w:r>
            <w:r>
              <w:rPr>
                <w:rFonts w:hint="eastAsia" w:ascii="仿宋" w:hAnsi="仿宋" w:eastAsia="仿宋" w:cs="仿宋"/>
                <w:color w:val="auto"/>
                <w:szCs w:val="21"/>
                <w:highlight w:val="none"/>
              </w:rPr>
              <w:t>报价</w:t>
            </w:r>
            <w:r>
              <w:rPr>
                <w:rFonts w:hint="eastAsia" w:ascii="仿宋" w:hAnsi="仿宋" w:eastAsia="仿宋" w:cs="仿宋"/>
                <w:color w:val="auto"/>
                <w:kern w:val="0"/>
                <w:szCs w:val="21"/>
                <w:highlight w:val="none"/>
              </w:rPr>
              <w:t>等于</w:t>
            </w:r>
            <w:r>
              <w:rPr>
                <w:rFonts w:hint="eastAsia" w:ascii="仿宋" w:hAnsi="仿宋" w:eastAsia="仿宋" w:cs="仿宋"/>
                <w:color w:val="auto"/>
                <w:szCs w:val="21"/>
                <w:highlight w:val="none"/>
              </w:rPr>
              <w:t>评标基准值时，</w:t>
            </w:r>
            <w:r>
              <w:rPr>
                <w:rFonts w:hint="eastAsia" w:ascii="仿宋" w:hAnsi="仿宋" w:eastAsia="仿宋" w:cs="仿宋"/>
                <w:color w:val="auto"/>
                <w:kern w:val="0"/>
                <w:szCs w:val="21"/>
                <w:highlight w:val="none"/>
              </w:rPr>
              <w:t>得满分</w:t>
            </w:r>
            <w:r>
              <w:rPr>
                <w:rFonts w:hint="eastAsia" w:ascii="仿宋" w:hAnsi="仿宋" w:eastAsia="仿宋" w:cs="仿宋"/>
                <w:color w:val="auto"/>
                <w:kern w:val="0"/>
                <w:szCs w:val="21"/>
                <w:highlight w:val="none"/>
                <w:lang w:val="en-US" w:eastAsia="zh-CN"/>
              </w:rPr>
              <w:t>40</w:t>
            </w:r>
            <w:r>
              <w:rPr>
                <w:rFonts w:hint="eastAsia" w:ascii="仿宋" w:hAnsi="仿宋" w:eastAsia="仿宋" w:cs="仿宋"/>
                <w:color w:val="auto"/>
                <w:kern w:val="0"/>
                <w:szCs w:val="21"/>
                <w:highlight w:val="none"/>
              </w:rPr>
              <w:t>分。</w:t>
            </w:r>
          </w:p>
          <w:p w14:paraId="66650028">
            <w:pPr>
              <w:keepNext w:val="0"/>
              <w:keepLines w:val="0"/>
              <w:pageBreakBefore w:val="0"/>
              <w:kinsoku/>
              <w:wordWrap/>
              <w:overflowPunct/>
              <w:topLinePunct w:val="0"/>
              <w:autoSpaceDE/>
              <w:autoSpaceDN/>
              <w:bidi w:val="0"/>
              <w:spacing w:line="380" w:lineRule="exact"/>
              <w:ind w:firstLine="0" w:firstLineChars="0"/>
              <w:jc w:val="left"/>
              <w:textAlignment w:val="auto"/>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（2）投标</w:t>
            </w:r>
            <w:r>
              <w:rPr>
                <w:rFonts w:hint="eastAsia" w:ascii="仿宋" w:hAnsi="仿宋" w:eastAsia="仿宋" w:cs="仿宋"/>
                <w:color w:val="auto"/>
                <w:szCs w:val="21"/>
                <w:highlight w:val="none"/>
              </w:rPr>
              <w:t>报价</w:t>
            </w:r>
            <w:r>
              <w:rPr>
                <w:rFonts w:hint="eastAsia" w:ascii="仿宋" w:hAnsi="仿宋" w:eastAsia="仿宋" w:cs="仿宋"/>
                <w:color w:val="auto"/>
                <w:kern w:val="0"/>
                <w:szCs w:val="21"/>
                <w:highlight w:val="none"/>
              </w:rPr>
              <w:t>与</w:t>
            </w:r>
            <w:r>
              <w:rPr>
                <w:rFonts w:hint="eastAsia" w:ascii="仿宋" w:hAnsi="仿宋" w:eastAsia="仿宋" w:cs="仿宋"/>
                <w:color w:val="auto"/>
                <w:szCs w:val="21"/>
                <w:highlight w:val="none"/>
              </w:rPr>
              <w:t>评标基准值相比</w:t>
            </w:r>
            <w:r>
              <w:rPr>
                <w:rFonts w:hint="eastAsia" w:ascii="仿宋" w:hAnsi="仿宋" w:eastAsia="仿宋" w:cs="仿宋"/>
                <w:color w:val="auto"/>
                <w:kern w:val="0"/>
                <w:szCs w:val="21"/>
                <w:highlight w:val="none"/>
              </w:rPr>
              <w:t>；每高1%扣0.1分，扣完为止；每低1%扣0.05分，扣完为止。不足1%按内插法计算。</w:t>
            </w:r>
          </w:p>
        </w:tc>
      </w:tr>
    </w:tbl>
    <w:p w14:paraId="2B99615E">
      <w:pPr>
        <w:jc w:val="left"/>
        <w:rPr>
          <w:rFonts w:hint="eastAsia" w:ascii="仿宋" w:hAnsi="仿宋" w:eastAsia="仿宋" w:cs="仿宋"/>
          <w:color w:val="auto"/>
          <w:highlight w:val="none"/>
        </w:rPr>
      </w:pPr>
    </w:p>
    <w:p w14:paraId="62EDC201">
      <w:pPr>
        <w:jc w:val="left"/>
        <w:rPr>
          <w:rFonts w:hint="eastAsia" w:ascii="仿宋" w:hAnsi="仿宋" w:eastAsia="仿宋" w:cs="仿宋"/>
          <w:color w:val="auto"/>
          <w:highlight w:val="none"/>
        </w:rPr>
      </w:pPr>
      <w:r>
        <w:rPr>
          <w:rFonts w:hint="eastAsia" w:ascii="仿宋" w:hAnsi="仿宋" w:eastAsia="仿宋" w:cs="仿宋"/>
          <w:b/>
          <w:bCs/>
          <w:color w:val="auto"/>
          <w:sz w:val="24"/>
          <w:highlight w:val="none"/>
        </w:rPr>
        <w:t>注：构成投标文件的“技术暗标”的正文中均不得出现投标人的名称和其它可识别投标人身份的字符、徽标、人员名称以及其他特殊标记等。(具体要求详见“第七章投标文件格式 暗标要求”，如未按要求制作，投标文件按无效标处理。)</w:t>
      </w:r>
      <w:r>
        <w:rPr>
          <w:rFonts w:hint="eastAsia" w:ascii="仿宋" w:hAnsi="仿宋" w:eastAsia="仿宋" w:cs="仿宋"/>
          <w:color w:val="auto"/>
          <w:highlight w:val="none"/>
        </w:rPr>
        <w:br w:type="page"/>
      </w:r>
    </w:p>
    <w:p w14:paraId="20AD3ED8">
      <w:pPr>
        <w:pStyle w:val="4"/>
        <w:jc w:val="left"/>
        <w:rPr>
          <w:rFonts w:hint="eastAsia" w:ascii="仿宋" w:hAnsi="仿宋" w:eastAsia="仿宋" w:cs="仿宋"/>
          <w:color w:val="auto"/>
          <w:highlight w:val="none"/>
        </w:rPr>
      </w:pPr>
      <w:bookmarkStart w:id="424" w:name="_Toc247514024"/>
      <w:bookmarkStart w:id="425" w:name="_Toc152045600"/>
      <w:bookmarkStart w:id="426" w:name="_Toc144974567"/>
      <w:bookmarkStart w:id="427" w:name="_Toc152042377"/>
      <w:bookmarkStart w:id="428" w:name="_Toc247527625"/>
      <w:bookmarkStart w:id="429" w:name="_Toc7956634"/>
      <w:bookmarkStart w:id="430" w:name="_Toc106998004"/>
      <w:r>
        <w:rPr>
          <w:rFonts w:hint="eastAsia" w:ascii="仿宋" w:hAnsi="仿宋" w:eastAsia="仿宋" w:cs="仿宋"/>
          <w:color w:val="auto"/>
          <w:highlight w:val="none"/>
        </w:rPr>
        <w:t>1. 评标方法</w:t>
      </w:r>
      <w:bookmarkEnd w:id="424"/>
      <w:bookmarkEnd w:id="425"/>
      <w:bookmarkEnd w:id="426"/>
      <w:bookmarkEnd w:id="427"/>
      <w:bookmarkEnd w:id="428"/>
      <w:bookmarkEnd w:id="429"/>
      <w:bookmarkEnd w:id="430"/>
    </w:p>
    <w:p w14:paraId="7B65F8D9">
      <w:pPr>
        <w:spacing w:line="400" w:lineRule="exact"/>
        <w:ind w:firstLine="480" w:firstLineChars="200"/>
        <w:jc w:val="left"/>
        <w:rPr>
          <w:rFonts w:hint="eastAsia" w:ascii="仿宋" w:hAnsi="仿宋" w:eastAsia="仿宋" w:cs="仿宋"/>
          <w:color w:val="auto"/>
          <w:highlight w:val="none"/>
        </w:rPr>
      </w:pPr>
      <w:r>
        <w:rPr>
          <w:rFonts w:hint="eastAsia" w:ascii="仿宋" w:hAnsi="仿宋" w:eastAsia="仿宋" w:cs="仿宋"/>
          <w:color w:val="auto"/>
          <w:highlight w:val="none"/>
        </w:rPr>
        <w:t>本次评标采用综合评估法。评标委员会对满足招标文件实质性要求的投标文件，按照本章第2.2款规定的评分标准进行打分，并按得分由高到低顺序推荐中标候选人，或根据招标人授权直接确定中标人，但投标报价低于其成本的除外。综合评分相等时，以投标报价低的优先；投标报价也相等的，由招标人或者经招标人授权评标委员会自行确定。</w:t>
      </w:r>
    </w:p>
    <w:p w14:paraId="74435CAB">
      <w:pPr>
        <w:pStyle w:val="4"/>
        <w:jc w:val="left"/>
        <w:rPr>
          <w:rFonts w:hint="eastAsia" w:ascii="仿宋" w:hAnsi="仿宋" w:eastAsia="仿宋" w:cs="仿宋"/>
          <w:color w:val="auto"/>
          <w:highlight w:val="none"/>
        </w:rPr>
      </w:pPr>
      <w:bookmarkStart w:id="431" w:name="_Toc144974568"/>
      <w:bookmarkStart w:id="432" w:name="_Toc106998005"/>
      <w:bookmarkStart w:id="433" w:name="_Toc152045601"/>
      <w:bookmarkStart w:id="434" w:name="_Toc247527626"/>
      <w:bookmarkStart w:id="435" w:name="_Toc7956635"/>
      <w:bookmarkStart w:id="436" w:name="_Toc247514025"/>
      <w:bookmarkStart w:id="437" w:name="_Toc152042378"/>
      <w:r>
        <w:rPr>
          <w:rFonts w:hint="eastAsia" w:ascii="仿宋" w:hAnsi="仿宋" w:eastAsia="仿宋" w:cs="仿宋"/>
          <w:color w:val="auto"/>
          <w:highlight w:val="none"/>
        </w:rPr>
        <w:t>2. 评审标准</w:t>
      </w:r>
      <w:bookmarkEnd w:id="431"/>
      <w:bookmarkEnd w:id="432"/>
      <w:bookmarkEnd w:id="433"/>
      <w:bookmarkEnd w:id="434"/>
      <w:bookmarkEnd w:id="435"/>
      <w:bookmarkEnd w:id="436"/>
      <w:bookmarkEnd w:id="437"/>
    </w:p>
    <w:p w14:paraId="75BD8631">
      <w:pPr>
        <w:pStyle w:val="5"/>
        <w:jc w:val="left"/>
        <w:rPr>
          <w:rFonts w:hint="eastAsia" w:ascii="仿宋" w:hAnsi="仿宋" w:eastAsia="仿宋" w:cs="仿宋"/>
          <w:color w:val="auto"/>
          <w:highlight w:val="none"/>
        </w:rPr>
      </w:pPr>
      <w:bookmarkStart w:id="438" w:name="_Toc106998006"/>
      <w:bookmarkStart w:id="439" w:name="_Toc152042379"/>
      <w:bookmarkStart w:id="440" w:name="_Toc247527627"/>
      <w:bookmarkStart w:id="441" w:name="_Toc247514026"/>
      <w:bookmarkStart w:id="442" w:name="_Toc7956636"/>
      <w:bookmarkStart w:id="443" w:name="_Toc152045602"/>
      <w:bookmarkStart w:id="444" w:name="_Toc144974569"/>
      <w:r>
        <w:rPr>
          <w:rFonts w:hint="eastAsia" w:ascii="仿宋" w:hAnsi="仿宋" w:eastAsia="仿宋" w:cs="仿宋"/>
          <w:color w:val="auto"/>
          <w:highlight w:val="none"/>
        </w:rPr>
        <w:t>2.1初步评审标准</w:t>
      </w:r>
      <w:bookmarkEnd w:id="438"/>
      <w:bookmarkEnd w:id="439"/>
      <w:bookmarkEnd w:id="440"/>
      <w:bookmarkEnd w:id="441"/>
      <w:bookmarkEnd w:id="442"/>
      <w:bookmarkEnd w:id="443"/>
      <w:bookmarkEnd w:id="444"/>
    </w:p>
    <w:p w14:paraId="0AEA128B">
      <w:pPr>
        <w:spacing w:line="400" w:lineRule="exact"/>
        <w:ind w:firstLine="480" w:firstLineChars="200"/>
        <w:jc w:val="left"/>
        <w:rPr>
          <w:rFonts w:hint="eastAsia" w:ascii="仿宋" w:hAnsi="仿宋" w:eastAsia="仿宋" w:cs="仿宋"/>
          <w:color w:val="auto"/>
          <w:highlight w:val="none"/>
        </w:rPr>
      </w:pPr>
      <w:r>
        <w:rPr>
          <w:rFonts w:hint="eastAsia" w:ascii="仿宋" w:hAnsi="仿宋" w:eastAsia="仿宋" w:cs="仿宋"/>
          <w:color w:val="auto"/>
          <w:highlight w:val="none"/>
        </w:rPr>
        <w:t>2.1.1 形式评审标准：见评标办法前附表。</w:t>
      </w:r>
    </w:p>
    <w:p w14:paraId="10432E6F">
      <w:pPr>
        <w:spacing w:line="400" w:lineRule="exact"/>
        <w:ind w:firstLine="480" w:firstLineChars="200"/>
        <w:jc w:val="left"/>
        <w:rPr>
          <w:rFonts w:hint="eastAsia" w:ascii="仿宋" w:hAnsi="仿宋" w:eastAsia="仿宋" w:cs="仿宋"/>
          <w:color w:val="auto"/>
          <w:highlight w:val="none"/>
        </w:rPr>
      </w:pPr>
      <w:r>
        <w:rPr>
          <w:rFonts w:hint="eastAsia" w:ascii="仿宋" w:hAnsi="仿宋" w:eastAsia="仿宋" w:cs="仿宋"/>
          <w:color w:val="auto"/>
          <w:highlight w:val="none"/>
        </w:rPr>
        <w:t>2.1.2 资格评审标准：见评标办法前附表。</w:t>
      </w:r>
    </w:p>
    <w:p w14:paraId="1DD44731">
      <w:pPr>
        <w:spacing w:line="400" w:lineRule="exact"/>
        <w:ind w:firstLine="480" w:firstLineChars="200"/>
        <w:jc w:val="left"/>
        <w:rPr>
          <w:rFonts w:hint="eastAsia" w:ascii="仿宋" w:hAnsi="仿宋" w:eastAsia="仿宋" w:cs="仿宋"/>
          <w:color w:val="auto"/>
          <w:highlight w:val="none"/>
        </w:rPr>
      </w:pPr>
      <w:r>
        <w:rPr>
          <w:rFonts w:hint="eastAsia" w:ascii="仿宋" w:hAnsi="仿宋" w:eastAsia="仿宋" w:cs="仿宋"/>
          <w:color w:val="auto"/>
          <w:highlight w:val="none"/>
        </w:rPr>
        <w:t>2.1.3 响应性评审标准：见评标办法前附表。</w:t>
      </w:r>
    </w:p>
    <w:p w14:paraId="549D1863">
      <w:pPr>
        <w:pStyle w:val="5"/>
        <w:jc w:val="left"/>
        <w:rPr>
          <w:rFonts w:hint="eastAsia" w:ascii="仿宋" w:hAnsi="仿宋" w:eastAsia="仿宋" w:cs="仿宋"/>
          <w:color w:val="auto"/>
          <w:highlight w:val="none"/>
        </w:rPr>
      </w:pPr>
      <w:bookmarkStart w:id="445" w:name="_Toc247514027"/>
      <w:bookmarkStart w:id="446" w:name="_Toc247527628"/>
      <w:bookmarkStart w:id="447" w:name="_Toc152042380"/>
      <w:bookmarkStart w:id="448" w:name="_Toc152045603"/>
      <w:bookmarkStart w:id="449" w:name="_Toc106998007"/>
      <w:bookmarkStart w:id="450" w:name="_Toc7956637"/>
      <w:bookmarkStart w:id="451" w:name="_Toc144974570"/>
      <w:r>
        <w:rPr>
          <w:rFonts w:hint="eastAsia" w:ascii="仿宋" w:hAnsi="仿宋" w:eastAsia="仿宋" w:cs="仿宋"/>
          <w:color w:val="auto"/>
          <w:highlight w:val="none"/>
        </w:rPr>
        <w:t>2.2分值构成与评分标准</w:t>
      </w:r>
      <w:bookmarkEnd w:id="445"/>
      <w:bookmarkEnd w:id="446"/>
      <w:bookmarkEnd w:id="447"/>
      <w:bookmarkEnd w:id="448"/>
      <w:bookmarkEnd w:id="449"/>
      <w:bookmarkEnd w:id="450"/>
      <w:bookmarkEnd w:id="451"/>
    </w:p>
    <w:p w14:paraId="6AFCAD23">
      <w:pPr>
        <w:spacing w:line="400" w:lineRule="exact"/>
        <w:ind w:firstLine="480" w:firstLineChars="200"/>
        <w:jc w:val="left"/>
        <w:rPr>
          <w:rFonts w:hint="eastAsia" w:ascii="仿宋" w:hAnsi="仿宋" w:eastAsia="仿宋" w:cs="仿宋"/>
          <w:color w:val="auto"/>
          <w:highlight w:val="none"/>
        </w:rPr>
      </w:pPr>
      <w:r>
        <w:rPr>
          <w:rFonts w:hint="eastAsia" w:ascii="仿宋" w:hAnsi="仿宋" w:eastAsia="仿宋" w:cs="仿宋"/>
          <w:color w:val="auto"/>
          <w:highlight w:val="none"/>
        </w:rPr>
        <w:t>2.2.1 分值构成</w:t>
      </w:r>
    </w:p>
    <w:p w14:paraId="5A83EFFC">
      <w:pPr>
        <w:spacing w:line="400" w:lineRule="exact"/>
        <w:ind w:firstLine="480" w:firstLineChars="200"/>
        <w:jc w:val="left"/>
        <w:rPr>
          <w:rFonts w:hint="eastAsia" w:ascii="仿宋" w:hAnsi="仿宋" w:eastAsia="仿宋" w:cs="仿宋"/>
          <w:color w:val="auto"/>
          <w:highlight w:val="none"/>
        </w:rPr>
      </w:pPr>
      <w:r>
        <w:rPr>
          <w:rFonts w:hint="eastAsia" w:ascii="仿宋" w:hAnsi="仿宋" w:eastAsia="仿宋" w:cs="仿宋"/>
          <w:color w:val="auto"/>
          <w:highlight w:val="none"/>
        </w:rPr>
        <w:t>（1）建议书及相关方案：见评标办法前附表；</w:t>
      </w:r>
    </w:p>
    <w:p w14:paraId="64E17F84">
      <w:pPr>
        <w:spacing w:line="400" w:lineRule="exact"/>
        <w:ind w:firstLine="480" w:firstLineChars="200"/>
        <w:jc w:val="left"/>
        <w:rPr>
          <w:rFonts w:hint="eastAsia" w:ascii="仿宋" w:hAnsi="仿宋" w:eastAsia="仿宋" w:cs="仿宋"/>
          <w:color w:val="auto"/>
          <w:highlight w:val="none"/>
        </w:rPr>
      </w:pPr>
      <w:r>
        <w:rPr>
          <w:rFonts w:hint="eastAsia" w:ascii="仿宋" w:hAnsi="仿宋" w:eastAsia="仿宋" w:cs="仿宋"/>
          <w:color w:val="auto"/>
          <w:highlight w:val="none"/>
        </w:rPr>
        <w:t>（2）</w:t>
      </w:r>
      <w:r>
        <w:rPr>
          <w:rFonts w:hint="eastAsia" w:ascii="仿宋" w:hAnsi="仿宋" w:eastAsia="仿宋" w:cs="仿宋"/>
          <w:color w:val="auto"/>
          <w:szCs w:val="21"/>
          <w:highlight w:val="none"/>
        </w:rPr>
        <w:t>实施方案</w:t>
      </w:r>
      <w:r>
        <w:rPr>
          <w:rFonts w:hint="eastAsia" w:ascii="仿宋" w:hAnsi="仿宋" w:eastAsia="仿宋" w:cs="仿宋"/>
          <w:color w:val="auto"/>
          <w:highlight w:val="none"/>
        </w:rPr>
        <w:t>：见评标办法前附表；</w:t>
      </w:r>
    </w:p>
    <w:p w14:paraId="146CCB5E">
      <w:pPr>
        <w:spacing w:line="400" w:lineRule="exact"/>
        <w:ind w:firstLine="480" w:firstLineChars="200"/>
        <w:jc w:val="left"/>
        <w:rPr>
          <w:rFonts w:hint="eastAsia" w:ascii="仿宋" w:hAnsi="仿宋" w:eastAsia="仿宋" w:cs="仿宋"/>
          <w:color w:val="auto"/>
          <w:highlight w:val="none"/>
        </w:rPr>
      </w:pPr>
      <w:r>
        <w:rPr>
          <w:rFonts w:hint="eastAsia" w:ascii="仿宋" w:hAnsi="仿宋" w:eastAsia="仿宋" w:cs="仿宋"/>
          <w:color w:val="auto"/>
          <w:highlight w:val="none"/>
        </w:rPr>
        <w:t>（3）</w:t>
      </w:r>
      <w:r>
        <w:rPr>
          <w:rFonts w:hint="eastAsia" w:ascii="仿宋" w:hAnsi="仿宋" w:eastAsia="仿宋" w:cs="仿宋"/>
          <w:color w:val="auto"/>
          <w:szCs w:val="21"/>
          <w:highlight w:val="none"/>
        </w:rPr>
        <w:t>其他评审因素</w:t>
      </w:r>
      <w:r>
        <w:rPr>
          <w:rFonts w:hint="eastAsia" w:ascii="仿宋" w:hAnsi="仿宋" w:eastAsia="仿宋" w:cs="仿宋"/>
          <w:color w:val="auto"/>
          <w:highlight w:val="none"/>
        </w:rPr>
        <w:t>：见评标办法前附表；</w:t>
      </w:r>
    </w:p>
    <w:p w14:paraId="3D27FDF6">
      <w:pPr>
        <w:spacing w:line="400" w:lineRule="exact"/>
        <w:ind w:firstLine="480" w:firstLineChars="200"/>
        <w:jc w:val="left"/>
        <w:rPr>
          <w:rFonts w:hint="eastAsia" w:ascii="仿宋" w:hAnsi="仿宋" w:eastAsia="仿宋" w:cs="仿宋"/>
          <w:color w:val="auto"/>
          <w:highlight w:val="none"/>
        </w:rPr>
      </w:pPr>
      <w:r>
        <w:rPr>
          <w:rFonts w:hint="eastAsia" w:ascii="仿宋" w:hAnsi="仿宋" w:eastAsia="仿宋" w:cs="仿宋"/>
          <w:color w:val="auto"/>
          <w:highlight w:val="none"/>
        </w:rPr>
        <w:t>（4）投标报价：见评标办法前附表；</w:t>
      </w:r>
    </w:p>
    <w:p w14:paraId="60868BEE">
      <w:pPr>
        <w:spacing w:line="400" w:lineRule="exact"/>
        <w:ind w:firstLine="480" w:firstLineChars="200"/>
        <w:jc w:val="left"/>
        <w:rPr>
          <w:rFonts w:hint="eastAsia" w:ascii="仿宋" w:hAnsi="仿宋" w:eastAsia="仿宋" w:cs="仿宋"/>
          <w:color w:val="auto"/>
          <w:highlight w:val="none"/>
        </w:rPr>
      </w:pPr>
      <w:r>
        <w:rPr>
          <w:rFonts w:hint="eastAsia" w:ascii="仿宋" w:hAnsi="仿宋" w:eastAsia="仿宋" w:cs="仿宋"/>
          <w:color w:val="auto"/>
          <w:highlight w:val="none"/>
        </w:rPr>
        <w:t>2.2.2 评标基准价计算</w:t>
      </w:r>
    </w:p>
    <w:p w14:paraId="0711057C">
      <w:pPr>
        <w:spacing w:line="400" w:lineRule="exact"/>
        <w:ind w:firstLine="480" w:firstLineChars="200"/>
        <w:jc w:val="left"/>
        <w:rPr>
          <w:rFonts w:hint="eastAsia" w:ascii="仿宋" w:hAnsi="仿宋" w:eastAsia="仿宋" w:cs="仿宋"/>
          <w:color w:val="auto"/>
          <w:highlight w:val="none"/>
        </w:rPr>
      </w:pPr>
      <w:r>
        <w:rPr>
          <w:rFonts w:hint="eastAsia" w:ascii="仿宋" w:hAnsi="仿宋" w:eastAsia="仿宋" w:cs="仿宋"/>
          <w:color w:val="auto"/>
          <w:highlight w:val="none"/>
        </w:rPr>
        <w:t>评标基准价计算方法：见评标办法前附表。</w:t>
      </w:r>
    </w:p>
    <w:p w14:paraId="1D5A6E6D">
      <w:pPr>
        <w:spacing w:line="400" w:lineRule="exact"/>
        <w:ind w:firstLine="480" w:firstLineChars="200"/>
        <w:jc w:val="left"/>
        <w:rPr>
          <w:rFonts w:hint="eastAsia" w:ascii="仿宋" w:hAnsi="仿宋" w:eastAsia="仿宋" w:cs="仿宋"/>
          <w:color w:val="auto"/>
          <w:highlight w:val="none"/>
        </w:rPr>
      </w:pPr>
      <w:r>
        <w:rPr>
          <w:rFonts w:hint="eastAsia" w:ascii="仿宋" w:hAnsi="仿宋" w:eastAsia="仿宋" w:cs="仿宋"/>
          <w:color w:val="auto"/>
          <w:highlight w:val="none"/>
        </w:rPr>
        <w:t>2.2.3 投标报价的偏差率计算</w:t>
      </w:r>
    </w:p>
    <w:p w14:paraId="778C9256">
      <w:pPr>
        <w:spacing w:line="400" w:lineRule="exact"/>
        <w:ind w:firstLine="480" w:firstLineChars="200"/>
        <w:jc w:val="left"/>
        <w:rPr>
          <w:rFonts w:hint="eastAsia" w:ascii="仿宋" w:hAnsi="仿宋" w:eastAsia="仿宋" w:cs="仿宋"/>
          <w:color w:val="auto"/>
          <w:highlight w:val="none"/>
        </w:rPr>
      </w:pPr>
      <w:r>
        <w:rPr>
          <w:rFonts w:hint="eastAsia" w:ascii="仿宋" w:hAnsi="仿宋" w:eastAsia="仿宋" w:cs="仿宋"/>
          <w:color w:val="auto"/>
          <w:highlight w:val="none"/>
        </w:rPr>
        <w:t>投标报价的偏差率计算公式：见评标办法前附表。</w:t>
      </w:r>
    </w:p>
    <w:p w14:paraId="5B692BCB">
      <w:pPr>
        <w:spacing w:line="400" w:lineRule="exact"/>
        <w:ind w:firstLine="480" w:firstLineChars="200"/>
        <w:jc w:val="left"/>
        <w:rPr>
          <w:rFonts w:hint="eastAsia" w:ascii="仿宋" w:hAnsi="仿宋" w:eastAsia="仿宋" w:cs="仿宋"/>
          <w:color w:val="auto"/>
          <w:highlight w:val="none"/>
        </w:rPr>
      </w:pPr>
      <w:r>
        <w:rPr>
          <w:rFonts w:hint="eastAsia" w:ascii="仿宋" w:hAnsi="仿宋" w:eastAsia="仿宋" w:cs="仿宋"/>
          <w:color w:val="auto"/>
          <w:highlight w:val="none"/>
        </w:rPr>
        <w:t>2.2.4 评分标准</w:t>
      </w:r>
    </w:p>
    <w:p w14:paraId="639D5C86">
      <w:pPr>
        <w:spacing w:line="400" w:lineRule="exact"/>
        <w:ind w:firstLine="480" w:firstLineChars="200"/>
        <w:jc w:val="left"/>
        <w:rPr>
          <w:rFonts w:hint="eastAsia" w:ascii="仿宋" w:hAnsi="仿宋" w:eastAsia="仿宋" w:cs="仿宋"/>
          <w:color w:val="auto"/>
          <w:highlight w:val="none"/>
        </w:rPr>
      </w:pPr>
      <w:r>
        <w:rPr>
          <w:rFonts w:hint="eastAsia" w:ascii="仿宋" w:hAnsi="仿宋" w:eastAsia="仿宋" w:cs="仿宋"/>
          <w:color w:val="auto"/>
          <w:highlight w:val="none"/>
        </w:rPr>
        <w:t>（1）建议书及相关方案：见评标办法前附表；</w:t>
      </w:r>
    </w:p>
    <w:p w14:paraId="4AF7ECC4">
      <w:pPr>
        <w:spacing w:line="400" w:lineRule="exact"/>
        <w:ind w:firstLine="480" w:firstLineChars="200"/>
        <w:jc w:val="left"/>
        <w:rPr>
          <w:rFonts w:hint="eastAsia" w:ascii="仿宋" w:hAnsi="仿宋" w:eastAsia="仿宋" w:cs="仿宋"/>
          <w:color w:val="auto"/>
          <w:highlight w:val="none"/>
        </w:rPr>
      </w:pPr>
      <w:r>
        <w:rPr>
          <w:rFonts w:hint="eastAsia" w:ascii="仿宋" w:hAnsi="仿宋" w:eastAsia="仿宋" w:cs="仿宋"/>
          <w:color w:val="auto"/>
          <w:highlight w:val="none"/>
        </w:rPr>
        <w:t>（2）</w:t>
      </w:r>
      <w:r>
        <w:rPr>
          <w:rFonts w:hint="eastAsia" w:ascii="仿宋" w:hAnsi="仿宋" w:eastAsia="仿宋" w:cs="仿宋"/>
          <w:color w:val="auto"/>
          <w:szCs w:val="21"/>
          <w:highlight w:val="none"/>
        </w:rPr>
        <w:t>实施方案</w:t>
      </w:r>
      <w:r>
        <w:rPr>
          <w:rFonts w:hint="eastAsia" w:ascii="仿宋" w:hAnsi="仿宋" w:eastAsia="仿宋" w:cs="仿宋"/>
          <w:color w:val="auto"/>
          <w:highlight w:val="none"/>
        </w:rPr>
        <w:t>：见评标办法前附表；</w:t>
      </w:r>
    </w:p>
    <w:p w14:paraId="37403389">
      <w:pPr>
        <w:spacing w:line="400" w:lineRule="exact"/>
        <w:ind w:firstLine="480" w:firstLineChars="200"/>
        <w:jc w:val="left"/>
        <w:rPr>
          <w:rFonts w:hint="eastAsia" w:ascii="仿宋" w:hAnsi="仿宋" w:eastAsia="仿宋" w:cs="仿宋"/>
          <w:color w:val="auto"/>
          <w:highlight w:val="none"/>
        </w:rPr>
      </w:pPr>
      <w:r>
        <w:rPr>
          <w:rFonts w:hint="eastAsia" w:ascii="仿宋" w:hAnsi="仿宋" w:eastAsia="仿宋" w:cs="仿宋"/>
          <w:color w:val="auto"/>
          <w:highlight w:val="none"/>
        </w:rPr>
        <w:t>（3）</w:t>
      </w:r>
      <w:r>
        <w:rPr>
          <w:rFonts w:hint="eastAsia" w:ascii="仿宋" w:hAnsi="仿宋" w:eastAsia="仿宋" w:cs="仿宋"/>
          <w:color w:val="auto"/>
          <w:szCs w:val="21"/>
          <w:highlight w:val="none"/>
        </w:rPr>
        <w:t>企业资信业绩</w:t>
      </w:r>
      <w:r>
        <w:rPr>
          <w:rFonts w:hint="eastAsia" w:ascii="仿宋" w:hAnsi="仿宋" w:eastAsia="仿宋" w:cs="仿宋"/>
          <w:color w:val="auto"/>
          <w:highlight w:val="none"/>
        </w:rPr>
        <w:t>：见评标办法前附表；</w:t>
      </w:r>
    </w:p>
    <w:p w14:paraId="2647AEC1">
      <w:pPr>
        <w:spacing w:line="400" w:lineRule="exact"/>
        <w:ind w:firstLine="480" w:firstLineChars="200"/>
        <w:jc w:val="left"/>
        <w:rPr>
          <w:rFonts w:hint="eastAsia" w:ascii="仿宋" w:hAnsi="仿宋" w:eastAsia="仿宋" w:cs="仿宋"/>
          <w:color w:val="auto"/>
          <w:highlight w:val="none"/>
        </w:rPr>
      </w:pPr>
      <w:r>
        <w:rPr>
          <w:rFonts w:hint="eastAsia" w:ascii="仿宋" w:hAnsi="仿宋" w:eastAsia="仿宋" w:cs="仿宋"/>
          <w:color w:val="auto"/>
          <w:highlight w:val="none"/>
        </w:rPr>
        <w:t>（4）投标报价：见评标办法前附表；</w:t>
      </w:r>
    </w:p>
    <w:p w14:paraId="54BC1BDB">
      <w:pPr>
        <w:pStyle w:val="4"/>
        <w:jc w:val="left"/>
        <w:rPr>
          <w:rFonts w:hint="eastAsia" w:ascii="仿宋" w:hAnsi="仿宋" w:eastAsia="仿宋" w:cs="仿宋"/>
          <w:color w:val="auto"/>
          <w:highlight w:val="none"/>
        </w:rPr>
      </w:pPr>
      <w:bookmarkStart w:id="452" w:name="_Toc7956638"/>
      <w:bookmarkStart w:id="453" w:name="_Toc152045604"/>
      <w:bookmarkStart w:id="454" w:name="_Toc247527629"/>
      <w:bookmarkStart w:id="455" w:name="_Toc152042381"/>
      <w:bookmarkStart w:id="456" w:name="_Toc144974571"/>
      <w:bookmarkStart w:id="457" w:name="_Toc106998008"/>
      <w:bookmarkStart w:id="458" w:name="_Toc247514028"/>
      <w:r>
        <w:rPr>
          <w:rFonts w:hint="eastAsia" w:ascii="仿宋" w:hAnsi="仿宋" w:eastAsia="仿宋" w:cs="仿宋"/>
          <w:color w:val="auto"/>
          <w:highlight w:val="none"/>
        </w:rPr>
        <w:t>3. 评标程序</w:t>
      </w:r>
      <w:bookmarkEnd w:id="452"/>
      <w:bookmarkEnd w:id="453"/>
      <w:bookmarkEnd w:id="454"/>
      <w:bookmarkEnd w:id="455"/>
      <w:bookmarkEnd w:id="456"/>
      <w:bookmarkEnd w:id="457"/>
      <w:bookmarkEnd w:id="458"/>
    </w:p>
    <w:p w14:paraId="56EEAB21">
      <w:pPr>
        <w:pStyle w:val="5"/>
        <w:jc w:val="left"/>
        <w:rPr>
          <w:rFonts w:hint="eastAsia" w:ascii="仿宋" w:hAnsi="仿宋" w:eastAsia="仿宋" w:cs="仿宋"/>
          <w:color w:val="auto"/>
          <w:highlight w:val="none"/>
        </w:rPr>
      </w:pPr>
      <w:bookmarkStart w:id="459" w:name="_Toc247514029"/>
      <w:bookmarkStart w:id="460" w:name="_Toc152045605"/>
      <w:bookmarkStart w:id="461" w:name="_Toc7956639"/>
      <w:bookmarkStart w:id="462" w:name="_Toc144974572"/>
      <w:bookmarkStart w:id="463" w:name="_Toc247527630"/>
      <w:bookmarkStart w:id="464" w:name="_Toc106998009"/>
      <w:bookmarkStart w:id="465" w:name="_Toc152042382"/>
      <w:r>
        <w:rPr>
          <w:rFonts w:hint="eastAsia" w:ascii="仿宋" w:hAnsi="仿宋" w:eastAsia="仿宋" w:cs="仿宋"/>
          <w:color w:val="auto"/>
          <w:highlight w:val="none"/>
        </w:rPr>
        <w:t>3.1初步评审</w:t>
      </w:r>
      <w:bookmarkEnd w:id="459"/>
      <w:bookmarkEnd w:id="460"/>
      <w:bookmarkEnd w:id="461"/>
      <w:bookmarkEnd w:id="462"/>
      <w:bookmarkEnd w:id="463"/>
      <w:bookmarkEnd w:id="464"/>
      <w:bookmarkEnd w:id="465"/>
    </w:p>
    <w:p w14:paraId="4BDE2073">
      <w:pPr>
        <w:spacing w:line="400" w:lineRule="exact"/>
        <w:ind w:firstLine="480" w:firstLineChars="200"/>
        <w:jc w:val="left"/>
        <w:rPr>
          <w:rFonts w:hint="eastAsia" w:ascii="仿宋" w:hAnsi="仿宋" w:eastAsia="仿宋" w:cs="仿宋"/>
          <w:color w:val="auto"/>
          <w:highlight w:val="none"/>
        </w:rPr>
      </w:pPr>
      <w:r>
        <w:rPr>
          <w:rFonts w:hint="eastAsia" w:ascii="仿宋" w:hAnsi="仿宋" w:eastAsia="仿宋" w:cs="仿宋"/>
          <w:color w:val="auto"/>
          <w:highlight w:val="none"/>
        </w:rPr>
        <w:t>3.1.1 评标委员会可以要求投标人提交第二章“投标人须知”第3.5.1项至第3.5.5项规定的有关证明和证件，以便核验。评标委员会依据本章第2.1款规定的标准对投标文件进行初步评审。有一项不符合评审标准的，评标委员会应当否决其投标。（适用于未进行资格预审的）</w:t>
      </w:r>
    </w:p>
    <w:p w14:paraId="384BAD9E">
      <w:pPr>
        <w:spacing w:line="400" w:lineRule="exact"/>
        <w:ind w:firstLine="480" w:firstLineChars="200"/>
        <w:jc w:val="left"/>
        <w:rPr>
          <w:rFonts w:hint="eastAsia" w:ascii="仿宋" w:hAnsi="仿宋" w:eastAsia="仿宋" w:cs="仿宋"/>
          <w:color w:val="auto"/>
          <w:highlight w:val="none"/>
        </w:rPr>
      </w:pPr>
      <w:r>
        <w:rPr>
          <w:rFonts w:hint="eastAsia" w:ascii="仿宋" w:hAnsi="仿宋" w:eastAsia="仿宋" w:cs="仿宋"/>
          <w:color w:val="auto"/>
          <w:highlight w:val="none"/>
        </w:rPr>
        <w:t>3.1.1 评标委员会依据本章第2.1.1项、第2.1.3项规定的评审标准对投标文件进行初步评审。有一项不符合评审标准的，评标委员会应当否决其投标。当投标人资格预审申请文件的内容发生重大变化时，评标委员会依据本章第2.1.2项规定的标准对其更新资料进行评审。（适用于已进行资格预审的）</w:t>
      </w:r>
    </w:p>
    <w:p w14:paraId="2974D8F1">
      <w:pPr>
        <w:spacing w:line="400" w:lineRule="exact"/>
        <w:ind w:firstLine="480" w:firstLineChars="200"/>
        <w:jc w:val="left"/>
        <w:rPr>
          <w:rFonts w:hint="eastAsia" w:ascii="仿宋" w:hAnsi="仿宋" w:eastAsia="仿宋" w:cs="仿宋"/>
          <w:color w:val="auto"/>
          <w:highlight w:val="none"/>
        </w:rPr>
      </w:pPr>
      <w:r>
        <w:rPr>
          <w:rFonts w:hint="eastAsia" w:ascii="仿宋" w:hAnsi="仿宋" w:eastAsia="仿宋" w:cs="仿宋"/>
          <w:color w:val="auto"/>
          <w:highlight w:val="none"/>
        </w:rPr>
        <w:t>3.1.2 投标人有以下情形之一的，评标委员会应当否决其投标：</w:t>
      </w:r>
    </w:p>
    <w:p w14:paraId="5F20EDAA">
      <w:pPr>
        <w:spacing w:line="400" w:lineRule="exact"/>
        <w:ind w:firstLine="480" w:firstLineChars="200"/>
        <w:jc w:val="left"/>
        <w:rPr>
          <w:rFonts w:hint="eastAsia" w:ascii="仿宋" w:hAnsi="仿宋" w:eastAsia="仿宋" w:cs="仿宋"/>
          <w:color w:val="auto"/>
          <w:highlight w:val="none"/>
        </w:rPr>
      </w:pPr>
      <w:r>
        <w:rPr>
          <w:rFonts w:hint="eastAsia" w:ascii="仿宋" w:hAnsi="仿宋" w:eastAsia="仿宋" w:cs="仿宋"/>
          <w:color w:val="auto"/>
          <w:highlight w:val="none"/>
        </w:rPr>
        <w:t>（1）第二章“投标人须知”第1.4.3项、第1.4.4项规定的任何一种情形的；</w:t>
      </w:r>
    </w:p>
    <w:p w14:paraId="634805BA">
      <w:pPr>
        <w:spacing w:line="400" w:lineRule="exact"/>
        <w:ind w:firstLine="480" w:firstLineChars="200"/>
        <w:jc w:val="left"/>
        <w:rPr>
          <w:rFonts w:hint="eastAsia" w:ascii="仿宋" w:hAnsi="仿宋" w:eastAsia="仿宋" w:cs="仿宋"/>
          <w:color w:val="auto"/>
          <w:highlight w:val="none"/>
        </w:rPr>
      </w:pPr>
      <w:r>
        <w:rPr>
          <w:rFonts w:hint="eastAsia" w:ascii="仿宋" w:hAnsi="仿宋" w:eastAsia="仿宋" w:cs="仿宋"/>
          <w:color w:val="auto"/>
          <w:highlight w:val="none"/>
        </w:rPr>
        <w:t>（2）串通投标或弄虚作假或有其他违法行为的；</w:t>
      </w:r>
    </w:p>
    <w:p w14:paraId="1BE22D14">
      <w:pPr>
        <w:spacing w:line="400" w:lineRule="exact"/>
        <w:ind w:firstLine="480" w:firstLineChars="200"/>
        <w:jc w:val="left"/>
        <w:rPr>
          <w:rFonts w:hint="eastAsia" w:ascii="仿宋" w:hAnsi="仿宋" w:eastAsia="仿宋" w:cs="仿宋"/>
          <w:color w:val="auto"/>
          <w:highlight w:val="none"/>
        </w:rPr>
      </w:pPr>
      <w:r>
        <w:rPr>
          <w:rFonts w:hint="eastAsia" w:ascii="仿宋" w:hAnsi="仿宋" w:eastAsia="仿宋" w:cs="仿宋"/>
          <w:color w:val="auto"/>
          <w:highlight w:val="none"/>
        </w:rPr>
        <w:t>（3）不按评标委员会要求澄清、说明或补正的；</w:t>
      </w:r>
    </w:p>
    <w:p w14:paraId="21768694">
      <w:pPr>
        <w:spacing w:line="400" w:lineRule="exact"/>
        <w:ind w:firstLine="480" w:firstLineChars="200"/>
        <w:jc w:val="left"/>
        <w:rPr>
          <w:rFonts w:hint="eastAsia" w:ascii="仿宋" w:hAnsi="仿宋" w:eastAsia="仿宋" w:cs="仿宋"/>
          <w:color w:val="auto"/>
          <w:highlight w:val="none"/>
        </w:rPr>
      </w:pPr>
      <w:r>
        <w:rPr>
          <w:rFonts w:hint="eastAsia" w:ascii="仿宋" w:hAnsi="仿宋" w:eastAsia="仿宋" w:cs="仿宋"/>
          <w:color w:val="auto"/>
          <w:highlight w:val="none"/>
        </w:rPr>
        <w:t>（4）</w:t>
      </w:r>
      <w:r>
        <w:rPr>
          <w:rFonts w:hint="eastAsia" w:ascii="仿宋" w:hAnsi="仿宋" w:eastAsia="仿宋" w:cs="仿宋"/>
          <w:b/>
          <w:bCs/>
          <w:color w:val="auto"/>
          <w:highlight w:val="none"/>
        </w:rPr>
        <w:t>构成投标文件的“技术暗标”的正文中均不得出现投标人的名称和其它可识别投标人身份的字符、徽标、人员名称以及其他特殊标记等。(具体要求详见“第七章投标文件格式 暗标要求”，如未按要求制作，投标文件按无效标处理。)</w:t>
      </w:r>
      <w:r>
        <w:rPr>
          <w:rFonts w:hint="eastAsia" w:ascii="仿宋" w:hAnsi="仿宋" w:eastAsia="仿宋" w:cs="仿宋"/>
          <w:color w:val="auto"/>
          <w:highlight w:val="none"/>
        </w:rPr>
        <w:t>。</w:t>
      </w:r>
    </w:p>
    <w:p w14:paraId="60E6073C">
      <w:pPr>
        <w:spacing w:line="400" w:lineRule="exact"/>
        <w:ind w:firstLine="480" w:firstLineChars="200"/>
        <w:jc w:val="left"/>
        <w:rPr>
          <w:rFonts w:hint="eastAsia" w:ascii="仿宋" w:hAnsi="仿宋" w:eastAsia="仿宋" w:cs="仿宋"/>
          <w:color w:val="auto"/>
          <w:highlight w:val="none"/>
        </w:rPr>
      </w:pPr>
      <w:r>
        <w:rPr>
          <w:rFonts w:hint="eastAsia" w:ascii="仿宋" w:hAnsi="仿宋" w:eastAsia="仿宋" w:cs="仿宋"/>
          <w:color w:val="auto"/>
          <w:highlight w:val="none"/>
        </w:rPr>
        <w:t>3.1.3 投标报价有算术错误的，评标委员会按以下原则对投标报价进行修正，修正的价格经投标人书面确认后具有约束力。投标人不接受修正价格的，评标委员会应当否决其投标。</w:t>
      </w:r>
    </w:p>
    <w:p w14:paraId="7C3A3A40">
      <w:pPr>
        <w:spacing w:line="400" w:lineRule="exact"/>
        <w:ind w:firstLine="480" w:firstLineChars="200"/>
        <w:jc w:val="left"/>
        <w:rPr>
          <w:rFonts w:hint="eastAsia" w:ascii="仿宋" w:hAnsi="仿宋" w:eastAsia="仿宋" w:cs="仿宋"/>
          <w:color w:val="auto"/>
          <w:highlight w:val="none"/>
        </w:rPr>
      </w:pPr>
      <w:bookmarkStart w:id="466" w:name="_Toc152042383"/>
      <w:r>
        <w:rPr>
          <w:rFonts w:hint="eastAsia" w:ascii="仿宋" w:hAnsi="仿宋" w:eastAsia="仿宋" w:cs="仿宋"/>
          <w:color w:val="auto"/>
          <w:highlight w:val="none"/>
        </w:rPr>
        <w:t>（1）投标文件中的大写金额与小写金额不一致的，以大写金额为准；</w:t>
      </w:r>
      <w:bookmarkEnd w:id="466"/>
    </w:p>
    <w:p w14:paraId="215439ED">
      <w:pPr>
        <w:spacing w:line="400" w:lineRule="exact"/>
        <w:ind w:firstLine="480" w:firstLineChars="200"/>
        <w:jc w:val="left"/>
        <w:rPr>
          <w:rFonts w:hint="eastAsia" w:ascii="仿宋" w:hAnsi="仿宋" w:eastAsia="仿宋" w:cs="仿宋"/>
          <w:color w:val="auto"/>
          <w:highlight w:val="none"/>
        </w:rPr>
      </w:pPr>
      <w:r>
        <w:rPr>
          <w:rFonts w:hint="eastAsia" w:ascii="仿宋" w:hAnsi="仿宋" w:eastAsia="仿宋" w:cs="仿宋"/>
          <w:color w:val="auto"/>
          <w:highlight w:val="none"/>
        </w:rPr>
        <w:t>（2）总价金额与依据单价计算出的结果不一致的，以单价金额为准修正总价，但单价金额小数点有明显错误的除外。</w:t>
      </w:r>
    </w:p>
    <w:p w14:paraId="3DB3F1F9">
      <w:pPr>
        <w:pStyle w:val="5"/>
        <w:jc w:val="left"/>
        <w:rPr>
          <w:rFonts w:hint="eastAsia" w:ascii="仿宋" w:hAnsi="仿宋" w:eastAsia="仿宋" w:cs="仿宋"/>
          <w:color w:val="auto"/>
          <w:highlight w:val="none"/>
        </w:rPr>
      </w:pPr>
      <w:bookmarkStart w:id="467" w:name="_Toc7956640"/>
      <w:bookmarkStart w:id="468" w:name="_Toc152045606"/>
      <w:bookmarkStart w:id="469" w:name="_Toc106998010"/>
      <w:bookmarkStart w:id="470" w:name="_Toc144974573"/>
      <w:bookmarkStart w:id="471" w:name="_Toc152042384"/>
      <w:bookmarkStart w:id="472" w:name="_Toc247514030"/>
      <w:bookmarkStart w:id="473" w:name="_Toc247527631"/>
      <w:r>
        <w:rPr>
          <w:rFonts w:hint="eastAsia" w:ascii="仿宋" w:hAnsi="仿宋" w:eastAsia="仿宋" w:cs="仿宋"/>
          <w:color w:val="auto"/>
          <w:highlight w:val="none"/>
        </w:rPr>
        <w:t>3.2详细评审</w:t>
      </w:r>
      <w:bookmarkEnd w:id="467"/>
      <w:bookmarkEnd w:id="468"/>
      <w:bookmarkEnd w:id="469"/>
      <w:bookmarkEnd w:id="470"/>
      <w:bookmarkEnd w:id="471"/>
      <w:bookmarkEnd w:id="472"/>
      <w:bookmarkEnd w:id="473"/>
    </w:p>
    <w:p w14:paraId="58CA2254">
      <w:pPr>
        <w:spacing w:line="400" w:lineRule="exact"/>
        <w:ind w:firstLine="480" w:firstLineChars="200"/>
        <w:jc w:val="left"/>
        <w:rPr>
          <w:rFonts w:hint="eastAsia" w:ascii="仿宋" w:hAnsi="仿宋" w:eastAsia="仿宋" w:cs="仿宋"/>
          <w:color w:val="auto"/>
          <w:highlight w:val="none"/>
        </w:rPr>
      </w:pPr>
      <w:r>
        <w:rPr>
          <w:rFonts w:hint="eastAsia" w:ascii="仿宋" w:hAnsi="仿宋" w:eastAsia="仿宋" w:cs="仿宋"/>
          <w:color w:val="auto"/>
          <w:highlight w:val="none"/>
        </w:rPr>
        <w:t>3.2.1 评标委员会按本章第2.2款规定的量化因素和分值进行打分，并计算出综合评估得分。</w:t>
      </w:r>
    </w:p>
    <w:p w14:paraId="6E10B60E">
      <w:pPr>
        <w:spacing w:line="400" w:lineRule="exact"/>
        <w:ind w:firstLine="480" w:firstLineChars="200"/>
        <w:jc w:val="left"/>
        <w:rPr>
          <w:rFonts w:hint="eastAsia" w:ascii="仿宋" w:hAnsi="仿宋" w:eastAsia="仿宋" w:cs="仿宋"/>
          <w:color w:val="auto"/>
          <w:highlight w:val="none"/>
        </w:rPr>
      </w:pPr>
      <w:r>
        <w:rPr>
          <w:rFonts w:hint="eastAsia" w:ascii="仿宋" w:hAnsi="仿宋" w:eastAsia="仿宋" w:cs="仿宋"/>
          <w:color w:val="auto"/>
          <w:highlight w:val="none"/>
        </w:rPr>
        <w:t>（1）按本章第2.2.4（1）目规定的评审因素和分值对建议书及相关方案评审计算出得分A；</w:t>
      </w:r>
    </w:p>
    <w:p w14:paraId="22E7BD0B">
      <w:pPr>
        <w:spacing w:line="400" w:lineRule="exact"/>
        <w:ind w:firstLine="480" w:firstLineChars="200"/>
        <w:jc w:val="left"/>
        <w:rPr>
          <w:rFonts w:hint="eastAsia" w:ascii="仿宋" w:hAnsi="仿宋" w:eastAsia="仿宋" w:cs="仿宋"/>
          <w:color w:val="auto"/>
          <w:highlight w:val="none"/>
        </w:rPr>
      </w:pPr>
      <w:r>
        <w:rPr>
          <w:rFonts w:hint="eastAsia" w:ascii="仿宋" w:hAnsi="仿宋" w:eastAsia="仿宋" w:cs="仿宋"/>
          <w:color w:val="auto"/>
          <w:highlight w:val="none"/>
        </w:rPr>
        <w:t>（2）按本章第2.2.4（2）目规定的评审因素和分值对</w:t>
      </w:r>
      <w:r>
        <w:rPr>
          <w:rFonts w:hint="eastAsia" w:ascii="仿宋" w:hAnsi="仿宋" w:eastAsia="仿宋" w:cs="仿宋"/>
          <w:color w:val="auto"/>
          <w:szCs w:val="21"/>
          <w:highlight w:val="none"/>
        </w:rPr>
        <w:t>实施方案</w:t>
      </w:r>
      <w:r>
        <w:rPr>
          <w:rFonts w:hint="eastAsia" w:ascii="仿宋" w:hAnsi="仿宋" w:eastAsia="仿宋" w:cs="仿宋"/>
          <w:color w:val="auto"/>
          <w:highlight w:val="none"/>
        </w:rPr>
        <w:t>计算出得分B；</w:t>
      </w:r>
    </w:p>
    <w:p w14:paraId="017F515E">
      <w:pPr>
        <w:spacing w:line="400" w:lineRule="exact"/>
        <w:ind w:firstLine="480" w:firstLineChars="200"/>
        <w:jc w:val="left"/>
        <w:rPr>
          <w:rFonts w:hint="eastAsia" w:ascii="仿宋" w:hAnsi="仿宋" w:eastAsia="仿宋" w:cs="仿宋"/>
          <w:color w:val="auto"/>
          <w:highlight w:val="none"/>
        </w:rPr>
      </w:pPr>
      <w:r>
        <w:rPr>
          <w:rFonts w:hint="eastAsia" w:ascii="仿宋" w:hAnsi="仿宋" w:eastAsia="仿宋" w:cs="仿宋"/>
          <w:color w:val="auto"/>
          <w:highlight w:val="none"/>
        </w:rPr>
        <w:t>（3）按本章第2.2.4（3）目规定的评审因素和分值对</w:t>
      </w:r>
      <w:r>
        <w:rPr>
          <w:rFonts w:hint="eastAsia" w:ascii="仿宋" w:hAnsi="仿宋" w:eastAsia="仿宋" w:cs="仿宋"/>
          <w:color w:val="auto"/>
          <w:szCs w:val="21"/>
          <w:highlight w:val="none"/>
        </w:rPr>
        <w:t>其他评审因素</w:t>
      </w:r>
      <w:r>
        <w:rPr>
          <w:rFonts w:hint="eastAsia" w:ascii="仿宋" w:hAnsi="仿宋" w:eastAsia="仿宋" w:cs="仿宋"/>
          <w:color w:val="auto"/>
          <w:highlight w:val="none"/>
        </w:rPr>
        <w:t>计算出得分C；</w:t>
      </w:r>
    </w:p>
    <w:p w14:paraId="7851B96E">
      <w:pPr>
        <w:spacing w:line="400" w:lineRule="exact"/>
        <w:ind w:firstLine="480" w:firstLineChars="200"/>
        <w:jc w:val="left"/>
        <w:rPr>
          <w:rFonts w:hint="eastAsia" w:ascii="仿宋" w:hAnsi="仿宋" w:eastAsia="仿宋" w:cs="仿宋"/>
          <w:color w:val="auto"/>
          <w:highlight w:val="none"/>
        </w:rPr>
      </w:pPr>
      <w:r>
        <w:rPr>
          <w:rFonts w:hint="eastAsia" w:ascii="仿宋" w:hAnsi="仿宋" w:eastAsia="仿宋" w:cs="仿宋"/>
          <w:color w:val="auto"/>
          <w:highlight w:val="none"/>
        </w:rPr>
        <w:t>（4）按本章第2.2.4（4）目规定的评审因素和分值对投标报价计算出得分D；</w:t>
      </w:r>
    </w:p>
    <w:p w14:paraId="0980E103">
      <w:pPr>
        <w:spacing w:line="400" w:lineRule="exact"/>
        <w:ind w:firstLine="480" w:firstLineChars="200"/>
        <w:jc w:val="left"/>
        <w:rPr>
          <w:rFonts w:hint="eastAsia" w:ascii="仿宋" w:hAnsi="仿宋" w:eastAsia="仿宋" w:cs="仿宋"/>
          <w:color w:val="auto"/>
          <w:highlight w:val="none"/>
        </w:rPr>
      </w:pPr>
      <w:r>
        <w:rPr>
          <w:rFonts w:hint="eastAsia" w:ascii="仿宋" w:hAnsi="仿宋" w:eastAsia="仿宋" w:cs="仿宋"/>
          <w:color w:val="auto"/>
          <w:highlight w:val="none"/>
        </w:rPr>
        <w:t>3.2.2 评分分值计算保留小数点后两位，小数点后第三位“四舍五入”。</w:t>
      </w:r>
    </w:p>
    <w:p w14:paraId="74E0D2F4">
      <w:pPr>
        <w:spacing w:line="400" w:lineRule="exact"/>
        <w:ind w:firstLine="480" w:firstLineChars="200"/>
        <w:jc w:val="left"/>
        <w:rPr>
          <w:rFonts w:hint="eastAsia" w:ascii="仿宋" w:hAnsi="仿宋" w:eastAsia="仿宋" w:cs="仿宋"/>
          <w:color w:val="auto"/>
          <w:highlight w:val="none"/>
        </w:rPr>
      </w:pPr>
      <w:r>
        <w:rPr>
          <w:rFonts w:hint="eastAsia" w:ascii="仿宋" w:hAnsi="仿宋" w:eastAsia="仿宋" w:cs="仿宋"/>
          <w:color w:val="auto"/>
          <w:highlight w:val="none"/>
        </w:rPr>
        <w:t>3.2.3 投标人得分=A+B+C+D。</w:t>
      </w:r>
    </w:p>
    <w:p w14:paraId="257A9769">
      <w:pPr>
        <w:spacing w:line="400" w:lineRule="exact"/>
        <w:ind w:firstLine="480" w:firstLineChars="200"/>
        <w:jc w:val="left"/>
        <w:rPr>
          <w:rFonts w:hint="eastAsia" w:ascii="仿宋" w:hAnsi="仿宋" w:eastAsia="仿宋" w:cs="仿宋"/>
          <w:color w:val="auto"/>
          <w:highlight w:val="none"/>
        </w:rPr>
      </w:pPr>
      <w:r>
        <w:rPr>
          <w:rFonts w:hint="eastAsia" w:ascii="仿宋" w:hAnsi="仿宋" w:eastAsia="仿宋" w:cs="仿宋"/>
          <w:color w:val="auto"/>
          <w:highlight w:val="none"/>
        </w:rPr>
        <w:t>3.2.4 评标委员会发现投标人的报价明显低于其他投标报价，或者在设有标底时明显低于标底，使得其投标报价可能低于其个别成本的，应当要求该投标人作出书面说明并提供相应的证明材料。投标人不能合理说明或者不能提供相应证明材料的，评标委员会应当认定该投标人以低于成本报价竞标，应当否决其投标。</w:t>
      </w:r>
    </w:p>
    <w:p w14:paraId="04E1685F">
      <w:pPr>
        <w:pStyle w:val="5"/>
        <w:jc w:val="left"/>
        <w:rPr>
          <w:rFonts w:hint="eastAsia" w:ascii="仿宋" w:hAnsi="仿宋" w:eastAsia="仿宋" w:cs="仿宋"/>
          <w:color w:val="auto"/>
          <w:highlight w:val="none"/>
        </w:rPr>
      </w:pPr>
      <w:bookmarkStart w:id="474" w:name="_Toc144974575"/>
      <w:bookmarkStart w:id="475" w:name="_Toc7956641"/>
      <w:bookmarkStart w:id="476" w:name="_Toc247527632"/>
      <w:bookmarkStart w:id="477" w:name="_Toc152042385"/>
      <w:bookmarkStart w:id="478" w:name="_Toc152045607"/>
      <w:bookmarkStart w:id="479" w:name="_Toc106998011"/>
      <w:bookmarkStart w:id="480" w:name="_Toc247514031"/>
      <w:r>
        <w:rPr>
          <w:rFonts w:hint="eastAsia" w:ascii="仿宋" w:hAnsi="仿宋" w:eastAsia="仿宋" w:cs="仿宋"/>
          <w:color w:val="auto"/>
          <w:highlight w:val="none"/>
        </w:rPr>
        <w:t>3.3投标文件的澄清</w:t>
      </w:r>
      <w:bookmarkEnd w:id="474"/>
      <w:r>
        <w:rPr>
          <w:rFonts w:hint="eastAsia" w:ascii="仿宋" w:hAnsi="仿宋" w:eastAsia="仿宋" w:cs="仿宋"/>
          <w:color w:val="auto"/>
          <w:highlight w:val="none"/>
        </w:rPr>
        <w:t>和补正</w:t>
      </w:r>
      <w:bookmarkEnd w:id="475"/>
      <w:bookmarkEnd w:id="476"/>
      <w:bookmarkEnd w:id="477"/>
      <w:bookmarkEnd w:id="478"/>
      <w:bookmarkEnd w:id="479"/>
      <w:bookmarkEnd w:id="480"/>
    </w:p>
    <w:p w14:paraId="001DAF8C">
      <w:pPr>
        <w:spacing w:line="400" w:lineRule="exact"/>
        <w:ind w:firstLine="480" w:firstLineChars="200"/>
        <w:jc w:val="left"/>
        <w:rPr>
          <w:rFonts w:hint="eastAsia" w:ascii="仿宋" w:hAnsi="仿宋" w:eastAsia="仿宋" w:cs="仿宋"/>
          <w:color w:val="auto"/>
          <w:highlight w:val="none"/>
        </w:rPr>
      </w:pPr>
      <w:r>
        <w:rPr>
          <w:rFonts w:hint="eastAsia" w:ascii="仿宋" w:hAnsi="仿宋" w:eastAsia="仿宋" w:cs="仿宋"/>
          <w:color w:val="auto"/>
          <w:highlight w:val="none"/>
        </w:rPr>
        <w:t>3.3.1 在评标过程中，评标委员会可以书面形式要求投标人对所提交投标文件中不明确的内容进行书面澄清或说明，或者对细微偏差进行补正。评标委员会不接受投标人主动提出的澄清、说明或补正。</w:t>
      </w:r>
    </w:p>
    <w:p w14:paraId="5CF96C90">
      <w:pPr>
        <w:spacing w:line="400" w:lineRule="exact"/>
        <w:ind w:firstLine="480" w:firstLineChars="200"/>
        <w:jc w:val="left"/>
        <w:rPr>
          <w:rFonts w:hint="eastAsia" w:ascii="仿宋" w:hAnsi="仿宋" w:eastAsia="仿宋" w:cs="仿宋"/>
          <w:color w:val="auto"/>
          <w:highlight w:val="none"/>
        </w:rPr>
      </w:pPr>
      <w:r>
        <w:rPr>
          <w:rFonts w:hint="eastAsia" w:ascii="仿宋" w:hAnsi="仿宋" w:eastAsia="仿宋" w:cs="仿宋"/>
          <w:color w:val="auto"/>
          <w:highlight w:val="none"/>
        </w:rPr>
        <w:t>3.3.2 澄清、说明和补正不得改变投标文件的实质性内容。投标人的书面澄清、说明和补正属于投标文件的组成部分。</w:t>
      </w:r>
    </w:p>
    <w:p w14:paraId="09400369">
      <w:pPr>
        <w:spacing w:line="400" w:lineRule="exact"/>
        <w:ind w:firstLine="480" w:firstLineChars="200"/>
        <w:jc w:val="left"/>
        <w:rPr>
          <w:rFonts w:hint="eastAsia" w:ascii="仿宋" w:hAnsi="仿宋" w:eastAsia="仿宋" w:cs="仿宋"/>
          <w:color w:val="auto"/>
          <w:highlight w:val="none"/>
        </w:rPr>
      </w:pPr>
      <w:r>
        <w:rPr>
          <w:rFonts w:hint="eastAsia" w:ascii="仿宋" w:hAnsi="仿宋" w:eastAsia="仿宋" w:cs="仿宋"/>
          <w:color w:val="auto"/>
          <w:highlight w:val="none"/>
        </w:rPr>
        <w:t>3.3.3 评标委员会对投标人提交的澄清、说明或补正有疑问的，可以要求投标人进一步澄清、说明或补正，直至满足评标委员会的要求。</w:t>
      </w:r>
    </w:p>
    <w:p w14:paraId="28AED0D2">
      <w:pPr>
        <w:pStyle w:val="5"/>
        <w:jc w:val="left"/>
        <w:rPr>
          <w:rFonts w:hint="eastAsia" w:ascii="仿宋" w:hAnsi="仿宋" w:eastAsia="仿宋" w:cs="仿宋"/>
          <w:color w:val="auto"/>
          <w:highlight w:val="none"/>
        </w:rPr>
      </w:pPr>
      <w:bookmarkStart w:id="481" w:name="_Toc152045608"/>
      <w:bookmarkStart w:id="482" w:name="_Toc7956642"/>
      <w:bookmarkStart w:id="483" w:name="_Toc152042386"/>
      <w:bookmarkStart w:id="484" w:name="_Toc247514032"/>
      <w:bookmarkStart w:id="485" w:name="_Toc247527633"/>
      <w:bookmarkStart w:id="486" w:name="_Toc144974576"/>
      <w:bookmarkStart w:id="487" w:name="_Toc106998012"/>
      <w:r>
        <w:rPr>
          <w:rFonts w:hint="eastAsia" w:ascii="仿宋" w:hAnsi="仿宋" w:eastAsia="仿宋" w:cs="仿宋"/>
          <w:color w:val="auto"/>
          <w:highlight w:val="none"/>
        </w:rPr>
        <w:t>3.4评标结果</w:t>
      </w:r>
      <w:bookmarkEnd w:id="481"/>
      <w:bookmarkEnd w:id="482"/>
      <w:bookmarkEnd w:id="483"/>
      <w:bookmarkEnd w:id="484"/>
      <w:bookmarkEnd w:id="485"/>
      <w:bookmarkEnd w:id="486"/>
      <w:bookmarkEnd w:id="487"/>
    </w:p>
    <w:p w14:paraId="726EA81D">
      <w:pPr>
        <w:spacing w:line="400" w:lineRule="exact"/>
        <w:ind w:firstLine="480" w:firstLineChars="200"/>
        <w:jc w:val="left"/>
        <w:rPr>
          <w:rFonts w:hint="eastAsia" w:ascii="仿宋" w:hAnsi="仿宋" w:eastAsia="仿宋" w:cs="仿宋"/>
          <w:color w:val="auto"/>
          <w:highlight w:val="none"/>
        </w:rPr>
      </w:pPr>
      <w:r>
        <w:rPr>
          <w:rFonts w:hint="eastAsia" w:ascii="仿宋" w:hAnsi="仿宋" w:eastAsia="仿宋" w:cs="仿宋"/>
          <w:color w:val="auto"/>
          <w:highlight w:val="none"/>
        </w:rPr>
        <w:t>3.4.1 除第二章“投标人须知”前附表授权直接确定中标人外，评标委员会按照得分由高到低的顺序推荐中标候选人。</w:t>
      </w:r>
    </w:p>
    <w:p w14:paraId="337ADDF7">
      <w:pPr>
        <w:spacing w:line="400" w:lineRule="exact"/>
        <w:ind w:firstLine="480" w:firstLineChars="200"/>
        <w:jc w:val="left"/>
        <w:rPr>
          <w:rFonts w:hint="eastAsia" w:ascii="仿宋" w:hAnsi="仿宋" w:eastAsia="仿宋" w:cs="仿宋"/>
          <w:color w:val="auto"/>
          <w:highlight w:val="none"/>
        </w:rPr>
      </w:pPr>
      <w:r>
        <w:rPr>
          <w:rFonts w:hint="eastAsia" w:ascii="仿宋" w:hAnsi="仿宋" w:eastAsia="仿宋" w:cs="仿宋"/>
          <w:color w:val="auto"/>
          <w:highlight w:val="none"/>
        </w:rPr>
        <w:t>3.4.2 评标委员会完成评标后，应当向招标人提交书面评标报告。</w:t>
      </w:r>
    </w:p>
    <w:p w14:paraId="49BCFD94">
      <w:pPr>
        <w:pStyle w:val="3"/>
        <w:jc w:val="left"/>
        <w:rPr>
          <w:rFonts w:hint="eastAsia" w:ascii="仿宋" w:hAnsi="仿宋" w:eastAsia="仿宋" w:cs="仿宋"/>
          <w:color w:val="auto"/>
          <w:highlight w:val="none"/>
        </w:rPr>
      </w:pPr>
    </w:p>
    <w:p w14:paraId="7B63330E">
      <w:pPr>
        <w:jc w:val="left"/>
        <w:rPr>
          <w:rFonts w:hint="eastAsia" w:ascii="仿宋" w:hAnsi="仿宋" w:eastAsia="仿宋" w:cs="仿宋"/>
          <w:color w:val="auto"/>
          <w:highlight w:val="none"/>
        </w:rPr>
      </w:pPr>
      <w:r>
        <w:rPr>
          <w:rFonts w:hint="eastAsia" w:ascii="仿宋" w:hAnsi="仿宋" w:eastAsia="仿宋" w:cs="仿宋"/>
          <w:color w:val="auto"/>
          <w:highlight w:val="none"/>
        </w:rPr>
        <w:br w:type="page"/>
      </w:r>
    </w:p>
    <w:p w14:paraId="60DAA637">
      <w:pPr>
        <w:jc w:val="left"/>
        <w:rPr>
          <w:rFonts w:hint="eastAsia" w:ascii="仿宋" w:hAnsi="仿宋" w:eastAsia="仿宋" w:cs="仿宋"/>
          <w:color w:val="auto"/>
          <w:highlight w:val="none"/>
        </w:rPr>
      </w:pPr>
    </w:p>
    <w:p w14:paraId="0BC807F6">
      <w:pPr>
        <w:pStyle w:val="3"/>
        <w:jc w:val="center"/>
        <w:rPr>
          <w:rFonts w:hint="eastAsia" w:ascii="仿宋" w:hAnsi="仿宋" w:eastAsia="仿宋" w:cs="仿宋"/>
          <w:b/>
          <w:bCs w:val="0"/>
          <w:color w:val="auto"/>
          <w:kern w:val="44"/>
          <w:sz w:val="44"/>
          <w:szCs w:val="44"/>
          <w:highlight w:val="none"/>
          <w:lang w:val="zh-TW" w:eastAsia="zh-CN" w:bidi="ar-SA"/>
        </w:rPr>
      </w:pPr>
      <w:bookmarkStart w:id="488" w:name="_Toc152042387"/>
      <w:bookmarkStart w:id="489" w:name="_Toc152045609"/>
      <w:bookmarkStart w:id="490" w:name="_Toc106998013"/>
      <w:bookmarkStart w:id="491" w:name="_Toc247527634"/>
      <w:bookmarkStart w:id="492" w:name="_Toc144974577"/>
      <w:bookmarkStart w:id="493" w:name="_Toc247514033"/>
      <w:r>
        <w:rPr>
          <w:rFonts w:hint="eastAsia" w:ascii="仿宋" w:hAnsi="仿宋" w:eastAsia="仿宋" w:cs="仿宋"/>
          <w:b/>
          <w:bCs w:val="0"/>
          <w:color w:val="auto"/>
          <w:kern w:val="44"/>
          <w:sz w:val="44"/>
          <w:szCs w:val="44"/>
          <w:highlight w:val="none"/>
          <w:lang w:val="en-US" w:eastAsia="zh-CN" w:bidi="ar-SA"/>
        </w:rPr>
        <w:t>第四章合同条款及格式</w:t>
      </w:r>
      <w:bookmarkEnd w:id="488"/>
      <w:bookmarkEnd w:id="489"/>
      <w:bookmarkEnd w:id="490"/>
      <w:bookmarkEnd w:id="491"/>
      <w:bookmarkEnd w:id="492"/>
      <w:bookmarkEnd w:id="493"/>
    </w:p>
    <w:p w14:paraId="0CA6C45D">
      <w:pPr>
        <w:pStyle w:val="95"/>
        <w:spacing w:line="600" w:lineRule="auto"/>
        <w:ind w:left="0" w:leftChars="0" w:firstLine="0" w:firstLineChars="0"/>
        <w:jc w:val="left"/>
        <w:outlineLvl w:val="0"/>
        <w:rPr>
          <w:rFonts w:hint="eastAsia" w:ascii="仿宋" w:hAnsi="仿宋" w:eastAsia="仿宋" w:cs="仿宋"/>
          <w:b/>
          <w:bCs w:val="0"/>
          <w:color w:val="auto"/>
          <w:kern w:val="44"/>
          <w:sz w:val="44"/>
          <w:szCs w:val="44"/>
          <w:highlight w:val="none"/>
          <w:lang w:val="en-US" w:eastAsia="zh-CN" w:bidi="ar-SA"/>
        </w:rPr>
        <w:sectPr>
          <w:footerReference r:id="rId9" w:type="first"/>
          <w:footerReference r:id="rId8" w:type="default"/>
          <w:pgSz w:w="11906" w:h="16838"/>
          <w:pgMar w:top="1418" w:right="1555" w:bottom="1418" w:left="1531" w:header="851" w:footer="992" w:gutter="0"/>
          <w:pgNumType w:fmt="decimal" w:start="1"/>
          <w:cols w:space="720" w:num="1"/>
          <w:titlePg/>
          <w:docGrid w:type="lines" w:linePitch="312" w:charSpace="0"/>
        </w:sectPr>
      </w:pPr>
      <w:bookmarkStart w:id="494" w:name="_Toc10365"/>
      <w:bookmarkStart w:id="495" w:name="_Toc8280"/>
      <w:bookmarkStart w:id="496" w:name="_Toc26687"/>
      <w:bookmarkStart w:id="497" w:name="_Toc31038"/>
    </w:p>
    <w:p w14:paraId="65D3A6F9">
      <w:pPr>
        <w:pStyle w:val="95"/>
        <w:spacing w:line="600" w:lineRule="auto"/>
        <w:ind w:left="0" w:leftChars="0" w:firstLine="0" w:firstLineChars="0"/>
        <w:jc w:val="center"/>
        <w:outlineLvl w:val="0"/>
        <w:rPr>
          <w:rFonts w:hint="eastAsia" w:ascii="仿宋" w:hAnsi="仿宋" w:eastAsia="仿宋" w:cs="仿宋"/>
          <w:b/>
          <w:bCs/>
          <w:color w:val="auto"/>
          <w:spacing w:val="-20"/>
          <w:sz w:val="44"/>
          <w:szCs w:val="44"/>
          <w:highlight w:val="none"/>
        </w:rPr>
      </w:pPr>
    </w:p>
    <w:p w14:paraId="6B5D9791">
      <w:pPr>
        <w:pStyle w:val="95"/>
        <w:spacing w:line="600" w:lineRule="auto"/>
        <w:ind w:firstLine="0" w:firstLineChars="0"/>
        <w:jc w:val="center"/>
        <w:outlineLvl w:val="0"/>
        <w:rPr>
          <w:rFonts w:hint="eastAsia" w:ascii="仿宋" w:hAnsi="仿宋" w:eastAsia="仿宋" w:cs="仿宋"/>
          <w:b/>
          <w:bCs/>
          <w:color w:val="auto"/>
          <w:spacing w:val="-20"/>
          <w:sz w:val="44"/>
          <w:szCs w:val="44"/>
          <w:highlight w:val="none"/>
          <w:lang w:val="zh-TW" w:eastAsia="zh-TW"/>
        </w:rPr>
      </w:pPr>
      <w:r>
        <w:rPr>
          <w:rFonts w:hint="eastAsia" w:ascii="仿宋" w:hAnsi="仿宋" w:eastAsia="仿宋" w:cs="仿宋"/>
          <w:b/>
          <w:bCs/>
          <w:color w:val="auto"/>
          <w:spacing w:val="-20"/>
          <w:sz w:val="44"/>
          <w:szCs w:val="44"/>
          <w:highlight w:val="none"/>
        </w:rPr>
        <w:t>工程</w:t>
      </w:r>
      <w:r>
        <w:rPr>
          <w:rFonts w:hint="eastAsia" w:ascii="仿宋" w:hAnsi="仿宋" w:eastAsia="仿宋" w:cs="仿宋"/>
          <w:b/>
          <w:bCs/>
          <w:color w:val="auto"/>
          <w:spacing w:val="-20"/>
          <w:sz w:val="44"/>
          <w:szCs w:val="44"/>
          <w:highlight w:val="none"/>
          <w:lang w:val="zh-TW" w:eastAsia="zh-TW"/>
        </w:rPr>
        <w:t>设计</w:t>
      </w:r>
      <w:r>
        <w:rPr>
          <w:rFonts w:hint="eastAsia" w:ascii="仿宋" w:hAnsi="仿宋" w:eastAsia="仿宋" w:cs="仿宋"/>
          <w:b/>
          <w:bCs/>
          <w:color w:val="auto"/>
          <w:spacing w:val="-20"/>
          <w:sz w:val="44"/>
          <w:szCs w:val="44"/>
          <w:highlight w:val="none"/>
        </w:rPr>
        <w:t>采购</w:t>
      </w:r>
      <w:r>
        <w:rPr>
          <w:rFonts w:hint="eastAsia" w:ascii="仿宋" w:hAnsi="仿宋" w:eastAsia="仿宋" w:cs="仿宋"/>
          <w:b/>
          <w:bCs/>
          <w:color w:val="auto"/>
          <w:spacing w:val="-20"/>
          <w:sz w:val="44"/>
          <w:szCs w:val="44"/>
          <w:highlight w:val="none"/>
          <w:lang w:val="zh-TW" w:eastAsia="zh-TW"/>
        </w:rPr>
        <w:t>施工</w:t>
      </w:r>
      <w:r>
        <w:rPr>
          <w:rFonts w:hint="eastAsia" w:ascii="仿宋" w:hAnsi="仿宋" w:eastAsia="仿宋" w:cs="仿宋"/>
          <w:b/>
          <w:bCs/>
          <w:color w:val="auto"/>
          <w:spacing w:val="-20"/>
          <w:sz w:val="44"/>
          <w:szCs w:val="44"/>
          <w:highlight w:val="none"/>
        </w:rPr>
        <w:t>及运营</w:t>
      </w:r>
      <w:bookmarkEnd w:id="494"/>
      <w:bookmarkEnd w:id="495"/>
      <w:bookmarkEnd w:id="496"/>
      <w:bookmarkEnd w:id="497"/>
      <w:bookmarkStart w:id="498" w:name="_Toc1919"/>
      <w:bookmarkStart w:id="499" w:name="_Toc13670"/>
      <w:bookmarkStart w:id="500" w:name="_Toc25430"/>
      <w:bookmarkStart w:id="501" w:name="_Toc22568"/>
      <w:r>
        <w:rPr>
          <w:rFonts w:hint="eastAsia" w:ascii="仿宋" w:hAnsi="仿宋" w:eastAsia="仿宋" w:cs="仿宋"/>
          <w:b/>
          <w:bCs/>
          <w:color w:val="auto"/>
          <w:spacing w:val="-20"/>
          <w:sz w:val="44"/>
          <w:szCs w:val="44"/>
          <w:highlight w:val="none"/>
          <w:lang w:val="zh-TW" w:eastAsia="zh-TW"/>
        </w:rPr>
        <w:t>总承包（</w:t>
      </w:r>
      <w:r>
        <w:rPr>
          <w:rFonts w:hint="eastAsia" w:ascii="仿宋" w:hAnsi="仿宋" w:eastAsia="仿宋" w:cs="仿宋"/>
          <w:b/>
          <w:bCs/>
          <w:color w:val="auto"/>
          <w:spacing w:val="-20"/>
          <w:sz w:val="44"/>
          <w:szCs w:val="44"/>
          <w:highlight w:val="none"/>
        </w:rPr>
        <w:t>EPC</w:t>
      </w:r>
      <w:r>
        <w:rPr>
          <w:rFonts w:hint="eastAsia" w:ascii="仿宋" w:hAnsi="仿宋" w:eastAsia="仿宋" w:cs="仿宋"/>
          <w:b/>
          <w:bCs/>
          <w:color w:val="auto"/>
          <w:spacing w:val="-20"/>
          <w:sz w:val="44"/>
          <w:szCs w:val="44"/>
          <w:highlight w:val="none"/>
          <w:lang w:val="en-US" w:eastAsia="zh-CN"/>
        </w:rPr>
        <w:t>+</w:t>
      </w:r>
      <w:r>
        <w:rPr>
          <w:rFonts w:hint="eastAsia" w:ascii="仿宋" w:hAnsi="仿宋" w:eastAsia="仿宋" w:cs="仿宋"/>
          <w:b/>
          <w:bCs/>
          <w:color w:val="auto"/>
          <w:spacing w:val="-20"/>
          <w:sz w:val="44"/>
          <w:szCs w:val="44"/>
          <w:highlight w:val="none"/>
        </w:rPr>
        <w:t>O</w:t>
      </w:r>
      <w:r>
        <w:rPr>
          <w:rFonts w:hint="eastAsia" w:ascii="仿宋" w:hAnsi="仿宋" w:eastAsia="仿宋" w:cs="仿宋"/>
          <w:b/>
          <w:bCs/>
          <w:color w:val="auto"/>
          <w:spacing w:val="-20"/>
          <w:sz w:val="44"/>
          <w:szCs w:val="44"/>
          <w:highlight w:val="none"/>
          <w:lang w:val="zh-TW" w:eastAsia="zh-TW"/>
        </w:rPr>
        <w:t>）</w:t>
      </w:r>
      <w:bookmarkEnd w:id="498"/>
      <w:bookmarkEnd w:id="499"/>
      <w:bookmarkStart w:id="502" w:name="_Toc25134"/>
      <w:bookmarkStart w:id="503" w:name="_Toc13039"/>
    </w:p>
    <w:p w14:paraId="5CBB0C85">
      <w:pPr>
        <w:pStyle w:val="95"/>
        <w:spacing w:line="600" w:lineRule="auto"/>
        <w:ind w:firstLine="0" w:firstLineChars="0"/>
        <w:jc w:val="center"/>
        <w:outlineLvl w:val="0"/>
        <w:rPr>
          <w:rFonts w:hint="eastAsia" w:ascii="仿宋" w:hAnsi="仿宋" w:eastAsia="仿宋" w:cs="仿宋"/>
          <w:b/>
          <w:bCs/>
          <w:color w:val="auto"/>
          <w:sz w:val="48"/>
          <w:szCs w:val="48"/>
          <w:highlight w:val="none"/>
          <w:lang w:val="zh-TW"/>
        </w:rPr>
      </w:pPr>
      <w:r>
        <w:rPr>
          <w:rFonts w:hint="eastAsia" w:ascii="仿宋" w:hAnsi="仿宋" w:eastAsia="仿宋" w:cs="仿宋"/>
          <w:b/>
          <w:bCs/>
          <w:color w:val="auto"/>
          <w:sz w:val="48"/>
          <w:szCs w:val="48"/>
          <w:highlight w:val="none"/>
          <w:lang w:val="zh-TW" w:eastAsia="zh-TW"/>
        </w:rPr>
        <w:t>合同</w:t>
      </w:r>
      <w:r>
        <w:rPr>
          <w:rFonts w:hint="eastAsia" w:ascii="仿宋" w:hAnsi="仿宋" w:eastAsia="仿宋" w:cs="仿宋"/>
          <w:b/>
          <w:bCs/>
          <w:color w:val="auto"/>
          <w:sz w:val="48"/>
          <w:szCs w:val="48"/>
          <w:highlight w:val="none"/>
        </w:rPr>
        <w:t>书</w:t>
      </w:r>
      <w:bookmarkEnd w:id="500"/>
      <w:bookmarkEnd w:id="501"/>
      <w:bookmarkEnd w:id="502"/>
      <w:bookmarkEnd w:id="503"/>
    </w:p>
    <w:p w14:paraId="0EDC3CCF">
      <w:pPr>
        <w:pStyle w:val="95"/>
        <w:spacing w:line="360" w:lineRule="auto"/>
        <w:ind w:firstLine="480" w:firstLineChars="200"/>
        <w:jc w:val="left"/>
        <w:rPr>
          <w:rFonts w:hint="eastAsia" w:ascii="仿宋" w:hAnsi="仿宋" w:eastAsia="仿宋" w:cs="仿宋"/>
          <w:color w:val="auto"/>
          <w:sz w:val="24"/>
          <w:szCs w:val="24"/>
          <w:highlight w:val="none"/>
        </w:rPr>
      </w:pPr>
    </w:p>
    <w:p w14:paraId="321599A8">
      <w:pPr>
        <w:pStyle w:val="95"/>
        <w:spacing w:line="360" w:lineRule="auto"/>
        <w:ind w:firstLine="560" w:firstLineChars="200"/>
        <w:jc w:val="left"/>
        <w:rPr>
          <w:rFonts w:hint="eastAsia" w:ascii="仿宋" w:hAnsi="仿宋" w:eastAsia="仿宋" w:cs="仿宋"/>
          <w:color w:val="auto"/>
          <w:sz w:val="28"/>
          <w:szCs w:val="28"/>
          <w:highlight w:val="none"/>
          <w:lang w:val="zh-TW"/>
        </w:rPr>
      </w:pPr>
    </w:p>
    <w:p w14:paraId="01B48E50">
      <w:pPr>
        <w:pStyle w:val="95"/>
        <w:spacing w:line="360" w:lineRule="auto"/>
        <w:ind w:firstLine="560" w:firstLineChars="200"/>
        <w:jc w:val="left"/>
        <w:rPr>
          <w:rFonts w:hint="eastAsia" w:ascii="仿宋" w:hAnsi="仿宋" w:eastAsia="仿宋" w:cs="仿宋"/>
          <w:color w:val="auto"/>
          <w:sz w:val="28"/>
          <w:szCs w:val="28"/>
          <w:highlight w:val="none"/>
          <w:lang w:val="zh-TW"/>
        </w:rPr>
      </w:pPr>
    </w:p>
    <w:p w14:paraId="06C44318">
      <w:pPr>
        <w:pStyle w:val="95"/>
        <w:spacing w:line="360" w:lineRule="auto"/>
        <w:ind w:firstLine="560" w:firstLineChars="200"/>
        <w:jc w:val="left"/>
        <w:rPr>
          <w:rFonts w:hint="eastAsia" w:ascii="仿宋" w:hAnsi="仿宋" w:eastAsia="仿宋" w:cs="仿宋"/>
          <w:color w:val="auto"/>
          <w:sz w:val="28"/>
          <w:szCs w:val="28"/>
          <w:highlight w:val="none"/>
          <w:lang w:val="zh-TW"/>
        </w:rPr>
      </w:pPr>
    </w:p>
    <w:p w14:paraId="288B848E">
      <w:pPr>
        <w:pStyle w:val="95"/>
        <w:spacing w:line="360" w:lineRule="auto"/>
        <w:ind w:firstLine="560" w:firstLineChars="200"/>
        <w:jc w:val="left"/>
        <w:rPr>
          <w:rFonts w:hint="eastAsia" w:ascii="仿宋" w:hAnsi="仿宋" w:eastAsia="仿宋" w:cs="仿宋"/>
          <w:color w:val="auto"/>
          <w:sz w:val="28"/>
          <w:szCs w:val="28"/>
          <w:highlight w:val="none"/>
          <w:lang w:val="zh-TW" w:eastAsia="zh-TW"/>
        </w:rPr>
      </w:pPr>
    </w:p>
    <w:p w14:paraId="69B330D9">
      <w:pPr>
        <w:pStyle w:val="95"/>
        <w:spacing w:line="360" w:lineRule="auto"/>
        <w:ind w:firstLine="560" w:firstLineChars="200"/>
        <w:jc w:val="left"/>
        <w:rPr>
          <w:rFonts w:hint="eastAsia" w:ascii="仿宋" w:hAnsi="仿宋" w:eastAsia="仿宋" w:cs="仿宋"/>
          <w:color w:val="auto"/>
          <w:sz w:val="28"/>
          <w:szCs w:val="28"/>
          <w:highlight w:val="none"/>
          <w:lang w:val="zh-TW" w:eastAsia="zh-TW"/>
        </w:rPr>
      </w:pPr>
    </w:p>
    <w:p w14:paraId="39074BDB">
      <w:pPr>
        <w:pStyle w:val="95"/>
        <w:spacing w:line="360" w:lineRule="auto"/>
        <w:ind w:firstLine="560" w:firstLineChars="200"/>
        <w:jc w:val="left"/>
        <w:rPr>
          <w:rFonts w:hint="eastAsia" w:ascii="仿宋" w:hAnsi="仿宋" w:eastAsia="仿宋" w:cs="仿宋"/>
          <w:color w:val="auto"/>
          <w:sz w:val="28"/>
          <w:szCs w:val="28"/>
          <w:highlight w:val="none"/>
          <w:lang w:val="zh-TW" w:eastAsia="zh-TW"/>
        </w:rPr>
      </w:pPr>
    </w:p>
    <w:p w14:paraId="324EB3C2">
      <w:pPr>
        <w:pStyle w:val="95"/>
        <w:spacing w:line="360" w:lineRule="auto"/>
        <w:ind w:firstLine="560" w:firstLineChars="200"/>
        <w:jc w:val="left"/>
        <w:rPr>
          <w:rFonts w:hint="eastAsia" w:ascii="仿宋" w:hAnsi="仿宋" w:eastAsia="仿宋" w:cs="仿宋"/>
          <w:color w:val="auto"/>
          <w:sz w:val="28"/>
          <w:szCs w:val="28"/>
          <w:highlight w:val="none"/>
          <w:u w:val="single"/>
        </w:rPr>
      </w:pPr>
      <w:r>
        <w:rPr>
          <w:rFonts w:hint="eastAsia" w:ascii="仿宋" w:hAnsi="仿宋" w:eastAsia="仿宋" w:cs="仿宋"/>
          <w:color w:val="auto"/>
          <w:sz w:val="28"/>
          <w:szCs w:val="28"/>
          <w:highlight w:val="none"/>
          <w:lang w:val="zh-TW" w:eastAsia="zh-TW"/>
        </w:rPr>
        <w:t>发包人（全称）：</w:t>
      </w:r>
      <w:r>
        <w:rPr>
          <w:rFonts w:hint="eastAsia" w:ascii="仿宋" w:hAnsi="仿宋" w:eastAsia="仿宋" w:cs="仿宋"/>
          <w:color w:val="auto"/>
          <w:sz w:val="28"/>
          <w:szCs w:val="28"/>
          <w:highlight w:val="none"/>
        </w:rPr>
        <w:t xml:space="preserve"> </w:t>
      </w:r>
      <w:r>
        <w:rPr>
          <w:rFonts w:hint="eastAsia" w:ascii="仿宋" w:hAnsi="仿宋" w:eastAsia="仿宋" w:cs="仿宋"/>
          <w:color w:val="auto"/>
          <w:sz w:val="28"/>
          <w:szCs w:val="28"/>
          <w:highlight w:val="none"/>
          <w:u w:val="single"/>
          <w:lang w:val="zh-TW"/>
        </w:rPr>
        <w:t xml:space="preserve"> </w:t>
      </w:r>
      <w:r>
        <w:rPr>
          <w:rFonts w:hint="eastAsia" w:ascii="仿宋" w:hAnsi="仿宋" w:eastAsia="仿宋" w:cs="仿宋"/>
          <w:color w:val="auto"/>
          <w:sz w:val="28"/>
          <w:szCs w:val="28"/>
          <w:highlight w:val="none"/>
          <w:u w:val="single"/>
        </w:rPr>
        <w:t xml:space="preserve">                                </w:t>
      </w:r>
      <w:r>
        <w:rPr>
          <w:rFonts w:hint="eastAsia" w:ascii="仿宋" w:hAnsi="仿宋" w:eastAsia="仿宋" w:cs="仿宋"/>
          <w:color w:val="auto"/>
          <w:sz w:val="28"/>
          <w:szCs w:val="28"/>
          <w:highlight w:val="none"/>
          <w:u w:val="single"/>
          <w:lang w:val="zh-TW"/>
        </w:rPr>
        <w:t>（</w:t>
      </w:r>
      <w:r>
        <w:rPr>
          <w:rFonts w:hint="eastAsia" w:ascii="仿宋" w:hAnsi="仿宋" w:eastAsia="仿宋" w:cs="仿宋"/>
          <w:color w:val="auto"/>
          <w:sz w:val="28"/>
          <w:szCs w:val="28"/>
          <w:highlight w:val="none"/>
          <w:u w:val="single"/>
        </w:rPr>
        <w:t>业主）</w:t>
      </w:r>
    </w:p>
    <w:p w14:paraId="1052E140">
      <w:pPr>
        <w:pStyle w:val="95"/>
        <w:spacing w:line="360" w:lineRule="auto"/>
        <w:ind w:firstLine="560" w:firstLineChars="200"/>
        <w:jc w:val="left"/>
        <w:rPr>
          <w:rFonts w:hint="eastAsia" w:ascii="仿宋" w:hAnsi="仿宋" w:eastAsia="仿宋" w:cs="仿宋"/>
          <w:color w:val="auto"/>
          <w:sz w:val="28"/>
          <w:szCs w:val="28"/>
          <w:highlight w:val="none"/>
          <w:u w:val="single"/>
        </w:rPr>
      </w:pPr>
      <w:r>
        <w:rPr>
          <w:rFonts w:hint="eastAsia" w:ascii="仿宋" w:hAnsi="仿宋" w:eastAsia="仿宋" w:cs="仿宋"/>
          <w:color w:val="auto"/>
          <w:sz w:val="28"/>
          <w:szCs w:val="28"/>
          <w:highlight w:val="none"/>
          <w:lang w:val="zh-TW" w:eastAsia="zh-TW"/>
        </w:rPr>
        <w:t>承包人（全称）：</w:t>
      </w:r>
      <w:r>
        <w:rPr>
          <w:rFonts w:hint="eastAsia" w:ascii="仿宋" w:hAnsi="仿宋" w:eastAsia="仿宋" w:cs="仿宋"/>
          <w:color w:val="auto"/>
          <w:sz w:val="28"/>
          <w:szCs w:val="28"/>
          <w:highlight w:val="none"/>
        </w:rPr>
        <w:t xml:space="preserve"> </w:t>
      </w:r>
      <w:r>
        <w:rPr>
          <w:rFonts w:hint="eastAsia" w:ascii="仿宋" w:hAnsi="仿宋" w:eastAsia="仿宋" w:cs="仿宋"/>
          <w:color w:val="auto"/>
          <w:sz w:val="28"/>
          <w:szCs w:val="28"/>
          <w:highlight w:val="none"/>
          <w:u w:val="single"/>
        </w:rPr>
        <w:t xml:space="preserve">                              </w:t>
      </w:r>
      <w:r>
        <w:rPr>
          <w:rFonts w:hint="eastAsia" w:ascii="仿宋" w:hAnsi="仿宋" w:eastAsia="仿宋" w:cs="仿宋"/>
          <w:color w:val="auto"/>
          <w:sz w:val="28"/>
          <w:szCs w:val="28"/>
          <w:highlight w:val="none"/>
          <w:u w:val="single"/>
          <w:lang w:val="zh-TW"/>
        </w:rPr>
        <w:t>（</w:t>
      </w:r>
      <w:r>
        <w:rPr>
          <w:rFonts w:hint="eastAsia" w:ascii="仿宋" w:hAnsi="仿宋" w:eastAsia="仿宋" w:cs="仿宋"/>
          <w:color w:val="auto"/>
          <w:sz w:val="28"/>
          <w:szCs w:val="28"/>
          <w:highlight w:val="none"/>
          <w:u w:val="single"/>
        </w:rPr>
        <w:t xml:space="preserve">施工单位） </w:t>
      </w:r>
    </w:p>
    <w:p w14:paraId="56981F4A">
      <w:pPr>
        <w:pStyle w:val="95"/>
        <w:spacing w:line="360" w:lineRule="auto"/>
        <w:ind w:firstLine="2800" w:firstLineChars="1000"/>
        <w:jc w:val="left"/>
        <w:rPr>
          <w:rFonts w:hint="eastAsia" w:ascii="仿宋" w:hAnsi="仿宋" w:eastAsia="仿宋" w:cs="仿宋"/>
          <w:color w:val="auto"/>
          <w:sz w:val="28"/>
          <w:szCs w:val="28"/>
          <w:highlight w:val="none"/>
          <w:u w:val="single"/>
        </w:rPr>
      </w:pPr>
      <w:r>
        <w:rPr>
          <w:rFonts w:hint="eastAsia" w:ascii="仿宋" w:hAnsi="仿宋" w:eastAsia="仿宋" w:cs="仿宋"/>
          <w:color w:val="auto"/>
          <w:sz w:val="28"/>
          <w:szCs w:val="28"/>
          <w:highlight w:val="none"/>
          <w:u w:val="single"/>
        </w:rPr>
        <w:t xml:space="preserve">                              </w:t>
      </w:r>
      <w:r>
        <w:rPr>
          <w:rFonts w:hint="eastAsia" w:ascii="仿宋" w:hAnsi="仿宋" w:eastAsia="仿宋" w:cs="仿宋"/>
          <w:color w:val="auto"/>
          <w:sz w:val="28"/>
          <w:szCs w:val="28"/>
          <w:highlight w:val="none"/>
          <w:u w:val="single"/>
          <w:lang w:val="zh-TW"/>
        </w:rPr>
        <w:t>（</w:t>
      </w:r>
      <w:r>
        <w:rPr>
          <w:rFonts w:hint="eastAsia" w:ascii="仿宋" w:hAnsi="仿宋" w:eastAsia="仿宋" w:cs="仿宋"/>
          <w:color w:val="auto"/>
          <w:sz w:val="28"/>
          <w:szCs w:val="28"/>
          <w:highlight w:val="none"/>
          <w:u w:val="single"/>
        </w:rPr>
        <w:t>设计单位）</w:t>
      </w:r>
    </w:p>
    <w:p w14:paraId="24F54392">
      <w:pPr>
        <w:pStyle w:val="95"/>
        <w:spacing w:line="360" w:lineRule="auto"/>
        <w:ind w:firstLine="2800" w:firstLineChars="1000"/>
        <w:jc w:val="left"/>
        <w:rPr>
          <w:rFonts w:hint="eastAsia" w:ascii="仿宋" w:hAnsi="仿宋" w:eastAsia="仿宋" w:cs="仿宋"/>
          <w:color w:val="auto"/>
          <w:sz w:val="28"/>
          <w:szCs w:val="28"/>
          <w:highlight w:val="none"/>
          <w:u w:val="single"/>
          <w:lang w:val="zh-TW" w:eastAsia="zh-TW"/>
        </w:rPr>
      </w:pPr>
      <w:r>
        <w:rPr>
          <w:rFonts w:hint="eastAsia" w:ascii="仿宋" w:hAnsi="仿宋" w:eastAsia="仿宋" w:cs="仿宋"/>
          <w:color w:val="auto"/>
          <w:sz w:val="28"/>
          <w:szCs w:val="28"/>
          <w:highlight w:val="none"/>
          <w:u w:val="single"/>
        </w:rPr>
        <w:t xml:space="preserve">                        </w:t>
      </w:r>
      <w:r>
        <w:rPr>
          <w:rFonts w:hint="eastAsia" w:ascii="仿宋" w:hAnsi="仿宋" w:eastAsia="仿宋" w:cs="仿宋"/>
          <w:color w:val="auto"/>
          <w:sz w:val="28"/>
          <w:szCs w:val="28"/>
          <w:highlight w:val="none"/>
          <w:u w:val="single"/>
          <w:lang w:val="zh-TW"/>
        </w:rPr>
        <w:t>（</w:t>
      </w:r>
      <w:r>
        <w:rPr>
          <w:rFonts w:hint="eastAsia" w:ascii="仿宋" w:hAnsi="仿宋" w:eastAsia="仿宋" w:cs="仿宋"/>
          <w:color w:val="auto"/>
          <w:sz w:val="28"/>
          <w:szCs w:val="28"/>
          <w:highlight w:val="none"/>
          <w:u w:val="single"/>
        </w:rPr>
        <w:t>设备集成供货单位）</w:t>
      </w:r>
      <w:r>
        <w:rPr>
          <w:rFonts w:hint="eastAsia" w:ascii="仿宋" w:hAnsi="仿宋" w:eastAsia="仿宋" w:cs="仿宋"/>
          <w:color w:val="auto"/>
          <w:sz w:val="28"/>
          <w:szCs w:val="28"/>
          <w:highlight w:val="none"/>
          <w:u w:val="single"/>
          <w:lang w:val="zh-TW" w:eastAsia="zh-TW"/>
        </w:rPr>
        <w:t xml:space="preserve"> </w:t>
      </w:r>
    </w:p>
    <w:p w14:paraId="702E0690">
      <w:pPr>
        <w:pStyle w:val="96"/>
        <w:framePr w:wrap="auto" w:vAnchor="margin" w:hAnchor="text" w:yAlign="inline"/>
        <w:spacing w:after="0" w:line="360" w:lineRule="auto"/>
        <w:ind w:firstLine="420" w:firstLineChars="200"/>
        <w:jc w:val="left"/>
        <w:rPr>
          <w:rFonts w:hint="eastAsia" w:ascii="仿宋" w:hAnsi="仿宋" w:eastAsia="仿宋" w:cs="仿宋"/>
          <w:color w:val="auto"/>
          <w:highlight w:val="none"/>
        </w:rPr>
      </w:pPr>
      <w:r>
        <w:rPr>
          <w:rFonts w:hint="eastAsia" w:ascii="仿宋" w:hAnsi="仿宋" w:eastAsia="仿宋" w:cs="仿宋"/>
          <w:color w:val="auto"/>
          <w:highlight w:val="none"/>
        </w:rPr>
        <w:t xml:space="preserve">                      </w:t>
      </w:r>
      <w:r>
        <w:rPr>
          <w:rFonts w:hint="eastAsia" w:ascii="仿宋" w:hAnsi="仿宋" w:eastAsia="仿宋" w:cs="仿宋"/>
          <w:color w:val="auto"/>
          <w:sz w:val="28"/>
          <w:szCs w:val="28"/>
          <w:highlight w:val="none"/>
          <w:u w:val="single"/>
        </w:rPr>
        <w:t xml:space="preserve">                             （运营单位）</w:t>
      </w:r>
      <w:r>
        <w:rPr>
          <w:rFonts w:hint="eastAsia" w:ascii="仿宋" w:hAnsi="仿宋" w:eastAsia="仿宋" w:cs="仿宋"/>
          <w:color w:val="auto"/>
          <w:sz w:val="28"/>
          <w:szCs w:val="28"/>
          <w:highlight w:val="none"/>
          <w:u w:val="single"/>
          <w:lang w:val="zh-TW" w:eastAsia="zh-TW"/>
        </w:rPr>
        <w:t xml:space="preserve"> </w:t>
      </w:r>
    </w:p>
    <w:p w14:paraId="30BEA9F1">
      <w:pPr>
        <w:pStyle w:val="95"/>
        <w:spacing w:line="360" w:lineRule="auto"/>
        <w:ind w:firstLine="560" w:firstLineChars="200"/>
        <w:jc w:val="left"/>
        <w:rPr>
          <w:rFonts w:hint="eastAsia" w:ascii="仿宋" w:hAnsi="仿宋" w:eastAsia="仿宋" w:cs="仿宋"/>
          <w:color w:val="auto"/>
          <w:sz w:val="28"/>
          <w:szCs w:val="28"/>
          <w:highlight w:val="none"/>
          <w:u w:val="single"/>
          <w:lang w:val="zh-TW" w:eastAsia="zh-TW"/>
        </w:rPr>
      </w:pPr>
    </w:p>
    <w:p w14:paraId="1D8A3E1F">
      <w:pPr>
        <w:pStyle w:val="95"/>
        <w:spacing w:line="360" w:lineRule="auto"/>
        <w:ind w:firstLine="560" w:firstLineChars="200"/>
        <w:jc w:val="left"/>
        <w:rPr>
          <w:rFonts w:hint="eastAsia" w:ascii="仿宋" w:hAnsi="仿宋" w:eastAsia="仿宋" w:cs="仿宋"/>
          <w:color w:val="auto"/>
          <w:sz w:val="28"/>
          <w:szCs w:val="28"/>
          <w:highlight w:val="none"/>
        </w:rPr>
      </w:pPr>
    </w:p>
    <w:p w14:paraId="2BF04E6A">
      <w:pPr>
        <w:pStyle w:val="95"/>
        <w:spacing w:line="360" w:lineRule="auto"/>
        <w:ind w:firstLine="560" w:firstLineChars="200"/>
        <w:jc w:val="left"/>
        <w:rPr>
          <w:rFonts w:hint="eastAsia" w:ascii="仿宋" w:hAnsi="仿宋" w:eastAsia="仿宋" w:cs="仿宋"/>
          <w:color w:val="auto"/>
          <w:sz w:val="28"/>
          <w:szCs w:val="28"/>
          <w:highlight w:val="none"/>
          <w:lang w:val="zh-TW" w:eastAsia="zh-TW"/>
        </w:rPr>
        <w:sectPr>
          <w:footerReference r:id="rId11" w:type="first"/>
          <w:footerReference r:id="rId10" w:type="default"/>
          <w:pgSz w:w="11906" w:h="16838"/>
          <w:pgMar w:top="1418" w:right="1555" w:bottom="1418" w:left="1531" w:header="851" w:footer="992" w:gutter="0"/>
          <w:pgNumType w:fmt="decimal"/>
          <w:cols w:space="720" w:num="1"/>
          <w:titlePg/>
          <w:docGrid w:type="lines" w:linePitch="312" w:charSpace="0"/>
        </w:sectPr>
      </w:pPr>
    </w:p>
    <w:sdt>
      <w:sdtPr>
        <w:rPr>
          <w:rFonts w:hint="eastAsia" w:ascii="仿宋" w:hAnsi="仿宋" w:eastAsia="仿宋" w:cs="仿宋"/>
          <w:color w:val="auto"/>
          <w:kern w:val="2"/>
          <w:sz w:val="21"/>
          <w:szCs w:val="22"/>
          <w:highlight w:val="none"/>
          <w:lang w:val="en-US" w:eastAsia="zh-CN" w:bidi="ar-SA"/>
        </w:rPr>
        <w:id w:val="147472495"/>
        <w15:color w:val="DBDBDB"/>
        <w:docPartObj>
          <w:docPartGallery w:val="Table of Contents"/>
          <w:docPartUnique/>
        </w:docPartObj>
      </w:sdtPr>
      <w:sdtEndPr>
        <w:rPr>
          <w:rFonts w:hint="eastAsia" w:ascii="仿宋" w:hAnsi="仿宋" w:eastAsia="仿宋" w:cs="仿宋"/>
          <w:b/>
          <w:color w:val="auto"/>
          <w:kern w:val="2"/>
          <w:sz w:val="24"/>
          <w:szCs w:val="22"/>
          <w:highlight w:val="none"/>
          <w:lang w:val="en-US" w:eastAsia="zh-CN" w:bidi="ar-SA"/>
        </w:rPr>
      </w:sdtEndPr>
      <w:sdtContent>
        <w:p w14:paraId="4FB0926F">
          <w:pPr>
            <w:spacing w:before="0" w:beforeLines="0" w:after="0" w:afterLines="0" w:line="240" w:lineRule="auto"/>
            <w:ind w:left="0" w:leftChars="0" w:right="0" w:rightChars="0" w:firstLine="0" w:firstLineChars="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目录</w:t>
          </w:r>
        </w:p>
        <w:p w14:paraId="2B6854DF">
          <w:pPr>
            <w:pStyle w:val="108"/>
            <w:tabs>
              <w:tab w:val="right" w:leader="dot" w:pos="9740"/>
            </w:tabs>
            <w:jc w:val="left"/>
            <w:rPr>
              <w:rFonts w:hint="eastAsia" w:ascii="仿宋" w:hAnsi="仿宋" w:eastAsia="仿宋" w:cs="仿宋"/>
              <w:b/>
              <w:color w:val="auto"/>
              <w:sz w:val="24"/>
              <w:szCs w:val="24"/>
              <w:highlight w:val="none"/>
            </w:rPr>
          </w:pPr>
          <w:r>
            <w:rPr>
              <w:rFonts w:hint="eastAsia" w:ascii="仿宋" w:hAnsi="仿宋" w:eastAsia="仿宋" w:cs="仿宋"/>
              <w:color w:val="auto"/>
              <w:sz w:val="24"/>
              <w:szCs w:val="24"/>
              <w:highlight w:val="none"/>
              <w:lang w:val="en-US" w:eastAsia="zh-CN"/>
            </w:rPr>
            <w:fldChar w:fldCharType="begin"/>
          </w:r>
          <w:r>
            <w:rPr>
              <w:rFonts w:hint="eastAsia" w:ascii="仿宋" w:hAnsi="仿宋" w:eastAsia="仿宋" w:cs="仿宋"/>
              <w:color w:val="auto"/>
              <w:sz w:val="24"/>
              <w:szCs w:val="24"/>
              <w:highlight w:val="none"/>
              <w:lang w:val="en-US" w:eastAsia="zh-CN"/>
            </w:rPr>
            <w:instrText xml:space="preserve">TOC \o "1-2" \h \u </w:instrText>
          </w:r>
          <w:r>
            <w:rPr>
              <w:rFonts w:hint="eastAsia" w:ascii="仿宋" w:hAnsi="仿宋" w:eastAsia="仿宋" w:cs="仿宋"/>
              <w:color w:val="auto"/>
              <w:sz w:val="24"/>
              <w:szCs w:val="24"/>
              <w:highlight w:val="none"/>
              <w:lang w:val="en-US" w:eastAsia="zh-CN"/>
            </w:rPr>
            <w:fldChar w:fldCharType="separate"/>
          </w:r>
        </w:p>
        <w:p w14:paraId="11549EC5">
          <w:pPr>
            <w:pStyle w:val="108"/>
            <w:tabs>
              <w:tab w:val="right" w:leader="dot" w:pos="9740"/>
            </w:tabs>
            <w:jc w:val="left"/>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lang w:val="en-US" w:eastAsia="zh-CN"/>
            </w:rPr>
            <w:fldChar w:fldCharType="begin"/>
          </w:r>
          <w:r>
            <w:rPr>
              <w:rFonts w:hint="eastAsia" w:ascii="仿宋" w:hAnsi="仿宋" w:eastAsia="仿宋" w:cs="仿宋"/>
              <w:b/>
              <w:color w:val="auto"/>
              <w:sz w:val="24"/>
              <w:szCs w:val="24"/>
              <w:highlight w:val="none"/>
              <w:lang w:val="en-US" w:eastAsia="zh-CN"/>
            </w:rPr>
            <w:instrText xml:space="preserve"> HYPERLINK \l _Toc18244 </w:instrText>
          </w:r>
          <w:r>
            <w:rPr>
              <w:rFonts w:hint="eastAsia" w:ascii="仿宋" w:hAnsi="仿宋" w:eastAsia="仿宋" w:cs="仿宋"/>
              <w:b/>
              <w:color w:val="auto"/>
              <w:sz w:val="24"/>
              <w:szCs w:val="24"/>
              <w:highlight w:val="none"/>
              <w:lang w:val="en-US" w:eastAsia="zh-CN"/>
            </w:rPr>
            <w:fldChar w:fldCharType="separate"/>
          </w:r>
          <w:r>
            <w:rPr>
              <w:rFonts w:hint="eastAsia" w:ascii="仿宋" w:hAnsi="仿宋" w:eastAsia="仿宋" w:cs="仿宋"/>
              <w:b/>
              <w:color w:val="auto"/>
              <w:sz w:val="24"/>
              <w:szCs w:val="24"/>
              <w:highlight w:val="none"/>
              <w:lang w:eastAsia="zh-TW"/>
            </w:rPr>
            <w:t>第一章</w:t>
          </w:r>
          <w:r>
            <w:rPr>
              <w:rFonts w:hint="eastAsia" w:ascii="仿宋" w:hAnsi="仿宋" w:eastAsia="仿宋" w:cs="仿宋"/>
              <w:b/>
              <w:color w:val="auto"/>
              <w:sz w:val="24"/>
              <w:szCs w:val="24"/>
              <w:highlight w:val="none"/>
            </w:rPr>
            <w:t xml:space="preserve"> </w:t>
          </w:r>
          <w:r>
            <w:rPr>
              <w:rFonts w:hint="eastAsia" w:ascii="仿宋" w:hAnsi="仿宋" w:eastAsia="仿宋" w:cs="仿宋"/>
              <w:b/>
              <w:color w:val="auto"/>
              <w:sz w:val="24"/>
              <w:szCs w:val="24"/>
              <w:highlight w:val="none"/>
              <w:lang w:val="en-US" w:eastAsia="zh-CN"/>
            </w:rPr>
            <w:t>总</w:t>
          </w:r>
          <w:r>
            <w:rPr>
              <w:rFonts w:hint="eastAsia" w:ascii="仿宋" w:hAnsi="仿宋" w:eastAsia="仿宋" w:cs="仿宋"/>
              <w:b/>
              <w:color w:val="auto"/>
              <w:sz w:val="24"/>
              <w:szCs w:val="24"/>
              <w:highlight w:val="none"/>
              <w:lang w:eastAsia="zh-TW"/>
            </w:rPr>
            <w:t>合同协议书</w:t>
          </w:r>
          <w:r>
            <w:rPr>
              <w:rFonts w:hint="eastAsia" w:ascii="仿宋" w:hAnsi="仿宋" w:eastAsia="仿宋" w:cs="仿宋"/>
              <w:b/>
              <w:color w:val="auto"/>
              <w:sz w:val="24"/>
              <w:szCs w:val="24"/>
              <w:highlight w:val="none"/>
            </w:rPr>
            <w:tab/>
          </w:r>
          <w:r>
            <w:rPr>
              <w:rFonts w:hint="eastAsia" w:ascii="仿宋" w:hAnsi="仿宋" w:eastAsia="仿宋" w:cs="仿宋"/>
              <w:b/>
              <w:color w:val="auto"/>
              <w:sz w:val="24"/>
              <w:szCs w:val="24"/>
              <w:highlight w:val="none"/>
            </w:rPr>
            <w:fldChar w:fldCharType="begin"/>
          </w:r>
          <w:r>
            <w:rPr>
              <w:rFonts w:hint="eastAsia" w:ascii="仿宋" w:hAnsi="仿宋" w:eastAsia="仿宋" w:cs="仿宋"/>
              <w:b/>
              <w:color w:val="auto"/>
              <w:sz w:val="24"/>
              <w:szCs w:val="24"/>
              <w:highlight w:val="none"/>
            </w:rPr>
            <w:instrText xml:space="preserve"> PAGEREF _Toc18244 \h </w:instrText>
          </w:r>
          <w:r>
            <w:rPr>
              <w:rFonts w:hint="eastAsia" w:ascii="仿宋" w:hAnsi="仿宋" w:eastAsia="仿宋" w:cs="仿宋"/>
              <w:b/>
              <w:color w:val="auto"/>
              <w:sz w:val="24"/>
              <w:szCs w:val="24"/>
              <w:highlight w:val="none"/>
            </w:rPr>
            <w:fldChar w:fldCharType="separate"/>
          </w:r>
          <w:r>
            <w:rPr>
              <w:rFonts w:hint="eastAsia" w:ascii="仿宋" w:hAnsi="仿宋" w:eastAsia="仿宋" w:cs="仿宋"/>
              <w:b/>
              <w:color w:val="auto"/>
              <w:sz w:val="24"/>
              <w:szCs w:val="24"/>
              <w:highlight w:val="none"/>
            </w:rPr>
            <w:t>54</w:t>
          </w:r>
          <w:r>
            <w:rPr>
              <w:rFonts w:hint="eastAsia" w:ascii="仿宋" w:hAnsi="仿宋" w:eastAsia="仿宋" w:cs="仿宋"/>
              <w:b/>
              <w:color w:val="auto"/>
              <w:sz w:val="24"/>
              <w:szCs w:val="24"/>
              <w:highlight w:val="none"/>
            </w:rPr>
            <w:fldChar w:fldCharType="end"/>
          </w:r>
          <w:r>
            <w:rPr>
              <w:rFonts w:hint="eastAsia" w:ascii="仿宋" w:hAnsi="仿宋" w:eastAsia="仿宋" w:cs="仿宋"/>
              <w:b/>
              <w:color w:val="auto"/>
              <w:sz w:val="24"/>
              <w:szCs w:val="24"/>
              <w:highlight w:val="none"/>
              <w:lang w:val="en-US" w:eastAsia="zh-CN"/>
            </w:rPr>
            <w:fldChar w:fldCharType="end"/>
          </w:r>
        </w:p>
        <w:p w14:paraId="2E30CECB">
          <w:pPr>
            <w:pStyle w:val="109"/>
            <w:tabs>
              <w:tab w:val="right" w:leader="dot" w:pos="9740"/>
            </w:tabs>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fldChar w:fldCharType="begin"/>
          </w:r>
          <w:r>
            <w:rPr>
              <w:rFonts w:hint="eastAsia" w:ascii="仿宋" w:hAnsi="仿宋" w:eastAsia="仿宋" w:cs="仿宋"/>
              <w:color w:val="auto"/>
              <w:sz w:val="24"/>
              <w:szCs w:val="24"/>
              <w:highlight w:val="none"/>
              <w:lang w:val="en-US" w:eastAsia="zh-CN"/>
            </w:rPr>
            <w:instrText xml:space="preserve"> HYPERLINK \l _Toc12155 </w:instrText>
          </w:r>
          <w:r>
            <w:rPr>
              <w:rFonts w:hint="eastAsia" w:ascii="仿宋" w:hAnsi="仿宋" w:eastAsia="仿宋" w:cs="仿宋"/>
              <w:color w:val="auto"/>
              <w:sz w:val="24"/>
              <w:szCs w:val="24"/>
              <w:highlight w:val="none"/>
              <w:lang w:val="en-US" w:eastAsia="zh-CN"/>
            </w:rPr>
            <w:fldChar w:fldCharType="separate"/>
          </w:r>
          <w:r>
            <w:rPr>
              <w:rFonts w:hint="eastAsia" w:ascii="仿宋" w:hAnsi="仿宋" w:eastAsia="仿宋" w:cs="仿宋"/>
              <w:color w:val="auto"/>
              <w:sz w:val="24"/>
              <w:szCs w:val="24"/>
              <w:highlight w:val="none"/>
              <w:lang w:val="en-US" w:eastAsia="zh-CN"/>
            </w:rPr>
            <w:t>一、</w:t>
          </w:r>
          <w:r>
            <w:rPr>
              <w:rFonts w:hint="eastAsia" w:ascii="仿宋" w:hAnsi="仿宋" w:eastAsia="仿宋" w:cs="仿宋"/>
              <w:color w:val="auto"/>
              <w:sz w:val="24"/>
              <w:szCs w:val="24"/>
              <w:highlight w:val="none"/>
            </w:rPr>
            <w:t>工程概况</w:t>
          </w:r>
          <w:r>
            <w:rPr>
              <w:rFonts w:hint="eastAsia" w:ascii="仿宋" w:hAnsi="仿宋" w:eastAsia="仿宋" w:cs="仿宋"/>
              <w:color w:val="auto"/>
              <w:sz w:val="24"/>
              <w:szCs w:val="24"/>
              <w:highlight w:val="none"/>
            </w:rPr>
            <w:tab/>
          </w:r>
          <w:r>
            <w:rPr>
              <w:rFonts w:hint="eastAsia" w:ascii="仿宋" w:hAnsi="仿宋" w:eastAsia="仿宋" w:cs="仿宋"/>
              <w:color w:val="auto"/>
              <w:sz w:val="24"/>
              <w:szCs w:val="24"/>
              <w:highlight w:val="none"/>
            </w:rPr>
            <w:fldChar w:fldCharType="begin"/>
          </w:r>
          <w:r>
            <w:rPr>
              <w:rFonts w:hint="eastAsia" w:ascii="仿宋" w:hAnsi="仿宋" w:eastAsia="仿宋" w:cs="仿宋"/>
              <w:color w:val="auto"/>
              <w:sz w:val="24"/>
              <w:szCs w:val="24"/>
              <w:highlight w:val="none"/>
            </w:rPr>
            <w:instrText xml:space="preserve"> PAGEREF _Toc12155 \h </w:instrText>
          </w:r>
          <w:r>
            <w:rPr>
              <w:rFonts w:hint="eastAsia" w:ascii="仿宋" w:hAnsi="仿宋" w:eastAsia="仿宋" w:cs="仿宋"/>
              <w:color w:val="auto"/>
              <w:sz w:val="24"/>
              <w:szCs w:val="24"/>
              <w:highlight w:val="none"/>
            </w:rPr>
            <w:fldChar w:fldCharType="separate"/>
          </w:r>
          <w:r>
            <w:rPr>
              <w:rFonts w:hint="eastAsia" w:ascii="仿宋" w:hAnsi="仿宋" w:eastAsia="仿宋" w:cs="仿宋"/>
              <w:color w:val="auto"/>
              <w:sz w:val="24"/>
              <w:szCs w:val="24"/>
              <w:highlight w:val="none"/>
            </w:rPr>
            <w:t>54</w:t>
          </w:r>
          <w:r>
            <w:rPr>
              <w:rFonts w:hint="eastAsia" w:ascii="仿宋" w:hAnsi="仿宋" w:eastAsia="仿宋" w:cs="仿宋"/>
              <w:color w:val="auto"/>
              <w:sz w:val="24"/>
              <w:szCs w:val="24"/>
              <w:highlight w:val="none"/>
            </w:rPr>
            <w:fldChar w:fldCharType="end"/>
          </w:r>
          <w:r>
            <w:rPr>
              <w:rFonts w:hint="eastAsia" w:ascii="仿宋" w:hAnsi="仿宋" w:eastAsia="仿宋" w:cs="仿宋"/>
              <w:color w:val="auto"/>
              <w:sz w:val="24"/>
              <w:szCs w:val="24"/>
              <w:highlight w:val="none"/>
              <w:lang w:val="en-US" w:eastAsia="zh-CN"/>
            </w:rPr>
            <w:fldChar w:fldCharType="end"/>
          </w:r>
        </w:p>
        <w:p w14:paraId="0361A3A2">
          <w:pPr>
            <w:pStyle w:val="109"/>
            <w:tabs>
              <w:tab w:val="right" w:leader="dot" w:pos="9740"/>
            </w:tabs>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fldChar w:fldCharType="begin"/>
          </w:r>
          <w:r>
            <w:rPr>
              <w:rFonts w:hint="eastAsia" w:ascii="仿宋" w:hAnsi="仿宋" w:eastAsia="仿宋" w:cs="仿宋"/>
              <w:color w:val="auto"/>
              <w:sz w:val="24"/>
              <w:szCs w:val="24"/>
              <w:highlight w:val="none"/>
              <w:lang w:val="en-US" w:eastAsia="zh-CN"/>
            </w:rPr>
            <w:instrText xml:space="preserve"> HYPERLINK \l _Toc10919 </w:instrText>
          </w:r>
          <w:r>
            <w:rPr>
              <w:rFonts w:hint="eastAsia" w:ascii="仿宋" w:hAnsi="仿宋" w:eastAsia="仿宋" w:cs="仿宋"/>
              <w:color w:val="auto"/>
              <w:sz w:val="24"/>
              <w:szCs w:val="24"/>
              <w:highlight w:val="none"/>
              <w:lang w:val="en-US" w:eastAsia="zh-CN"/>
            </w:rPr>
            <w:fldChar w:fldCharType="separate"/>
          </w:r>
          <w:r>
            <w:rPr>
              <w:rFonts w:hint="eastAsia" w:ascii="仿宋" w:hAnsi="仿宋" w:eastAsia="仿宋" w:cs="仿宋"/>
              <w:color w:val="auto"/>
              <w:sz w:val="24"/>
              <w:szCs w:val="24"/>
              <w:highlight w:val="none"/>
              <w:lang w:val="en-US" w:eastAsia="zh-CN"/>
            </w:rPr>
            <w:t>二、</w:t>
          </w:r>
          <w:r>
            <w:rPr>
              <w:rFonts w:hint="eastAsia" w:ascii="仿宋" w:hAnsi="仿宋" w:eastAsia="仿宋" w:cs="仿宋"/>
              <w:color w:val="auto"/>
              <w:sz w:val="24"/>
              <w:szCs w:val="24"/>
              <w:highlight w:val="none"/>
            </w:rPr>
            <w:t>合同工期</w:t>
          </w:r>
          <w:r>
            <w:rPr>
              <w:rFonts w:hint="eastAsia" w:ascii="仿宋" w:hAnsi="仿宋" w:eastAsia="仿宋" w:cs="仿宋"/>
              <w:color w:val="auto"/>
              <w:sz w:val="24"/>
              <w:szCs w:val="24"/>
              <w:highlight w:val="none"/>
            </w:rPr>
            <w:tab/>
          </w:r>
          <w:r>
            <w:rPr>
              <w:rFonts w:hint="eastAsia" w:ascii="仿宋" w:hAnsi="仿宋" w:eastAsia="仿宋" w:cs="仿宋"/>
              <w:color w:val="auto"/>
              <w:sz w:val="24"/>
              <w:szCs w:val="24"/>
              <w:highlight w:val="none"/>
            </w:rPr>
            <w:fldChar w:fldCharType="begin"/>
          </w:r>
          <w:r>
            <w:rPr>
              <w:rFonts w:hint="eastAsia" w:ascii="仿宋" w:hAnsi="仿宋" w:eastAsia="仿宋" w:cs="仿宋"/>
              <w:color w:val="auto"/>
              <w:sz w:val="24"/>
              <w:szCs w:val="24"/>
              <w:highlight w:val="none"/>
            </w:rPr>
            <w:instrText xml:space="preserve"> PAGEREF _Toc10919 \h </w:instrText>
          </w:r>
          <w:r>
            <w:rPr>
              <w:rFonts w:hint="eastAsia" w:ascii="仿宋" w:hAnsi="仿宋" w:eastAsia="仿宋" w:cs="仿宋"/>
              <w:color w:val="auto"/>
              <w:sz w:val="24"/>
              <w:szCs w:val="24"/>
              <w:highlight w:val="none"/>
            </w:rPr>
            <w:fldChar w:fldCharType="separate"/>
          </w:r>
          <w:r>
            <w:rPr>
              <w:rFonts w:hint="eastAsia" w:ascii="仿宋" w:hAnsi="仿宋" w:eastAsia="仿宋" w:cs="仿宋"/>
              <w:color w:val="auto"/>
              <w:sz w:val="24"/>
              <w:szCs w:val="24"/>
              <w:highlight w:val="none"/>
            </w:rPr>
            <w:t>55</w:t>
          </w:r>
          <w:r>
            <w:rPr>
              <w:rFonts w:hint="eastAsia" w:ascii="仿宋" w:hAnsi="仿宋" w:eastAsia="仿宋" w:cs="仿宋"/>
              <w:color w:val="auto"/>
              <w:sz w:val="24"/>
              <w:szCs w:val="24"/>
              <w:highlight w:val="none"/>
            </w:rPr>
            <w:fldChar w:fldCharType="end"/>
          </w:r>
          <w:r>
            <w:rPr>
              <w:rFonts w:hint="eastAsia" w:ascii="仿宋" w:hAnsi="仿宋" w:eastAsia="仿宋" w:cs="仿宋"/>
              <w:color w:val="auto"/>
              <w:sz w:val="24"/>
              <w:szCs w:val="24"/>
              <w:highlight w:val="none"/>
              <w:lang w:val="en-US" w:eastAsia="zh-CN"/>
            </w:rPr>
            <w:fldChar w:fldCharType="end"/>
          </w:r>
        </w:p>
        <w:p w14:paraId="021DEA38">
          <w:pPr>
            <w:pStyle w:val="109"/>
            <w:tabs>
              <w:tab w:val="right" w:leader="dot" w:pos="9740"/>
            </w:tabs>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fldChar w:fldCharType="begin"/>
          </w:r>
          <w:r>
            <w:rPr>
              <w:rFonts w:hint="eastAsia" w:ascii="仿宋" w:hAnsi="仿宋" w:eastAsia="仿宋" w:cs="仿宋"/>
              <w:color w:val="auto"/>
              <w:sz w:val="24"/>
              <w:szCs w:val="24"/>
              <w:highlight w:val="none"/>
              <w:lang w:val="en-US" w:eastAsia="zh-CN"/>
            </w:rPr>
            <w:instrText xml:space="preserve"> HYPERLINK \l _Toc24672 </w:instrText>
          </w:r>
          <w:r>
            <w:rPr>
              <w:rFonts w:hint="eastAsia" w:ascii="仿宋" w:hAnsi="仿宋" w:eastAsia="仿宋" w:cs="仿宋"/>
              <w:color w:val="auto"/>
              <w:sz w:val="24"/>
              <w:szCs w:val="24"/>
              <w:highlight w:val="none"/>
              <w:lang w:val="en-US" w:eastAsia="zh-CN"/>
            </w:rPr>
            <w:fldChar w:fldCharType="separate"/>
          </w:r>
          <w:r>
            <w:rPr>
              <w:rFonts w:hint="eastAsia" w:ascii="仿宋" w:hAnsi="仿宋" w:eastAsia="仿宋" w:cs="仿宋"/>
              <w:color w:val="auto"/>
              <w:sz w:val="24"/>
              <w:szCs w:val="24"/>
              <w:highlight w:val="none"/>
              <w:lang w:val="en-US" w:eastAsia="zh-CN"/>
            </w:rPr>
            <w:t>三、</w:t>
          </w:r>
          <w:r>
            <w:rPr>
              <w:rFonts w:hint="eastAsia" w:ascii="仿宋" w:hAnsi="仿宋" w:eastAsia="仿宋" w:cs="仿宋"/>
              <w:color w:val="auto"/>
              <w:sz w:val="24"/>
              <w:szCs w:val="24"/>
              <w:highlight w:val="none"/>
            </w:rPr>
            <w:t>承包范围</w:t>
          </w:r>
          <w:r>
            <w:rPr>
              <w:rFonts w:hint="eastAsia" w:ascii="仿宋" w:hAnsi="仿宋" w:eastAsia="仿宋" w:cs="仿宋"/>
              <w:color w:val="auto"/>
              <w:sz w:val="24"/>
              <w:szCs w:val="24"/>
              <w:highlight w:val="none"/>
            </w:rPr>
            <w:tab/>
          </w:r>
          <w:r>
            <w:rPr>
              <w:rFonts w:hint="eastAsia" w:ascii="仿宋" w:hAnsi="仿宋" w:eastAsia="仿宋" w:cs="仿宋"/>
              <w:color w:val="auto"/>
              <w:sz w:val="24"/>
              <w:szCs w:val="24"/>
              <w:highlight w:val="none"/>
            </w:rPr>
            <w:fldChar w:fldCharType="begin"/>
          </w:r>
          <w:r>
            <w:rPr>
              <w:rFonts w:hint="eastAsia" w:ascii="仿宋" w:hAnsi="仿宋" w:eastAsia="仿宋" w:cs="仿宋"/>
              <w:color w:val="auto"/>
              <w:sz w:val="24"/>
              <w:szCs w:val="24"/>
              <w:highlight w:val="none"/>
            </w:rPr>
            <w:instrText xml:space="preserve"> PAGEREF _Toc24672 \h </w:instrText>
          </w:r>
          <w:r>
            <w:rPr>
              <w:rFonts w:hint="eastAsia" w:ascii="仿宋" w:hAnsi="仿宋" w:eastAsia="仿宋" w:cs="仿宋"/>
              <w:color w:val="auto"/>
              <w:sz w:val="24"/>
              <w:szCs w:val="24"/>
              <w:highlight w:val="none"/>
            </w:rPr>
            <w:fldChar w:fldCharType="separate"/>
          </w:r>
          <w:r>
            <w:rPr>
              <w:rFonts w:hint="eastAsia" w:ascii="仿宋" w:hAnsi="仿宋" w:eastAsia="仿宋" w:cs="仿宋"/>
              <w:color w:val="auto"/>
              <w:sz w:val="24"/>
              <w:szCs w:val="24"/>
              <w:highlight w:val="none"/>
            </w:rPr>
            <w:t>55</w:t>
          </w:r>
          <w:r>
            <w:rPr>
              <w:rFonts w:hint="eastAsia" w:ascii="仿宋" w:hAnsi="仿宋" w:eastAsia="仿宋" w:cs="仿宋"/>
              <w:color w:val="auto"/>
              <w:sz w:val="24"/>
              <w:szCs w:val="24"/>
              <w:highlight w:val="none"/>
            </w:rPr>
            <w:fldChar w:fldCharType="end"/>
          </w:r>
          <w:r>
            <w:rPr>
              <w:rFonts w:hint="eastAsia" w:ascii="仿宋" w:hAnsi="仿宋" w:eastAsia="仿宋" w:cs="仿宋"/>
              <w:color w:val="auto"/>
              <w:sz w:val="24"/>
              <w:szCs w:val="24"/>
              <w:highlight w:val="none"/>
              <w:lang w:val="en-US" w:eastAsia="zh-CN"/>
            </w:rPr>
            <w:fldChar w:fldCharType="end"/>
          </w:r>
        </w:p>
        <w:p w14:paraId="6548B517">
          <w:pPr>
            <w:pStyle w:val="109"/>
            <w:tabs>
              <w:tab w:val="right" w:leader="dot" w:pos="9740"/>
            </w:tabs>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fldChar w:fldCharType="begin"/>
          </w:r>
          <w:r>
            <w:rPr>
              <w:rFonts w:hint="eastAsia" w:ascii="仿宋" w:hAnsi="仿宋" w:eastAsia="仿宋" w:cs="仿宋"/>
              <w:color w:val="auto"/>
              <w:sz w:val="24"/>
              <w:szCs w:val="24"/>
              <w:highlight w:val="none"/>
              <w:lang w:val="en-US" w:eastAsia="zh-CN"/>
            </w:rPr>
            <w:instrText xml:space="preserve"> HYPERLINK \l _Toc16747 </w:instrText>
          </w:r>
          <w:r>
            <w:rPr>
              <w:rFonts w:hint="eastAsia" w:ascii="仿宋" w:hAnsi="仿宋" w:eastAsia="仿宋" w:cs="仿宋"/>
              <w:color w:val="auto"/>
              <w:sz w:val="24"/>
              <w:szCs w:val="24"/>
              <w:highlight w:val="none"/>
              <w:lang w:val="en-US" w:eastAsia="zh-CN"/>
            </w:rPr>
            <w:fldChar w:fldCharType="separate"/>
          </w:r>
          <w:r>
            <w:rPr>
              <w:rFonts w:hint="eastAsia" w:ascii="仿宋" w:hAnsi="仿宋" w:eastAsia="仿宋" w:cs="仿宋"/>
              <w:color w:val="auto"/>
              <w:sz w:val="24"/>
              <w:szCs w:val="24"/>
              <w:highlight w:val="none"/>
              <w:lang w:val="en-US" w:eastAsia="zh-CN"/>
            </w:rPr>
            <w:t>四、</w:t>
          </w:r>
          <w:r>
            <w:rPr>
              <w:rFonts w:hint="eastAsia" w:ascii="仿宋" w:hAnsi="仿宋" w:eastAsia="仿宋" w:cs="仿宋"/>
              <w:color w:val="auto"/>
              <w:sz w:val="24"/>
              <w:szCs w:val="24"/>
              <w:highlight w:val="none"/>
            </w:rPr>
            <w:t>合同价款</w:t>
          </w:r>
          <w:r>
            <w:rPr>
              <w:rFonts w:hint="eastAsia" w:ascii="仿宋" w:hAnsi="仿宋" w:eastAsia="仿宋" w:cs="仿宋"/>
              <w:color w:val="auto"/>
              <w:sz w:val="24"/>
              <w:szCs w:val="24"/>
              <w:highlight w:val="none"/>
            </w:rPr>
            <w:tab/>
          </w:r>
          <w:r>
            <w:rPr>
              <w:rFonts w:hint="eastAsia" w:ascii="仿宋" w:hAnsi="仿宋" w:eastAsia="仿宋" w:cs="仿宋"/>
              <w:color w:val="auto"/>
              <w:sz w:val="24"/>
              <w:szCs w:val="24"/>
              <w:highlight w:val="none"/>
            </w:rPr>
            <w:fldChar w:fldCharType="begin"/>
          </w:r>
          <w:r>
            <w:rPr>
              <w:rFonts w:hint="eastAsia" w:ascii="仿宋" w:hAnsi="仿宋" w:eastAsia="仿宋" w:cs="仿宋"/>
              <w:color w:val="auto"/>
              <w:sz w:val="24"/>
              <w:szCs w:val="24"/>
              <w:highlight w:val="none"/>
            </w:rPr>
            <w:instrText xml:space="preserve"> PAGEREF _Toc16747 \h </w:instrText>
          </w:r>
          <w:r>
            <w:rPr>
              <w:rFonts w:hint="eastAsia" w:ascii="仿宋" w:hAnsi="仿宋" w:eastAsia="仿宋" w:cs="仿宋"/>
              <w:color w:val="auto"/>
              <w:sz w:val="24"/>
              <w:szCs w:val="24"/>
              <w:highlight w:val="none"/>
            </w:rPr>
            <w:fldChar w:fldCharType="separate"/>
          </w:r>
          <w:r>
            <w:rPr>
              <w:rFonts w:hint="eastAsia" w:ascii="仿宋" w:hAnsi="仿宋" w:eastAsia="仿宋" w:cs="仿宋"/>
              <w:color w:val="auto"/>
              <w:sz w:val="24"/>
              <w:szCs w:val="24"/>
              <w:highlight w:val="none"/>
            </w:rPr>
            <w:t>56</w:t>
          </w:r>
          <w:r>
            <w:rPr>
              <w:rFonts w:hint="eastAsia" w:ascii="仿宋" w:hAnsi="仿宋" w:eastAsia="仿宋" w:cs="仿宋"/>
              <w:color w:val="auto"/>
              <w:sz w:val="24"/>
              <w:szCs w:val="24"/>
              <w:highlight w:val="none"/>
            </w:rPr>
            <w:fldChar w:fldCharType="end"/>
          </w:r>
          <w:r>
            <w:rPr>
              <w:rFonts w:hint="eastAsia" w:ascii="仿宋" w:hAnsi="仿宋" w:eastAsia="仿宋" w:cs="仿宋"/>
              <w:color w:val="auto"/>
              <w:sz w:val="24"/>
              <w:szCs w:val="24"/>
              <w:highlight w:val="none"/>
              <w:lang w:val="en-US" w:eastAsia="zh-CN"/>
            </w:rPr>
            <w:fldChar w:fldCharType="end"/>
          </w:r>
        </w:p>
        <w:p w14:paraId="0D9A095C">
          <w:pPr>
            <w:pStyle w:val="109"/>
            <w:tabs>
              <w:tab w:val="right" w:leader="dot" w:pos="9740"/>
            </w:tabs>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fldChar w:fldCharType="begin"/>
          </w:r>
          <w:r>
            <w:rPr>
              <w:rFonts w:hint="eastAsia" w:ascii="仿宋" w:hAnsi="仿宋" w:eastAsia="仿宋" w:cs="仿宋"/>
              <w:color w:val="auto"/>
              <w:sz w:val="24"/>
              <w:szCs w:val="24"/>
              <w:highlight w:val="none"/>
              <w:lang w:val="en-US" w:eastAsia="zh-CN"/>
            </w:rPr>
            <w:instrText xml:space="preserve"> HYPERLINK \l _Toc28625 </w:instrText>
          </w:r>
          <w:r>
            <w:rPr>
              <w:rFonts w:hint="eastAsia" w:ascii="仿宋" w:hAnsi="仿宋" w:eastAsia="仿宋" w:cs="仿宋"/>
              <w:color w:val="auto"/>
              <w:sz w:val="24"/>
              <w:szCs w:val="24"/>
              <w:highlight w:val="none"/>
              <w:lang w:val="en-US" w:eastAsia="zh-CN"/>
            </w:rPr>
            <w:fldChar w:fldCharType="separate"/>
          </w:r>
          <w:r>
            <w:rPr>
              <w:rFonts w:hint="eastAsia" w:ascii="仿宋" w:hAnsi="仿宋" w:eastAsia="仿宋" w:cs="仿宋"/>
              <w:color w:val="auto"/>
              <w:sz w:val="24"/>
              <w:szCs w:val="24"/>
              <w:highlight w:val="none"/>
              <w:lang w:val="en-US" w:eastAsia="zh-CN"/>
            </w:rPr>
            <w:t>五、发票要求</w:t>
          </w:r>
          <w:r>
            <w:rPr>
              <w:rFonts w:hint="eastAsia" w:ascii="仿宋" w:hAnsi="仿宋" w:eastAsia="仿宋" w:cs="仿宋"/>
              <w:color w:val="auto"/>
              <w:sz w:val="24"/>
              <w:szCs w:val="24"/>
              <w:highlight w:val="none"/>
            </w:rPr>
            <w:tab/>
          </w:r>
          <w:r>
            <w:rPr>
              <w:rFonts w:hint="eastAsia" w:ascii="仿宋" w:hAnsi="仿宋" w:eastAsia="仿宋" w:cs="仿宋"/>
              <w:color w:val="auto"/>
              <w:sz w:val="24"/>
              <w:szCs w:val="24"/>
              <w:highlight w:val="none"/>
            </w:rPr>
            <w:fldChar w:fldCharType="begin"/>
          </w:r>
          <w:r>
            <w:rPr>
              <w:rFonts w:hint="eastAsia" w:ascii="仿宋" w:hAnsi="仿宋" w:eastAsia="仿宋" w:cs="仿宋"/>
              <w:color w:val="auto"/>
              <w:sz w:val="24"/>
              <w:szCs w:val="24"/>
              <w:highlight w:val="none"/>
            </w:rPr>
            <w:instrText xml:space="preserve"> PAGEREF _Toc28625 \h </w:instrText>
          </w:r>
          <w:r>
            <w:rPr>
              <w:rFonts w:hint="eastAsia" w:ascii="仿宋" w:hAnsi="仿宋" w:eastAsia="仿宋" w:cs="仿宋"/>
              <w:color w:val="auto"/>
              <w:sz w:val="24"/>
              <w:szCs w:val="24"/>
              <w:highlight w:val="none"/>
            </w:rPr>
            <w:fldChar w:fldCharType="separate"/>
          </w:r>
          <w:r>
            <w:rPr>
              <w:rFonts w:hint="eastAsia" w:ascii="仿宋" w:hAnsi="仿宋" w:eastAsia="仿宋" w:cs="仿宋"/>
              <w:color w:val="auto"/>
              <w:sz w:val="24"/>
              <w:szCs w:val="24"/>
              <w:highlight w:val="none"/>
            </w:rPr>
            <w:t>56</w:t>
          </w:r>
          <w:r>
            <w:rPr>
              <w:rFonts w:hint="eastAsia" w:ascii="仿宋" w:hAnsi="仿宋" w:eastAsia="仿宋" w:cs="仿宋"/>
              <w:color w:val="auto"/>
              <w:sz w:val="24"/>
              <w:szCs w:val="24"/>
              <w:highlight w:val="none"/>
            </w:rPr>
            <w:fldChar w:fldCharType="end"/>
          </w:r>
          <w:r>
            <w:rPr>
              <w:rFonts w:hint="eastAsia" w:ascii="仿宋" w:hAnsi="仿宋" w:eastAsia="仿宋" w:cs="仿宋"/>
              <w:color w:val="auto"/>
              <w:sz w:val="24"/>
              <w:szCs w:val="24"/>
              <w:highlight w:val="none"/>
              <w:lang w:val="en-US" w:eastAsia="zh-CN"/>
            </w:rPr>
            <w:fldChar w:fldCharType="end"/>
          </w:r>
        </w:p>
        <w:p w14:paraId="378A9D42">
          <w:pPr>
            <w:pStyle w:val="109"/>
            <w:tabs>
              <w:tab w:val="right" w:leader="dot" w:pos="9740"/>
            </w:tabs>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fldChar w:fldCharType="begin"/>
          </w:r>
          <w:r>
            <w:rPr>
              <w:rFonts w:hint="eastAsia" w:ascii="仿宋" w:hAnsi="仿宋" w:eastAsia="仿宋" w:cs="仿宋"/>
              <w:color w:val="auto"/>
              <w:sz w:val="24"/>
              <w:szCs w:val="24"/>
              <w:highlight w:val="none"/>
              <w:lang w:val="en-US" w:eastAsia="zh-CN"/>
            </w:rPr>
            <w:instrText xml:space="preserve"> HYPERLINK \l _Toc10107 </w:instrText>
          </w:r>
          <w:r>
            <w:rPr>
              <w:rFonts w:hint="eastAsia" w:ascii="仿宋" w:hAnsi="仿宋" w:eastAsia="仿宋" w:cs="仿宋"/>
              <w:color w:val="auto"/>
              <w:sz w:val="24"/>
              <w:szCs w:val="24"/>
              <w:highlight w:val="none"/>
              <w:lang w:val="en-US" w:eastAsia="zh-CN"/>
            </w:rPr>
            <w:fldChar w:fldCharType="separate"/>
          </w:r>
          <w:r>
            <w:rPr>
              <w:rFonts w:hint="eastAsia" w:ascii="仿宋" w:hAnsi="仿宋" w:eastAsia="仿宋" w:cs="仿宋"/>
              <w:color w:val="auto"/>
              <w:sz w:val="24"/>
              <w:szCs w:val="24"/>
              <w:highlight w:val="none"/>
              <w:lang w:val="en-US" w:eastAsia="zh-CN"/>
            </w:rPr>
            <w:t>六、</w:t>
          </w:r>
          <w:r>
            <w:rPr>
              <w:rFonts w:hint="eastAsia" w:ascii="仿宋" w:hAnsi="仿宋" w:eastAsia="仿宋" w:cs="仿宋"/>
              <w:color w:val="auto"/>
              <w:sz w:val="24"/>
              <w:szCs w:val="24"/>
              <w:highlight w:val="none"/>
            </w:rPr>
            <w:t>质量要求和标准</w:t>
          </w:r>
          <w:r>
            <w:rPr>
              <w:rFonts w:hint="eastAsia" w:ascii="仿宋" w:hAnsi="仿宋" w:eastAsia="仿宋" w:cs="仿宋"/>
              <w:color w:val="auto"/>
              <w:sz w:val="24"/>
              <w:szCs w:val="24"/>
              <w:highlight w:val="none"/>
            </w:rPr>
            <w:tab/>
          </w:r>
          <w:r>
            <w:rPr>
              <w:rFonts w:hint="eastAsia" w:ascii="仿宋" w:hAnsi="仿宋" w:eastAsia="仿宋" w:cs="仿宋"/>
              <w:color w:val="auto"/>
              <w:sz w:val="24"/>
              <w:szCs w:val="24"/>
              <w:highlight w:val="none"/>
            </w:rPr>
            <w:fldChar w:fldCharType="begin"/>
          </w:r>
          <w:r>
            <w:rPr>
              <w:rFonts w:hint="eastAsia" w:ascii="仿宋" w:hAnsi="仿宋" w:eastAsia="仿宋" w:cs="仿宋"/>
              <w:color w:val="auto"/>
              <w:sz w:val="24"/>
              <w:szCs w:val="24"/>
              <w:highlight w:val="none"/>
            </w:rPr>
            <w:instrText xml:space="preserve"> PAGEREF _Toc10107 \h </w:instrText>
          </w:r>
          <w:r>
            <w:rPr>
              <w:rFonts w:hint="eastAsia" w:ascii="仿宋" w:hAnsi="仿宋" w:eastAsia="仿宋" w:cs="仿宋"/>
              <w:color w:val="auto"/>
              <w:sz w:val="24"/>
              <w:szCs w:val="24"/>
              <w:highlight w:val="none"/>
            </w:rPr>
            <w:fldChar w:fldCharType="separate"/>
          </w:r>
          <w:r>
            <w:rPr>
              <w:rFonts w:hint="eastAsia" w:ascii="仿宋" w:hAnsi="仿宋" w:eastAsia="仿宋" w:cs="仿宋"/>
              <w:color w:val="auto"/>
              <w:sz w:val="24"/>
              <w:szCs w:val="24"/>
              <w:highlight w:val="none"/>
            </w:rPr>
            <w:t>56</w:t>
          </w:r>
          <w:r>
            <w:rPr>
              <w:rFonts w:hint="eastAsia" w:ascii="仿宋" w:hAnsi="仿宋" w:eastAsia="仿宋" w:cs="仿宋"/>
              <w:color w:val="auto"/>
              <w:sz w:val="24"/>
              <w:szCs w:val="24"/>
              <w:highlight w:val="none"/>
            </w:rPr>
            <w:fldChar w:fldCharType="end"/>
          </w:r>
          <w:r>
            <w:rPr>
              <w:rFonts w:hint="eastAsia" w:ascii="仿宋" w:hAnsi="仿宋" w:eastAsia="仿宋" w:cs="仿宋"/>
              <w:color w:val="auto"/>
              <w:sz w:val="24"/>
              <w:szCs w:val="24"/>
              <w:highlight w:val="none"/>
              <w:lang w:val="en-US" w:eastAsia="zh-CN"/>
            </w:rPr>
            <w:fldChar w:fldCharType="end"/>
          </w:r>
        </w:p>
        <w:p w14:paraId="278A64A3">
          <w:pPr>
            <w:pStyle w:val="109"/>
            <w:tabs>
              <w:tab w:val="right" w:leader="dot" w:pos="9740"/>
            </w:tabs>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fldChar w:fldCharType="begin"/>
          </w:r>
          <w:r>
            <w:rPr>
              <w:rFonts w:hint="eastAsia" w:ascii="仿宋" w:hAnsi="仿宋" w:eastAsia="仿宋" w:cs="仿宋"/>
              <w:color w:val="auto"/>
              <w:sz w:val="24"/>
              <w:szCs w:val="24"/>
              <w:highlight w:val="none"/>
              <w:lang w:val="en-US" w:eastAsia="zh-CN"/>
            </w:rPr>
            <w:instrText xml:space="preserve"> HYPERLINK \l _Toc20894 </w:instrText>
          </w:r>
          <w:r>
            <w:rPr>
              <w:rFonts w:hint="eastAsia" w:ascii="仿宋" w:hAnsi="仿宋" w:eastAsia="仿宋" w:cs="仿宋"/>
              <w:color w:val="auto"/>
              <w:sz w:val="24"/>
              <w:szCs w:val="24"/>
              <w:highlight w:val="none"/>
              <w:lang w:val="en-US" w:eastAsia="zh-CN"/>
            </w:rPr>
            <w:fldChar w:fldCharType="separate"/>
          </w:r>
          <w:r>
            <w:rPr>
              <w:rFonts w:hint="eastAsia" w:ascii="仿宋" w:hAnsi="仿宋" w:eastAsia="仿宋" w:cs="仿宋"/>
              <w:color w:val="auto"/>
              <w:sz w:val="24"/>
              <w:szCs w:val="24"/>
              <w:highlight w:val="none"/>
              <w:lang w:val="en-US" w:eastAsia="zh-CN"/>
            </w:rPr>
            <w:t>七、</w:t>
          </w:r>
          <w:r>
            <w:rPr>
              <w:rFonts w:hint="eastAsia" w:ascii="仿宋" w:hAnsi="仿宋" w:eastAsia="仿宋" w:cs="仿宋"/>
              <w:color w:val="auto"/>
              <w:sz w:val="24"/>
              <w:szCs w:val="24"/>
              <w:highlight w:val="none"/>
            </w:rPr>
            <w:t>管理要求</w:t>
          </w:r>
          <w:r>
            <w:rPr>
              <w:rFonts w:hint="eastAsia" w:ascii="仿宋" w:hAnsi="仿宋" w:eastAsia="仿宋" w:cs="仿宋"/>
              <w:color w:val="auto"/>
              <w:sz w:val="24"/>
              <w:szCs w:val="24"/>
              <w:highlight w:val="none"/>
            </w:rPr>
            <w:tab/>
          </w:r>
          <w:r>
            <w:rPr>
              <w:rFonts w:hint="eastAsia" w:ascii="仿宋" w:hAnsi="仿宋" w:eastAsia="仿宋" w:cs="仿宋"/>
              <w:color w:val="auto"/>
              <w:sz w:val="24"/>
              <w:szCs w:val="24"/>
              <w:highlight w:val="none"/>
            </w:rPr>
            <w:fldChar w:fldCharType="begin"/>
          </w:r>
          <w:r>
            <w:rPr>
              <w:rFonts w:hint="eastAsia" w:ascii="仿宋" w:hAnsi="仿宋" w:eastAsia="仿宋" w:cs="仿宋"/>
              <w:color w:val="auto"/>
              <w:sz w:val="24"/>
              <w:szCs w:val="24"/>
              <w:highlight w:val="none"/>
            </w:rPr>
            <w:instrText xml:space="preserve"> PAGEREF _Toc20894 \h </w:instrText>
          </w:r>
          <w:r>
            <w:rPr>
              <w:rFonts w:hint="eastAsia" w:ascii="仿宋" w:hAnsi="仿宋" w:eastAsia="仿宋" w:cs="仿宋"/>
              <w:color w:val="auto"/>
              <w:sz w:val="24"/>
              <w:szCs w:val="24"/>
              <w:highlight w:val="none"/>
            </w:rPr>
            <w:fldChar w:fldCharType="separate"/>
          </w:r>
          <w:r>
            <w:rPr>
              <w:rFonts w:hint="eastAsia" w:ascii="仿宋" w:hAnsi="仿宋" w:eastAsia="仿宋" w:cs="仿宋"/>
              <w:color w:val="auto"/>
              <w:sz w:val="24"/>
              <w:szCs w:val="24"/>
              <w:highlight w:val="none"/>
            </w:rPr>
            <w:t>57</w:t>
          </w:r>
          <w:r>
            <w:rPr>
              <w:rFonts w:hint="eastAsia" w:ascii="仿宋" w:hAnsi="仿宋" w:eastAsia="仿宋" w:cs="仿宋"/>
              <w:color w:val="auto"/>
              <w:sz w:val="24"/>
              <w:szCs w:val="24"/>
              <w:highlight w:val="none"/>
            </w:rPr>
            <w:fldChar w:fldCharType="end"/>
          </w:r>
          <w:r>
            <w:rPr>
              <w:rFonts w:hint="eastAsia" w:ascii="仿宋" w:hAnsi="仿宋" w:eastAsia="仿宋" w:cs="仿宋"/>
              <w:color w:val="auto"/>
              <w:sz w:val="24"/>
              <w:szCs w:val="24"/>
              <w:highlight w:val="none"/>
              <w:lang w:val="en-US" w:eastAsia="zh-CN"/>
            </w:rPr>
            <w:fldChar w:fldCharType="end"/>
          </w:r>
        </w:p>
        <w:p w14:paraId="69A2F843">
          <w:pPr>
            <w:pStyle w:val="109"/>
            <w:tabs>
              <w:tab w:val="right" w:leader="dot" w:pos="9740"/>
            </w:tabs>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fldChar w:fldCharType="begin"/>
          </w:r>
          <w:r>
            <w:rPr>
              <w:rFonts w:hint="eastAsia" w:ascii="仿宋" w:hAnsi="仿宋" w:eastAsia="仿宋" w:cs="仿宋"/>
              <w:color w:val="auto"/>
              <w:sz w:val="24"/>
              <w:szCs w:val="24"/>
              <w:highlight w:val="none"/>
              <w:lang w:val="en-US" w:eastAsia="zh-CN"/>
            </w:rPr>
            <w:instrText xml:space="preserve"> HYPERLINK \l _Toc21187 </w:instrText>
          </w:r>
          <w:r>
            <w:rPr>
              <w:rFonts w:hint="eastAsia" w:ascii="仿宋" w:hAnsi="仿宋" w:eastAsia="仿宋" w:cs="仿宋"/>
              <w:color w:val="auto"/>
              <w:sz w:val="24"/>
              <w:szCs w:val="24"/>
              <w:highlight w:val="none"/>
              <w:lang w:val="en-US" w:eastAsia="zh-CN"/>
            </w:rPr>
            <w:fldChar w:fldCharType="separate"/>
          </w:r>
          <w:r>
            <w:rPr>
              <w:rFonts w:hint="eastAsia" w:ascii="仿宋" w:hAnsi="仿宋" w:eastAsia="仿宋" w:cs="仿宋"/>
              <w:color w:val="auto"/>
              <w:sz w:val="24"/>
              <w:szCs w:val="24"/>
              <w:highlight w:val="none"/>
              <w:lang w:val="en-US" w:eastAsia="zh-CN"/>
            </w:rPr>
            <w:t>八、</w:t>
          </w:r>
          <w:r>
            <w:rPr>
              <w:rFonts w:hint="eastAsia" w:ascii="仿宋" w:hAnsi="仿宋" w:eastAsia="仿宋" w:cs="仿宋"/>
              <w:color w:val="auto"/>
              <w:sz w:val="24"/>
              <w:szCs w:val="24"/>
              <w:highlight w:val="none"/>
            </w:rPr>
            <w:t>其他</w:t>
          </w:r>
          <w:r>
            <w:rPr>
              <w:rFonts w:hint="eastAsia" w:ascii="仿宋" w:hAnsi="仿宋" w:eastAsia="仿宋" w:cs="仿宋"/>
              <w:color w:val="auto"/>
              <w:sz w:val="24"/>
              <w:szCs w:val="24"/>
              <w:highlight w:val="none"/>
            </w:rPr>
            <w:tab/>
          </w:r>
          <w:r>
            <w:rPr>
              <w:rFonts w:hint="eastAsia" w:ascii="仿宋" w:hAnsi="仿宋" w:eastAsia="仿宋" w:cs="仿宋"/>
              <w:color w:val="auto"/>
              <w:sz w:val="24"/>
              <w:szCs w:val="24"/>
              <w:highlight w:val="none"/>
            </w:rPr>
            <w:fldChar w:fldCharType="begin"/>
          </w:r>
          <w:r>
            <w:rPr>
              <w:rFonts w:hint="eastAsia" w:ascii="仿宋" w:hAnsi="仿宋" w:eastAsia="仿宋" w:cs="仿宋"/>
              <w:color w:val="auto"/>
              <w:sz w:val="24"/>
              <w:szCs w:val="24"/>
              <w:highlight w:val="none"/>
            </w:rPr>
            <w:instrText xml:space="preserve"> PAGEREF _Toc21187 \h </w:instrText>
          </w:r>
          <w:r>
            <w:rPr>
              <w:rFonts w:hint="eastAsia" w:ascii="仿宋" w:hAnsi="仿宋" w:eastAsia="仿宋" w:cs="仿宋"/>
              <w:color w:val="auto"/>
              <w:sz w:val="24"/>
              <w:szCs w:val="24"/>
              <w:highlight w:val="none"/>
            </w:rPr>
            <w:fldChar w:fldCharType="separate"/>
          </w:r>
          <w:r>
            <w:rPr>
              <w:rFonts w:hint="eastAsia" w:ascii="仿宋" w:hAnsi="仿宋" w:eastAsia="仿宋" w:cs="仿宋"/>
              <w:color w:val="auto"/>
              <w:sz w:val="24"/>
              <w:szCs w:val="24"/>
              <w:highlight w:val="none"/>
            </w:rPr>
            <w:t>57</w:t>
          </w:r>
          <w:r>
            <w:rPr>
              <w:rFonts w:hint="eastAsia" w:ascii="仿宋" w:hAnsi="仿宋" w:eastAsia="仿宋" w:cs="仿宋"/>
              <w:color w:val="auto"/>
              <w:sz w:val="24"/>
              <w:szCs w:val="24"/>
              <w:highlight w:val="none"/>
            </w:rPr>
            <w:fldChar w:fldCharType="end"/>
          </w:r>
          <w:r>
            <w:rPr>
              <w:rFonts w:hint="eastAsia" w:ascii="仿宋" w:hAnsi="仿宋" w:eastAsia="仿宋" w:cs="仿宋"/>
              <w:color w:val="auto"/>
              <w:sz w:val="24"/>
              <w:szCs w:val="24"/>
              <w:highlight w:val="none"/>
              <w:lang w:val="en-US" w:eastAsia="zh-CN"/>
            </w:rPr>
            <w:fldChar w:fldCharType="end"/>
          </w:r>
        </w:p>
        <w:p w14:paraId="60A598CC">
          <w:pPr>
            <w:pStyle w:val="108"/>
            <w:tabs>
              <w:tab w:val="right" w:leader="dot" w:pos="9740"/>
            </w:tabs>
            <w:jc w:val="left"/>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lang w:val="en-US" w:eastAsia="zh-CN"/>
            </w:rPr>
            <w:fldChar w:fldCharType="begin"/>
          </w:r>
          <w:r>
            <w:rPr>
              <w:rFonts w:hint="eastAsia" w:ascii="仿宋" w:hAnsi="仿宋" w:eastAsia="仿宋" w:cs="仿宋"/>
              <w:b/>
              <w:color w:val="auto"/>
              <w:sz w:val="24"/>
              <w:szCs w:val="24"/>
              <w:highlight w:val="none"/>
              <w:lang w:val="en-US" w:eastAsia="zh-CN"/>
            </w:rPr>
            <w:instrText xml:space="preserve"> HYPERLINK \l _Toc14292 </w:instrText>
          </w:r>
          <w:r>
            <w:rPr>
              <w:rFonts w:hint="eastAsia" w:ascii="仿宋" w:hAnsi="仿宋" w:eastAsia="仿宋" w:cs="仿宋"/>
              <w:b/>
              <w:color w:val="auto"/>
              <w:sz w:val="24"/>
              <w:szCs w:val="24"/>
              <w:highlight w:val="none"/>
              <w:lang w:val="en-US" w:eastAsia="zh-CN"/>
            </w:rPr>
            <w:fldChar w:fldCharType="separate"/>
          </w:r>
          <w:r>
            <w:rPr>
              <w:rFonts w:hint="eastAsia" w:ascii="仿宋" w:hAnsi="仿宋" w:eastAsia="仿宋" w:cs="仿宋"/>
              <w:b/>
              <w:color w:val="auto"/>
              <w:sz w:val="24"/>
              <w:szCs w:val="24"/>
              <w:highlight w:val="none"/>
            </w:rPr>
            <w:t xml:space="preserve">第二章 </w:t>
          </w:r>
          <w:r>
            <w:rPr>
              <w:rFonts w:hint="eastAsia" w:ascii="仿宋" w:hAnsi="仿宋" w:eastAsia="仿宋" w:cs="仿宋"/>
              <w:b/>
              <w:color w:val="auto"/>
              <w:sz w:val="24"/>
              <w:szCs w:val="24"/>
              <w:highlight w:val="none"/>
              <w:lang w:val="en-US" w:eastAsia="zh-CN"/>
            </w:rPr>
            <w:t>通用条款</w:t>
          </w:r>
          <w:r>
            <w:rPr>
              <w:rFonts w:hint="eastAsia" w:ascii="仿宋" w:hAnsi="仿宋" w:eastAsia="仿宋" w:cs="仿宋"/>
              <w:b/>
              <w:color w:val="auto"/>
              <w:sz w:val="24"/>
              <w:szCs w:val="24"/>
              <w:highlight w:val="none"/>
            </w:rPr>
            <w:tab/>
          </w:r>
          <w:r>
            <w:rPr>
              <w:rFonts w:hint="eastAsia" w:ascii="仿宋" w:hAnsi="仿宋" w:eastAsia="仿宋" w:cs="仿宋"/>
              <w:b/>
              <w:color w:val="auto"/>
              <w:sz w:val="24"/>
              <w:szCs w:val="24"/>
              <w:highlight w:val="none"/>
            </w:rPr>
            <w:fldChar w:fldCharType="begin"/>
          </w:r>
          <w:r>
            <w:rPr>
              <w:rFonts w:hint="eastAsia" w:ascii="仿宋" w:hAnsi="仿宋" w:eastAsia="仿宋" w:cs="仿宋"/>
              <w:b/>
              <w:color w:val="auto"/>
              <w:sz w:val="24"/>
              <w:szCs w:val="24"/>
              <w:highlight w:val="none"/>
            </w:rPr>
            <w:instrText xml:space="preserve"> PAGEREF _Toc14292 \h </w:instrText>
          </w:r>
          <w:r>
            <w:rPr>
              <w:rFonts w:hint="eastAsia" w:ascii="仿宋" w:hAnsi="仿宋" w:eastAsia="仿宋" w:cs="仿宋"/>
              <w:b/>
              <w:color w:val="auto"/>
              <w:sz w:val="24"/>
              <w:szCs w:val="24"/>
              <w:highlight w:val="none"/>
            </w:rPr>
            <w:fldChar w:fldCharType="separate"/>
          </w:r>
          <w:r>
            <w:rPr>
              <w:rFonts w:hint="eastAsia" w:ascii="仿宋" w:hAnsi="仿宋" w:eastAsia="仿宋" w:cs="仿宋"/>
              <w:b/>
              <w:color w:val="auto"/>
              <w:sz w:val="24"/>
              <w:szCs w:val="24"/>
              <w:highlight w:val="none"/>
            </w:rPr>
            <w:t>60</w:t>
          </w:r>
          <w:r>
            <w:rPr>
              <w:rFonts w:hint="eastAsia" w:ascii="仿宋" w:hAnsi="仿宋" w:eastAsia="仿宋" w:cs="仿宋"/>
              <w:b/>
              <w:color w:val="auto"/>
              <w:sz w:val="24"/>
              <w:szCs w:val="24"/>
              <w:highlight w:val="none"/>
            </w:rPr>
            <w:fldChar w:fldCharType="end"/>
          </w:r>
          <w:r>
            <w:rPr>
              <w:rFonts w:hint="eastAsia" w:ascii="仿宋" w:hAnsi="仿宋" w:eastAsia="仿宋" w:cs="仿宋"/>
              <w:b/>
              <w:color w:val="auto"/>
              <w:sz w:val="24"/>
              <w:szCs w:val="24"/>
              <w:highlight w:val="none"/>
              <w:lang w:val="en-US" w:eastAsia="zh-CN"/>
            </w:rPr>
            <w:fldChar w:fldCharType="end"/>
          </w:r>
        </w:p>
        <w:p w14:paraId="62E9D35A">
          <w:pPr>
            <w:pStyle w:val="108"/>
            <w:tabs>
              <w:tab w:val="right" w:leader="dot" w:pos="9740"/>
            </w:tabs>
            <w:jc w:val="left"/>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lang w:val="en-US" w:eastAsia="zh-CN"/>
            </w:rPr>
            <w:fldChar w:fldCharType="begin"/>
          </w:r>
          <w:r>
            <w:rPr>
              <w:rFonts w:hint="eastAsia" w:ascii="仿宋" w:hAnsi="仿宋" w:eastAsia="仿宋" w:cs="仿宋"/>
              <w:b/>
              <w:color w:val="auto"/>
              <w:sz w:val="24"/>
              <w:szCs w:val="24"/>
              <w:highlight w:val="none"/>
              <w:lang w:val="en-US" w:eastAsia="zh-CN"/>
            </w:rPr>
            <w:instrText xml:space="preserve"> HYPERLINK \l _Toc22930 </w:instrText>
          </w:r>
          <w:r>
            <w:rPr>
              <w:rFonts w:hint="eastAsia" w:ascii="仿宋" w:hAnsi="仿宋" w:eastAsia="仿宋" w:cs="仿宋"/>
              <w:b/>
              <w:color w:val="auto"/>
              <w:sz w:val="24"/>
              <w:szCs w:val="24"/>
              <w:highlight w:val="none"/>
              <w:lang w:val="en-US" w:eastAsia="zh-CN"/>
            </w:rPr>
            <w:fldChar w:fldCharType="separate"/>
          </w:r>
          <w:r>
            <w:rPr>
              <w:rFonts w:hint="eastAsia" w:ascii="仿宋" w:hAnsi="仿宋" w:eastAsia="仿宋" w:cs="仿宋"/>
              <w:b/>
              <w:color w:val="auto"/>
              <w:sz w:val="24"/>
              <w:szCs w:val="24"/>
              <w:highlight w:val="none"/>
              <w:lang w:val="en-US" w:eastAsia="zh-CN"/>
            </w:rPr>
            <w:t>第三章 专用合同条款</w:t>
          </w:r>
          <w:r>
            <w:rPr>
              <w:rFonts w:hint="eastAsia" w:ascii="仿宋" w:hAnsi="仿宋" w:eastAsia="仿宋" w:cs="仿宋"/>
              <w:b/>
              <w:color w:val="auto"/>
              <w:sz w:val="24"/>
              <w:szCs w:val="24"/>
              <w:highlight w:val="none"/>
            </w:rPr>
            <w:tab/>
          </w:r>
          <w:r>
            <w:rPr>
              <w:rFonts w:hint="eastAsia" w:ascii="仿宋" w:hAnsi="仿宋" w:eastAsia="仿宋" w:cs="仿宋"/>
              <w:b/>
              <w:color w:val="auto"/>
              <w:sz w:val="24"/>
              <w:szCs w:val="24"/>
              <w:highlight w:val="none"/>
            </w:rPr>
            <w:fldChar w:fldCharType="begin"/>
          </w:r>
          <w:r>
            <w:rPr>
              <w:rFonts w:hint="eastAsia" w:ascii="仿宋" w:hAnsi="仿宋" w:eastAsia="仿宋" w:cs="仿宋"/>
              <w:b/>
              <w:color w:val="auto"/>
              <w:sz w:val="24"/>
              <w:szCs w:val="24"/>
              <w:highlight w:val="none"/>
            </w:rPr>
            <w:instrText xml:space="preserve"> PAGEREF _Toc22930 \h </w:instrText>
          </w:r>
          <w:r>
            <w:rPr>
              <w:rFonts w:hint="eastAsia" w:ascii="仿宋" w:hAnsi="仿宋" w:eastAsia="仿宋" w:cs="仿宋"/>
              <w:b/>
              <w:color w:val="auto"/>
              <w:sz w:val="24"/>
              <w:szCs w:val="24"/>
              <w:highlight w:val="none"/>
            </w:rPr>
            <w:fldChar w:fldCharType="separate"/>
          </w:r>
          <w:r>
            <w:rPr>
              <w:rFonts w:hint="eastAsia" w:ascii="仿宋" w:hAnsi="仿宋" w:eastAsia="仿宋" w:cs="仿宋"/>
              <w:b/>
              <w:color w:val="auto"/>
              <w:sz w:val="24"/>
              <w:szCs w:val="24"/>
              <w:highlight w:val="none"/>
            </w:rPr>
            <w:t>61</w:t>
          </w:r>
          <w:r>
            <w:rPr>
              <w:rFonts w:hint="eastAsia" w:ascii="仿宋" w:hAnsi="仿宋" w:eastAsia="仿宋" w:cs="仿宋"/>
              <w:b/>
              <w:color w:val="auto"/>
              <w:sz w:val="24"/>
              <w:szCs w:val="24"/>
              <w:highlight w:val="none"/>
            </w:rPr>
            <w:fldChar w:fldCharType="end"/>
          </w:r>
          <w:r>
            <w:rPr>
              <w:rFonts w:hint="eastAsia" w:ascii="仿宋" w:hAnsi="仿宋" w:eastAsia="仿宋" w:cs="仿宋"/>
              <w:b/>
              <w:color w:val="auto"/>
              <w:sz w:val="24"/>
              <w:szCs w:val="24"/>
              <w:highlight w:val="none"/>
              <w:lang w:val="en-US" w:eastAsia="zh-CN"/>
            </w:rPr>
            <w:fldChar w:fldCharType="end"/>
          </w:r>
        </w:p>
        <w:p w14:paraId="344C6C5F">
          <w:pPr>
            <w:pStyle w:val="109"/>
            <w:tabs>
              <w:tab w:val="right" w:leader="dot" w:pos="9740"/>
            </w:tabs>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fldChar w:fldCharType="begin"/>
          </w:r>
          <w:r>
            <w:rPr>
              <w:rFonts w:hint="eastAsia" w:ascii="仿宋" w:hAnsi="仿宋" w:eastAsia="仿宋" w:cs="仿宋"/>
              <w:color w:val="auto"/>
              <w:sz w:val="24"/>
              <w:szCs w:val="24"/>
              <w:highlight w:val="none"/>
              <w:lang w:val="en-US" w:eastAsia="zh-CN"/>
            </w:rPr>
            <w:instrText xml:space="preserve"> HYPERLINK \l _Toc8759 </w:instrText>
          </w:r>
          <w:r>
            <w:rPr>
              <w:rFonts w:hint="eastAsia" w:ascii="仿宋" w:hAnsi="仿宋" w:eastAsia="仿宋" w:cs="仿宋"/>
              <w:color w:val="auto"/>
              <w:sz w:val="24"/>
              <w:szCs w:val="24"/>
              <w:highlight w:val="none"/>
              <w:lang w:val="en-US" w:eastAsia="zh-CN"/>
            </w:rPr>
            <w:fldChar w:fldCharType="separate"/>
          </w:r>
          <w:r>
            <w:rPr>
              <w:rFonts w:hint="eastAsia" w:ascii="仿宋" w:hAnsi="仿宋" w:eastAsia="仿宋" w:cs="仿宋"/>
              <w:color w:val="auto"/>
              <w:sz w:val="24"/>
              <w:szCs w:val="24"/>
              <w:highlight w:val="none"/>
              <w:lang w:val="en-US" w:eastAsia="zh-CN"/>
            </w:rPr>
            <w:t>一、</w:t>
          </w:r>
          <w:r>
            <w:rPr>
              <w:rFonts w:hint="eastAsia" w:ascii="仿宋" w:hAnsi="仿宋" w:eastAsia="仿宋" w:cs="仿宋"/>
              <w:color w:val="auto"/>
              <w:sz w:val="24"/>
              <w:szCs w:val="24"/>
              <w:highlight w:val="none"/>
            </w:rPr>
            <w:t>工程设计专</w:t>
          </w:r>
          <w:r>
            <w:rPr>
              <w:rFonts w:hint="eastAsia" w:ascii="仿宋" w:hAnsi="仿宋" w:eastAsia="仿宋" w:cs="仿宋"/>
              <w:color w:val="auto"/>
              <w:sz w:val="24"/>
              <w:szCs w:val="24"/>
              <w:highlight w:val="none"/>
              <w:lang w:val="en-US" w:eastAsia="zh-CN"/>
            </w:rPr>
            <w:t>用</w:t>
          </w:r>
          <w:r>
            <w:rPr>
              <w:rFonts w:hint="eastAsia" w:ascii="仿宋" w:hAnsi="仿宋" w:eastAsia="仿宋" w:cs="仿宋"/>
              <w:color w:val="auto"/>
              <w:sz w:val="24"/>
              <w:szCs w:val="24"/>
              <w:highlight w:val="none"/>
            </w:rPr>
            <w:t>条款</w:t>
          </w:r>
          <w:r>
            <w:rPr>
              <w:rFonts w:hint="eastAsia" w:ascii="仿宋" w:hAnsi="仿宋" w:eastAsia="仿宋" w:cs="仿宋"/>
              <w:color w:val="auto"/>
              <w:sz w:val="24"/>
              <w:szCs w:val="24"/>
              <w:highlight w:val="none"/>
            </w:rPr>
            <w:tab/>
          </w:r>
          <w:r>
            <w:rPr>
              <w:rFonts w:hint="eastAsia" w:ascii="仿宋" w:hAnsi="仿宋" w:eastAsia="仿宋" w:cs="仿宋"/>
              <w:color w:val="auto"/>
              <w:sz w:val="24"/>
              <w:szCs w:val="24"/>
              <w:highlight w:val="none"/>
            </w:rPr>
            <w:fldChar w:fldCharType="begin"/>
          </w:r>
          <w:r>
            <w:rPr>
              <w:rFonts w:hint="eastAsia" w:ascii="仿宋" w:hAnsi="仿宋" w:eastAsia="仿宋" w:cs="仿宋"/>
              <w:color w:val="auto"/>
              <w:sz w:val="24"/>
              <w:szCs w:val="24"/>
              <w:highlight w:val="none"/>
            </w:rPr>
            <w:instrText xml:space="preserve"> PAGEREF _Toc8759 \h </w:instrText>
          </w:r>
          <w:r>
            <w:rPr>
              <w:rFonts w:hint="eastAsia" w:ascii="仿宋" w:hAnsi="仿宋" w:eastAsia="仿宋" w:cs="仿宋"/>
              <w:color w:val="auto"/>
              <w:sz w:val="24"/>
              <w:szCs w:val="24"/>
              <w:highlight w:val="none"/>
            </w:rPr>
            <w:fldChar w:fldCharType="separate"/>
          </w:r>
          <w:r>
            <w:rPr>
              <w:rFonts w:hint="eastAsia" w:ascii="仿宋" w:hAnsi="仿宋" w:eastAsia="仿宋" w:cs="仿宋"/>
              <w:color w:val="auto"/>
              <w:sz w:val="24"/>
              <w:szCs w:val="24"/>
              <w:highlight w:val="none"/>
            </w:rPr>
            <w:t>61</w:t>
          </w:r>
          <w:r>
            <w:rPr>
              <w:rFonts w:hint="eastAsia" w:ascii="仿宋" w:hAnsi="仿宋" w:eastAsia="仿宋" w:cs="仿宋"/>
              <w:color w:val="auto"/>
              <w:sz w:val="24"/>
              <w:szCs w:val="24"/>
              <w:highlight w:val="none"/>
            </w:rPr>
            <w:fldChar w:fldCharType="end"/>
          </w:r>
          <w:r>
            <w:rPr>
              <w:rFonts w:hint="eastAsia" w:ascii="仿宋" w:hAnsi="仿宋" w:eastAsia="仿宋" w:cs="仿宋"/>
              <w:color w:val="auto"/>
              <w:sz w:val="24"/>
              <w:szCs w:val="24"/>
              <w:highlight w:val="none"/>
              <w:lang w:val="en-US" w:eastAsia="zh-CN"/>
            </w:rPr>
            <w:fldChar w:fldCharType="end"/>
          </w:r>
        </w:p>
        <w:p w14:paraId="0D887403">
          <w:pPr>
            <w:pStyle w:val="109"/>
            <w:tabs>
              <w:tab w:val="right" w:leader="dot" w:pos="9740"/>
            </w:tabs>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fldChar w:fldCharType="begin"/>
          </w:r>
          <w:r>
            <w:rPr>
              <w:rFonts w:hint="eastAsia" w:ascii="仿宋" w:hAnsi="仿宋" w:eastAsia="仿宋" w:cs="仿宋"/>
              <w:color w:val="auto"/>
              <w:sz w:val="24"/>
              <w:szCs w:val="24"/>
              <w:highlight w:val="none"/>
              <w:lang w:val="en-US" w:eastAsia="zh-CN"/>
            </w:rPr>
            <w:instrText xml:space="preserve"> HYPERLINK \l _Toc7325 </w:instrText>
          </w:r>
          <w:r>
            <w:rPr>
              <w:rFonts w:hint="eastAsia" w:ascii="仿宋" w:hAnsi="仿宋" w:eastAsia="仿宋" w:cs="仿宋"/>
              <w:color w:val="auto"/>
              <w:sz w:val="24"/>
              <w:szCs w:val="24"/>
              <w:highlight w:val="none"/>
              <w:lang w:val="en-US" w:eastAsia="zh-CN"/>
            </w:rPr>
            <w:fldChar w:fldCharType="separate"/>
          </w:r>
          <w:r>
            <w:rPr>
              <w:rFonts w:hint="eastAsia" w:ascii="仿宋" w:hAnsi="仿宋" w:eastAsia="仿宋" w:cs="仿宋"/>
              <w:color w:val="auto"/>
              <w:sz w:val="24"/>
              <w:szCs w:val="24"/>
              <w:highlight w:val="none"/>
            </w:rPr>
            <w:t>二</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工程施工专</w:t>
          </w:r>
          <w:r>
            <w:rPr>
              <w:rFonts w:hint="eastAsia" w:ascii="仿宋" w:hAnsi="仿宋" w:eastAsia="仿宋" w:cs="仿宋"/>
              <w:color w:val="auto"/>
              <w:sz w:val="24"/>
              <w:szCs w:val="24"/>
              <w:highlight w:val="none"/>
              <w:lang w:val="en-US" w:eastAsia="zh-CN"/>
            </w:rPr>
            <w:t>用合同条款</w:t>
          </w:r>
          <w:r>
            <w:rPr>
              <w:rFonts w:hint="eastAsia" w:ascii="仿宋" w:hAnsi="仿宋" w:eastAsia="仿宋" w:cs="仿宋"/>
              <w:color w:val="auto"/>
              <w:sz w:val="24"/>
              <w:szCs w:val="24"/>
              <w:highlight w:val="none"/>
            </w:rPr>
            <w:tab/>
          </w:r>
          <w:r>
            <w:rPr>
              <w:rFonts w:hint="eastAsia" w:ascii="仿宋" w:hAnsi="仿宋" w:eastAsia="仿宋" w:cs="仿宋"/>
              <w:color w:val="auto"/>
              <w:sz w:val="24"/>
              <w:szCs w:val="24"/>
              <w:highlight w:val="none"/>
            </w:rPr>
            <w:fldChar w:fldCharType="begin"/>
          </w:r>
          <w:r>
            <w:rPr>
              <w:rFonts w:hint="eastAsia" w:ascii="仿宋" w:hAnsi="仿宋" w:eastAsia="仿宋" w:cs="仿宋"/>
              <w:color w:val="auto"/>
              <w:sz w:val="24"/>
              <w:szCs w:val="24"/>
              <w:highlight w:val="none"/>
            </w:rPr>
            <w:instrText xml:space="preserve"> PAGEREF _Toc7325 \h </w:instrText>
          </w:r>
          <w:r>
            <w:rPr>
              <w:rFonts w:hint="eastAsia" w:ascii="仿宋" w:hAnsi="仿宋" w:eastAsia="仿宋" w:cs="仿宋"/>
              <w:color w:val="auto"/>
              <w:sz w:val="24"/>
              <w:szCs w:val="24"/>
              <w:highlight w:val="none"/>
            </w:rPr>
            <w:fldChar w:fldCharType="separate"/>
          </w:r>
          <w:r>
            <w:rPr>
              <w:rFonts w:hint="eastAsia" w:ascii="仿宋" w:hAnsi="仿宋" w:eastAsia="仿宋" w:cs="仿宋"/>
              <w:color w:val="auto"/>
              <w:sz w:val="24"/>
              <w:szCs w:val="24"/>
              <w:highlight w:val="none"/>
            </w:rPr>
            <w:t>70</w:t>
          </w:r>
          <w:r>
            <w:rPr>
              <w:rFonts w:hint="eastAsia" w:ascii="仿宋" w:hAnsi="仿宋" w:eastAsia="仿宋" w:cs="仿宋"/>
              <w:color w:val="auto"/>
              <w:sz w:val="24"/>
              <w:szCs w:val="24"/>
              <w:highlight w:val="none"/>
            </w:rPr>
            <w:fldChar w:fldCharType="end"/>
          </w:r>
          <w:r>
            <w:rPr>
              <w:rFonts w:hint="eastAsia" w:ascii="仿宋" w:hAnsi="仿宋" w:eastAsia="仿宋" w:cs="仿宋"/>
              <w:color w:val="auto"/>
              <w:sz w:val="24"/>
              <w:szCs w:val="24"/>
              <w:highlight w:val="none"/>
              <w:lang w:val="en-US" w:eastAsia="zh-CN"/>
            </w:rPr>
            <w:fldChar w:fldCharType="end"/>
          </w:r>
        </w:p>
        <w:p w14:paraId="72A08EC0">
          <w:pPr>
            <w:pStyle w:val="109"/>
            <w:tabs>
              <w:tab w:val="right" w:leader="dot" w:pos="9740"/>
            </w:tabs>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fldChar w:fldCharType="begin"/>
          </w:r>
          <w:r>
            <w:rPr>
              <w:rFonts w:hint="eastAsia" w:ascii="仿宋" w:hAnsi="仿宋" w:eastAsia="仿宋" w:cs="仿宋"/>
              <w:color w:val="auto"/>
              <w:sz w:val="24"/>
              <w:szCs w:val="24"/>
              <w:highlight w:val="none"/>
              <w:lang w:val="en-US" w:eastAsia="zh-CN"/>
            </w:rPr>
            <w:instrText xml:space="preserve"> HYPERLINK \l _Toc22175 </w:instrText>
          </w:r>
          <w:r>
            <w:rPr>
              <w:rFonts w:hint="eastAsia" w:ascii="仿宋" w:hAnsi="仿宋" w:eastAsia="仿宋" w:cs="仿宋"/>
              <w:color w:val="auto"/>
              <w:sz w:val="24"/>
              <w:szCs w:val="24"/>
              <w:highlight w:val="none"/>
              <w:lang w:val="en-US" w:eastAsia="zh-CN"/>
            </w:rPr>
            <w:fldChar w:fldCharType="separate"/>
          </w:r>
          <w:r>
            <w:rPr>
              <w:rFonts w:hint="eastAsia" w:ascii="仿宋" w:hAnsi="仿宋" w:eastAsia="仿宋" w:cs="仿宋"/>
              <w:color w:val="auto"/>
              <w:sz w:val="24"/>
              <w:szCs w:val="24"/>
              <w:highlight w:val="none"/>
            </w:rPr>
            <w:t>三</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设备集成供货与服务专</w:t>
          </w:r>
          <w:r>
            <w:rPr>
              <w:rFonts w:hint="eastAsia" w:ascii="仿宋" w:hAnsi="仿宋" w:eastAsia="仿宋" w:cs="仿宋"/>
              <w:color w:val="auto"/>
              <w:sz w:val="24"/>
              <w:szCs w:val="24"/>
              <w:highlight w:val="none"/>
              <w:lang w:val="en-US" w:eastAsia="zh-CN"/>
            </w:rPr>
            <w:t>用条款</w:t>
          </w:r>
          <w:r>
            <w:rPr>
              <w:rFonts w:hint="eastAsia" w:ascii="仿宋" w:hAnsi="仿宋" w:eastAsia="仿宋" w:cs="仿宋"/>
              <w:color w:val="auto"/>
              <w:sz w:val="24"/>
              <w:szCs w:val="24"/>
              <w:highlight w:val="none"/>
            </w:rPr>
            <w:tab/>
          </w:r>
          <w:r>
            <w:rPr>
              <w:rFonts w:hint="eastAsia" w:ascii="仿宋" w:hAnsi="仿宋" w:eastAsia="仿宋" w:cs="仿宋"/>
              <w:color w:val="auto"/>
              <w:sz w:val="24"/>
              <w:szCs w:val="24"/>
              <w:highlight w:val="none"/>
            </w:rPr>
            <w:fldChar w:fldCharType="begin"/>
          </w:r>
          <w:r>
            <w:rPr>
              <w:rFonts w:hint="eastAsia" w:ascii="仿宋" w:hAnsi="仿宋" w:eastAsia="仿宋" w:cs="仿宋"/>
              <w:color w:val="auto"/>
              <w:sz w:val="24"/>
              <w:szCs w:val="24"/>
              <w:highlight w:val="none"/>
            </w:rPr>
            <w:instrText xml:space="preserve"> PAGEREF _Toc22175 \h </w:instrText>
          </w:r>
          <w:r>
            <w:rPr>
              <w:rFonts w:hint="eastAsia" w:ascii="仿宋" w:hAnsi="仿宋" w:eastAsia="仿宋" w:cs="仿宋"/>
              <w:color w:val="auto"/>
              <w:sz w:val="24"/>
              <w:szCs w:val="24"/>
              <w:highlight w:val="none"/>
            </w:rPr>
            <w:fldChar w:fldCharType="separate"/>
          </w:r>
          <w:r>
            <w:rPr>
              <w:rFonts w:hint="eastAsia" w:ascii="仿宋" w:hAnsi="仿宋" w:eastAsia="仿宋" w:cs="仿宋"/>
              <w:color w:val="auto"/>
              <w:sz w:val="24"/>
              <w:szCs w:val="24"/>
              <w:highlight w:val="none"/>
            </w:rPr>
            <w:t>83</w:t>
          </w:r>
          <w:r>
            <w:rPr>
              <w:rFonts w:hint="eastAsia" w:ascii="仿宋" w:hAnsi="仿宋" w:eastAsia="仿宋" w:cs="仿宋"/>
              <w:color w:val="auto"/>
              <w:sz w:val="24"/>
              <w:szCs w:val="24"/>
              <w:highlight w:val="none"/>
            </w:rPr>
            <w:fldChar w:fldCharType="end"/>
          </w:r>
          <w:r>
            <w:rPr>
              <w:rFonts w:hint="eastAsia" w:ascii="仿宋" w:hAnsi="仿宋" w:eastAsia="仿宋" w:cs="仿宋"/>
              <w:color w:val="auto"/>
              <w:sz w:val="24"/>
              <w:szCs w:val="24"/>
              <w:highlight w:val="none"/>
              <w:lang w:val="en-US" w:eastAsia="zh-CN"/>
            </w:rPr>
            <w:fldChar w:fldCharType="end"/>
          </w:r>
        </w:p>
        <w:p w14:paraId="1893E9C4">
          <w:pPr>
            <w:pStyle w:val="109"/>
            <w:tabs>
              <w:tab w:val="right" w:leader="dot" w:pos="9740"/>
            </w:tabs>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fldChar w:fldCharType="begin"/>
          </w:r>
          <w:r>
            <w:rPr>
              <w:rFonts w:hint="eastAsia" w:ascii="仿宋" w:hAnsi="仿宋" w:eastAsia="仿宋" w:cs="仿宋"/>
              <w:color w:val="auto"/>
              <w:sz w:val="24"/>
              <w:szCs w:val="24"/>
              <w:highlight w:val="none"/>
              <w:lang w:val="en-US" w:eastAsia="zh-CN"/>
            </w:rPr>
            <w:instrText xml:space="preserve"> HYPERLINK \l _Toc31339 </w:instrText>
          </w:r>
          <w:r>
            <w:rPr>
              <w:rFonts w:hint="eastAsia" w:ascii="仿宋" w:hAnsi="仿宋" w:eastAsia="仿宋" w:cs="仿宋"/>
              <w:color w:val="auto"/>
              <w:sz w:val="24"/>
              <w:szCs w:val="24"/>
              <w:highlight w:val="none"/>
              <w:lang w:val="en-US" w:eastAsia="zh-CN"/>
            </w:rPr>
            <w:fldChar w:fldCharType="separate"/>
          </w:r>
          <w:r>
            <w:rPr>
              <w:rFonts w:hint="eastAsia" w:ascii="仿宋" w:hAnsi="仿宋" w:eastAsia="仿宋" w:cs="仿宋"/>
              <w:color w:val="auto"/>
              <w:sz w:val="24"/>
              <w:szCs w:val="24"/>
              <w:highlight w:val="none"/>
              <w:lang w:val="en-US" w:eastAsia="zh-CN"/>
            </w:rPr>
            <w:t>四、</w:t>
          </w:r>
          <w:r>
            <w:rPr>
              <w:rFonts w:hint="eastAsia" w:ascii="仿宋" w:hAnsi="仿宋" w:eastAsia="仿宋" w:cs="仿宋"/>
              <w:color w:val="auto"/>
              <w:sz w:val="24"/>
              <w:szCs w:val="24"/>
              <w:highlight w:val="none"/>
            </w:rPr>
            <w:t>委托运营管理专</w:t>
          </w:r>
          <w:r>
            <w:rPr>
              <w:rFonts w:hint="eastAsia" w:ascii="仿宋" w:hAnsi="仿宋" w:eastAsia="仿宋" w:cs="仿宋"/>
              <w:color w:val="auto"/>
              <w:sz w:val="24"/>
              <w:szCs w:val="24"/>
              <w:highlight w:val="none"/>
              <w:lang w:val="en-US" w:eastAsia="zh-CN"/>
            </w:rPr>
            <w:t>用</w:t>
          </w:r>
          <w:r>
            <w:rPr>
              <w:rFonts w:hint="eastAsia" w:ascii="仿宋" w:hAnsi="仿宋" w:eastAsia="仿宋" w:cs="仿宋"/>
              <w:color w:val="auto"/>
              <w:sz w:val="24"/>
              <w:szCs w:val="24"/>
              <w:highlight w:val="none"/>
            </w:rPr>
            <w:t>条款</w:t>
          </w:r>
          <w:r>
            <w:rPr>
              <w:rFonts w:hint="eastAsia" w:ascii="仿宋" w:hAnsi="仿宋" w:eastAsia="仿宋" w:cs="仿宋"/>
              <w:color w:val="auto"/>
              <w:sz w:val="24"/>
              <w:szCs w:val="24"/>
              <w:highlight w:val="none"/>
            </w:rPr>
            <w:tab/>
          </w:r>
          <w:r>
            <w:rPr>
              <w:rFonts w:hint="eastAsia" w:ascii="仿宋" w:hAnsi="仿宋" w:eastAsia="仿宋" w:cs="仿宋"/>
              <w:color w:val="auto"/>
              <w:sz w:val="24"/>
              <w:szCs w:val="24"/>
              <w:highlight w:val="none"/>
            </w:rPr>
            <w:fldChar w:fldCharType="begin"/>
          </w:r>
          <w:r>
            <w:rPr>
              <w:rFonts w:hint="eastAsia" w:ascii="仿宋" w:hAnsi="仿宋" w:eastAsia="仿宋" w:cs="仿宋"/>
              <w:color w:val="auto"/>
              <w:sz w:val="24"/>
              <w:szCs w:val="24"/>
              <w:highlight w:val="none"/>
            </w:rPr>
            <w:instrText xml:space="preserve"> PAGEREF _Toc31339 \h </w:instrText>
          </w:r>
          <w:r>
            <w:rPr>
              <w:rFonts w:hint="eastAsia" w:ascii="仿宋" w:hAnsi="仿宋" w:eastAsia="仿宋" w:cs="仿宋"/>
              <w:color w:val="auto"/>
              <w:sz w:val="24"/>
              <w:szCs w:val="24"/>
              <w:highlight w:val="none"/>
            </w:rPr>
            <w:fldChar w:fldCharType="separate"/>
          </w:r>
          <w:r>
            <w:rPr>
              <w:rFonts w:hint="eastAsia" w:ascii="仿宋" w:hAnsi="仿宋" w:eastAsia="仿宋" w:cs="仿宋"/>
              <w:color w:val="auto"/>
              <w:sz w:val="24"/>
              <w:szCs w:val="24"/>
              <w:highlight w:val="none"/>
            </w:rPr>
            <w:t>88</w:t>
          </w:r>
          <w:r>
            <w:rPr>
              <w:rFonts w:hint="eastAsia" w:ascii="仿宋" w:hAnsi="仿宋" w:eastAsia="仿宋" w:cs="仿宋"/>
              <w:color w:val="auto"/>
              <w:sz w:val="24"/>
              <w:szCs w:val="24"/>
              <w:highlight w:val="none"/>
            </w:rPr>
            <w:fldChar w:fldCharType="end"/>
          </w:r>
          <w:r>
            <w:rPr>
              <w:rFonts w:hint="eastAsia" w:ascii="仿宋" w:hAnsi="仿宋" w:eastAsia="仿宋" w:cs="仿宋"/>
              <w:color w:val="auto"/>
              <w:sz w:val="24"/>
              <w:szCs w:val="24"/>
              <w:highlight w:val="none"/>
              <w:lang w:val="en-US" w:eastAsia="zh-CN"/>
            </w:rPr>
            <w:fldChar w:fldCharType="end"/>
          </w:r>
        </w:p>
        <w:p w14:paraId="597B3CC3">
          <w:pPr>
            <w:pStyle w:val="108"/>
            <w:tabs>
              <w:tab w:val="right" w:leader="dot" w:pos="9740"/>
            </w:tabs>
            <w:jc w:val="left"/>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lang w:val="en-US" w:eastAsia="zh-CN"/>
            </w:rPr>
            <w:fldChar w:fldCharType="begin"/>
          </w:r>
          <w:r>
            <w:rPr>
              <w:rFonts w:hint="eastAsia" w:ascii="仿宋" w:hAnsi="仿宋" w:eastAsia="仿宋" w:cs="仿宋"/>
              <w:b/>
              <w:color w:val="auto"/>
              <w:sz w:val="24"/>
              <w:szCs w:val="24"/>
              <w:highlight w:val="none"/>
              <w:lang w:val="en-US" w:eastAsia="zh-CN"/>
            </w:rPr>
            <w:instrText xml:space="preserve"> HYPERLINK \l _Toc28993 </w:instrText>
          </w:r>
          <w:r>
            <w:rPr>
              <w:rFonts w:hint="eastAsia" w:ascii="仿宋" w:hAnsi="仿宋" w:eastAsia="仿宋" w:cs="仿宋"/>
              <w:b/>
              <w:color w:val="auto"/>
              <w:sz w:val="24"/>
              <w:szCs w:val="24"/>
              <w:highlight w:val="none"/>
              <w:lang w:val="en-US" w:eastAsia="zh-CN"/>
            </w:rPr>
            <w:fldChar w:fldCharType="separate"/>
          </w:r>
          <w:r>
            <w:rPr>
              <w:rFonts w:hint="eastAsia" w:ascii="仿宋" w:hAnsi="仿宋" w:eastAsia="仿宋" w:cs="仿宋"/>
              <w:b/>
              <w:color w:val="auto"/>
              <w:sz w:val="24"/>
              <w:szCs w:val="24"/>
              <w:highlight w:val="none"/>
              <w:lang w:val="en-US" w:eastAsia="zh-CN"/>
            </w:rPr>
            <w:t>附件</w:t>
          </w:r>
          <w:r>
            <w:rPr>
              <w:rFonts w:hint="eastAsia" w:ascii="仿宋" w:hAnsi="仿宋" w:eastAsia="仿宋" w:cs="仿宋"/>
              <w:b/>
              <w:color w:val="auto"/>
              <w:sz w:val="24"/>
              <w:szCs w:val="24"/>
              <w:highlight w:val="none"/>
            </w:rPr>
            <w:tab/>
          </w:r>
          <w:r>
            <w:rPr>
              <w:rFonts w:hint="eastAsia" w:ascii="仿宋" w:hAnsi="仿宋" w:eastAsia="仿宋" w:cs="仿宋"/>
              <w:b/>
              <w:color w:val="auto"/>
              <w:sz w:val="24"/>
              <w:szCs w:val="24"/>
              <w:highlight w:val="none"/>
            </w:rPr>
            <w:fldChar w:fldCharType="begin"/>
          </w:r>
          <w:r>
            <w:rPr>
              <w:rFonts w:hint="eastAsia" w:ascii="仿宋" w:hAnsi="仿宋" w:eastAsia="仿宋" w:cs="仿宋"/>
              <w:b/>
              <w:color w:val="auto"/>
              <w:sz w:val="24"/>
              <w:szCs w:val="24"/>
              <w:highlight w:val="none"/>
            </w:rPr>
            <w:instrText xml:space="preserve"> PAGEREF _Toc28993 \h </w:instrText>
          </w:r>
          <w:r>
            <w:rPr>
              <w:rFonts w:hint="eastAsia" w:ascii="仿宋" w:hAnsi="仿宋" w:eastAsia="仿宋" w:cs="仿宋"/>
              <w:b/>
              <w:color w:val="auto"/>
              <w:sz w:val="24"/>
              <w:szCs w:val="24"/>
              <w:highlight w:val="none"/>
            </w:rPr>
            <w:fldChar w:fldCharType="separate"/>
          </w:r>
          <w:r>
            <w:rPr>
              <w:rFonts w:hint="eastAsia" w:ascii="仿宋" w:hAnsi="仿宋" w:eastAsia="仿宋" w:cs="仿宋"/>
              <w:b/>
              <w:color w:val="auto"/>
              <w:sz w:val="24"/>
              <w:szCs w:val="24"/>
              <w:highlight w:val="none"/>
            </w:rPr>
            <w:t>102</w:t>
          </w:r>
          <w:r>
            <w:rPr>
              <w:rFonts w:hint="eastAsia" w:ascii="仿宋" w:hAnsi="仿宋" w:eastAsia="仿宋" w:cs="仿宋"/>
              <w:b/>
              <w:color w:val="auto"/>
              <w:sz w:val="24"/>
              <w:szCs w:val="24"/>
              <w:highlight w:val="none"/>
            </w:rPr>
            <w:fldChar w:fldCharType="end"/>
          </w:r>
          <w:r>
            <w:rPr>
              <w:rFonts w:hint="eastAsia" w:ascii="仿宋" w:hAnsi="仿宋" w:eastAsia="仿宋" w:cs="仿宋"/>
              <w:b/>
              <w:color w:val="auto"/>
              <w:sz w:val="24"/>
              <w:szCs w:val="24"/>
              <w:highlight w:val="none"/>
              <w:lang w:val="en-US" w:eastAsia="zh-CN"/>
            </w:rPr>
            <w:fldChar w:fldCharType="end"/>
          </w:r>
        </w:p>
        <w:p w14:paraId="73256619">
          <w:pPr>
            <w:pStyle w:val="108"/>
            <w:tabs>
              <w:tab w:val="right" w:leader="dot" w:pos="9740"/>
            </w:tabs>
            <w:jc w:val="left"/>
            <w:rPr>
              <w:rFonts w:hint="eastAsia" w:ascii="仿宋" w:hAnsi="仿宋" w:eastAsia="仿宋" w:cs="仿宋"/>
              <w:b/>
              <w:color w:val="auto"/>
              <w:sz w:val="24"/>
              <w:szCs w:val="24"/>
              <w:highlight w:val="none"/>
            </w:rPr>
          </w:pPr>
        </w:p>
        <w:p w14:paraId="718C57F7">
          <w:pPr>
            <w:jc w:val="left"/>
            <w:rPr>
              <w:rFonts w:hint="eastAsia" w:ascii="仿宋" w:hAnsi="仿宋" w:eastAsia="仿宋" w:cs="仿宋"/>
              <w:b/>
              <w:color w:val="auto"/>
              <w:kern w:val="2"/>
              <w:sz w:val="24"/>
              <w:szCs w:val="22"/>
              <w:highlight w:val="none"/>
              <w:lang w:val="en-US" w:eastAsia="zh-CN" w:bidi="ar-SA"/>
            </w:rPr>
          </w:pPr>
          <w:r>
            <w:rPr>
              <w:rFonts w:hint="eastAsia" w:ascii="仿宋" w:hAnsi="仿宋" w:eastAsia="仿宋" w:cs="仿宋"/>
              <w:b/>
              <w:color w:val="auto"/>
              <w:sz w:val="24"/>
              <w:szCs w:val="24"/>
              <w:highlight w:val="none"/>
              <w:lang w:val="en-US" w:eastAsia="zh-CN"/>
            </w:rPr>
            <w:fldChar w:fldCharType="end"/>
          </w:r>
        </w:p>
      </w:sdtContent>
    </w:sdt>
    <w:p w14:paraId="3304DA1C">
      <w:pPr>
        <w:pStyle w:val="2"/>
        <w:jc w:val="left"/>
        <w:rPr>
          <w:rFonts w:hint="eastAsia" w:ascii="仿宋" w:hAnsi="仿宋" w:eastAsia="仿宋" w:cs="仿宋"/>
          <w:color w:val="auto"/>
          <w:highlight w:val="none"/>
          <w:lang w:val="en-US" w:eastAsia="zh-CN"/>
        </w:rPr>
      </w:pPr>
    </w:p>
    <w:p w14:paraId="40BC2B31">
      <w:pPr>
        <w:pStyle w:val="3"/>
        <w:jc w:val="left"/>
        <w:outlineLvl w:val="9"/>
        <w:rPr>
          <w:rFonts w:hint="eastAsia" w:ascii="仿宋" w:hAnsi="仿宋" w:eastAsia="仿宋" w:cs="仿宋"/>
          <w:color w:val="auto"/>
          <w:highlight w:val="none"/>
          <w:lang w:eastAsia="zh-TW"/>
        </w:rPr>
      </w:pPr>
    </w:p>
    <w:p w14:paraId="5D765859">
      <w:pPr>
        <w:jc w:val="left"/>
        <w:rPr>
          <w:rFonts w:hint="eastAsia" w:ascii="仿宋" w:hAnsi="仿宋" w:eastAsia="仿宋" w:cs="仿宋"/>
          <w:color w:val="auto"/>
          <w:highlight w:val="none"/>
          <w:lang w:eastAsia="zh-TW"/>
        </w:rPr>
      </w:pPr>
    </w:p>
    <w:p w14:paraId="025E6BEF">
      <w:pPr>
        <w:pStyle w:val="2"/>
        <w:jc w:val="left"/>
        <w:rPr>
          <w:rFonts w:hint="eastAsia" w:ascii="仿宋" w:hAnsi="仿宋" w:eastAsia="仿宋" w:cs="仿宋"/>
          <w:color w:val="auto"/>
          <w:highlight w:val="none"/>
          <w:lang w:eastAsia="zh-TW"/>
        </w:rPr>
      </w:pPr>
    </w:p>
    <w:p w14:paraId="45C720B2">
      <w:pPr>
        <w:jc w:val="left"/>
        <w:rPr>
          <w:rFonts w:hint="eastAsia" w:ascii="仿宋" w:hAnsi="仿宋" w:eastAsia="仿宋" w:cs="仿宋"/>
          <w:color w:val="auto"/>
          <w:highlight w:val="none"/>
          <w:lang w:eastAsia="zh-TW"/>
        </w:rPr>
      </w:pPr>
    </w:p>
    <w:p w14:paraId="32FA177F">
      <w:pPr>
        <w:pStyle w:val="2"/>
        <w:jc w:val="left"/>
        <w:rPr>
          <w:rFonts w:hint="eastAsia" w:ascii="仿宋" w:hAnsi="仿宋" w:eastAsia="仿宋" w:cs="仿宋"/>
          <w:color w:val="auto"/>
          <w:highlight w:val="none"/>
          <w:lang w:eastAsia="zh-TW"/>
        </w:rPr>
      </w:pPr>
    </w:p>
    <w:p w14:paraId="6C563DA3">
      <w:pPr>
        <w:jc w:val="left"/>
        <w:rPr>
          <w:rFonts w:hint="eastAsia" w:ascii="仿宋" w:hAnsi="仿宋" w:eastAsia="仿宋" w:cs="仿宋"/>
          <w:color w:val="auto"/>
          <w:highlight w:val="none"/>
          <w:lang w:eastAsia="zh-TW"/>
        </w:rPr>
      </w:pPr>
    </w:p>
    <w:p w14:paraId="3EBFF26C">
      <w:pPr>
        <w:pStyle w:val="2"/>
        <w:jc w:val="left"/>
        <w:rPr>
          <w:rFonts w:hint="eastAsia" w:ascii="仿宋" w:hAnsi="仿宋" w:eastAsia="仿宋" w:cs="仿宋"/>
          <w:color w:val="auto"/>
          <w:highlight w:val="none"/>
          <w:lang w:eastAsia="zh-TW"/>
        </w:rPr>
      </w:pPr>
    </w:p>
    <w:p w14:paraId="40E50813">
      <w:pPr>
        <w:jc w:val="left"/>
        <w:rPr>
          <w:rFonts w:hint="eastAsia" w:ascii="仿宋" w:hAnsi="仿宋" w:eastAsia="仿宋" w:cs="仿宋"/>
          <w:color w:val="auto"/>
          <w:highlight w:val="none"/>
          <w:lang w:eastAsia="zh-TW"/>
        </w:rPr>
      </w:pPr>
    </w:p>
    <w:p w14:paraId="2CA61D79">
      <w:pPr>
        <w:pStyle w:val="2"/>
        <w:jc w:val="left"/>
        <w:rPr>
          <w:rFonts w:hint="eastAsia" w:ascii="仿宋" w:hAnsi="仿宋" w:eastAsia="仿宋" w:cs="仿宋"/>
          <w:color w:val="auto"/>
          <w:highlight w:val="none"/>
          <w:lang w:eastAsia="zh-TW"/>
        </w:rPr>
      </w:pPr>
    </w:p>
    <w:p w14:paraId="378F1E5D">
      <w:pPr>
        <w:jc w:val="left"/>
        <w:rPr>
          <w:rFonts w:hint="eastAsia" w:ascii="仿宋" w:hAnsi="仿宋" w:eastAsia="仿宋" w:cs="仿宋"/>
          <w:color w:val="auto"/>
          <w:highlight w:val="none"/>
          <w:lang w:eastAsia="zh-TW"/>
        </w:rPr>
      </w:pPr>
    </w:p>
    <w:p w14:paraId="247DD651">
      <w:pPr>
        <w:pStyle w:val="2"/>
        <w:jc w:val="left"/>
        <w:rPr>
          <w:rFonts w:hint="eastAsia" w:ascii="仿宋" w:hAnsi="仿宋" w:eastAsia="仿宋" w:cs="仿宋"/>
          <w:color w:val="auto"/>
          <w:highlight w:val="none"/>
          <w:lang w:eastAsia="zh-TW"/>
        </w:rPr>
      </w:pPr>
    </w:p>
    <w:p w14:paraId="2CCA3EA0">
      <w:pPr>
        <w:jc w:val="left"/>
        <w:rPr>
          <w:rFonts w:hint="eastAsia" w:ascii="仿宋" w:hAnsi="仿宋" w:eastAsia="仿宋" w:cs="仿宋"/>
          <w:color w:val="auto"/>
          <w:highlight w:val="none"/>
          <w:lang w:eastAsia="zh-TW"/>
        </w:rPr>
      </w:pPr>
    </w:p>
    <w:p w14:paraId="1880A2FB">
      <w:pPr>
        <w:pStyle w:val="2"/>
        <w:jc w:val="left"/>
        <w:rPr>
          <w:rFonts w:hint="eastAsia" w:ascii="仿宋" w:hAnsi="仿宋" w:eastAsia="仿宋" w:cs="仿宋"/>
          <w:color w:val="auto"/>
          <w:highlight w:val="none"/>
          <w:lang w:eastAsia="zh-TW"/>
        </w:rPr>
      </w:pPr>
    </w:p>
    <w:p w14:paraId="52CEE75A">
      <w:pPr>
        <w:jc w:val="left"/>
        <w:rPr>
          <w:rFonts w:hint="eastAsia" w:ascii="仿宋" w:hAnsi="仿宋" w:eastAsia="仿宋" w:cs="仿宋"/>
          <w:color w:val="auto"/>
          <w:highlight w:val="none"/>
          <w:lang w:eastAsia="zh-TW"/>
        </w:rPr>
      </w:pPr>
    </w:p>
    <w:p w14:paraId="363F76B1">
      <w:pPr>
        <w:pStyle w:val="2"/>
        <w:jc w:val="left"/>
        <w:rPr>
          <w:rFonts w:hint="eastAsia" w:ascii="仿宋" w:hAnsi="仿宋" w:eastAsia="仿宋" w:cs="仿宋"/>
          <w:color w:val="auto"/>
          <w:highlight w:val="none"/>
          <w:lang w:eastAsia="zh-TW"/>
        </w:rPr>
      </w:pPr>
    </w:p>
    <w:p w14:paraId="63822696">
      <w:pPr>
        <w:jc w:val="left"/>
        <w:rPr>
          <w:rFonts w:hint="eastAsia" w:ascii="仿宋" w:hAnsi="仿宋" w:eastAsia="仿宋" w:cs="仿宋"/>
          <w:color w:val="auto"/>
          <w:highlight w:val="none"/>
          <w:lang w:eastAsia="zh-TW"/>
        </w:rPr>
      </w:pPr>
    </w:p>
    <w:p w14:paraId="6BF0EA61">
      <w:pPr>
        <w:pStyle w:val="2"/>
        <w:jc w:val="left"/>
        <w:rPr>
          <w:rFonts w:hint="eastAsia" w:ascii="仿宋" w:hAnsi="仿宋" w:eastAsia="仿宋" w:cs="仿宋"/>
          <w:color w:val="auto"/>
          <w:highlight w:val="none"/>
          <w:lang w:eastAsia="zh-TW"/>
        </w:rPr>
      </w:pPr>
    </w:p>
    <w:p w14:paraId="641DC860">
      <w:pPr>
        <w:pStyle w:val="3"/>
        <w:jc w:val="left"/>
        <w:outlineLvl w:val="9"/>
        <w:rPr>
          <w:rFonts w:hint="eastAsia" w:ascii="仿宋" w:hAnsi="仿宋" w:eastAsia="仿宋" w:cs="仿宋"/>
          <w:color w:val="auto"/>
          <w:highlight w:val="none"/>
          <w:lang w:eastAsia="zh-TW"/>
        </w:rPr>
      </w:pPr>
    </w:p>
    <w:p w14:paraId="0929CF91">
      <w:pPr>
        <w:pStyle w:val="3"/>
        <w:jc w:val="center"/>
        <w:rPr>
          <w:rFonts w:hint="eastAsia" w:ascii="仿宋" w:hAnsi="仿宋" w:eastAsia="仿宋" w:cs="仿宋"/>
          <w:color w:val="auto"/>
          <w:highlight w:val="none"/>
          <w:lang w:val="zh-TW" w:eastAsia="zh-TW"/>
        </w:rPr>
      </w:pPr>
      <w:bookmarkStart w:id="504" w:name="_Toc18244"/>
      <w:r>
        <w:rPr>
          <w:rFonts w:hint="eastAsia" w:ascii="仿宋" w:hAnsi="仿宋" w:eastAsia="仿宋" w:cs="仿宋"/>
          <w:color w:val="auto"/>
          <w:highlight w:val="none"/>
          <w:lang w:eastAsia="zh-TW"/>
        </w:rPr>
        <w:t>第一章</w:t>
      </w:r>
      <w:r>
        <w:rPr>
          <w:rFonts w:hint="eastAsia" w:ascii="仿宋" w:hAnsi="仿宋" w:eastAsia="仿宋" w:cs="仿宋"/>
          <w:color w:val="auto"/>
          <w:highlight w:val="none"/>
        </w:rPr>
        <w:t xml:space="preserve"> </w:t>
      </w:r>
      <w:r>
        <w:rPr>
          <w:rFonts w:hint="eastAsia" w:ascii="仿宋" w:hAnsi="仿宋" w:eastAsia="仿宋" w:cs="仿宋"/>
          <w:color w:val="auto"/>
          <w:highlight w:val="none"/>
          <w:lang w:val="en-US" w:eastAsia="zh-CN"/>
        </w:rPr>
        <w:t>总</w:t>
      </w:r>
      <w:r>
        <w:rPr>
          <w:rFonts w:hint="eastAsia" w:ascii="仿宋" w:hAnsi="仿宋" w:eastAsia="仿宋" w:cs="仿宋"/>
          <w:color w:val="auto"/>
          <w:highlight w:val="none"/>
          <w:lang w:eastAsia="zh-TW"/>
        </w:rPr>
        <w:t>合同协议书</w:t>
      </w:r>
      <w:bookmarkEnd w:id="504"/>
    </w:p>
    <w:p w14:paraId="240C97A3">
      <w:pPr>
        <w:pStyle w:val="95"/>
        <w:spacing w:line="360" w:lineRule="auto"/>
        <w:ind w:firstLine="480" w:firstLineChars="200"/>
        <w:jc w:val="left"/>
        <w:rPr>
          <w:rFonts w:hint="eastAsia" w:ascii="仿宋" w:hAnsi="仿宋" w:eastAsia="仿宋" w:cs="仿宋"/>
          <w:color w:val="auto"/>
          <w:highlight w:val="none"/>
        </w:rPr>
      </w:pPr>
    </w:p>
    <w:p w14:paraId="12221744">
      <w:pPr>
        <w:pStyle w:val="95"/>
        <w:spacing w:line="360" w:lineRule="auto"/>
        <w:ind w:firstLine="480" w:firstLineChars="200"/>
        <w:jc w:val="left"/>
        <w:rPr>
          <w:rFonts w:hint="eastAsia" w:ascii="仿宋" w:hAnsi="仿宋" w:eastAsia="仿宋" w:cs="仿宋"/>
          <w:color w:val="auto"/>
          <w:sz w:val="24"/>
          <w:szCs w:val="24"/>
          <w:highlight w:val="none"/>
          <w:lang w:val="zh-TW" w:eastAsia="zh-TW"/>
        </w:rPr>
      </w:pP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lang w:val="zh-TW" w:eastAsia="zh-TW"/>
        </w:rPr>
        <w:t>（发包人名称，以下简称</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zh-TW" w:eastAsia="zh-TW"/>
        </w:rPr>
        <w:t>发包人</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zh-TW" w:eastAsia="zh-TW"/>
        </w:rPr>
        <w:t>）为实施</w:t>
      </w:r>
      <w:r>
        <w:rPr>
          <w:rFonts w:hint="eastAsia" w:ascii="仿宋" w:hAnsi="仿宋" w:eastAsia="仿宋" w:cs="仿宋"/>
          <w:color w:val="auto"/>
          <w:sz w:val="24"/>
          <w:szCs w:val="24"/>
          <w:highlight w:val="none"/>
          <w:u w:val="single"/>
          <w:lang w:val="zh-TW"/>
        </w:rPr>
        <w:t xml:space="preserve">           </w:t>
      </w:r>
      <w:r>
        <w:rPr>
          <w:rFonts w:hint="eastAsia" w:ascii="仿宋" w:hAnsi="仿宋" w:eastAsia="仿宋" w:cs="仿宋"/>
          <w:color w:val="auto"/>
          <w:sz w:val="24"/>
          <w:szCs w:val="24"/>
          <w:highlight w:val="none"/>
          <w:u w:val="single"/>
        </w:rPr>
        <w:t xml:space="preserve">  项目             </w:t>
      </w:r>
      <w:r>
        <w:rPr>
          <w:rFonts w:hint="eastAsia" w:ascii="仿宋" w:hAnsi="仿宋" w:eastAsia="仿宋" w:cs="仿宋"/>
          <w:color w:val="auto"/>
          <w:sz w:val="24"/>
          <w:szCs w:val="24"/>
          <w:highlight w:val="none"/>
          <w:lang w:val="zh-TW" w:eastAsia="zh-TW"/>
        </w:rPr>
        <w:t>（项目名称），已接受</w:t>
      </w:r>
      <w:r>
        <w:rPr>
          <w:rFonts w:hint="eastAsia" w:ascii="仿宋" w:hAnsi="仿宋" w:eastAsia="仿宋" w:cs="仿宋"/>
          <w:color w:val="auto"/>
          <w:sz w:val="24"/>
          <w:szCs w:val="24"/>
          <w:highlight w:val="none"/>
          <w:lang w:val="zh-TW"/>
        </w:rPr>
        <w:t xml:space="preserve"> </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lang w:val="zh-TW" w:eastAsia="zh-TW"/>
        </w:rPr>
        <w:t>（联合体，以下简称</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zh-TW" w:eastAsia="zh-TW"/>
        </w:rPr>
        <w:t>承包人</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zh-TW" w:eastAsia="zh-TW"/>
        </w:rPr>
        <w:t>其中</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lang w:val="zh-TW" w:eastAsia="zh-TW"/>
        </w:rPr>
        <w:t>为牵头人）对该项目</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lang w:val="zh-TW" w:eastAsia="zh-TW"/>
        </w:rPr>
        <w:t>总承包投标。发包人和承包人共同达成如下合同。</w:t>
      </w:r>
    </w:p>
    <w:p w14:paraId="3A0FB8AD">
      <w:pPr>
        <w:pStyle w:val="5"/>
        <w:jc w:val="left"/>
        <w:outlineLvl w:val="1"/>
        <w:rPr>
          <w:rFonts w:hint="eastAsia" w:ascii="仿宋" w:hAnsi="仿宋" w:eastAsia="仿宋" w:cs="仿宋"/>
          <w:color w:val="auto"/>
          <w:highlight w:val="none"/>
        </w:rPr>
      </w:pPr>
      <w:bookmarkStart w:id="505" w:name="_Toc11385"/>
      <w:bookmarkStart w:id="506" w:name="_Toc12155"/>
      <w:r>
        <w:rPr>
          <w:rFonts w:hint="eastAsia" w:ascii="仿宋" w:hAnsi="仿宋" w:eastAsia="仿宋" w:cs="仿宋"/>
          <w:color w:val="auto"/>
          <w:highlight w:val="none"/>
          <w:lang w:val="en-US" w:eastAsia="zh-CN"/>
        </w:rPr>
        <w:t>一、</w:t>
      </w:r>
      <w:r>
        <w:rPr>
          <w:rFonts w:hint="eastAsia" w:ascii="仿宋" w:hAnsi="仿宋" w:eastAsia="仿宋" w:cs="仿宋"/>
          <w:color w:val="auto"/>
          <w:highlight w:val="none"/>
        </w:rPr>
        <w:t>工程概况</w:t>
      </w:r>
      <w:bookmarkEnd w:id="505"/>
      <w:bookmarkEnd w:id="506"/>
    </w:p>
    <w:p w14:paraId="082C98FF">
      <w:pPr>
        <w:pStyle w:val="95"/>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工程名称：</w:t>
      </w:r>
      <w:r>
        <w:rPr>
          <w:rFonts w:hint="eastAsia" w:ascii="仿宋" w:hAnsi="仿宋" w:eastAsia="仿宋" w:cs="仿宋"/>
          <w:color w:val="auto"/>
          <w:sz w:val="24"/>
          <w:szCs w:val="24"/>
          <w:highlight w:val="none"/>
          <w:u w:val="single" w:color="auto"/>
        </w:rPr>
        <w:t>营口市汇信资源循环利用(集团)有限公司新建营口市老边区污水处理厂项</w:t>
      </w:r>
      <w:r>
        <w:rPr>
          <w:rFonts w:hint="eastAsia" w:ascii="仿宋" w:hAnsi="仿宋" w:eastAsia="仿宋" w:cs="仿宋"/>
          <w:color w:val="auto"/>
          <w:sz w:val="24"/>
          <w:szCs w:val="24"/>
          <w:highlight w:val="none"/>
        </w:rPr>
        <w:t>目。</w:t>
      </w:r>
    </w:p>
    <w:p w14:paraId="31F62170">
      <w:pPr>
        <w:pStyle w:val="95"/>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工程地点：</w:t>
      </w:r>
      <w:r>
        <w:rPr>
          <w:rFonts w:hint="eastAsia" w:ascii="仿宋" w:hAnsi="仿宋" w:eastAsia="仿宋" w:cs="仿宋"/>
          <w:color w:val="auto"/>
          <w:sz w:val="24"/>
          <w:szCs w:val="24"/>
          <w:highlight w:val="none"/>
          <w:u w:val="single"/>
        </w:rPr>
        <w:t xml:space="preserve"> 辽宁省营口市老边区营大路与上白线交叉口东北侧   </w:t>
      </w:r>
      <w:r>
        <w:rPr>
          <w:rFonts w:hint="eastAsia" w:ascii="仿宋" w:hAnsi="仿宋" w:eastAsia="仿宋" w:cs="仿宋"/>
          <w:color w:val="auto"/>
          <w:sz w:val="24"/>
          <w:szCs w:val="24"/>
          <w:highlight w:val="none"/>
        </w:rPr>
        <w:t>。</w:t>
      </w:r>
    </w:p>
    <w:p w14:paraId="4A6DA55F">
      <w:pPr>
        <w:pStyle w:val="95"/>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工程审批、核准或备案文号：</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w:t>
      </w:r>
    </w:p>
    <w:p w14:paraId="6B6E05A0">
      <w:pPr>
        <w:pStyle w:val="95"/>
        <w:spacing w:line="360" w:lineRule="auto"/>
        <w:ind w:firstLine="480" w:firstLineChars="200"/>
        <w:jc w:val="left"/>
        <w:outlineLvl w:val="9"/>
        <w:rPr>
          <w:rFonts w:hint="eastAsia" w:ascii="仿宋" w:hAnsi="仿宋" w:eastAsia="仿宋" w:cs="仿宋"/>
          <w:color w:val="auto"/>
          <w:sz w:val="24"/>
          <w:szCs w:val="24"/>
          <w:highlight w:val="none"/>
        </w:rPr>
      </w:pPr>
      <w:bookmarkStart w:id="507" w:name="_Toc32125"/>
      <w:r>
        <w:rPr>
          <w:rFonts w:hint="eastAsia" w:ascii="仿宋" w:hAnsi="仿宋" w:eastAsia="仿宋" w:cs="仿宋"/>
          <w:color w:val="auto"/>
          <w:sz w:val="24"/>
          <w:szCs w:val="24"/>
          <w:highlight w:val="none"/>
        </w:rPr>
        <w:t>资金来源：</w:t>
      </w:r>
      <w:r>
        <w:rPr>
          <w:rFonts w:hint="eastAsia" w:ascii="仿宋" w:hAnsi="仿宋" w:eastAsia="仿宋" w:cs="仿宋"/>
          <w:color w:val="auto"/>
          <w:sz w:val="24"/>
          <w:szCs w:val="24"/>
          <w:highlight w:val="none"/>
          <w:u w:val="none"/>
        </w:rPr>
        <w:t>自筹</w:t>
      </w:r>
      <w:r>
        <w:rPr>
          <w:rFonts w:hint="eastAsia" w:ascii="仿宋" w:hAnsi="仿宋" w:eastAsia="仿宋" w:cs="仿宋"/>
          <w:color w:val="auto"/>
          <w:sz w:val="24"/>
          <w:szCs w:val="24"/>
          <w:highlight w:val="none"/>
        </w:rPr>
        <w:t>。</w:t>
      </w:r>
      <w:bookmarkEnd w:id="507"/>
    </w:p>
    <w:p w14:paraId="76DABC57">
      <w:pPr>
        <w:pStyle w:val="95"/>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工程内容及规模：</w:t>
      </w:r>
      <w:r>
        <w:rPr>
          <w:rFonts w:hint="eastAsia" w:ascii="仿宋" w:hAnsi="仿宋" w:eastAsia="仿宋" w:cs="仿宋"/>
          <w:color w:val="auto"/>
          <w:sz w:val="24"/>
          <w:szCs w:val="24"/>
          <w:highlight w:val="none"/>
          <w:u w:val="single"/>
        </w:rPr>
        <w:t xml:space="preserve"> 项目占地面积13600m，总建筑面积约4106.88m。建设内容包括:细格栅、调节池、SBR池、臭氧接触池、消毒池、综合处理间、臭氧发生间、综合楼等。该项目远期规划规模15000立方米/天，近期建设规模为8000立方米/天的污水处理厂。该项目年综合能源消费量为369.99tce(当量值)/909.17tce(等价值)，且年电力消费量为301.05万KW.H  </w:t>
      </w:r>
      <w:r>
        <w:rPr>
          <w:rFonts w:hint="eastAsia" w:ascii="仿宋" w:hAnsi="仿宋" w:eastAsia="仿宋" w:cs="仿宋"/>
          <w:color w:val="auto"/>
          <w:sz w:val="24"/>
          <w:szCs w:val="24"/>
          <w:highlight w:val="none"/>
        </w:rPr>
        <w:t>。</w:t>
      </w:r>
    </w:p>
    <w:p w14:paraId="3E3C8C13">
      <w:pPr>
        <w:pStyle w:val="95"/>
        <w:spacing w:line="360" w:lineRule="auto"/>
        <w:ind w:firstLine="480" w:firstLineChars="200"/>
        <w:jc w:val="left"/>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rPr>
        <w:t>工程承包范围：</w:t>
      </w:r>
      <w:r>
        <w:rPr>
          <w:rFonts w:hint="eastAsia" w:ascii="仿宋" w:hAnsi="仿宋" w:eastAsia="仿宋" w:cs="仿宋"/>
          <w:color w:val="auto"/>
          <w:sz w:val="24"/>
          <w:szCs w:val="24"/>
          <w:highlight w:val="none"/>
          <w:u w:val="single"/>
        </w:rPr>
        <w:t xml:space="preserve"> 营口市汇信资源循环利用(集团)有限公司新建营口市老边区污水处理厂项目的设计、施工、设备集成供货及服务、运营服务等实行全过程总承包。</w:t>
      </w:r>
    </w:p>
    <w:p w14:paraId="54738F15">
      <w:pPr>
        <w:pStyle w:val="95"/>
        <w:spacing w:line="360" w:lineRule="auto"/>
        <w:ind w:firstLine="480" w:firstLineChars="200"/>
        <w:jc w:val="left"/>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u w:val="single"/>
        </w:rPr>
        <w:t>（1）工程设计范围：完成本项目建设范围内的施工图设计、施工图优化并配合送审取得施工图审查合格书等工作；协助办理本工程引起的工程设计报建手续；施工过程技术服务及设计变更手续等。</w:t>
      </w:r>
    </w:p>
    <w:p w14:paraId="144749D3">
      <w:pPr>
        <w:pStyle w:val="95"/>
        <w:spacing w:line="360" w:lineRule="auto"/>
        <w:ind w:firstLine="480" w:firstLineChars="200"/>
        <w:jc w:val="left"/>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u w:val="single"/>
        </w:rPr>
        <w:t>（2）设备集成供货及服务：提供装配式（一体化）设备（处理量Q=8000m3/d）的生产与供货、全厂配套设备(含备品备件)生产与供货、技术参数、配套设备选型优化、设备运输、指导安装及指导调试、技术资料、培训、质量保证及售后服务等。</w:t>
      </w:r>
    </w:p>
    <w:p w14:paraId="0222F6F3">
      <w:pPr>
        <w:pStyle w:val="95"/>
        <w:spacing w:line="360" w:lineRule="auto"/>
        <w:ind w:firstLine="480" w:firstLineChars="200"/>
        <w:jc w:val="left"/>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u w:val="single"/>
        </w:rPr>
        <w:t>（3）工程施工范围：本项目设计范围内所有工程内容的施工（包人工、包材料设备、包安装、包质量、包工期、包安全、包文明施工、包竣工验收通过、包保修、包移交、包结算、包资料整理、包施工承包管理和现场整体组织、包专业协调及配合等），具体包括但不限于以下事项：</w:t>
      </w:r>
    </w:p>
    <w:p w14:paraId="717D25B2">
      <w:pPr>
        <w:pStyle w:val="95"/>
        <w:spacing w:line="360" w:lineRule="auto"/>
        <w:ind w:firstLine="480" w:firstLineChars="200"/>
        <w:jc w:val="left"/>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u w:val="single"/>
        </w:rPr>
        <w:t>1）协助发包人办理工程前期的报建、报批工作；</w:t>
      </w:r>
    </w:p>
    <w:p w14:paraId="42B45D52">
      <w:pPr>
        <w:pStyle w:val="95"/>
        <w:spacing w:line="360" w:lineRule="auto"/>
        <w:ind w:firstLine="480" w:firstLineChars="200"/>
        <w:jc w:val="left"/>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u w:val="single"/>
        </w:rPr>
        <w:t xml:space="preserve">2）根据发包人要求，负责施工，负责设备保管、安装及调试； </w:t>
      </w:r>
    </w:p>
    <w:p w14:paraId="1441D4F8">
      <w:pPr>
        <w:pStyle w:val="95"/>
        <w:spacing w:line="360" w:lineRule="auto"/>
        <w:ind w:firstLine="480" w:firstLineChars="200"/>
        <w:jc w:val="left"/>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u w:val="single"/>
        </w:rPr>
        <w:t>3）负责项目施工全过程工程建设管理，直至工程竣工验收备案、项目移交的工程总承包，配合业主办理结算审计等工作，完成本项目保修期内的缺陷修复和保修工作等；</w:t>
      </w:r>
    </w:p>
    <w:p w14:paraId="40784121">
      <w:pPr>
        <w:pStyle w:val="95"/>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u w:val="single"/>
        </w:rPr>
        <w:t xml:space="preserve">（4）运营范围：负责老边区污水处理厂及其配套污水收集管网及尾水排放管的运营、管理、维护。本项目运营期3年 </w:t>
      </w:r>
      <w:r>
        <w:rPr>
          <w:rFonts w:hint="eastAsia" w:ascii="仿宋" w:hAnsi="仿宋" w:eastAsia="仿宋" w:cs="仿宋"/>
          <w:color w:val="auto"/>
          <w:sz w:val="24"/>
          <w:szCs w:val="24"/>
          <w:highlight w:val="none"/>
        </w:rPr>
        <w:t>。</w:t>
      </w:r>
    </w:p>
    <w:p w14:paraId="60675BA3">
      <w:pPr>
        <w:pStyle w:val="5"/>
        <w:jc w:val="left"/>
        <w:outlineLvl w:val="1"/>
        <w:rPr>
          <w:rFonts w:hint="eastAsia" w:ascii="仿宋" w:hAnsi="仿宋" w:eastAsia="仿宋" w:cs="仿宋"/>
          <w:color w:val="auto"/>
          <w:highlight w:val="none"/>
        </w:rPr>
      </w:pPr>
      <w:bookmarkStart w:id="508" w:name="_Toc3690"/>
      <w:bookmarkStart w:id="509" w:name="_Toc10919"/>
      <w:r>
        <w:rPr>
          <w:rFonts w:hint="eastAsia" w:ascii="仿宋" w:hAnsi="仿宋" w:eastAsia="仿宋" w:cs="仿宋"/>
          <w:color w:val="auto"/>
          <w:highlight w:val="none"/>
          <w:lang w:val="en-US" w:eastAsia="zh-CN"/>
        </w:rPr>
        <w:t>二、</w:t>
      </w:r>
      <w:r>
        <w:rPr>
          <w:rFonts w:hint="eastAsia" w:ascii="仿宋" w:hAnsi="仿宋" w:eastAsia="仿宋" w:cs="仿宋"/>
          <w:color w:val="auto"/>
          <w:highlight w:val="none"/>
        </w:rPr>
        <w:t>合同工期</w:t>
      </w:r>
      <w:bookmarkEnd w:id="508"/>
      <w:bookmarkEnd w:id="509"/>
    </w:p>
    <w:p w14:paraId="45DCFEB4">
      <w:pPr>
        <w:pStyle w:val="95"/>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计划开始工作日期：</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年</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月</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日。工期总日历天数：</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天（从监理发出的进场通知书之日起计）。工期总日历天数与根据前述计划日期计算的工期天数不一致的，以工期总日历天数为准。</w:t>
      </w:r>
    </w:p>
    <w:p w14:paraId="2F50BAE2">
      <w:pPr>
        <w:spacing w:line="440" w:lineRule="exact"/>
        <w:ind w:firstLine="410" w:firstLineChars="171"/>
        <w:jc w:val="left"/>
        <w:rPr>
          <w:rFonts w:hint="eastAsia" w:ascii="仿宋" w:hAnsi="仿宋" w:eastAsia="仿宋" w:cs="仿宋"/>
          <w:color w:val="auto"/>
          <w:kern w:val="2"/>
          <w:sz w:val="24"/>
          <w:szCs w:val="24"/>
          <w:highlight w:val="none"/>
          <w:u w:color="000000"/>
          <w:lang w:val="en-US" w:eastAsia="zh-CN" w:bidi="ar-SA"/>
        </w:rPr>
      </w:pPr>
      <w:bookmarkStart w:id="510" w:name="_Toc14246"/>
      <w:r>
        <w:rPr>
          <w:rFonts w:hint="eastAsia" w:ascii="仿宋" w:hAnsi="仿宋" w:eastAsia="仿宋" w:cs="仿宋"/>
          <w:color w:val="auto"/>
          <w:kern w:val="2"/>
          <w:sz w:val="24"/>
          <w:szCs w:val="24"/>
          <w:highlight w:val="none"/>
          <w:u w:color="000000"/>
          <w:lang w:val="en-US" w:eastAsia="zh-CN" w:bidi="ar-SA"/>
        </w:rPr>
        <w:t>2.1设计工期：在合同签订后</w:t>
      </w:r>
      <w:r>
        <w:rPr>
          <w:rFonts w:hint="eastAsia" w:ascii="仿宋" w:hAnsi="仿宋" w:eastAsia="仿宋" w:cs="仿宋"/>
          <w:color w:val="auto"/>
          <w:kern w:val="2"/>
          <w:sz w:val="24"/>
          <w:szCs w:val="24"/>
          <w:highlight w:val="none"/>
          <w:u w:val="single" w:color="auto"/>
          <w:lang w:val="en-US" w:eastAsia="zh-CN" w:bidi="ar-SA"/>
        </w:rPr>
        <w:t xml:space="preserve">   </w:t>
      </w:r>
      <w:r>
        <w:rPr>
          <w:rFonts w:hint="eastAsia" w:ascii="仿宋" w:hAnsi="仿宋" w:eastAsia="仿宋" w:cs="仿宋"/>
          <w:color w:val="auto"/>
          <w:kern w:val="2"/>
          <w:sz w:val="24"/>
          <w:szCs w:val="24"/>
          <w:highlight w:val="none"/>
          <w:u w:color="000000"/>
          <w:lang w:val="en-US" w:eastAsia="zh-CN" w:bidi="ar-SA"/>
        </w:rPr>
        <w:t>个日历天完成</w:t>
      </w:r>
      <w:r>
        <w:rPr>
          <w:rFonts w:hint="eastAsia" w:ascii="仿宋" w:hAnsi="仿宋" w:eastAsia="仿宋" w:cs="仿宋"/>
          <w:color w:val="auto"/>
          <w:kern w:val="2"/>
          <w:sz w:val="24"/>
          <w:szCs w:val="24"/>
          <w:highlight w:val="none"/>
          <w:u w:val="single" w:color="auto"/>
          <w:lang w:val="en-US" w:eastAsia="zh-CN" w:bidi="ar-SA"/>
        </w:rPr>
        <w:t xml:space="preserve">     </w:t>
      </w:r>
      <w:r>
        <w:rPr>
          <w:rFonts w:hint="eastAsia" w:ascii="仿宋" w:hAnsi="仿宋" w:eastAsia="仿宋" w:cs="仿宋"/>
          <w:color w:val="auto"/>
          <w:kern w:val="2"/>
          <w:sz w:val="24"/>
          <w:szCs w:val="24"/>
          <w:highlight w:val="none"/>
          <w:u w:color="000000"/>
          <w:lang w:val="en-US" w:eastAsia="zh-CN" w:bidi="ar-SA"/>
        </w:rPr>
        <w:t>设计等工作。</w:t>
      </w:r>
    </w:p>
    <w:p w14:paraId="54E9E012">
      <w:pPr>
        <w:spacing w:line="440" w:lineRule="exact"/>
        <w:ind w:firstLine="410" w:firstLineChars="171"/>
        <w:jc w:val="left"/>
        <w:rPr>
          <w:rFonts w:hint="eastAsia" w:ascii="仿宋" w:hAnsi="仿宋" w:eastAsia="仿宋" w:cs="仿宋"/>
          <w:color w:val="auto"/>
          <w:kern w:val="2"/>
          <w:sz w:val="24"/>
          <w:szCs w:val="24"/>
          <w:highlight w:val="none"/>
          <w:u w:color="000000"/>
          <w:lang w:val="en-US" w:eastAsia="zh-CN" w:bidi="ar-SA"/>
        </w:rPr>
      </w:pPr>
      <w:r>
        <w:rPr>
          <w:rFonts w:hint="eastAsia" w:ascii="仿宋" w:hAnsi="仿宋" w:eastAsia="仿宋" w:cs="仿宋"/>
          <w:color w:val="auto"/>
          <w:kern w:val="2"/>
          <w:sz w:val="24"/>
          <w:szCs w:val="24"/>
          <w:highlight w:val="none"/>
          <w:u w:color="000000"/>
          <w:lang w:val="en-US" w:eastAsia="zh-CN" w:bidi="ar-SA"/>
        </w:rPr>
        <w:t>2.2施工工期：</w:t>
      </w:r>
      <w:r>
        <w:rPr>
          <w:rFonts w:hint="eastAsia" w:ascii="仿宋" w:hAnsi="仿宋" w:cs="仿宋"/>
          <w:color w:val="auto"/>
          <w:kern w:val="2"/>
          <w:sz w:val="24"/>
          <w:szCs w:val="24"/>
          <w:highlight w:val="none"/>
          <w:u w:color="000000"/>
          <w:lang w:val="en-US" w:eastAsia="zh-CN" w:bidi="ar-SA"/>
        </w:rPr>
        <w:t xml:space="preserve">   </w:t>
      </w:r>
      <w:r>
        <w:rPr>
          <w:rFonts w:hint="eastAsia" w:ascii="仿宋" w:hAnsi="仿宋" w:eastAsia="仿宋" w:cs="仿宋"/>
          <w:color w:val="auto"/>
          <w:kern w:val="2"/>
          <w:sz w:val="24"/>
          <w:szCs w:val="24"/>
          <w:highlight w:val="none"/>
          <w:u w:color="000000"/>
          <w:lang w:val="en-US" w:eastAsia="zh-CN" w:bidi="ar-SA"/>
        </w:rPr>
        <w:t>日历天（开工日期以监理工程师发出开工通知为准）。</w:t>
      </w:r>
    </w:p>
    <w:p w14:paraId="00D5E81A">
      <w:pPr>
        <w:spacing w:line="440" w:lineRule="exact"/>
        <w:ind w:firstLine="410" w:firstLineChars="171"/>
        <w:jc w:val="left"/>
        <w:rPr>
          <w:rFonts w:hint="eastAsia" w:ascii="仿宋" w:hAnsi="仿宋" w:eastAsia="仿宋" w:cs="仿宋"/>
          <w:color w:val="auto"/>
          <w:kern w:val="2"/>
          <w:sz w:val="24"/>
          <w:szCs w:val="24"/>
          <w:highlight w:val="none"/>
          <w:u w:color="000000"/>
          <w:lang w:val="en-US" w:eastAsia="zh-CN" w:bidi="ar-SA"/>
        </w:rPr>
      </w:pPr>
      <w:r>
        <w:rPr>
          <w:rFonts w:hint="eastAsia" w:ascii="仿宋" w:hAnsi="仿宋" w:eastAsia="仿宋" w:cs="仿宋"/>
          <w:color w:val="auto"/>
          <w:kern w:val="2"/>
          <w:sz w:val="24"/>
          <w:szCs w:val="24"/>
          <w:highlight w:val="none"/>
          <w:u w:color="000000"/>
          <w:lang w:val="en-US" w:eastAsia="zh-CN" w:bidi="ar-SA"/>
        </w:rPr>
        <w:t>2.3 设备交货期限：按《设备集成供货及服务专用条款》内容。</w:t>
      </w:r>
    </w:p>
    <w:p w14:paraId="75096878">
      <w:pPr>
        <w:spacing w:line="440" w:lineRule="exact"/>
        <w:ind w:firstLine="410" w:firstLineChars="171"/>
        <w:jc w:val="left"/>
        <w:rPr>
          <w:rFonts w:hint="eastAsia" w:ascii="仿宋" w:hAnsi="仿宋" w:eastAsia="仿宋" w:cs="仿宋"/>
          <w:color w:val="auto"/>
          <w:highlight w:val="none"/>
          <w:lang w:val="en-US" w:eastAsia="zh-CN"/>
        </w:rPr>
      </w:pPr>
      <w:r>
        <w:rPr>
          <w:rFonts w:hint="eastAsia" w:ascii="仿宋" w:hAnsi="仿宋" w:eastAsia="仿宋" w:cs="仿宋"/>
          <w:color w:val="auto"/>
          <w:kern w:val="2"/>
          <w:sz w:val="24"/>
          <w:szCs w:val="24"/>
          <w:highlight w:val="none"/>
          <w:u w:color="000000"/>
          <w:lang w:val="en-US" w:eastAsia="zh-CN" w:bidi="ar-SA"/>
        </w:rPr>
        <w:t>2.4运营管理期限：</w:t>
      </w:r>
      <w:r>
        <w:rPr>
          <w:rFonts w:hint="eastAsia" w:ascii="仿宋" w:hAnsi="仿宋" w:eastAsia="仿宋" w:cs="仿宋"/>
          <w:color w:val="auto"/>
          <w:kern w:val="2"/>
          <w:sz w:val="24"/>
          <w:szCs w:val="24"/>
          <w:highlight w:val="none"/>
          <w:u w:val="single" w:color="auto"/>
          <w:lang w:val="en-US" w:eastAsia="zh-CN" w:bidi="ar-SA"/>
        </w:rPr>
        <w:t xml:space="preserve">    </w:t>
      </w:r>
      <w:r>
        <w:rPr>
          <w:rFonts w:hint="eastAsia" w:ascii="仿宋" w:hAnsi="仿宋" w:eastAsia="仿宋" w:cs="仿宋"/>
          <w:color w:val="auto"/>
          <w:kern w:val="2"/>
          <w:sz w:val="24"/>
          <w:szCs w:val="24"/>
          <w:highlight w:val="none"/>
          <w:u w:color="000000"/>
          <w:lang w:val="en-US" w:eastAsia="zh-CN" w:bidi="ar-SA"/>
        </w:rPr>
        <w:t>年，自出水连续稳定达标7日之次日进入运营管理期。</w:t>
      </w:r>
    </w:p>
    <w:p w14:paraId="4A241BA1">
      <w:pPr>
        <w:pStyle w:val="5"/>
        <w:jc w:val="left"/>
        <w:outlineLvl w:val="1"/>
        <w:rPr>
          <w:rFonts w:hint="eastAsia" w:ascii="仿宋" w:hAnsi="仿宋" w:eastAsia="仿宋" w:cs="仿宋"/>
          <w:color w:val="auto"/>
          <w:highlight w:val="none"/>
        </w:rPr>
      </w:pPr>
      <w:bookmarkStart w:id="511" w:name="_Toc24672"/>
      <w:r>
        <w:rPr>
          <w:rFonts w:hint="eastAsia" w:ascii="仿宋" w:hAnsi="仿宋" w:eastAsia="仿宋" w:cs="仿宋"/>
          <w:color w:val="auto"/>
          <w:highlight w:val="none"/>
          <w:lang w:val="en-US" w:eastAsia="zh-CN"/>
        </w:rPr>
        <w:t>三、</w:t>
      </w:r>
      <w:r>
        <w:rPr>
          <w:rFonts w:hint="eastAsia" w:ascii="仿宋" w:hAnsi="仿宋" w:eastAsia="仿宋" w:cs="仿宋"/>
          <w:color w:val="auto"/>
          <w:highlight w:val="none"/>
        </w:rPr>
        <w:t>承包范围</w:t>
      </w:r>
      <w:bookmarkEnd w:id="510"/>
      <w:bookmarkEnd w:id="511"/>
    </w:p>
    <w:p w14:paraId="759F27B2">
      <w:pPr>
        <w:pStyle w:val="95"/>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3.1</w:t>
      </w:r>
      <w:r>
        <w:rPr>
          <w:rFonts w:hint="eastAsia" w:ascii="仿宋" w:hAnsi="仿宋" w:eastAsia="仿宋" w:cs="仿宋"/>
          <w:color w:val="auto"/>
          <w:sz w:val="24"/>
          <w:szCs w:val="24"/>
          <w:highlight w:val="none"/>
        </w:rPr>
        <w:t>工程设计范围：完成本项目建设范围内的施工图设计、施工图优化并配合送审取得施工图审查合格书等工作；协助办理本工程引起的工程设计报建手续；施工过程技术服务及设计变更手续等；</w:t>
      </w:r>
    </w:p>
    <w:p w14:paraId="4737A801">
      <w:pPr>
        <w:pStyle w:val="95"/>
        <w:spacing w:line="360" w:lineRule="auto"/>
        <w:ind w:firstLine="480" w:firstLineChars="200"/>
        <w:jc w:val="left"/>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val="en-US" w:eastAsia="zh-CN"/>
        </w:rPr>
        <w:t>3.2</w:t>
      </w:r>
      <w:r>
        <w:rPr>
          <w:rFonts w:hint="eastAsia" w:ascii="仿宋" w:hAnsi="仿宋" w:eastAsia="仿宋" w:cs="仿宋"/>
          <w:color w:val="auto"/>
          <w:sz w:val="24"/>
          <w:szCs w:val="24"/>
          <w:highlight w:val="none"/>
        </w:rPr>
        <w:t>设备采购及服务：提供装配式（一体化）设备（处理量Q=8000m3/d）的生产与供货、全厂配套设备(含备品备件)生产与供货、技术参数、配套设备选型优化、设备运输、指导安装及指导调试、技术资料、培训、质量保证及售后服务等</w:t>
      </w:r>
      <w:r>
        <w:rPr>
          <w:rFonts w:hint="eastAsia" w:ascii="仿宋" w:hAnsi="仿宋" w:cs="仿宋"/>
          <w:color w:val="auto"/>
          <w:sz w:val="24"/>
          <w:szCs w:val="24"/>
          <w:highlight w:val="none"/>
          <w:lang w:eastAsia="zh-CN"/>
        </w:rPr>
        <w:t>。</w:t>
      </w:r>
    </w:p>
    <w:p w14:paraId="38FCA226">
      <w:pPr>
        <w:pStyle w:val="95"/>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w:t>
      </w: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rPr>
        <w:t>工程施工范围：本项目设计范围内所有工程内容的施工（包人工、包材料设备、包安装、包质量、包工期、包安全、包文明施工、包竣工验收通过、包保修、包移交、包结算、包资料整理、包施工承包管理和现场整体组织、包专业协调及配合等），具体包括但不限于以下事项：</w:t>
      </w:r>
    </w:p>
    <w:p w14:paraId="4FD3B52A">
      <w:pPr>
        <w:pStyle w:val="95"/>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1）协助发包人办理工程前期的报建、报批工作；</w:t>
      </w:r>
    </w:p>
    <w:p w14:paraId="4E560858">
      <w:pPr>
        <w:pStyle w:val="95"/>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2）根据发包人要求，负责施工，负责设备保管、安装及调试； </w:t>
      </w:r>
    </w:p>
    <w:p w14:paraId="7D747442">
      <w:pPr>
        <w:pStyle w:val="95"/>
        <w:spacing w:line="360" w:lineRule="auto"/>
        <w:ind w:firstLine="480" w:firstLineChars="200"/>
        <w:jc w:val="left"/>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3）负责项目设计采购施工全过程工程建设管理，直至工程竣工验收备案、项目移交的工程总承包，配合业主办理结（决）算审计等工作，完成本项目保修期内的缺陷修复和保修工作等</w:t>
      </w:r>
      <w:r>
        <w:rPr>
          <w:rFonts w:hint="eastAsia" w:ascii="仿宋" w:hAnsi="仿宋" w:cs="仿宋"/>
          <w:color w:val="auto"/>
          <w:sz w:val="24"/>
          <w:szCs w:val="24"/>
          <w:highlight w:val="none"/>
          <w:lang w:eastAsia="zh-CN"/>
        </w:rPr>
        <w:t>。</w:t>
      </w:r>
    </w:p>
    <w:p w14:paraId="779D1510">
      <w:pPr>
        <w:pStyle w:val="95"/>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rPr>
        <w:t>4运营服务范围：负责老边区污水处理厂及其配套污水收集管网及尾水排放管的运营、管理、维护。本项目运营期3年。</w:t>
      </w:r>
    </w:p>
    <w:p w14:paraId="603E0836">
      <w:pPr>
        <w:pStyle w:val="95"/>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        </w:t>
      </w:r>
    </w:p>
    <w:p w14:paraId="46CDF421">
      <w:pPr>
        <w:pStyle w:val="5"/>
        <w:jc w:val="left"/>
        <w:outlineLvl w:val="1"/>
        <w:rPr>
          <w:rFonts w:hint="eastAsia" w:ascii="仿宋" w:hAnsi="仿宋" w:eastAsia="仿宋" w:cs="仿宋"/>
          <w:color w:val="auto"/>
          <w:highlight w:val="none"/>
        </w:rPr>
      </w:pPr>
      <w:bookmarkStart w:id="512" w:name="_Toc12311"/>
      <w:bookmarkStart w:id="513" w:name="_Toc16747"/>
      <w:r>
        <w:rPr>
          <w:rFonts w:hint="eastAsia" w:ascii="仿宋" w:hAnsi="仿宋" w:eastAsia="仿宋" w:cs="仿宋"/>
          <w:color w:val="auto"/>
          <w:highlight w:val="none"/>
          <w:lang w:val="en-US" w:eastAsia="zh-CN"/>
        </w:rPr>
        <w:t>四、</w:t>
      </w:r>
      <w:r>
        <w:rPr>
          <w:rFonts w:hint="eastAsia" w:ascii="仿宋" w:hAnsi="仿宋" w:eastAsia="仿宋" w:cs="仿宋"/>
          <w:color w:val="auto"/>
          <w:highlight w:val="none"/>
        </w:rPr>
        <w:t>合同价款</w:t>
      </w:r>
      <w:bookmarkEnd w:id="512"/>
      <w:bookmarkEnd w:id="513"/>
    </w:p>
    <w:p w14:paraId="661B8122">
      <w:pPr>
        <w:pStyle w:val="95"/>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签约合同价：（大写）</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元）</w:t>
      </w:r>
    </w:p>
    <w:p w14:paraId="4835EBD0">
      <w:pPr>
        <w:pStyle w:val="95"/>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其中：</w:t>
      </w:r>
    </w:p>
    <w:p w14:paraId="57A46B12">
      <w:pPr>
        <w:jc w:val="left"/>
        <w:rPr>
          <w:rFonts w:hint="eastAsia" w:ascii="仿宋" w:hAnsi="仿宋" w:eastAsia="仿宋" w:cs="仿宋"/>
          <w:color w:val="auto"/>
          <w:highlight w:val="none"/>
        </w:rPr>
      </w:pPr>
      <w:bookmarkStart w:id="514" w:name="_Toc4553"/>
      <w:r>
        <w:rPr>
          <w:rFonts w:hint="eastAsia" w:ascii="仿宋" w:hAnsi="仿宋" w:eastAsia="仿宋" w:cs="仿宋"/>
          <w:color w:val="auto"/>
          <w:highlight w:val="none"/>
          <w:lang w:val="en-US" w:eastAsia="zh-CN"/>
        </w:rPr>
        <w:t>4.</w:t>
      </w:r>
      <w:r>
        <w:rPr>
          <w:rFonts w:hint="eastAsia" w:ascii="仿宋" w:hAnsi="仿宋" w:eastAsia="仿宋" w:cs="仿宋"/>
          <w:color w:val="auto"/>
          <w:highlight w:val="none"/>
        </w:rPr>
        <w:t>1设计费（含税）：</w:t>
      </w:r>
      <w:bookmarkEnd w:id="514"/>
    </w:p>
    <w:p w14:paraId="59AC6994">
      <w:pPr>
        <w:pStyle w:val="95"/>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人民币（大写)</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元）；适用税率：</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%，税金为人民币（大写)</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元）</w:t>
      </w:r>
    </w:p>
    <w:p w14:paraId="465B3D04">
      <w:pPr>
        <w:jc w:val="left"/>
        <w:rPr>
          <w:rFonts w:hint="eastAsia" w:ascii="仿宋" w:hAnsi="仿宋" w:eastAsia="仿宋" w:cs="仿宋"/>
          <w:color w:val="auto"/>
          <w:highlight w:val="none"/>
        </w:rPr>
      </w:pPr>
      <w:bookmarkStart w:id="515" w:name="_Toc21841"/>
      <w:r>
        <w:rPr>
          <w:rFonts w:hint="eastAsia" w:ascii="仿宋" w:hAnsi="仿宋" w:eastAsia="仿宋" w:cs="仿宋"/>
          <w:color w:val="auto"/>
          <w:highlight w:val="none"/>
          <w:lang w:val="en-US" w:eastAsia="zh-CN"/>
        </w:rPr>
        <w:t>4.</w:t>
      </w:r>
      <w:r>
        <w:rPr>
          <w:rFonts w:hint="eastAsia" w:ascii="仿宋" w:hAnsi="仿宋" w:eastAsia="仿宋" w:cs="仿宋"/>
          <w:color w:val="auto"/>
          <w:highlight w:val="none"/>
        </w:rPr>
        <w:t>2设备采购费（含税）：</w:t>
      </w:r>
      <w:bookmarkEnd w:id="515"/>
    </w:p>
    <w:p w14:paraId="35408BA9">
      <w:pPr>
        <w:pStyle w:val="95"/>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人民币（大写)</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元）；适用税率：</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%，税金为人民币（大写)</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元）</w:t>
      </w:r>
    </w:p>
    <w:p w14:paraId="083A97A2">
      <w:pPr>
        <w:jc w:val="left"/>
        <w:rPr>
          <w:rFonts w:hint="eastAsia" w:ascii="仿宋" w:hAnsi="仿宋" w:eastAsia="仿宋" w:cs="仿宋"/>
          <w:color w:val="auto"/>
          <w:highlight w:val="none"/>
        </w:rPr>
      </w:pPr>
      <w:bookmarkStart w:id="516" w:name="_Toc13267"/>
      <w:r>
        <w:rPr>
          <w:rFonts w:hint="eastAsia" w:ascii="仿宋" w:hAnsi="仿宋" w:eastAsia="仿宋" w:cs="仿宋"/>
          <w:color w:val="auto"/>
          <w:highlight w:val="none"/>
          <w:lang w:val="en-US" w:eastAsia="zh-CN"/>
        </w:rPr>
        <w:t>4.</w:t>
      </w:r>
      <w:r>
        <w:rPr>
          <w:rFonts w:hint="eastAsia" w:ascii="仿宋" w:hAnsi="仿宋" w:eastAsia="仿宋" w:cs="仿宋"/>
          <w:color w:val="auto"/>
          <w:highlight w:val="none"/>
        </w:rPr>
        <w:t>3工程费（含税）：</w:t>
      </w:r>
      <w:bookmarkEnd w:id="516"/>
    </w:p>
    <w:p w14:paraId="4AD7CF08">
      <w:pPr>
        <w:pStyle w:val="95"/>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4.</w:t>
      </w:r>
      <w:r>
        <w:rPr>
          <w:rFonts w:hint="eastAsia" w:ascii="仿宋" w:hAnsi="仿宋" w:eastAsia="仿宋" w:cs="仿宋"/>
          <w:color w:val="auto"/>
          <w:sz w:val="24"/>
          <w:szCs w:val="24"/>
          <w:highlight w:val="none"/>
        </w:rPr>
        <w:t>3.1建筑</w:t>
      </w:r>
      <w:r>
        <w:rPr>
          <w:rFonts w:hint="eastAsia" w:ascii="仿宋" w:hAnsi="仿宋" w:eastAsia="仿宋" w:cs="仿宋"/>
          <w:color w:val="auto"/>
          <w:sz w:val="24"/>
          <w:szCs w:val="24"/>
          <w:highlight w:val="none"/>
          <w:lang w:val="en-GB"/>
        </w:rPr>
        <w:t>工程费用（含税）：</w:t>
      </w:r>
      <w:r>
        <w:rPr>
          <w:rFonts w:hint="eastAsia" w:ascii="仿宋" w:hAnsi="仿宋" w:eastAsia="仿宋" w:cs="仿宋"/>
          <w:color w:val="auto"/>
          <w:sz w:val="24"/>
          <w:szCs w:val="24"/>
          <w:highlight w:val="none"/>
        </w:rPr>
        <w:t>人民币（大写)</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元）；适用税率</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 xml:space="preserve">%，税金为人民币（大写) </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元）；</w:t>
      </w:r>
    </w:p>
    <w:p w14:paraId="542E540D">
      <w:pPr>
        <w:pStyle w:val="95"/>
        <w:spacing w:line="360" w:lineRule="auto"/>
        <w:ind w:firstLine="480" w:firstLineChars="200"/>
        <w:jc w:val="left"/>
        <w:rPr>
          <w:rFonts w:hint="eastAsia" w:ascii="仿宋" w:hAnsi="仿宋" w:eastAsia="仿宋" w:cs="仿宋"/>
          <w:color w:val="auto"/>
          <w:sz w:val="24"/>
          <w:szCs w:val="24"/>
          <w:highlight w:val="none"/>
          <w:lang w:val="zh-TW" w:eastAsia="zh-TW"/>
        </w:rPr>
      </w:pPr>
      <w:r>
        <w:rPr>
          <w:rFonts w:hint="eastAsia" w:ascii="仿宋" w:hAnsi="仿宋" w:eastAsia="仿宋" w:cs="仿宋"/>
          <w:color w:val="auto"/>
          <w:sz w:val="24"/>
          <w:szCs w:val="24"/>
          <w:highlight w:val="none"/>
          <w:lang w:val="en-US" w:eastAsia="zh-CN"/>
        </w:rPr>
        <w:t>4.</w:t>
      </w:r>
      <w:r>
        <w:rPr>
          <w:rFonts w:hint="eastAsia" w:ascii="仿宋" w:hAnsi="仿宋" w:eastAsia="仿宋" w:cs="仿宋"/>
          <w:color w:val="auto"/>
          <w:sz w:val="24"/>
          <w:szCs w:val="24"/>
          <w:highlight w:val="none"/>
        </w:rPr>
        <w:t>3.2</w:t>
      </w:r>
      <w:r>
        <w:rPr>
          <w:rFonts w:hint="eastAsia" w:ascii="仿宋" w:hAnsi="仿宋" w:eastAsia="仿宋" w:cs="仿宋"/>
          <w:color w:val="auto"/>
          <w:sz w:val="24"/>
          <w:szCs w:val="24"/>
          <w:highlight w:val="none"/>
          <w:lang w:val="zh-TW" w:eastAsia="zh-TW"/>
        </w:rPr>
        <w:t>预备费人民币（大写）</w:t>
      </w:r>
      <w:r>
        <w:rPr>
          <w:rFonts w:hint="eastAsia" w:ascii="仿宋" w:hAnsi="仿宋" w:eastAsia="仿宋" w:cs="仿宋"/>
          <w:color w:val="auto"/>
          <w:sz w:val="24"/>
          <w:szCs w:val="24"/>
          <w:highlight w:val="none"/>
          <w:u w:val="single"/>
          <w:lang w:val="zh-TW" w:eastAsia="zh-TW"/>
        </w:rPr>
        <w:t xml:space="preserve"> </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u w:val="single"/>
          <w:lang w:val="zh-TW" w:eastAsia="zh-TW"/>
        </w:rPr>
        <w:t xml:space="preserve">         </w:t>
      </w:r>
      <w:r>
        <w:rPr>
          <w:rFonts w:hint="eastAsia" w:ascii="仿宋" w:hAnsi="仿宋" w:eastAsia="仿宋" w:cs="仿宋"/>
          <w:color w:val="auto"/>
          <w:sz w:val="24"/>
          <w:szCs w:val="24"/>
          <w:highlight w:val="none"/>
          <w:lang w:val="zh-TW" w:eastAsia="zh-TW"/>
        </w:rPr>
        <w:t>（</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lang w:val="zh-TW" w:eastAsia="zh-TW"/>
        </w:rPr>
        <w:t>）；</w:t>
      </w:r>
    </w:p>
    <w:p w14:paraId="105B5104">
      <w:pPr>
        <w:jc w:val="left"/>
        <w:rPr>
          <w:rFonts w:hint="eastAsia" w:ascii="仿宋" w:hAnsi="仿宋" w:eastAsia="仿宋" w:cs="仿宋"/>
          <w:color w:val="auto"/>
          <w:highlight w:val="none"/>
        </w:rPr>
      </w:pPr>
      <w:bookmarkStart w:id="517" w:name="_Toc13353"/>
      <w:r>
        <w:rPr>
          <w:rFonts w:hint="eastAsia" w:ascii="仿宋" w:hAnsi="仿宋" w:eastAsia="仿宋" w:cs="仿宋"/>
          <w:color w:val="auto"/>
          <w:highlight w:val="none"/>
          <w:lang w:val="en-US" w:eastAsia="zh-CN"/>
        </w:rPr>
        <w:t>4.4污水处理服务费</w:t>
      </w:r>
      <w:r>
        <w:rPr>
          <w:rFonts w:hint="eastAsia" w:ascii="仿宋" w:hAnsi="仿宋" w:eastAsia="仿宋" w:cs="仿宋"/>
          <w:color w:val="auto"/>
          <w:highlight w:val="none"/>
        </w:rPr>
        <w:t>（含税）：</w:t>
      </w:r>
      <w:bookmarkEnd w:id="517"/>
    </w:p>
    <w:p w14:paraId="2F2D9848">
      <w:pPr>
        <w:pStyle w:val="95"/>
        <w:spacing w:after="0"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吨水价格为</w:t>
      </w:r>
      <w:r>
        <w:rPr>
          <w:rFonts w:hint="eastAsia" w:ascii="仿宋" w:hAnsi="仿宋" w:eastAsia="仿宋" w:cs="仿宋"/>
          <w:color w:val="auto"/>
          <w:sz w:val="24"/>
          <w:szCs w:val="24"/>
          <w:highlight w:val="none"/>
        </w:rPr>
        <w:t>（大写)</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元）；适用税率：</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eastAsia="zh-CN"/>
        </w:rPr>
        <w:t>。</w:t>
      </w:r>
    </w:p>
    <w:p w14:paraId="3F5C33BE">
      <w:pPr>
        <w:pStyle w:val="5"/>
        <w:jc w:val="left"/>
        <w:outlineLvl w:val="1"/>
        <w:rPr>
          <w:rFonts w:hint="eastAsia" w:ascii="仿宋" w:hAnsi="仿宋" w:eastAsia="仿宋" w:cs="仿宋"/>
          <w:color w:val="auto"/>
          <w:highlight w:val="none"/>
          <w:lang w:val="en-US" w:eastAsia="zh-CN"/>
        </w:rPr>
      </w:pPr>
      <w:bookmarkStart w:id="518" w:name="_Toc23045"/>
      <w:bookmarkStart w:id="519" w:name="_Toc28625"/>
      <w:r>
        <w:rPr>
          <w:rFonts w:hint="eastAsia" w:ascii="仿宋" w:hAnsi="仿宋" w:eastAsia="仿宋" w:cs="仿宋"/>
          <w:color w:val="auto"/>
          <w:highlight w:val="none"/>
          <w:lang w:val="en-US" w:eastAsia="zh-CN"/>
        </w:rPr>
        <w:t>五、</w:t>
      </w:r>
      <w:bookmarkEnd w:id="518"/>
      <w:r>
        <w:rPr>
          <w:rFonts w:hint="eastAsia" w:ascii="仿宋" w:hAnsi="仿宋" w:eastAsia="仿宋" w:cs="仿宋"/>
          <w:color w:val="auto"/>
          <w:highlight w:val="none"/>
          <w:lang w:val="en-US" w:eastAsia="zh-CN"/>
        </w:rPr>
        <w:t>发票要求</w:t>
      </w:r>
      <w:bookmarkEnd w:id="519"/>
    </w:p>
    <w:p w14:paraId="5555B670">
      <w:pPr>
        <w:pStyle w:val="4"/>
        <w:jc w:val="left"/>
        <w:outlineLvl w:val="9"/>
        <w:rPr>
          <w:rFonts w:hint="eastAsia" w:ascii="仿宋" w:hAnsi="仿宋" w:eastAsia="仿宋" w:cs="仿宋"/>
          <w:b w:val="0"/>
          <w:bCs w:val="0"/>
          <w:color w:val="auto"/>
          <w:kern w:val="2"/>
          <w:sz w:val="24"/>
          <w:szCs w:val="24"/>
          <w:highlight w:val="none"/>
          <w:u w:color="000000"/>
          <w:lang w:val="en-US" w:eastAsia="zh-CN" w:bidi="ar-SA"/>
        </w:rPr>
      </w:pPr>
      <w:r>
        <w:rPr>
          <w:rFonts w:hint="eastAsia" w:ascii="仿宋" w:hAnsi="仿宋" w:eastAsia="仿宋" w:cs="仿宋"/>
          <w:b w:val="0"/>
          <w:bCs w:val="0"/>
          <w:color w:val="auto"/>
          <w:kern w:val="2"/>
          <w:sz w:val="24"/>
          <w:szCs w:val="24"/>
          <w:highlight w:val="none"/>
          <w:u w:color="000000"/>
          <w:lang w:val="en-US" w:eastAsia="zh-CN" w:bidi="ar-SA"/>
        </w:rPr>
        <w:t>5.1本项目设计费由承包人“</w:t>
      </w:r>
      <w:r>
        <w:rPr>
          <w:rFonts w:hint="eastAsia" w:ascii="仿宋" w:hAnsi="仿宋" w:eastAsia="仿宋" w:cs="仿宋"/>
          <w:b w:val="0"/>
          <w:bCs w:val="0"/>
          <w:color w:val="auto"/>
          <w:kern w:val="2"/>
          <w:sz w:val="24"/>
          <w:szCs w:val="24"/>
          <w:highlight w:val="none"/>
          <w:u w:val="single" w:color="auto"/>
          <w:lang w:val="en-US" w:eastAsia="zh-CN" w:bidi="ar-SA"/>
        </w:rPr>
        <w:t xml:space="preserve">            </w:t>
      </w:r>
      <w:r>
        <w:rPr>
          <w:rFonts w:hint="eastAsia" w:ascii="仿宋" w:hAnsi="仿宋" w:eastAsia="仿宋" w:cs="仿宋"/>
          <w:b w:val="0"/>
          <w:bCs w:val="0"/>
          <w:color w:val="auto"/>
          <w:kern w:val="2"/>
          <w:sz w:val="24"/>
          <w:szCs w:val="24"/>
          <w:highlight w:val="none"/>
          <w:u w:color="000000"/>
          <w:lang w:val="en-US" w:eastAsia="zh-CN" w:bidi="ar-SA"/>
        </w:rPr>
        <w:t xml:space="preserve">”向发包人出具增值税专用发票； </w:t>
      </w:r>
    </w:p>
    <w:p w14:paraId="49DD3702">
      <w:pPr>
        <w:pStyle w:val="4"/>
        <w:jc w:val="left"/>
        <w:outlineLvl w:val="9"/>
        <w:rPr>
          <w:rFonts w:hint="eastAsia" w:ascii="仿宋" w:hAnsi="仿宋" w:eastAsia="仿宋" w:cs="仿宋"/>
          <w:b w:val="0"/>
          <w:bCs w:val="0"/>
          <w:color w:val="auto"/>
          <w:kern w:val="2"/>
          <w:sz w:val="24"/>
          <w:szCs w:val="24"/>
          <w:highlight w:val="none"/>
          <w:u w:color="000000"/>
          <w:lang w:val="en-US" w:eastAsia="zh-CN" w:bidi="ar-SA"/>
        </w:rPr>
      </w:pPr>
      <w:r>
        <w:rPr>
          <w:rFonts w:hint="eastAsia" w:ascii="仿宋" w:hAnsi="仿宋" w:eastAsia="仿宋" w:cs="仿宋"/>
          <w:b w:val="0"/>
          <w:bCs w:val="0"/>
          <w:color w:val="auto"/>
          <w:kern w:val="2"/>
          <w:sz w:val="24"/>
          <w:szCs w:val="24"/>
          <w:highlight w:val="none"/>
          <w:u w:color="000000"/>
          <w:lang w:val="en-US" w:eastAsia="zh-CN" w:bidi="ar-SA"/>
        </w:rPr>
        <w:t>5.2本项目建安工程费由承包人“</w:t>
      </w:r>
      <w:r>
        <w:rPr>
          <w:rFonts w:hint="eastAsia" w:ascii="仿宋" w:hAnsi="仿宋" w:eastAsia="仿宋" w:cs="仿宋"/>
          <w:b w:val="0"/>
          <w:bCs w:val="0"/>
          <w:color w:val="auto"/>
          <w:kern w:val="2"/>
          <w:sz w:val="24"/>
          <w:szCs w:val="24"/>
          <w:highlight w:val="none"/>
          <w:u w:val="single" w:color="auto"/>
          <w:lang w:val="en-US" w:eastAsia="zh-CN" w:bidi="ar-SA"/>
        </w:rPr>
        <w:t xml:space="preserve">             </w:t>
      </w:r>
      <w:r>
        <w:rPr>
          <w:rFonts w:hint="eastAsia" w:ascii="仿宋" w:hAnsi="仿宋" w:eastAsia="仿宋" w:cs="仿宋"/>
          <w:b w:val="0"/>
          <w:bCs w:val="0"/>
          <w:color w:val="auto"/>
          <w:kern w:val="2"/>
          <w:sz w:val="24"/>
          <w:szCs w:val="24"/>
          <w:highlight w:val="none"/>
          <w:u w:color="000000"/>
          <w:lang w:val="en-US" w:eastAsia="zh-CN" w:bidi="ar-SA"/>
        </w:rPr>
        <w:t>”向发包人出具增值税专用发票。</w:t>
      </w:r>
    </w:p>
    <w:p w14:paraId="2FEF0988">
      <w:pPr>
        <w:pStyle w:val="4"/>
        <w:jc w:val="left"/>
        <w:outlineLvl w:val="9"/>
        <w:rPr>
          <w:rFonts w:hint="eastAsia" w:ascii="仿宋" w:hAnsi="仿宋" w:eastAsia="仿宋" w:cs="仿宋"/>
          <w:b w:val="0"/>
          <w:bCs w:val="0"/>
          <w:color w:val="auto"/>
          <w:kern w:val="2"/>
          <w:sz w:val="24"/>
          <w:szCs w:val="24"/>
          <w:highlight w:val="none"/>
          <w:u w:color="000000"/>
          <w:lang w:val="en-US" w:eastAsia="zh-CN" w:bidi="ar-SA"/>
        </w:rPr>
      </w:pPr>
      <w:r>
        <w:rPr>
          <w:rFonts w:hint="eastAsia" w:ascii="仿宋" w:hAnsi="仿宋" w:eastAsia="仿宋" w:cs="仿宋"/>
          <w:b w:val="0"/>
          <w:bCs w:val="0"/>
          <w:color w:val="auto"/>
          <w:kern w:val="2"/>
          <w:sz w:val="24"/>
          <w:szCs w:val="24"/>
          <w:highlight w:val="none"/>
          <w:u w:color="000000"/>
          <w:lang w:val="en-US" w:eastAsia="zh-CN" w:bidi="ar-SA"/>
        </w:rPr>
        <w:t>5.3本项目设备购置费由承包人“</w:t>
      </w:r>
      <w:r>
        <w:rPr>
          <w:rFonts w:hint="eastAsia" w:ascii="仿宋" w:hAnsi="仿宋" w:eastAsia="仿宋" w:cs="仿宋"/>
          <w:b w:val="0"/>
          <w:bCs w:val="0"/>
          <w:color w:val="auto"/>
          <w:kern w:val="2"/>
          <w:sz w:val="24"/>
          <w:szCs w:val="24"/>
          <w:highlight w:val="none"/>
          <w:u w:val="single" w:color="auto"/>
          <w:lang w:val="en-US" w:eastAsia="zh-CN" w:bidi="ar-SA"/>
        </w:rPr>
        <w:t xml:space="preserve">             </w:t>
      </w:r>
      <w:r>
        <w:rPr>
          <w:rFonts w:hint="eastAsia" w:ascii="仿宋" w:hAnsi="仿宋" w:eastAsia="仿宋" w:cs="仿宋"/>
          <w:b w:val="0"/>
          <w:bCs w:val="0"/>
          <w:color w:val="auto"/>
          <w:kern w:val="2"/>
          <w:sz w:val="24"/>
          <w:szCs w:val="24"/>
          <w:highlight w:val="none"/>
          <w:u w:color="000000"/>
          <w:lang w:val="en-US" w:eastAsia="zh-CN" w:bidi="ar-SA"/>
        </w:rPr>
        <w:t>”向发包人出具增值税专用发票，发包人向设备采购单位支付设备价款。</w:t>
      </w:r>
    </w:p>
    <w:p w14:paraId="31AD864C">
      <w:pPr>
        <w:jc w:val="left"/>
        <w:rPr>
          <w:rFonts w:hint="eastAsia" w:ascii="仿宋" w:hAnsi="仿宋" w:eastAsia="仿宋" w:cs="仿宋"/>
          <w:color w:val="auto"/>
          <w:highlight w:val="none"/>
          <w:lang w:val="en-US" w:eastAsia="zh-CN"/>
        </w:rPr>
      </w:pPr>
      <w:r>
        <w:rPr>
          <w:rFonts w:hint="eastAsia" w:ascii="仿宋" w:hAnsi="仿宋" w:eastAsia="仿宋" w:cs="仿宋"/>
          <w:b w:val="0"/>
          <w:bCs w:val="0"/>
          <w:color w:val="auto"/>
          <w:kern w:val="2"/>
          <w:sz w:val="24"/>
          <w:szCs w:val="24"/>
          <w:highlight w:val="none"/>
          <w:u w:color="000000"/>
          <w:lang w:val="en-US" w:eastAsia="zh-CN" w:bidi="ar-SA"/>
        </w:rPr>
        <w:t>5.4本项目运营管理费由承包人“</w:t>
      </w:r>
      <w:r>
        <w:rPr>
          <w:rFonts w:hint="eastAsia" w:ascii="仿宋" w:hAnsi="仿宋" w:eastAsia="仿宋" w:cs="仿宋"/>
          <w:b w:val="0"/>
          <w:bCs w:val="0"/>
          <w:color w:val="auto"/>
          <w:kern w:val="2"/>
          <w:sz w:val="24"/>
          <w:szCs w:val="24"/>
          <w:highlight w:val="none"/>
          <w:u w:val="single" w:color="auto"/>
          <w:lang w:val="en-US" w:eastAsia="zh-CN" w:bidi="ar-SA"/>
        </w:rPr>
        <w:t xml:space="preserve">             </w:t>
      </w:r>
      <w:r>
        <w:rPr>
          <w:rFonts w:hint="eastAsia" w:ascii="仿宋" w:hAnsi="仿宋" w:eastAsia="仿宋" w:cs="仿宋"/>
          <w:b w:val="0"/>
          <w:bCs w:val="0"/>
          <w:color w:val="auto"/>
          <w:kern w:val="2"/>
          <w:sz w:val="24"/>
          <w:szCs w:val="24"/>
          <w:highlight w:val="none"/>
          <w:u w:color="000000"/>
          <w:lang w:val="en-US" w:eastAsia="zh-CN" w:bidi="ar-SA"/>
        </w:rPr>
        <w:t>”向发包人出具增值税专用发票，发包人向运营管理单位支付污水处理服务费。</w:t>
      </w:r>
    </w:p>
    <w:p w14:paraId="39602FA1">
      <w:pPr>
        <w:pStyle w:val="5"/>
        <w:jc w:val="left"/>
        <w:outlineLvl w:val="1"/>
        <w:rPr>
          <w:rFonts w:hint="eastAsia" w:ascii="仿宋" w:hAnsi="仿宋" w:eastAsia="仿宋" w:cs="仿宋"/>
          <w:color w:val="auto"/>
          <w:highlight w:val="none"/>
        </w:rPr>
      </w:pPr>
      <w:bookmarkStart w:id="520" w:name="_Toc17547"/>
      <w:bookmarkStart w:id="521" w:name="_Toc10107"/>
      <w:r>
        <w:rPr>
          <w:rFonts w:hint="eastAsia" w:ascii="仿宋" w:hAnsi="仿宋" w:eastAsia="仿宋" w:cs="仿宋"/>
          <w:color w:val="auto"/>
          <w:highlight w:val="none"/>
          <w:lang w:val="en-US" w:eastAsia="zh-CN"/>
        </w:rPr>
        <w:t>六、</w:t>
      </w:r>
      <w:r>
        <w:rPr>
          <w:rFonts w:hint="eastAsia" w:ascii="仿宋" w:hAnsi="仿宋" w:eastAsia="仿宋" w:cs="仿宋"/>
          <w:color w:val="auto"/>
          <w:highlight w:val="none"/>
        </w:rPr>
        <w:t>质量要求和标准</w:t>
      </w:r>
      <w:bookmarkEnd w:id="520"/>
      <w:bookmarkEnd w:id="521"/>
    </w:p>
    <w:p w14:paraId="3A10107A">
      <w:pPr>
        <w:pStyle w:val="95"/>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工程质量标准：</w:t>
      </w:r>
      <w:r>
        <w:rPr>
          <w:rFonts w:hint="eastAsia" w:ascii="仿宋" w:hAnsi="仿宋" w:eastAsia="仿宋" w:cs="仿宋"/>
          <w:color w:val="auto"/>
          <w:sz w:val="24"/>
          <w:szCs w:val="24"/>
          <w:highlight w:val="none"/>
          <w:u w:val="single"/>
        </w:rPr>
        <w:t>合格</w:t>
      </w:r>
      <w:r>
        <w:rPr>
          <w:rFonts w:hint="eastAsia" w:ascii="仿宋" w:hAnsi="仿宋" w:eastAsia="仿宋" w:cs="仿宋"/>
          <w:color w:val="auto"/>
          <w:sz w:val="24"/>
          <w:szCs w:val="24"/>
          <w:highlight w:val="none"/>
        </w:rPr>
        <w:t xml:space="preserve">。具体如下： </w:t>
      </w:r>
    </w:p>
    <w:p w14:paraId="1554DBC2">
      <w:pPr>
        <w:pStyle w:val="95"/>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6.</w:t>
      </w:r>
      <w:r>
        <w:rPr>
          <w:rFonts w:hint="eastAsia" w:ascii="仿宋" w:hAnsi="仿宋" w:eastAsia="仿宋" w:cs="仿宋"/>
          <w:color w:val="auto"/>
          <w:sz w:val="24"/>
          <w:szCs w:val="24"/>
          <w:highlight w:val="none"/>
        </w:rPr>
        <w:t>1</w:t>
      </w:r>
      <w:r>
        <w:rPr>
          <w:rFonts w:hint="eastAsia" w:ascii="仿宋" w:hAnsi="仿宋" w:eastAsia="仿宋" w:cs="仿宋"/>
          <w:color w:val="auto"/>
          <w:sz w:val="24"/>
          <w:szCs w:val="24"/>
          <w:highlight w:val="none"/>
          <w:lang w:val="zh-TW" w:eastAsia="zh-TW"/>
        </w:rPr>
        <w:t>设计质量要求：</w:t>
      </w:r>
      <w:r>
        <w:rPr>
          <w:rFonts w:hint="eastAsia" w:ascii="仿宋" w:hAnsi="仿宋" w:eastAsia="仿宋" w:cs="仿宋"/>
          <w:color w:val="auto"/>
          <w:sz w:val="24"/>
          <w:szCs w:val="24"/>
          <w:highlight w:val="none"/>
          <w:u w:val="single" w:color="auto"/>
          <w:lang w:val="zh-TW" w:eastAsia="zh-TW"/>
        </w:rPr>
        <w:t>符合国家现行标准，符合国家现行设计规范要求。</w:t>
      </w:r>
    </w:p>
    <w:p w14:paraId="737F673B">
      <w:pPr>
        <w:pStyle w:val="95"/>
        <w:spacing w:line="360" w:lineRule="auto"/>
        <w:ind w:firstLine="480" w:firstLineChars="200"/>
        <w:jc w:val="left"/>
        <w:rPr>
          <w:rFonts w:hint="eastAsia" w:ascii="仿宋" w:hAnsi="仿宋" w:eastAsia="仿宋" w:cs="仿宋"/>
          <w:color w:val="auto"/>
          <w:sz w:val="24"/>
          <w:szCs w:val="24"/>
          <w:highlight w:val="none"/>
          <w:u w:val="single" w:color="auto"/>
        </w:rPr>
      </w:pPr>
      <w:r>
        <w:rPr>
          <w:rFonts w:hint="eastAsia" w:ascii="仿宋" w:hAnsi="仿宋" w:eastAsia="仿宋" w:cs="仿宋"/>
          <w:color w:val="auto"/>
          <w:sz w:val="24"/>
          <w:szCs w:val="24"/>
          <w:highlight w:val="none"/>
          <w:lang w:val="en-US" w:eastAsia="zh-CN"/>
        </w:rPr>
        <w:t>6.</w:t>
      </w:r>
      <w:r>
        <w:rPr>
          <w:rFonts w:hint="eastAsia" w:ascii="仿宋" w:hAnsi="仿宋" w:eastAsia="仿宋" w:cs="仿宋"/>
          <w:color w:val="auto"/>
          <w:sz w:val="24"/>
          <w:szCs w:val="24"/>
          <w:highlight w:val="none"/>
        </w:rPr>
        <w:t>2</w:t>
      </w:r>
      <w:r>
        <w:rPr>
          <w:rFonts w:hint="eastAsia" w:ascii="仿宋" w:hAnsi="仿宋" w:eastAsia="仿宋" w:cs="仿宋"/>
          <w:color w:val="auto"/>
          <w:sz w:val="24"/>
          <w:szCs w:val="24"/>
          <w:highlight w:val="none"/>
          <w:lang w:val="zh-TW" w:eastAsia="zh-TW"/>
        </w:rPr>
        <w:t>施工质量要求：</w:t>
      </w:r>
      <w:r>
        <w:rPr>
          <w:rFonts w:hint="eastAsia" w:ascii="仿宋" w:hAnsi="仿宋" w:eastAsia="仿宋" w:cs="仿宋"/>
          <w:color w:val="auto"/>
          <w:sz w:val="24"/>
          <w:szCs w:val="24"/>
          <w:highlight w:val="none"/>
          <w:u w:val="single" w:color="auto"/>
          <w:lang w:val="zh-TW" w:eastAsia="zh-TW"/>
        </w:rPr>
        <w:t>施工质量合格验收标准。</w:t>
      </w:r>
    </w:p>
    <w:p w14:paraId="79A846C1">
      <w:pPr>
        <w:pStyle w:val="95"/>
        <w:spacing w:line="360" w:lineRule="auto"/>
        <w:ind w:firstLine="480" w:firstLineChars="200"/>
        <w:jc w:val="left"/>
        <w:rPr>
          <w:rFonts w:hint="eastAsia" w:ascii="仿宋" w:hAnsi="仿宋" w:eastAsia="仿宋" w:cs="仿宋"/>
          <w:color w:val="auto"/>
          <w:sz w:val="24"/>
          <w:szCs w:val="24"/>
          <w:highlight w:val="none"/>
          <w:lang w:val="zh-TW" w:eastAsia="zh-TW"/>
        </w:rPr>
      </w:pPr>
      <w:r>
        <w:rPr>
          <w:rFonts w:hint="eastAsia" w:ascii="仿宋" w:hAnsi="仿宋" w:eastAsia="仿宋" w:cs="仿宋"/>
          <w:color w:val="auto"/>
          <w:sz w:val="24"/>
          <w:szCs w:val="24"/>
          <w:highlight w:val="none"/>
          <w:lang w:val="en-US" w:eastAsia="zh-CN"/>
        </w:rPr>
        <w:t>6.</w:t>
      </w:r>
      <w:r>
        <w:rPr>
          <w:rFonts w:hint="eastAsia" w:ascii="仿宋" w:hAnsi="仿宋" w:eastAsia="仿宋" w:cs="仿宋"/>
          <w:color w:val="auto"/>
          <w:sz w:val="24"/>
          <w:szCs w:val="24"/>
          <w:highlight w:val="none"/>
        </w:rPr>
        <w:t>3设备质量要求</w:t>
      </w:r>
      <w:r>
        <w:rPr>
          <w:rFonts w:hint="eastAsia" w:ascii="仿宋" w:hAnsi="仿宋" w:eastAsia="仿宋" w:cs="仿宋"/>
          <w:color w:val="auto"/>
          <w:sz w:val="24"/>
          <w:szCs w:val="24"/>
          <w:highlight w:val="none"/>
          <w:lang w:val="zh-TW" w:eastAsia="zh-TW"/>
        </w:rPr>
        <w:t>：</w:t>
      </w:r>
      <w:r>
        <w:rPr>
          <w:rFonts w:hint="eastAsia" w:ascii="仿宋" w:hAnsi="仿宋" w:eastAsia="仿宋" w:cs="仿宋"/>
          <w:color w:val="auto"/>
          <w:sz w:val="24"/>
          <w:szCs w:val="24"/>
          <w:highlight w:val="none"/>
          <w:u w:val="single"/>
        </w:rPr>
        <w:t>均应符合国家、地方或行业现行的标准或相关规范，严格按照合同规定执行</w:t>
      </w:r>
      <w:r>
        <w:rPr>
          <w:rFonts w:hint="eastAsia" w:ascii="仿宋" w:hAnsi="仿宋" w:eastAsia="仿宋" w:cs="仿宋"/>
          <w:color w:val="auto"/>
          <w:sz w:val="24"/>
          <w:szCs w:val="24"/>
          <w:highlight w:val="none"/>
          <w:lang w:val="zh-TW" w:eastAsia="zh-TW"/>
        </w:rPr>
        <w:t>。</w:t>
      </w:r>
    </w:p>
    <w:p w14:paraId="47AF51EC">
      <w:pPr>
        <w:pStyle w:val="96"/>
        <w:framePr w:wrap="auto" w:vAnchor="margin" w:hAnchor="text" w:yAlign="inline"/>
        <w:spacing w:after="0"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6.</w:t>
      </w:r>
      <w:r>
        <w:rPr>
          <w:rFonts w:hint="eastAsia" w:ascii="仿宋" w:hAnsi="仿宋" w:eastAsia="仿宋" w:cs="仿宋"/>
          <w:color w:val="auto"/>
          <w:sz w:val="24"/>
          <w:szCs w:val="24"/>
          <w:highlight w:val="none"/>
        </w:rPr>
        <w:t>4运营服务质量要求：</w:t>
      </w:r>
      <w:r>
        <w:rPr>
          <w:rFonts w:hint="eastAsia" w:ascii="仿宋" w:hAnsi="仿宋" w:eastAsia="仿宋" w:cs="仿宋"/>
          <w:color w:val="auto"/>
          <w:sz w:val="24"/>
          <w:szCs w:val="24"/>
          <w:highlight w:val="none"/>
          <w:u w:val="single"/>
        </w:rPr>
        <w:t xml:space="preserve"> 污水处理至《城镇污水处理厂污染物排放标准》（GB 18918-2002）中一级A 排放标准。设施、设备污水管网等的维护，须符合CJJ58-2007《城镇污水处理厂运行、维护及安全技术规程》要求</w:t>
      </w:r>
      <w:r>
        <w:rPr>
          <w:rFonts w:hint="eastAsia" w:ascii="仿宋" w:hAnsi="仿宋" w:eastAsia="仿宋" w:cs="仿宋"/>
          <w:color w:val="auto"/>
          <w:sz w:val="24"/>
          <w:szCs w:val="24"/>
          <w:highlight w:val="none"/>
        </w:rPr>
        <w:t>。</w:t>
      </w:r>
    </w:p>
    <w:p w14:paraId="2BE6B5A9">
      <w:pPr>
        <w:pStyle w:val="5"/>
        <w:jc w:val="left"/>
        <w:outlineLvl w:val="1"/>
        <w:rPr>
          <w:rFonts w:hint="eastAsia" w:ascii="仿宋" w:hAnsi="仿宋" w:eastAsia="仿宋" w:cs="仿宋"/>
          <w:color w:val="auto"/>
          <w:highlight w:val="none"/>
        </w:rPr>
      </w:pPr>
      <w:bookmarkStart w:id="522" w:name="_Toc16026"/>
      <w:bookmarkStart w:id="523" w:name="_Toc20894"/>
      <w:r>
        <w:rPr>
          <w:rFonts w:hint="eastAsia" w:ascii="仿宋" w:hAnsi="仿宋" w:eastAsia="仿宋" w:cs="仿宋"/>
          <w:color w:val="auto"/>
          <w:highlight w:val="none"/>
          <w:lang w:val="en-US" w:eastAsia="zh-CN"/>
        </w:rPr>
        <w:t>七、</w:t>
      </w:r>
      <w:r>
        <w:rPr>
          <w:rFonts w:hint="eastAsia" w:ascii="仿宋" w:hAnsi="仿宋" w:eastAsia="仿宋" w:cs="仿宋"/>
          <w:color w:val="auto"/>
          <w:highlight w:val="none"/>
        </w:rPr>
        <w:t>管理要求</w:t>
      </w:r>
      <w:bookmarkEnd w:id="522"/>
      <w:bookmarkEnd w:id="523"/>
    </w:p>
    <w:p w14:paraId="4CD3CF96">
      <w:pPr>
        <w:pStyle w:val="95"/>
        <w:spacing w:line="360" w:lineRule="auto"/>
        <w:ind w:firstLine="480" w:firstLineChars="200"/>
        <w:jc w:val="left"/>
        <w:rPr>
          <w:rFonts w:hint="eastAsia" w:ascii="仿宋" w:hAnsi="仿宋" w:eastAsia="仿宋" w:cs="仿宋"/>
          <w:color w:val="auto"/>
          <w:sz w:val="24"/>
          <w:szCs w:val="24"/>
          <w:highlight w:val="none"/>
          <w:lang w:val="zh-TW" w:eastAsia="zh-TW"/>
        </w:rPr>
      </w:pPr>
      <w:r>
        <w:rPr>
          <w:rFonts w:hint="eastAsia" w:ascii="仿宋" w:hAnsi="仿宋" w:eastAsia="仿宋" w:cs="仿宋"/>
          <w:color w:val="auto"/>
          <w:sz w:val="24"/>
          <w:szCs w:val="24"/>
          <w:highlight w:val="none"/>
          <w:lang w:val="en-US" w:eastAsia="zh-CN"/>
        </w:rPr>
        <w:t>7</w:t>
      </w:r>
      <w:r>
        <w:rPr>
          <w:rFonts w:hint="eastAsia" w:ascii="仿宋" w:hAnsi="仿宋" w:eastAsia="仿宋" w:cs="仿宋"/>
          <w:color w:val="auto"/>
          <w:sz w:val="24"/>
          <w:szCs w:val="24"/>
          <w:highlight w:val="none"/>
        </w:rPr>
        <w:t>.1</w:t>
      </w:r>
      <w:r>
        <w:rPr>
          <w:rFonts w:hint="eastAsia" w:ascii="仿宋" w:hAnsi="仿宋" w:eastAsia="仿宋" w:cs="仿宋"/>
          <w:color w:val="auto"/>
          <w:sz w:val="24"/>
          <w:szCs w:val="24"/>
          <w:highlight w:val="none"/>
          <w:lang w:val="zh-TW" w:eastAsia="zh-TW"/>
        </w:rPr>
        <w:t>项目负责人：</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lang w:val="zh-TW" w:eastAsia="zh-TW"/>
        </w:rPr>
        <w:t>；设计负责人：</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lang w:val="zh-TW" w:eastAsia="zh-TW"/>
        </w:rPr>
        <w:t>；</w:t>
      </w:r>
      <w:r>
        <w:rPr>
          <w:rFonts w:hint="eastAsia" w:ascii="仿宋" w:hAnsi="仿宋" w:eastAsia="仿宋" w:cs="仿宋"/>
          <w:color w:val="auto"/>
          <w:sz w:val="24"/>
          <w:szCs w:val="24"/>
          <w:highlight w:val="none"/>
        </w:rPr>
        <w:t>施工负责人:</w:t>
      </w:r>
      <w:r>
        <w:rPr>
          <w:rFonts w:hint="eastAsia" w:ascii="仿宋" w:hAnsi="仿宋" w:eastAsia="仿宋" w:cs="仿宋"/>
          <w:color w:val="auto"/>
          <w:sz w:val="24"/>
          <w:szCs w:val="24"/>
          <w:highlight w:val="none"/>
          <w:u w:val="single"/>
          <w:lang w:val="zh-TW" w:eastAsia="zh-TW"/>
        </w:rPr>
        <w:t xml:space="preserve"> </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；运营维护负责人：</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zh-TW" w:eastAsia="zh-TW"/>
        </w:rPr>
        <w:t>监理单位：</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lang w:val="zh-TW" w:eastAsia="zh-TW"/>
        </w:rPr>
        <w:t>；总监理工程师</w:t>
      </w:r>
      <w:r>
        <w:rPr>
          <w:rFonts w:hint="eastAsia" w:ascii="仿宋" w:hAnsi="仿宋" w:eastAsia="仿宋" w:cs="仿宋"/>
          <w:color w:val="auto"/>
          <w:sz w:val="24"/>
          <w:szCs w:val="24"/>
          <w:highlight w:val="none"/>
          <w:u w:val="single"/>
          <w:lang w:val="zh-TW" w:eastAsia="zh-TW"/>
        </w:rPr>
        <w:t xml:space="preserve">： </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lang w:val="zh-TW" w:eastAsia="zh-TW"/>
        </w:rPr>
        <w:t>发包人代表</w:t>
      </w:r>
      <w:r>
        <w:rPr>
          <w:rFonts w:hint="eastAsia" w:ascii="仿宋" w:hAnsi="仿宋" w:eastAsia="仿宋" w:cs="仿宋"/>
          <w:color w:val="auto"/>
          <w:sz w:val="24"/>
          <w:szCs w:val="24"/>
          <w:highlight w:val="none"/>
          <w:u w:val="single"/>
          <w:lang w:val="zh-TW" w:eastAsia="zh-TW"/>
        </w:rPr>
        <w:t xml:space="preserve">：    </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lang w:val="zh-TW" w:eastAsia="zh-TW"/>
        </w:rPr>
        <w:t xml:space="preserve">。 </w:t>
      </w:r>
    </w:p>
    <w:p w14:paraId="74CF9A5C">
      <w:pPr>
        <w:pStyle w:val="95"/>
        <w:spacing w:line="360" w:lineRule="auto"/>
        <w:ind w:firstLine="480" w:firstLineChars="200"/>
        <w:jc w:val="left"/>
        <w:rPr>
          <w:rFonts w:hint="eastAsia" w:ascii="仿宋" w:hAnsi="仿宋" w:eastAsia="仿宋" w:cs="仿宋"/>
          <w:color w:val="auto"/>
          <w:sz w:val="24"/>
          <w:szCs w:val="24"/>
          <w:highlight w:val="none"/>
          <w:lang w:val="zh-TW" w:eastAsia="zh-TW"/>
        </w:rPr>
      </w:pPr>
      <w:r>
        <w:rPr>
          <w:rFonts w:hint="eastAsia" w:ascii="仿宋" w:hAnsi="仿宋" w:eastAsia="仿宋" w:cs="仿宋"/>
          <w:color w:val="auto"/>
          <w:sz w:val="24"/>
          <w:szCs w:val="24"/>
          <w:highlight w:val="none"/>
          <w:lang w:val="en-US" w:eastAsia="zh-CN"/>
        </w:rPr>
        <w:t>7</w:t>
      </w:r>
      <w:r>
        <w:rPr>
          <w:rFonts w:hint="eastAsia" w:ascii="仿宋" w:hAnsi="仿宋" w:eastAsia="仿宋" w:cs="仿宋"/>
          <w:color w:val="auto"/>
          <w:sz w:val="24"/>
          <w:szCs w:val="24"/>
          <w:highlight w:val="none"/>
          <w:lang w:val="zh-TW" w:eastAsia="zh-TW"/>
        </w:rPr>
        <w:t>.</w:t>
      </w:r>
      <w:r>
        <w:rPr>
          <w:rFonts w:hint="eastAsia" w:ascii="仿宋" w:hAnsi="仿宋" w:eastAsia="仿宋" w:cs="仿宋"/>
          <w:color w:val="auto"/>
          <w:sz w:val="24"/>
          <w:szCs w:val="24"/>
          <w:highlight w:val="none"/>
        </w:rPr>
        <w:t>2</w:t>
      </w:r>
      <w:r>
        <w:rPr>
          <w:rFonts w:hint="eastAsia" w:ascii="仿宋" w:hAnsi="仿宋" w:eastAsia="仿宋" w:cs="仿宋"/>
          <w:color w:val="auto"/>
          <w:sz w:val="24"/>
          <w:szCs w:val="24"/>
          <w:highlight w:val="none"/>
          <w:lang w:val="zh-TW" w:eastAsia="zh-TW"/>
        </w:rPr>
        <w:t xml:space="preserve"> 承包人承诺按合同约定承担工程的设计、</w:t>
      </w:r>
      <w:r>
        <w:rPr>
          <w:rFonts w:hint="eastAsia" w:ascii="仿宋" w:hAnsi="仿宋" w:eastAsia="仿宋" w:cs="仿宋"/>
          <w:color w:val="auto"/>
          <w:sz w:val="24"/>
          <w:szCs w:val="24"/>
          <w:highlight w:val="none"/>
        </w:rPr>
        <w:t>设备采购、</w:t>
      </w:r>
      <w:r>
        <w:rPr>
          <w:rFonts w:hint="eastAsia" w:ascii="仿宋" w:hAnsi="仿宋" w:eastAsia="仿宋" w:cs="仿宋"/>
          <w:color w:val="auto"/>
          <w:sz w:val="24"/>
          <w:szCs w:val="24"/>
          <w:highlight w:val="none"/>
          <w:lang w:val="zh-TW" w:eastAsia="zh-TW"/>
        </w:rPr>
        <w:t>施工、竣工及缺陷修复等工作。</w:t>
      </w:r>
    </w:p>
    <w:p w14:paraId="5B61B8B3">
      <w:pPr>
        <w:pStyle w:val="95"/>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7</w:t>
      </w:r>
      <w:r>
        <w:rPr>
          <w:rFonts w:hint="eastAsia" w:ascii="仿宋" w:hAnsi="仿宋" w:eastAsia="仿宋" w:cs="仿宋"/>
          <w:color w:val="auto"/>
          <w:sz w:val="24"/>
          <w:szCs w:val="24"/>
          <w:highlight w:val="none"/>
        </w:rPr>
        <w:t>.3发包人承诺按照法律规定履行项目审批手续、筹集工程建设资金并按照合同约定的期限和方式支付合同价款。</w:t>
      </w:r>
    </w:p>
    <w:p w14:paraId="4EF79FD7">
      <w:pPr>
        <w:pStyle w:val="95"/>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7</w:t>
      </w:r>
      <w:r>
        <w:rPr>
          <w:rFonts w:hint="eastAsia" w:ascii="仿宋" w:hAnsi="仿宋" w:eastAsia="仿宋" w:cs="仿宋"/>
          <w:color w:val="auto"/>
          <w:sz w:val="24"/>
          <w:szCs w:val="24"/>
          <w:highlight w:val="none"/>
        </w:rPr>
        <w:t>.4承包人承诺按照法律规定及合同约定组织完成工程的设计、采购和施工等工作，确保工程质量和安全，不进行转包及违法分包，并在缺陷责任期及保修期内承担相应的工程维修责任。</w:t>
      </w:r>
    </w:p>
    <w:p w14:paraId="1B633F3D">
      <w:pPr>
        <w:pStyle w:val="95"/>
        <w:spacing w:line="360" w:lineRule="auto"/>
        <w:ind w:firstLine="480" w:firstLineChars="200"/>
        <w:jc w:val="left"/>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val="en-US" w:eastAsia="zh-CN"/>
        </w:rPr>
        <w:t>7</w:t>
      </w:r>
      <w:r>
        <w:rPr>
          <w:rFonts w:hint="eastAsia" w:ascii="仿宋" w:hAnsi="仿宋" w:eastAsia="仿宋" w:cs="仿宋"/>
          <w:color w:val="auto"/>
          <w:sz w:val="24"/>
          <w:szCs w:val="24"/>
          <w:highlight w:val="none"/>
        </w:rPr>
        <w:t>.5联合体</w:t>
      </w:r>
      <w:r>
        <w:rPr>
          <w:rFonts w:hint="eastAsia" w:ascii="仿宋" w:hAnsi="仿宋" w:eastAsia="仿宋" w:cs="仿宋"/>
          <w:color w:val="auto"/>
          <w:sz w:val="24"/>
          <w:szCs w:val="24"/>
          <w:highlight w:val="none"/>
          <w:lang w:val="en-US" w:eastAsia="zh-CN"/>
        </w:rPr>
        <w:t>牵头</w:t>
      </w:r>
      <w:r>
        <w:rPr>
          <w:rFonts w:hint="eastAsia" w:ascii="仿宋" w:hAnsi="仿宋" w:eastAsia="仿宋" w:cs="仿宋"/>
          <w:color w:val="auto"/>
          <w:sz w:val="24"/>
          <w:szCs w:val="24"/>
          <w:highlight w:val="none"/>
        </w:rPr>
        <w:t>方和成员共同与发包人签订合同书，并就中标项目向发包人负有连带的法律责任；联合体的中标文件、招标人的招标文件、联合体与发包人签订的合同及补充协议对联合体各方均具有约束力</w:t>
      </w:r>
      <w:r>
        <w:rPr>
          <w:rFonts w:hint="eastAsia" w:ascii="仿宋" w:hAnsi="仿宋" w:eastAsia="仿宋" w:cs="仿宋"/>
          <w:color w:val="auto"/>
          <w:sz w:val="24"/>
          <w:szCs w:val="24"/>
          <w:highlight w:val="none"/>
          <w:lang w:eastAsia="zh-CN"/>
        </w:rPr>
        <w:t>。</w:t>
      </w:r>
    </w:p>
    <w:p w14:paraId="0CBBDBC4">
      <w:pPr>
        <w:pStyle w:val="95"/>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7.6</w:t>
      </w:r>
      <w:r>
        <w:rPr>
          <w:rFonts w:hint="eastAsia" w:ascii="仿宋" w:hAnsi="仿宋" w:eastAsia="仿宋" w:cs="仿宋"/>
          <w:color w:val="auto"/>
          <w:sz w:val="24"/>
          <w:szCs w:val="24"/>
          <w:highlight w:val="none"/>
          <w:lang w:val="zh-TW" w:eastAsia="zh-TW"/>
        </w:rPr>
        <w:t>由</w:t>
      </w:r>
      <w:r>
        <w:rPr>
          <w:rFonts w:hint="eastAsia" w:ascii="仿宋" w:hAnsi="仿宋" w:eastAsia="仿宋" w:cs="仿宋"/>
          <w:color w:val="auto"/>
          <w:sz w:val="24"/>
          <w:szCs w:val="24"/>
          <w:highlight w:val="none"/>
        </w:rPr>
        <w:t>中标人或</w:t>
      </w:r>
      <w:r>
        <w:rPr>
          <w:rFonts w:hint="eastAsia" w:ascii="仿宋" w:hAnsi="仿宋" w:eastAsia="仿宋" w:cs="仿宋"/>
          <w:color w:val="auto"/>
          <w:sz w:val="24"/>
          <w:szCs w:val="24"/>
          <w:highlight w:val="none"/>
          <w:lang w:val="zh-TW" w:eastAsia="zh-TW"/>
        </w:rPr>
        <w:t>联合体牵头人</w:t>
      </w:r>
      <w:r>
        <w:rPr>
          <w:rFonts w:hint="eastAsia" w:ascii="仿宋" w:hAnsi="仿宋" w:eastAsia="仿宋" w:cs="仿宋"/>
          <w:bCs/>
          <w:color w:val="auto"/>
          <w:sz w:val="24"/>
          <w:szCs w:val="24"/>
          <w:highlight w:val="none"/>
          <w:u w:val="single"/>
        </w:rPr>
        <w:t xml:space="preserve">         </w:t>
      </w:r>
      <w:r>
        <w:rPr>
          <w:rFonts w:hint="eastAsia" w:ascii="仿宋" w:hAnsi="仿宋" w:eastAsia="仿宋" w:cs="仿宋"/>
          <w:color w:val="auto"/>
          <w:sz w:val="24"/>
          <w:szCs w:val="24"/>
          <w:highlight w:val="none"/>
          <w:lang w:val="zh-TW" w:eastAsia="zh-TW"/>
        </w:rPr>
        <w:t>负责本项目的监督管理。</w:t>
      </w:r>
    </w:p>
    <w:p w14:paraId="46944B06">
      <w:pPr>
        <w:pStyle w:val="5"/>
        <w:jc w:val="left"/>
        <w:outlineLvl w:val="1"/>
        <w:rPr>
          <w:rFonts w:hint="eastAsia" w:ascii="仿宋" w:hAnsi="仿宋" w:eastAsia="仿宋" w:cs="仿宋"/>
          <w:color w:val="auto"/>
          <w:highlight w:val="none"/>
        </w:rPr>
      </w:pPr>
      <w:bookmarkStart w:id="524" w:name="_Toc31164"/>
      <w:bookmarkStart w:id="525" w:name="_Toc21187"/>
      <w:r>
        <w:rPr>
          <w:rFonts w:hint="eastAsia" w:ascii="仿宋" w:hAnsi="仿宋" w:eastAsia="仿宋" w:cs="仿宋"/>
          <w:color w:val="auto"/>
          <w:highlight w:val="none"/>
          <w:lang w:val="en-US" w:eastAsia="zh-CN"/>
        </w:rPr>
        <w:t>八、</w:t>
      </w:r>
      <w:r>
        <w:rPr>
          <w:rFonts w:hint="eastAsia" w:ascii="仿宋" w:hAnsi="仿宋" w:eastAsia="仿宋" w:cs="仿宋"/>
          <w:color w:val="auto"/>
          <w:highlight w:val="none"/>
        </w:rPr>
        <w:t>其他</w:t>
      </w:r>
      <w:bookmarkEnd w:id="524"/>
      <w:bookmarkEnd w:id="525"/>
    </w:p>
    <w:p w14:paraId="4F1B0CEE">
      <w:pPr>
        <w:pStyle w:val="95"/>
        <w:spacing w:line="240" w:lineRule="auto"/>
        <w:ind w:firstLine="480" w:firstLineChars="200"/>
        <w:jc w:val="left"/>
        <w:outlineLvl w:val="9"/>
        <w:rPr>
          <w:rFonts w:hint="eastAsia" w:ascii="仿宋" w:hAnsi="仿宋" w:eastAsia="仿宋" w:cs="仿宋"/>
          <w:color w:val="auto"/>
          <w:highlight w:val="none"/>
        </w:rPr>
      </w:pPr>
      <w:r>
        <w:rPr>
          <w:rFonts w:hint="eastAsia" w:ascii="仿宋" w:hAnsi="仿宋" w:eastAsia="仿宋" w:cs="仿宋"/>
          <w:color w:val="auto"/>
          <w:highlight w:val="none"/>
          <w:lang w:val="en-US" w:eastAsia="zh-CN"/>
        </w:rPr>
        <w:t>8</w:t>
      </w:r>
      <w:r>
        <w:rPr>
          <w:rFonts w:hint="eastAsia" w:ascii="仿宋" w:hAnsi="仿宋" w:eastAsia="仿宋" w:cs="仿宋"/>
          <w:color w:val="auto"/>
          <w:highlight w:val="none"/>
        </w:rPr>
        <w:t>.1优先顺序</w:t>
      </w:r>
    </w:p>
    <w:p w14:paraId="5BCBF6C7">
      <w:pPr>
        <w:pStyle w:val="95"/>
        <w:spacing w:line="360" w:lineRule="auto"/>
        <w:ind w:firstLine="480" w:firstLineChars="200"/>
        <w:jc w:val="left"/>
        <w:rPr>
          <w:rFonts w:hint="eastAsia" w:ascii="仿宋" w:hAnsi="仿宋" w:eastAsia="仿宋" w:cs="仿宋"/>
          <w:color w:val="auto"/>
          <w:sz w:val="24"/>
          <w:szCs w:val="24"/>
          <w:highlight w:val="none"/>
          <w:lang w:val="zh-TW" w:eastAsia="zh-TW"/>
        </w:rPr>
      </w:pPr>
      <w:r>
        <w:rPr>
          <w:rFonts w:hint="eastAsia" w:ascii="仿宋" w:hAnsi="仿宋" w:eastAsia="仿宋" w:cs="仿宋"/>
          <w:color w:val="auto"/>
          <w:sz w:val="24"/>
          <w:szCs w:val="24"/>
          <w:highlight w:val="none"/>
          <w:lang w:val="zh-TW" w:eastAsia="zh-TW"/>
        </w:rPr>
        <w:t>组成本合同的各项文件应互相解释，互为说明。除非各方另有约定，解释合同文件的优先顺序如下：</w:t>
      </w:r>
    </w:p>
    <w:p w14:paraId="3AC714D9">
      <w:pPr>
        <w:pStyle w:val="95"/>
        <w:spacing w:line="360" w:lineRule="auto"/>
        <w:ind w:firstLine="480" w:firstLineChars="200"/>
        <w:jc w:val="left"/>
        <w:rPr>
          <w:rFonts w:hint="eastAsia" w:ascii="仿宋" w:hAnsi="仿宋" w:eastAsia="仿宋" w:cs="仿宋"/>
          <w:color w:val="auto"/>
          <w:sz w:val="24"/>
          <w:szCs w:val="24"/>
          <w:highlight w:val="none"/>
          <w:lang w:val="zh-TW" w:eastAsia="zh-TW"/>
        </w:rPr>
      </w:pPr>
      <w:r>
        <w:rPr>
          <w:rFonts w:hint="eastAsia" w:ascii="仿宋" w:hAnsi="仿宋" w:eastAsia="仿宋" w:cs="仿宋"/>
          <w:color w:val="auto"/>
          <w:sz w:val="24"/>
          <w:szCs w:val="24"/>
          <w:highlight w:val="none"/>
          <w:lang w:val="zh-TW" w:eastAsia="zh-TW"/>
        </w:rPr>
        <w:t>（</w:t>
      </w:r>
      <w:r>
        <w:rPr>
          <w:rFonts w:hint="eastAsia" w:ascii="仿宋" w:hAnsi="仿宋" w:eastAsia="仿宋" w:cs="仿宋"/>
          <w:color w:val="auto"/>
          <w:sz w:val="24"/>
          <w:szCs w:val="24"/>
          <w:highlight w:val="none"/>
        </w:rPr>
        <w:t>1</w:t>
      </w:r>
      <w:r>
        <w:rPr>
          <w:rFonts w:hint="eastAsia" w:ascii="仿宋" w:hAnsi="仿宋" w:eastAsia="仿宋" w:cs="仿宋"/>
          <w:color w:val="auto"/>
          <w:sz w:val="24"/>
          <w:szCs w:val="24"/>
          <w:highlight w:val="none"/>
          <w:lang w:val="zh-TW" w:eastAsia="zh-TW"/>
        </w:rPr>
        <w:t>）总合同书；</w:t>
      </w:r>
    </w:p>
    <w:p w14:paraId="02779989">
      <w:pPr>
        <w:pStyle w:val="95"/>
        <w:spacing w:line="360" w:lineRule="auto"/>
        <w:ind w:firstLine="480" w:firstLineChars="200"/>
        <w:jc w:val="left"/>
        <w:rPr>
          <w:rFonts w:hint="eastAsia" w:ascii="仿宋" w:hAnsi="仿宋" w:eastAsia="仿宋" w:cs="仿宋"/>
          <w:color w:val="auto"/>
          <w:sz w:val="24"/>
          <w:szCs w:val="24"/>
          <w:highlight w:val="none"/>
          <w:lang w:val="zh-TW" w:eastAsia="zh-TW"/>
        </w:rPr>
      </w:pPr>
      <w:r>
        <w:rPr>
          <w:rFonts w:hint="eastAsia" w:ascii="仿宋" w:hAnsi="仿宋" w:eastAsia="仿宋" w:cs="仿宋"/>
          <w:color w:val="auto"/>
          <w:sz w:val="24"/>
          <w:szCs w:val="24"/>
          <w:highlight w:val="none"/>
          <w:lang w:val="zh-TW" w:eastAsia="zh-TW"/>
        </w:rPr>
        <w:t>（</w:t>
      </w:r>
      <w:r>
        <w:rPr>
          <w:rFonts w:hint="eastAsia" w:ascii="仿宋" w:hAnsi="仿宋" w:eastAsia="仿宋" w:cs="仿宋"/>
          <w:color w:val="auto"/>
          <w:sz w:val="24"/>
          <w:szCs w:val="24"/>
          <w:highlight w:val="none"/>
        </w:rPr>
        <w:t>2</w:t>
      </w:r>
      <w:r>
        <w:rPr>
          <w:rFonts w:hint="eastAsia" w:ascii="仿宋" w:hAnsi="仿宋" w:eastAsia="仿宋" w:cs="仿宋"/>
          <w:color w:val="auto"/>
          <w:sz w:val="24"/>
          <w:szCs w:val="24"/>
          <w:highlight w:val="none"/>
          <w:lang w:val="zh-TW" w:eastAsia="zh-TW"/>
        </w:rPr>
        <w:t>）中标通知书；</w:t>
      </w:r>
    </w:p>
    <w:p w14:paraId="4149C1EF">
      <w:pPr>
        <w:pStyle w:val="95"/>
        <w:spacing w:line="360" w:lineRule="auto"/>
        <w:ind w:firstLine="480" w:firstLineChars="200"/>
        <w:jc w:val="left"/>
        <w:rPr>
          <w:rFonts w:hint="eastAsia" w:ascii="仿宋" w:hAnsi="仿宋" w:eastAsia="仿宋" w:cs="仿宋"/>
          <w:color w:val="auto"/>
          <w:sz w:val="24"/>
          <w:szCs w:val="24"/>
          <w:highlight w:val="none"/>
          <w:lang w:val="zh-TW" w:eastAsia="zh-TW"/>
        </w:rPr>
      </w:pPr>
      <w:r>
        <w:rPr>
          <w:rFonts w:hint="eastAsia" w:ascii="仿宋" w:hAnsi="仿宋" w:eastAsia="仿宋" w:cs="仿宋"/>
          <w:color w:val="auto"/>
          <w:sz w:val="24"/>
          <w:szCs w:val="24"/>
          <w:highlight w:val="none"/>
          <w:lang w:val="zh-TW" w:eastAsia="zh-TW"/>
        </w:rPr>
        <w:t>（</w:t>
      </w:r>
      <w:r>
        <w:rPr>
          <w:rFonts w:hint="eastAsia" w:ascii="仿宋" w:hAnsi="仿宋" w:eastAsia="仿宋" w:cs="仿宋"/>
          <w:color w:val="auto"/>
          <w:sz w:val="24"/>
          <w:szCs w:val="24"/>
          <w:highlight w:val="none"/>
        </w:rPr>
        <w:t>3</w:t>
      </w:r>
      <w:r>
        <w:rPr>
          <w:rFonts w:hint="eastAsia" w:ascii="仿宋" w:hAnsi="仿宋" w:eastAsia="仿宋" w:cs="仿宋"/>
          <w:color w:val="auto"/>
          <w:sz w:val="24"/>
          <w:szCs w:val="24"/>
          <w:highlight w:val="none"/>
          <w:lang w:val="zh-TW" w:eastAsia="zh-TW"/>
        </w:rPr>
        <w:t>）各</w:t>
      </w:r>
      <w:r>
        <w:rPr>
          <w:rFonts w:hint="eastAsia" w:ascii="仿宋" w:hAnsi="仿宋" w:eastAsia="仿宋" w:cs="仿宋"/>
          <w:color w:val="auto"/>
          <w:sz w:val="24"/>
          <w:szCs w:val="24"/>
          <w:highlight w:val="none"/>
          <w:lang w:val="en-US" w:eastAsia="zh-CN"/>
        </w:rPr>
        <w:t>专用条款</w:t>
      </w:r>
      <w:r>
        <w:rPr>
          <w:rFonts w:hint="eastAsia" w:ascii="仿宋" w:hAnsi="仿宋" w:eastAsia="仿宋" w:cs="仿宋"/>
          <w:color w:val="auto"/>
          <w:sz w:val="24"/>
          <w:szCs w:val="24"/>
          <w:highlight w:val="none"/>
          <w:lang w:val="zh-TW" w:eastAsia="zh-TW"/>
        </w:rPr>
        <w:t>（工程设计</w:t>
      </w:r>
      <w:r>
        <w:rPr>
          <w:rFonts w:hint="eastAsia" w:ascii="仿宋" w:hAnsi="仿宋" w:eastAsia="仿宋" w:cs="仿宋"/>
          <w:color w:val="auto"/>
          <w:sz w:val="24"/>
          <w:szCs w:val="24"/>
          <w:highlight w:val="none"/>
          <w:lang w:val="en-US" w:eastAsia="zh-CN"/>
        </w:rPr>
        <w:t>专用条款</w:t>
      </w:r>
      <w:r>
        <w:rPr>
          <w:rFonts w:hint="eastAsia" w:ascii="仿宋" w:hAnsi="仿宋" w:eastAsia="仿宋" w:cs="仿宋"/>
          <w:color w:val="auto"/>
          <w:sz w:val="24"/>
          <w:szCs w:val="24"/>
          <w:highlight w:val="none"/>
          <w:lang w:val="zh-TW" w:eastAsia="zh-TW"/>
        </w:rPr>
        <w:t>、工程施工</w:t>
      </w:r>
      <w:r>
        <w:rPr>
          <w:rFonts w:hint="eastAsia" w:ascii="仿宋" w:hAnsi="仿宋" w:eastAsia="仿宋" w:cs="仿宋"/>
          <w:color w:val="auto"/>
          <w:sz w:val="24"/>
          <w:szCs w:val="24"/>
          <w:highlight w:val="none"/>
          <w:lang w:val="en-US" w:eastAsia="zh-CN"/>
        </w:rPr>
        <w:t>专用条款</w:t>
      </w:r>
      <w:r>
        <w:rPr>
          <w:rFonts w:hint="eastAsia" w:ascii="仿宋" w:hAnsi="仿宋" w:eastAsia="仿宋" w:cs="仿宋"/>
          <w:color w:val="auto"/>
          <w:sz w:val="24"/>
          <w:szCs w:val="24"/>
          <w:highlight w:val="none"/>
          <w:lang w:val="zh-TW"/>
        </w:rPr>
        <w:t>、</w:t>
      </w:r>
      <w:r>
        <w:rPr>
          <w:rFonts w:hint="eastAsia" w:ascii="仿宋" w:hAnsi="仿宋" w:eastAsia="仿宋" w:cs="仿宋"/>
          <w:color w:val="auto"/>
          <w:sz w:val="24"/>
          <w:szCs w:val="24"/>
          <w:highlight w:val="none"/>
          <w:lang w:val="zh-TW" w:eastAsia="zh-TW"/>
        </w:rPr>
        <w:t>设备</w:t>
      </w:r>
      <w:r>
        <w:rPr>
          <w:rFonts w:hint="eastAsia" w:ascii="仿宋" w:hAnsi="仿宋" w:eastAsia="仿宋" w:cs="仿宋"/>
          <w:color w:val="auto"/>
          <w:sz w:val="24"/>
          <w:szCs w:val="24"/>
          <w:highlight w:val="none"/>
        </w:rPr>
        <w:t>集成</w:t>
      </w:r>
      <w:r>
        <w:rPr>
          <w:rFonts w:hint="eastAsia" w:ascii="仿宋" w:hAnsi="仿宋" w:eastAsia="仿宋" w:cs="仿宋"/>
          <w:color w:val="auto"/>
          <w:sz w:val="24"/>
          <w:szCs w:val="24"/>
          <w:highlight w:val="none"/>
          <w:lang w:val="zh-TW" w:eastAsia="zh-TW"/>
        </w:rPr>
        <w:t>供货与服务</w:t>
      </w:r>
      <w:r>
        <w:rPr>
          <w:rFonts w:hint="eastAsia" w:ascii="仿宋" w:hAnsi="仿宋" w:eastAsia="仿宋" w:cs="仿宋"/>
          <w:color w:val="auto"/>
          <w:sz w:val="24"/>
          <w:szCs w:val="24"/>
          <w:highlight w:val="none"/>
          <w:lang w:val="en-US" w:eastAsia="zh-CN"/>
        </w:rPr>
        <w:t>专用条款</w:t>
      </w:r>
      <w:r>
        <w:rPr>
          <w:rFonts w:hint="eastAsia" w:ascii="仿宋" w:hAnsi="仿宋" w:eastAsia="仿宋" w:cs="仿宋"/>
          <w:color w:val="auto"/>
          <w:sz w:val="24"/>
          <w:szCs w:val="24"/>
          <w:highlight w:val="none"/>
        </w:rPr>
        <w:t>、委托运营管理</w:t>
      </w:r>
      <w:r>
        <w:rPr>
          <w:rFonts w:hint="eastAsia" w:ascii="仿宋" w:hAnsi="仿宋" w:eastAsia="仿宋" w:cs="仿宋"/>
          <w:color w:val="auto"/>
          <w:sz w:val="24"/>
          <w:szCs w:val="24"/>
          <w:highlight w:val="none"/>
          <w:lang w:val="en-US" w:eastAsia="zh-CN"/>
        </w:rPr>
        <w:t>专用条款</w:t>
      </w:r>
      <w:r>
        <w:rPr>
          <w:rFonts w:hint="eastAsia" w:ascii="仿宋" w:hAnsi="仿宋" w:eastAsia="仿宋" w:cs="仿宋"/>
          <w:color w:val="auto"/>
          <w:sz w:val="24"/>
          <w:szCs w:val="24"/>
          <w:highlight w:val="none"/>
          <w:lang w:val="zh-TW" w:eastAsia="zh-TW"/>
        </w:rPr>
        <w:t>）；</w:t>
      </w:r>
    </w:p>
    <w:p w14:paraId="45A1CB43">
      <w:pPr>
        <w:pStyle w:val="95"/>
        <w:spacing w:line="360" w:lineRule="auto"/>
        <w:ind w:firstLine="480" w:firstLineChars="200"/>
        <w:jc w:val="left"/>
        <w:rPr>
          <w:rFonts w:hint="eastAsia" w:ascii="仿宋" w:hAnsi="仿宋" w:eastAsia="仿宋" w:cs="仿宋"/>
          <w:color w:val="auto"/>
          <w:sz w:val="24"/>
          <w:szCs w:val="24"/>
          <w:highlight w:val="none"/>
          <w:lang w:val="zh-TW" w:eastAsia="zh-TW"/>
        </w:rPr>
      </w:pPr>
      <w:r>
        <w:rPr>
          <w:rFonts w:hint="eastAsia" w:ascii="仿宋" w:hAnsi="仿宋" w:eastAsia="仿宋" w:cs="仿宋"/>
          <w:color w:val="auto"/>
          <w:sz w:val="24"/>
          <w:szCs w:val="24"/>
          <w:highlight w:val="none"/>
          <w:lang w:val="zh-TW" w:eastAsia="zh-TW"/>
        </w:rPr>
        <w:t>（</w:t>
      </w:r>
      <w:r>
        <w:rPr>
          <w:rFonts w:hint="eastAsia" w:ascii="仿宋" w:hAnsi="仿宋" w:eastAsia="仿宋" w:cs="仿宋"/>
          <w:color w:val="auto"/>
          <w:sz w:val="24"/>
          <w:szCs w:val="24"/>
          <w:highlight w:val="none"/>
        </w:rPr>
        <w:t>4</w:t>
      </w:r>
      <w:r>
        <w:rPr>
          <w:rFonts w:hint="eastAsia" w:ascii="仿宋" w:hAnsi="仿宋" w:eastAsia="仿宋" w:cs="仿宋"/>
          <w:color w:val="auto"/>
          <w:sz w:val="24"/>
          <w:szCs w:val="24"/>
          <w:highlight w:val="none"/>
          <w:lang w:val="zh-TW" w:eastAsia="zh-TW"/>
        </w:rPr>
        <w:t>）投标函及投标函附录；</w:t>
      </w:r>
    </w:p>
    <w:p w14:paraId="6AFFA739">
      <w:pPr>
        <w:pStyle w:val="95"/>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zh-TW" w:eastAsia="zh-TW"/>
        </w:rPr>
        <w:t>（</w:t>
      </w:r>
      <w:r>
        <w:rPr>
          <w:rFonts w:hint="eastAsia" w:ascii="仿宋" w:hAnsi="仿宋" w:eastAsia="仿宋" w:cs="仿宋"/>
          <w:color w:val="auto"/>
          <w:sz w:val="24"/>
          <w:szCs w:val="24"/>
          <w:highlight w:val="none"/>
        </w:rPr>
        <w:t>5</w:t>
      </w:r>
      <w:r>
        <w:rPr>
          <w:rFonts w:hint="eastAsia" w:ascii="仿宋" w:hAnsi="仿宋" w:eastAsia="仿宋" w:cs="仿宋"/>
          <w:color w:val="auto"/>
          <w:sz w:val="24"/>
          <w:szCs w:val="24"/>
          <w:highlight w:val="none"/>
          <w:lang w:val="zh-TW" w:eastAsia="zh-TW"/>
        </w:rPr>
        <w:t>）其他合同文件。</w:t>
      </w:r>
    </w:p>
    <w:p w14:paraId="65140157">
      <w:pPr>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8</w:t>
      </w:r>
      <w:r>
        <w:rPr>
          <w:rFonts w:hint="eastAsia" w:ascii="仿宋" w:hAnsi="仿宋" w:eastAsia="仿宋" w:cs="仿宋"/>
          <w:color w:val="auto"/>
          <w:sz w:val="24"/>
          <w:szCs w:val="24"/>
          <w:highlight w:val="none"/>
        </w:rPr>
        <w:t>.2履约担保形式：电汇或保函。</w:t>
      </w:r>
    </w:p>
    <w:p w14:paraId="47000ACA">
      <w:pPr>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施工期履约担保：中标施工费（建安工程费+设备集成供货及服务费）的5%（中标人应在取得中标通知书后，签订合同前提交履约担保，</w:t>
      </w:r>
      <w:r>
        <w:rPr>
          <w:rFonts w:hint="eastAsia" w:ascii="仿宋" w:hAnsi="仿宋" w:cs="仿宋"/>
          <w:color w:val="auto"/>
          <w:sz w:val="24"/>
          <w:szCs w:val="24"/>
          <w:highlight w:val="none"/>
          <w:lang w:eastAsia="zh-CN"/>
        </w:rPr>
        <w:t>承包人应保证其履约担保在运营履约保函开具前有效</w:t>
      </w:r>
      <w:r>
        <w:rPr>
          <w:rFonts w:hint="eastAsia" w:ascii="仿宋" w:hAnsi="仿宋" w:eastAsia="仿宋" w:cs="仿宋"/>
          <w:color w:val="auto"/>
          <w:sz w:val="24"/>
          <w:szCs w:val="24"/>
          <w:highlight w:val="none"/>
        </w:rPr>
        <w:t>。否则招标人有权取消其中标资格。）</w:t>
      </w:r>
    </w:p>
    <w:p w14:paraId="496F4D54">
      <w:pPr>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运营期履约担保：中标运营服务费的5%（中标人应在工程竣工后，运营项目移交前提交履约担保，担保期限至运营期届满。）</w:t>
      </w:r>
    </w:p>
    <w:p w14:paraId="2D5AC18D">
      <w:pPr>
        <w:pStyle w:val="95"/>
        <w:spacing w:line="360" w:lineRule="auto"/>
        <w:ind w:firstLine="480" w:firstLineChars="200"/>
        <w:jc w:val="left"/>
        <w:rPr>
          <w:rFonts w:hint="eastAsia" w:ascii="仿宋" w:hAnsi="仿宋" w:eastAsia="仿宋" w:cs="仿宋"/>
          <w:color w:val="auto"/>
          <w:sz w:val="24"/>
          <w:szCs w:val="24"/>
          <w:highlight w:val="none"/>
        </w:rPr>
      </w:pPr>
    </w:p>
    <w:p w14:paraId="6CBF2666">
      <w:pPr>
        <w:pStyle w:val="95"/>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cs="仿宋"/>
          <w:color w:val="auto"/>
          <w:sz w:val="24"/>
          <w:szCs w:val="24"/>
          <w:highlight w:val="none"/>
          <w:lang w:val="en-US" w:eastAsia="zh-CN"/>
        </w:rPr>
        <w:t>8.3</w:t>
      </w:r>
      <w:r>
        <w:rPr>
          <w:rFonts w:hint="eastAsia" w:ascii="仿宋" w:hAnsi="仿宋" w:eastAsia="仿宋" w:cs="仿宋"/>
          <w:color w:val="auto"/>
          <w:sz w:val="24"/>
          <w:szCs w:val="24"/>
          <w:highlight w:val="none"/>
          <w:lang w:val="zh-TW" w:eastAsia="zh-TW"/>
        </w:rPr>
        <w:t>上述文件互相补充和解释，如有不明确或不一致之处，以合同约定次序在先者为准。</w:t>
      </w:r>
    </w:p>
    <w:p w14:paraId="7C30F815">
      <w:pPr>
        <w:pStyle w:val="95"/>
        <w:spacing w:line="360" w:lineRule="auto"/>
        <w:ind w:firstLine="480" w:firstLineChars="200"/>
        <w:jc w:val="left"/>
        <w:rPr>
          <w:rFonts w:hint="eastAsia" w:ascii="仿宋" w:hAnsi="仿宋" w:eastAsia="仿宋" w:cs="仿宋"/>
          <w:color w:val="auto"/>
          <w:sz w:val="24"/>
          <w:szCs w:val="24"/>
          <w:highlight w:val="none"/>
          <w:lang w:val="zh-TW" w:eastAsia="zh-TW"/>
        </w:rPr>
      </w:pPr>
      <w:r>
        <w:rPr>
          <w:rFonts w:hint="eastAsia" w:ascii="仿宋" w:hAnsi="仿宋" w:eastAsia="仿宋" w:cs="仿宋"/>
          <w:color w:val="auto"/>
          <w:sz w:val="24"/>
          <w:szCs w:val="24"/>
          <w:highlight w:val="none"/>
          <w:lang w:val="en-US" w:eastAsia="zh-CN"/>
        </w:rPr>
        <w:t>8</w:t>
      </w:r>
      <w:r>
        <w:rPr>
          <w:rFonts w:hint="eastAsia" w:ascii="仿宋" w:hAnsi="仿宋" w:eastAsia="仿宋" w:cs="仿宋"/>
          <w:color w:val="auto"/>
          <w:sz w:val="24"/>
          <w:szCs w:val="24"/>
          <w:highlight w:val="none"/>
        </w:rPr>
        <w:t>.</w:t>
      </w:r>
      <w:r>
        <w:rPr>
          <w:rFonts w:hint="eastAsia" w:ascii="仿宋" w:hAnsi="仿宋" w:cs="仿宋"/>
          <w:color w:val="auto"/>
          <w:sz w:val="24"/>
          <w:szCs w:val="24"/>
          <w:highlight w:val="none"/>
          <w:lang w:val="en-US" w:eastAsia="zh-CN"/>
        </w:rPr>
        <w:t>4</w:t>
      </w:r>
      <w:r>
        <w:rPr>
          <w:rFonts w:hint="eastAsia" w:ascii="仿宋" w:hAnsi="仿宋" w:eastAsia="仿宋" w:cs="仿宋"/>
          <w:color w:val="auto"/>
          <w:sz w:val="24"/>
          <w:szCs w:val="24"/>
          <w:highlight w:val="none"/>
          <w:lang w:val="zh-TW" w:eastAsia="zh-TW"/>
        </w:rPr>
        <w:t>本合同书一式</w:t>
      </w:r>
      <w:r>
        <w:rPr>
          <w:rFonts w:hint="eastAsia" w:ascii="仿宋" w:hAnsi="仿宋" w:eastAsia="仿宋" w:cs="仿宋"/>
          <w:color w:val="auto"/>
          <w:sz w:val="24"/>
          <w:szCs w:val="24"/>
          <w:highlight w:val="none"/>
          <w:u w:val="single"/>
          <w:lang w:val="zh-TW" w:eastAsia="zh-TW"/>
        </w:rPr>
        <w:t xml:space="preserve">  </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u w:val="single"/>
          <w:lang w:val="zh-TW"/>
        </w:rPr>
        <w:t xml:space="preserve"> </w:t>
      </w:r>
      <w:r>
        <w:rPr>
          <w:rFonts w:hint="eastAsia" w:ascii="仿宋" w:hAnsi="仿宋" w:eastAsia="仿宋" w:cs="仿宋"/>
          <w:color w:val="auto"/>
          <w:sz w:val="24"/>
          <w:szCs w:val="24"/>
          <w:highlight w:val="none"/>
          <w:lang w:val="zh-TW" w:eastAsia="zh-TW"/>
        </w:rPr>
        <w:t>份，合同各方各执</w:t>
      </w:r>
      <w:r>
        <w:rPr>
          <w:rFonts w:hint="eastAsia" w:ascii="仿宋" w:hAnsi="仿宋" w:eastAsia="仿宋" w:cs="仿宋"/>
          <w:color w:val="auto"/>
          <w:sz w:val="24"/>
          <w:szCs w:val="24"/>
          <w:highlight w:val="none"/>
          <w:u w:val="single"/>
          <w:lang w:val="zh-TW" w:eastAsia="zh-TW"/>
        </w:rPr>
        <w:t xml:space="preserve"> </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u w:val="single"/>
          <w:lang w:val="zh-TW"/>
        </w:rPr>
        <w:t xml:space="preserve"> </w:t>
      </w:r>
      <w:r>
        <w:rPr>
          <w:rFonts w:hint="eastAsia" w:ascii="仿宋" w:hAnsi="仿宋" w:eastAsia="仿宋" w:cs="仿宋"/>
          <w:color w:val="auto"/>
          <w:sz w:val="24"/>
          <w:szCs w:val="24"/>
          <w:highlight w:val="none"/>
          <w:lang w:val="zh-TW" w:eastAsia="zh-TW"/>
        </w:rPr>
        <w:t>份。</w:t>
      </w:r>
    </w:p>
    <w:p w14:paraId="7DAA4685">
      <w:pPr>
        <w:pStyle w:val="95"/>
        <w:spacing w:line="360" w:lineRule="auto"/>
        <w:ind w:firstLine="480" w:firstLineChars="200"/>
        <w:jc w:val="left"/>
        <w:outlineLvl w:val="9"/>
        <w:rPr>
          <w:rFonts w:hint="eastAsia" w:ascii="仿宋" w:hAnsi="仿宋" w:eastAsia="仿宋" w:cs="仿宋"/>
          <w:color w:val="auto"/>
          <w:highlight w:val="none"/>
        </w:rPr>
      </w:pPr>
      <w:r>
        <w:rPr>
          <w:rFonts w:hint="eastAsia" w:ascii="仿宋" w:hAnsi="仿宋" w:eastAsia="仿宋" w:cs="仿宋"/>
          <w:color w:val="auto"/>
          <w:szCs w:val="24"/>
          <w:highlight w:val="none"/>
          <w:lang w:val="en-US" w:eastAsia="zh-CN"/>
        </w:rPr>
        <w:t>8</w:t>
      </w:r>
      <w:r>
        <w:rPr>
          <w:rFonts w:hint="eastAsia" w:ascii="仿宋" w:hAnsi="仿宋" w:eastAsia="仿宋" w:cs="仿宋"/>
          <w:color w:val="auto"/>
          <w:szCs w:val="24"/>
          <w:highlight w:val="none"/>
        </w:rPr>
        <w:t>.</w:t>
      </w:r>
      <w:r>
        <w:rPr>
          <w:rFonts w:hint="eastAsia" w:ascii="仿宋" w:hAnsi="仿宋" w:cs="仿宋"/>
          <w:color w:val="auto"/>
          <w:szCs w:val="24"/>
          <w:highlight w:val="none"/>
          <w:lang w:val="en-US" w:eastAsia="zh-CN"/>
        </w:rPr>
        <w:t>5</w:t>
      </w:r>
      <w:r>
        <w:rPr>
          <w:rFonts w:hint="eastAsia" w:ascii="仿宋" w:hAnsi="仿宋" w:eastAsia="仿宋" w:cs="仿宋"/>
          <w:color w:val="auto"/>
          <w:szCs w:val="24"/>
          <w:highlight w:val="none"/>
        </w:rPr>
        <w:t>本</w:t>
      </w:r>
      <w:r>
        <w:rPr>
          <w:rFonts w:hint="eastAsia" w:ascii="仿宋" w:hAnsi="仿宋" w:eastAsia="仿宋" w:cs="仿宋"/>
          <w:color w:val="auto"/>
          <w:highlight w:val="none"/>
        </w:rPr>
        <w:t>项目招标文件所涉及实质性条款不得修改。</w:t>
      </w:r>
    </w:p>
    <w:p w14:paraId="72FB355F">
      <w:pPr>
        <w:pStyle w:val="95"/>
        <w:spacing w:line="360" w:lineRule="auto"/>
        <w:ind w:firstLine="480" w:firstLineChars="200"/>
        <w:jc w:val="left"/>
        <w:rPr>
          <w:rFonts w:hint="eastAsia" w:ascii="仿宋" w:hAnsi="仿宋" w:eastAsia="仿宋" w:cs="仿宋"/>
          <w:color w:val="auto"/>
          <w:szCs w:val="21"/>
          <w:highlight w:val="none"/>
          <w:u w:color="000000"/>
        </w:rPr>
      </w:pPr>
      <w:r>
        <w:rPr>
          <w:rFonts w:hint="eastAsia" w:ascii="仿宋" w:hAnsi="仿宋" w:eastAsia="仿宋" w:cs="仿宋"/>
          <w:color w:val="auto"/>
          <w:sz w:val="24"/>
          <w:szCs w:val="24"/>
          <w:highlight w:val="none"/>
          <w:lang w:val="en-US" w:eastAsia="zh-CN"/>
        </w:rPr>
        <w:t>8</w:t>
      </w:r>
      <w:r>
        <w:rPr>
          <w:rFonts w:hint="eastAsia" w:ascii="仿宋" w:hAnsi="仿宋" w:eastAsia="仿宋" w:cs="仿宋"/>
          <w:color w:val="auto"/>
          <w:sz w:val="24"/>
          <w:szCs w:val="24"/>
          <w:highlight w:val="none"/>
        </w:rPr>
        <w:t>.</w:t>
      </w:r>
      <w:r>
        <w:rPr>
          <w:rFonts w:hint="eastAsia" w:ascii="仿宋" w:hAnsi="仿宋" w:cs="仿宋"/>
          <w:color w:val="auto"/>
          <w:sz w:val="24"/>
          <w:szCs w:val="24"/>
          <w:highlight w:val="none"/>
          <w:lang w:val="en-US" w:eastAsia="zh-CN"/>
        </w:rPr>
        <w:t>6</w:t>
      </w:r>
      <w:r>
        <w:rPr>
          <w:rFonts w:hint="eastAsia" w:ascii="仿宋" w:hAnsi="仿宋" w:eastAsia="仿宋" w:cs="仿宋"/>
          <w:color w:val="auto"/>
          <w:sz w:val="24"/>
          <w:szCs w:val="24"/>
          <w:highlight w:val="none"/>
          <w:lang w:val="zh-TW" w:eastAsia="zh-TW"/>
        </w:rPr>
        <w:t>合同未尽事宜，双方另行签订补充协议。补充协议是合同的组成部分。</w:t>
      </w:r>
    </w:p>
    <w:p w14:paraId="2A3B7A0B">
      <w:pPr>
        <w:spacing w:line="360" w:lineRule="auto"/>
        <w:ind w:firstLine="480" w:firstLineChars="200"/>
        <w:jc w:val="left"/>
        <w:rPr>
          <w:rFonts w:hint="eastAsia" w:ascii="仿宋" w:hAnsi="仿宋" w:eastAsia="仿宋" w:cs="仿宋"/>
          <w:color w:val="auto"/>
          <w:sz w:val="24"/>
          <w:szCs w:val="24"/>
          <w:highlight w:val="none"/>
          <w:lang w:val="zh-TW" w:eastAsia="zh-TW"/>
        </w:rPr>
      </w:pPr>
      <w:r>
        <w:rPr>
          <w:rFonts w:hint="eastAsia" w:ascii="仿宋" w:hAnsi="仿宋" w:eastAsia="仿宋" w:cs="仿宋"/>
          <w:color w:val="auto"/>
          <w:sz w:val="24"/>
          <w:szCs w:val="24"/>
          <w:highlight w:val="none"/>
          <w:lang w:val="zh-TW" w:eastAsia="zh-TW"/>
        </w:rPr>
        <w:br w:type="page"/>
      </w:r>
    </w:p>
    <w:p w14:paraId="46C5CDA4">
      <w:pPr>
        <w:pStyle w:val="95"/>
        <w:spacing w:line="360" w:lineRule="auto"/>
        <w:ind w:firstLine="480" w:firstLineChars="200"/>
        <w:jc w:val="left"/>
        <w:rPr>
          <w:rFonts w:hint="eastAsia" w:ascii="仿宋" w:hAnsi="仿宋" w:eastAsia="仿宋" w:cs="仿宋"/>
          <w:color w:val="auto"/>
          <w:highlight w:val="none"/>
        </w:rPr>
      </w:pPr>
      <w:r>
        <w:rPr>
          <w:rFonts w:hint="eastAsia" w:ascii="仿宋" w:hAnsi="仿宋" w:eastAsia="仿宋" w:cs="仿宋"/>
          <w:color w:val="auto"/>
          <w:highlight w:val="none"/>
          <w:lang w:val="zh-TW" w:eastAsia="zh-TW"/>
        </w:rPr>
        <w:t>发包人：</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lang w:val="zh-TW" w:eastAsia="zh-TW"/>
        </w:rPr>
        <w:t xml:space="preserve">（盖单位章）      </w:t>
      </w:r>
      <w:r>
        <w:rPr>
          <w:rFonts w:hint="eastAsia" w:ascii="仿宋" w:hAnsi="仿宋" w:eastAsia="仿宋" w:cs="仿宋"/>
          <w:color w:val="auto"/>
          <w:highlight w:val="none"/>
          <w:lang w:val="zh-TW"/>
        </w:rPr>
        <w:t xml:space="preserve">    </w:t>
      </w:r>
      <w:r>
        <w:rPr>
          <w:rFonts w:hint="eastAsia" w:ascii="仿宋" w:hAnsi="仿宋" w:eastAsia="仿宋" w:cs="仿宋"/>
          <w:color w:val="auto"/>
          <w:highlight w:val="none"/>
          <w:lang w:val="zh-TW" w:eastAsia="zh-TW"/>
        </w:rPr>
        <w:t>承包人联合体牵头人：</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lang w:val="zh-TW" w:eastAsia="zh-TW"/>
        </w:rPr>
        <w:t>（盖单位章）</w:t>
      </w:r>
    </w:p>
    <w:p w14:paraId="2D6ED7A8">
      <w:pPr>
        <w:pStyle w:val="95"/>
        <w:spacing w:line="360" w:lineRule="auto"/>
        <w:ind w:firstLine="480" w:firstLineChars="200"/>
        <w:jc w:val="left"/>
        <w:rPr>
          <w:rFonts w:hint="eastAsia" w:ascii="仿宋" w:hAnsi="仿宋" w:eastAsia="仿宋" w:cs="仿宋"/>
          <w:color w:val="auto"/>
          <w:highlight w:val="none"/>
        </w:rPr>
      </w:pPr>
      <w:r>
        <w:rPr>
          <w:rFonts w:hint="eastAsia" w:ascii="仿宋" w:hAnsi="仿宋" w:eastAsia="仿宋" w:cs="仿宋"/>
          <w:color w:val="auto"/>
          <w:highlight w:val="none"/>
          <w:lang w:val="zh-TW" w:eastAsia="zh-TW"/>
        </w:rPr>
        <w:t>法定代表人或其委托代理人：</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lang w:val="zh-TW" w:eastAsia="zh-TW"/>
        </w:rPr>
        <w:t xml:space="preserve">（签字）  </w:t>
      </w:r>
      <w:r>
        <w:rPr>
          <w:rFonts w:hint="eastAsia" w:ascii="仿宋" w:hAnsi="仿宋" w:eastAsia="仿宋" w:cs="仿宋"/>
          <w:color w:val="auto"/>
          <w:highlight w:val="none"/>
          <w:lang w:val="zh-TW"/>
        </w:rPr>
        <w:t xml:space="preserve"> </w:t>
      </w:r>
      <w:r>
        <w:rPr>
          <w:rFonts w:hint="eastAsia" w:ascii="仿宋" w:hAnsi="仿宋" w:eastAsia="仿宋" w:cs="仿宋"/>
          <w:color w:val="auto"/>
          <w:highlight w:val="none"/>
          <w:lang w:val="zh-TW" w:eastAsia="zh-TW"/>
        </w:rPr>
        <w:t>法定代表人或其委托代理人：</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lang w:val="zh-TW" w:eastAsia="zh-TW"/>
        </w:rPr>
        <w:t>（签字）</w:t>
      </w:r>
    </w:p>
    <w:p w14:paraId="10542206">
      <w:pPr>
        <w:pStyle w:val="95"/>
        <w:spacing w:line="360" w:lineRule="auto"/>
        <w:ind w:firstLine="480" w:firstLineChars="200"/>
        <w:jc w:val="left"/>
        <w:rPr>
          <w:rFonts w:hint="eastAsia" w:ascii="仿宋" w:hAnsi="仿宋" w:eastAsia="仿宋" w:cs="仿宋"/>
          <w:color w:val="auto"/>
          <w:highlight w:val="none"/>
          <w:lang w:val="zh-TW" w:eastAsia="zh-TW"/>
        </w:rPr>
      </w:pPr>
      <w:r>
        <w:rPr>
          <w:rFonts w:hint="eastAsia" w:ascii="仿宋" w:hAnsi="仿宋" w:eastAsia="仿宋" w:cs="仿宋"/>
          <w:color w:val="auto"/>
          <w:highlight w:val="none"/>
          <w:lang w:val="zh-TW" w:eastAsia="zh-TW"/>
        </w:rPr>
        <w:t>电    话：                               电    话：</w:t>
      </w:r>
    </w:p>
    <w:p w14:paraId="06A9F96E">
      <w:pPr>
        <w:pStyle w:val="95"/>
        <w:spacing w:line="360" w:lineRule="auto"/>
        <w:ind w:firstLine="480" w:firstLineChars="200"/>
        <w:jc w:val="left"/>
        <w:rPr>
          <w:rFonts w:hint="eastAsia" w:ascii="仿宋" w:hAnsi="仿宋" w:eastAsia="仿宋" w:cs="仿宋"/>
          <w:color w:val="auto"/>
          <w:highlight w:val="none"/>
          <w:lang w:val="zh-TW" w:eastAsia="zh-TW"/>
        </w:rPr>
      </w:pPr>
      <w:r>
        <w:rPr>
          <w:rFonts w:hint="eastAsia" w:ascii="仿宋" w:hAnsi="仿宋" w:eastAsia="仿宋" w:cs="仿宋"/>
          <w:color w:val="auto"/>
          <w:highlight w:val="none"/>
          <w:lang w:val="zh-TW" w:eastAsia="zh-TW"/>
        </w:rPr>
        <w:t>传    真：                               传    真：</w:t>
      </w:r>
    </w:p>
    <w:p w14:paraId="41D29BBF">
      <w:pPr>
        <w:pStyle w:val="95"/>
        <w:spacing w:line="360" w:lineRule="auto"/>
        <w:ind w:firstLine="480" w:firstLineChars="200"/>
        <w:jc w:val="left"/>
        <w:rPr>
          <w:rFonts w:hint="eastAsia" w:ascii="仿宋" w:hAnsi="仿宋" w:eastAsia="仿宋" w:cs="仿宋"/>
          <w:color w:val="auto"/>
          <w:highlight w:val="none"/>
        </w:rPr>
      </w:pPr>
      <w:r>
        <w:rPr>
          <w:rFonts w:hint="eastAsia" w:ascii="仿宋" w:hAnsi="仿宋" w:eastAsia="仿宋" w:cs="仿宋"/>
          <w:color w:val="auto"/>
          <w:highlight w:val="none"/>
          <w:lang w:val="zh-TW" w:eastAsia="zh-TW"/>
        </w:rPr>
        <w:t>开户银行：</w:t>
      </w:r>
      <w:r>
        <w:rPr>
          <w:rFonts w:hint="eastAsia" w:ascii="仿宋" w:hAnsi="仿宋" w:eastAsia="仿宋" w:cs="仿宋"/>
          <w:color w:val="auto"/>
          <w:highlight w:val="none"/>
          <w:lang w:val="zh-TW" w:eastAsia="zh-TW"/>
        </w:rPr>
        <w:tab/>
      </w:r>
      <w:r>
        <w:rPr>
          <w:rFonts w:hint="eastAsia" w:ascii="仿宋" w:hAnsi="仿宋" w:eastAsia="仿宋" w:cs="仿宋"/>
          <w:color w:val="auto"/>
          <w:highlight w:val="none"/>
          <w:lang w:val="zh-TW" w:eastAsia="zh-TW"/>
        </w:rPr>
        <w:t xml:space="preserve">                            </w:t>
      </w:r>
      <w:r>
        <w:rPr>
          <w:rFonts w:hint="eastAsia" w:ascii="仿宋" w:hAnsi="仿宋" w:eastAsia="仿宋" w:cs="仿宋"/>
          <w:color w:val="auto"/>
          <w:highlight w:val="none"/>
        </w:rPr>
        <w:t xml:space="preserve">   </w:t>
      </w:r>
      <w:r>
        <w:rPr>
          <w:rFonts w:hint="eastAsia" w:ascii="仿宋" w:hAnsi="仿宋" w:eastAsia="仿宋" w:cs="仿宋"/>
          <w:color w:val="auto"/>
          <w:highlight w:val="none"/>
          <w:lang w:val="zh-TW" w:eastAsia="zh-TW"/>
        </w:rPr>
        <w:t>开户银行：</w:t>
      </w:r>
    </w:p>
    <w:p w14:paraId="47ADBD5C">
      <w:pPr>
        <w:pStyle w:val="95"/>
        <w:spacing w:line="360" w:lineRule="auto"/>
        <w:ind w:firstLine="480" w:firstLineChars="200"/>
        <w:jc w:val="left"/>
        <w:rPr>
          <w:rFonts w:hint="eastAsia" w:ascii="仿宋" w:hAnsi="仿宋" w:eastAsia="仿宋" w:cs="仿宋"/>
          <w:color w:val="auto"/>
          <w:highlight w:val="none"/>
        </w:rPr>
      </w:pPr>
      <w:r>
        <w:rPr>
          <w:rFonts w:hint="eastAsia" w:ascii="仿宋" w:hAnsi="仿宋" w:eastAsia="仿宋" w:cs="仿宋"/>
          <w:color w:val="auto"/>
          <w:highlight w:val="none"/>
          <w:lang w:val="zh-TW" w:eastAsia="zh-TW"/>
        </w:rPr>
        <w:t>账</w:t>
      </w:r>
      <w:r>
        <w:rPr>
          <w:rFonts w:hint="eastAsia" w:ascii="仿宋" w:hAnsi="仿宋" w:eastAsia="仿宋" w:cs="仿宋"/>
          <w:color w:val="auto"/>
          <w:highlight w:val="none"/>
          <w:lang w:val="zh-TW" w:eastAsia="zh-TW"/>
        </w:rPr>
        <w:tab/>
      </w:r>
      <w:r>
        <w:rPr>
          <w:rFonts w:hint="eastAsia" w:ascii="仿宋" w:hAnsi="仿宋" w:eastAsia="仿宋" w:cs="仿宋"/>
          <w:color w:val="auto"/>
          <w:highlight w:val="none"/>
          <w:lang w:val="zh-TW" w:eastAsia="zh-TW"/>
        </w:rPr>
        <w:t>号：</w:t>
      </w:r>
      <w:r>
        <w:rPr>
          <w:rFonts w:hint="eastAsia" w:ascii="仿宋" w:hAnsi="仿宋" w:eastAsia="仿宋" w:cs="仿宋"/>
          <w:color w:val="auto"/>
          <w:highlight w:val="none"/>
          <w:lang w:val="zh-TW" w:eastAsia="zh-TW"/>
        </w:rPr>
        <w:tab/>
      </w:r>
      <w:r>
        <w:rPr>
          <w:rFonts w:hint="eastAsia" w:ascii="仿宋" w:hAnsi="仿宋" w:eastAsia="仿宋" w:cs="仿宋"/>
          <w:color w:val="auto"/>
          <w:highlight w:val="none"/>
          <w:lang w:val="zh-TW" w:eastAsia="zh-TW"/>
        </w:rPr>
        <w:t xml:space="preserve">                           </w:t>
      </w:r>
      <w:r>
        <w:rPr>
          <w:rFonts w:hint="eastAsia" w:ascii="仿宋" w:hAnsi="仿宋" w:eastAsia="仿宋" w:cs="仿宋"/>
          <w:color w:val="auto"/>
          <w:highlight w:val="none"/>
        </w:rPr>
        <w:t xml:space="preserve">   </w:t>
      </w:r>
      <w:r>
        <w:rPr>
          <w:rFonts w:hint="eastAsia" w:ascii="仿宋" w:hAnsi="仿宋" w:eastAsia="仿宋" w:cs="仿宋"/>
          <w:color w:val="auto"/>
          <w:highlight w:val="none"/>
          <w:lang w:val="zh-TW" w:eastAsia="zh-TW"/>
        </w:rPr>
        <w:t xml:space="preserve"> 账 号：</w:t>
      </w:r>
      <w:r>
        <w:rPr>
          <w:rFonts w:hint="eastAsia" w:ascii="仿宋" w:hAnsi="仿宋" w:eastAsia="仿宋" w:cs="仿宋"/>
          <w:color w:val="auto"/>
          <w:highlight w:val="none"/>
          <w:lang w:val="zh-TW" w:eastAsia="zh-TW"/>
        </w:rPr>
        <w:tab/>
      </w:r>
    </w:p>
    <w:p w14:paraId="6F465D7E">
      <w:pPr>
        <w:pStyle w:val="95"/>
        <w:spacing w:line="360" w:lineRule="auto"/>
        <w:ind w:firstLine="480" w:firstLineChars="200"/>
        <w:jc w:val="left"/>
        <w:rPr>
          <w:rFonts w:hint="eastAsia" w:ascii="仿宋" w:hAnsi="仿宋" w:eastAsia="仿宋" w:cs="仿宋"/>
          <w:color w:val="auto"/>
          <w:highlight w:val="none"/>
        </w:rPr>
      </w:pPr>
      <w:r>
        <w:rPr>
          <w:rFonts w:hint="eastAsia" w:ascii="仿宋" w:hAnsi="仿宋" w:eastAsia="仿宋" w:cs="仿宋"/>
          <w:color w:val="auto"/>
          <w:highlight w:val="none"/>
          <w:lang w:val="zh-TW" w:eastAsia="zh-TW"/>
        </w:rPr>
        <w:t>邮政编码：</w:t>
      </w:r>
      <w:r>
        <w:rPr>
          <w:rFonts w:hint="eastAsia" w:ascii="仿宋" w:hAnsi="仿宋" w:eastAsia="仿宋" w:cs="仿宋"/>
          <w:color w:val="auto"/>
          <w:highlight w:val="none"/>
          <w:lang w:val="zh-TW" w:eastAsia="zh-TW"/>
        </w:rPr>
        <w:tab/>
      </w:r>
      <w:r>
        <w:rPr>
          <w:rFonts w:hint="eastAsia" w:ascii="仿宋" w:hAnsi="仿宋" w:eastAsia="仿宋" w:cs="仿宋"/>
          <w:color w:val="auto"/>
          <w:highlight w:val="none"/>
          <w:lang w:val="zh-TW" w:eastAsia="zh-TW"/>
        </w:rPr>
        <w:t xml:space="preserve">                           </w:t>
      </w:r>
      <w:r>
        <w:rPr>
          <w:rFonts w:hint="eastAsia" w:ascii="仿宋" w:hAnsi="仿宋" w:eastAsia="仿宋" w:cs="仿宋"/>
          <w:color w:val="auto"/>
          <w:highlight w:val="none"/>
        </w:rPr>
        <w:t xml:space="preserve">   </w:t>
      </w:r>
      <w:r>
        <w:rPr>
          <w:rFonts w:hint="eastAsia" w:ascii="仿宋" w:hAnsi="仿宋" w:eastAsia="仿宋" w:cs="仿宋"/>
          <w:color w:val="auto"/>
          <w:highlight w:val="none"/>
          <w:lang w:val="zh-TW" w:eastAsia="zh-TW"/>
        </w:rPr>
        <w:t xml:space="preserve"> 邮政编码：</w:t>
      </w:r>
    </w:p>
    <w:p w14:paraId="797D9A43">
      <w:pPr>
        <w:pStyle w:val="95"/>
        <w:spacing w:line="360" w:lineRule="auto"/>
        <w:ind w:firstLine="480" w:firstLineChars="200"/>
        <w:jc w:val="left"/>
        <w:rPr>
          <w:rFonts w:hint="eastAsia" w:ascii="仿宋" w:hAnsi="仿宋" w:eastAsia="仿宋" w:cs="仿宋"/>
          <w:color w:val="auto"/>
          <w:kern w:val="0"/>
          <w:highlight w:val="none"/>
        </w:rPr>
      </w:pPr>
      <w:r>
        <w:rPr>
          <w:rFonts w:hint="eastAsia" w:ascii="仿宋" w:hAnsi="仿宋" w:eastAsia="仿宋" w:cs="仿宋"/>
          <w:color w:val="auto"/>
          <w:highlight w:val="none"/>
          <w:lang w:val="zh-TW" w:eastAsia="zh-TW"/>
        </w:rPr>
        <w:t>电子邮箱：</w:t>
      </w:r>
      <w:r>
        <w:rPr>
          <w:rFonts w:hint="eastAsia" w:ascii="仿宋" w:hAnsi="仿宋" w:eastAsia="仿宋" w:cs="仿宋"/>
          <w:color w:val="auto"/>
          <w:highlight w:val="none"/>
          <w:lang w:val="zh-TW" w:eastAsia="zh-TW"/>
        </w:rPr>
        <w:tab/>
      </w:r>
      <w:r>
        <w:rPr>
          <w:rFonts w:hint="eastAsia" w:ascii="仿宋" w:hAnsi="仿宋" w:eastAsia="仿宋" w:cs="仿宋"/>
          <w:color w:val="auto"/>
          <w:highlight w:val="none"/>
          <w:lang w:val="zh-TW" w:eastAsia="zh-TW"/>
        </w:rPr>
        <w:t xml:space="preserve">                            </w:t>
      </w:r>
      <w:r>
        <w:rPr>
          <w:rFonts w:hint="eastAsia" w:ascii="仿宋" w:hAnsi="仿宋" w:eastAsia="仿宋" w:cs="仿宋"/>
          <w:color w:val="auto"/>
          <w:highlight w:val="none"/>
        </w:rPr>
        <w:t xml:space="preserve">   </w:t>
      </w:r>
      <w:r>
        <w:rPr>
          <w:rFonts w:hint="eastAsia" w:ascii="仿宋" w:hAnsi="仿宋" w:eastAsia="仿宋" w:cs="仿宋"/>
          <w:color w:val="auto"/>
          <w:highlight w:val="none"/>
          <w:lang w:val="zh-TW" w:eastAsia="zh-TW"/>
        </w:rPr>
        <w:t>电子邮箱：</w:t>
      </w:r>
    </w:p>
    <w:p w14:paraId="62940754">
      <w:pPr>
        <w:pStyle w:val="95"/>
        <w:spacing w:line="360" w:lineRule="auto"/>
        <w:ind w:firstLine="480" w:firstLineChars="200"/>
        <w:jc w:val="left"/>
        <w:rPr>
          <w:rFonts w:hint="eastAsia" w:ascii="仿宋" w:hAnsi="仿宋" w:eastAsia="仿宋" w:cs="仿宋"/>
          <w:color w:val="auto"/>
          <w:highlight w:val="none"/>
          <w:lang w:val="zh-TW" w:eastAsia="zh-TW"/>
        </w:rPr>
      </w:pP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lang w:val="zh-TW" w:eastAsia="zh-TW"/>
        </w:rPr>
        <w:t>年</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lang w:val="zh-TW" w:eastAsia="zh-TW"/>
        </w:rPr>
        <w:t xml:space="preserve">月 </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lang w:val="zh-TW" w:eastAsia="zh-TW"/>
        </w:rPr>
        <w:t xml:space="preserve"> 日          </w:t>
      </w:r>
      <w:r>
        <w:rPr>
          <w:rFonts w:hint="eastAsia" w:ascii="仿宋" w:hAnsi="仿宋" w:eastAsia="仿宋" w:cs="仿宋"/>
          <w:color w:val="auto"/>
          <w:highlight w:val="none"/>
        </w:rPr>
        <w:t xml:space="preserve">    </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lang w:val="zh-TW" w:eastAsia="zh-TW"/>
        </w:rPr>
        <w:t>年</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lang w:val="zh-TW" w:eastAsia="zh-TW"/>
        </w:rPr>
        <w:t xml:space="preserve">月 </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lang w:val="zh-TW" w:eastAsia="zh-TW"/>
        </w:rPr>
        <w:t xml:space="preserve"> 日</w:t>
      </w:r>
    </w:p>
    <w:p w14:paraId="63EA1F9E">
      <w:pPr>
        <w:pStyle w:val="95"/>
        <w:spacing w:line="360" w:lineRule="auto"/>
        <w:ind w:firstLine="480" w:firstLineChars="200"/>
        <w:jc w:val="left"/>
        <w:rPr>
          <w:rFonts w:hint="eastAsia" w:ascii="仿宋" w:hAnsi="仿宋" w:eastAsia="仿宋" w:cs="仿宋"/>
          <w:color w:val="auto"/>
          <w:highlight w:val="none"/>
          <w:lang w:val="zh-TW" w:eastAsia="zh-TW"/>
        </w:rPr>
      </w:pPr>
    </w:p>
    <w:p w14:paraId="27CBE523">
      <w:pPr>
        <w:pStyle w:val="95"/>
        <w:spacing w:line="360" w:lineRule="auto"/>
        <w:ind w:firstLine="480" w:firstLineChars="200"/>
        <w:jc w:val="left"/>
        <w:rPr>
          <w:rFonts w:hint="eastAsia" w:ascii="仿宋" w:hAnsi="仿宋" w:eastAsia="仿宋" w:cs="仿宋"/>
          <w:color w:val="auto"/>
          <w:highlight w:val="none"/>
        </w:rPr>
      </w:pPr>
      <w:r>
        <w:rPr>
          <w:rFonts w:hint="eastAsia" w:ascii="仿宋" w:hAnsi="仿宋" w:eastAsia="仿宋" w:cs="仿宋"/>
          <w:color w:val="auto"/>
          <w:highlight w:val="none"/>
          <w:lang w:val="zh-TW" w:eastAsia="zh-TW"/>
        </w:rPr>
        <w:t>联合体成员一：</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lang w:val="zh-TW" w:eastAsia="zh-TW"/>
        </w:rPr>
        <w:t>（盖单位章） 联合体成员二：</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lang w:val="zh-TW" w:eastAsia="zh-TW"/>
        </w:rPr>
        <w:t>（盖单位章）</w:t>
      </w:r>
    </w:p>
    <w:p w14:paraId="54224967">
      <w:pPr>
        <w:pStyle w:val="95"/>
        <w:spacing w:line="360" w:lineRule="auto"/>
        <w:ind w:firstLine="480" w:firstLineChars="200"/>
        <w:jc w:val="left"/>
        <w:rPr>
          <w:rFonts w:hint="eastAsia" w:ascii="仿宋" w:hAnsi="仿宋" w:eastAsia="仿宋" w:cs="仿宋"/>
          <w:color w:val="auto"/>
          <w:highlight w:val="none"/>
        </w:rPr>
      </w:pPr>
      <w:r>
        <w:rPr>
          <w:rFonts w:hint="eastAsia" w:ascii="仿宋" w:hAnsi="仿宋" w:eastAsia="仿宋" w:cs="仿宋"/>
          <w:color w:val="auto"/>
          <w:highlight w:val="none"/>
          <w:lang w:val="zh-TW" w:eastAsia="zh-TW"/>
        </w:rPr>
        <w:t>法定代表人或其委托代理人：</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lang w:val="zh-TW" w:eastAsia="zh-TW"/>
        </w:rPr>
        <w:t>（签字）   法定代表人或其委托代理人：</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lang w:val="zh-TW" w:eastAsia="zh-TW"/>
        </w:rPr>
        <w:t>（签字）</w:t>
      </w:r>
    </w:p>
    <w:p w14:paraId="4266DE84">
      <w:pPr>
        <w:pStyle w:val="95"/>
        <w:spacing w:line="360" w:lineRule="auto"/>
        <w:ind w:firstLine="480" w:firstLineChars="200"/>
        <w:jc w:val="left"/>
        <w:rPr>
          <w:rFonts w:hint="eastAsia" w:ascii="仿宋" w:hAnsi="仿宋" w:eastAsia="仿宋" w:cs="仿宋"/>
          <w:color w:val="auto"/>
          <w:highlight w:val="none"/>
          <w:lang w:val="zh-TW" w:eastAsia="zh-TW"/>
        </w:rPr>
      </w:pPr>
      <w:r>
        <w:rPr>
          <w:rFonts w:hint="eastAsia" w:ascii="仿宋" w:hAnsi="仿宋" w:eastAsia="仿宋" w:cs="仿宋"/>
          <w:color w:val="auto"/>
          <w:highlight w:val="none"/>
          <w:lang w:val="zh-TW" w:eastAsia="zh-TW"/>
        </w:rPr>
        <w:t>电    话：                               电    话：</w:t>
      </w:r>
    </w:p>
    <w:p w14:paraId="7F734F95">
      <w:pPr>
        <w:pStyle w:val="95"/>
        <w:spacing w:line="360" w:lineRule="auto"/>
        <w:ind w:firstLine="480" w:firstLineChars="200"/>
        <w:jc w:val="left"/>
        <w:rPr>
          <w:rFonts w:hint="eastAsia" w:ascii="仿宋" w:hAnsi="仿宋" w:eastAsia="仿宋" w:cs="仿宋"/>
          <w:color w:val="auto"/>
          <w:highlight w:val="none"/>
          <w:lang w:val="zh-TW" w:eastAsia="zh-TW"/>
        </w:rPr>
      </w:pPr>
      <w:r>
        <w:rPr>
          <w:rFonts w:hint="eastAsia" w:ascii="仿宋" w:hAnsi="仿宋" w:eastAsia="仿宋" w:cs="仿宋"/>
          <w:color w:val="auto"/>
          <w:highlight w:val="none"/>
          <w:lang w:val="zh-TW" w:eastAsia="zh-TW"/>
        </w:rPr>
        <w:t>传    真：                               传    真：</w:t>
      </w:r>
    </w:p>
    <w:p w14:paraId="05C0FAF9">
      <w:pPr>
        <w:pStyle w:val="95"/>
        <w:spacing w:line="360" w:lineRule="auto"/>
        <w:ind w:firstLine="480" w:firstLineChars="200"/>
        <w:jc w:val="left"/>
        <w:rPr>
          <w:rFonts w:hint="eastAsia" w:ascii="仿宋" w:hAnsi="仿宋" w:eastAsia="仿宋" w:cs="仿宋"/>
          <w:color w:val="auto"/>
          <w:highlight w:val="none"/>
          <w:lang w:val="zh-TW" w:eastAsia="zh-TW"/>
        </w:rPr>
      </w:pPr>
      <w:r>
        <w:rPr>
          <w:rFonts w:hint="eastAsia" w:ascii="仿宋" w:hAnsi="仿宋" w:eastAsia="仿宋" w:cs="仿宋"/>
          <w:color w:val="auto"/>
          <w:highlight w:val="none"/>
          <w:lang w:val="zh-TW" w:eastAsia="zh-TW"/>
        </w:rPr>
        <w:t>开户银行：</w:t>
      </w:r>
      <w:r>
        <w:rPr>
          <w:rFonts w:hint="eastAsia" w:ascii="仿宋" w:hAnsi="仿宋" w:eastAsia="仿宋" w:cs="仿宋"/>
          <w:color w:val="auto"/>
          <w:highlight w:val="none"/>
          <w:lang w:val="zh-TW" w:eastAsia="zh-TW"/>
        </w:rPr>
        <w:tab/>
      </w:r>
      <w:r>
        <w:rPr>
          <w:rFonts w:hint="eastAsia" w:ascii="仿宋" w:hAnsi="仿宋" w:eastAsia="仿宋" w:cs="仿宋"/>
          <w:color w:val="auto"/>
          <w:highlight w:val="none"/>
          <w:lang w:val="zh-TW" w:eastAsia="zh-TW"/>
        </w:rPr>
        <w:t xml:space="preserve">                            </w:t>
      </w:r>
      <w:r>
        <w:rPr>
          <w:rFonts w:hint="eastAsia" w:ascii="仿宋" w:hAnsi="仿宋" w:eastAsia="仿宋" w:cs="仿宋"/>
          <w:color w:val="auto"/>
          <w:highlight w:val="none"/>
          <w:lang w:val="zh-TW"/>
        </w:rPr>
        <w:t xml:space="preserve"> </w:t>
      </w:r>
      <w:r>
        <w:rPr>
          <w:rFonts w:hint="eastAsia" w:ascii="仿宋" w:hAnsi="仿宋" w:eastAsia="仿宋" w:cs="仿宋"/>
          <w:color w:val="auto"/>
          <w:highlight w:val="none"/>
          <w:lang w:val="zh-TW" w:eastAsia="zh-TW"/>
        </w:rPr>
        <w:t xml:space="preserve"> </w:t>
      </w:r>
      <w:r>
        <w:rPr>
          <w:rFonts w:hint="eastAsia" w:ascii="仿宋" w:hAnsi="仿宋" w:eastAsia="仿宋" w:cs="仿宋"/>
          <w:color w:val="auto"/>
          <w:highlight w:val="none"/>
          <w:lang w:val="zh-TW"/>
        </w:rPr>
        <w:t xml:space="preserve"> </w:t>
      </w:r>
      <w:r>
        <w:rPr>
          <w:rFonts w:hint="eastAsia" w:ascii="仿宋" w:hAnsi="仿宋" w:eastAsia="仿宋" w:cs="仿宋"/>
          <w:color w:val="auto"/>
          <w:highlight w:val="none"/>
          <w:lang w:val="zh-TW" w:eastAsia="zh-TW"/>
        </w:rPr>
        <w:t>开户银行：</w:t>
      </w:r>
    </w:p>
    <w:p w14:paraId="5768CF0A">
      <w:pPr>
        <w:pStyle w:val="95"/>
        <w:spacing w:line="360" w:lineRule="auto"/>
        <w:ind w:firstLine="480" w:firstLineChars="200"/>
        <w:jc w:val="left"/>
        <w:rPr>
          <w:rFonts w:hint="eastAsia" w:ascii="仿宋" w:hAnsi="仿宋" w:eastAsia="仿宋" w:cs="仿宋"/>
          <w:color w:val="auto"/>
          <w:highlight w:val="none"/>
          <w:lang w:val="zh-TW" w:eastAsia="zh-TW"/>
        </w:rPr>
      </w:pPr>
      <w:r>
        <w:rPr>
          <w:rFonts w:hint="eastAsia" w:ascii="仿宋" w:hAnsi="仿宋" w:eastAsia="仿宋" w:cs="仿宋"/>
          <w:color w:val="auto"/>
          <w:highlight w:val="none"/>
          <w:lang w:val="zh-TW" w:eastAsia="zh-TW"/>
        </w:rPr>
        <w:t>账</w:t>
      </w:r>
      <w:r>
        <w:rPr>
          <w:rFonts w:hint="eastAsia" w:ascii="仿宋" w:hAnsi="仿宋" w:eastAsia="仿宋" w:cs="仿宋"/>
          <w:color w:val="auto"/>
          <w:highlight w:val="none"/>
          <w:lang w:val="zh-TW" w:eastAsia="zh-TW"/>
        </w:rPr>
        <w:tab/>
      </w:r>
      <w:r>
        <w:rPr>
          <w:rFonts w:hint="eastAsia" w:ascii="仿宋" w:hAnsi="仿宋" w:eastAsia="仿宋" w:cs="仿宋"/>
          <w:color w:val="auto"/>
          <w:highlight w:val="none"/>
          <w:lang w:val="zh-TW" w:eastAsia="zh-TW"/>
        </w:rPr>
        <w:t>号：</w:t>
      </w:r>
      <w:r>
        <w:rPr>
          <w:rFonts w:hint="eastAsia" w:ascii="仿宋" w:hAnsi="仿宋" w:eastAsia="仿宋" w:cs="仿宋"/>
          <w:color w:val="auto"/>
          <w:highlight w:val="none"/>
          <w:lang w:val="zh-TW" w:eastAsia="zh-TW"/>
        </w:rPr>
        <w:tab/>
      </w:r>
      <w:r>
        <w:rPr>
          <w:rFonts w:hint="eastAsia" w:ascii="仿宋" w:hAnsi="仿宋" w:eastAsia="仿宋" w:cs="仿宋"/>
          <w:color w:val="auto"/>
          <w:highlight w:val="none"/>
          <w:lang w:val="zh-TW" w:eastAsia="zh-TW"/>
        </w:rPr>
        <w:t xml:space="preserve">                             </w:t>
      </w:r>
      <w:r>
        <w:rPr>
          <w:rFonts w:hint="eastAsia" w:ascii="仿宋" w:hAnsi="仿宋" w:eastAsia="仿宋" w:cs="仿宋"/>
          <w:color w:val="auto"/>
          <w:highlight w:val="none"/>
          <w:lang w:val="zh-TW"/>
        </w:rPr>
        <w:t xml:space="preserve">  </w:t>
      </w:r>
      <w:r>
        <w:rPr>
          <w:rFonts w:hint="eastAsia" w:ascii="仿宋" w:hAnsi="仿宋" w:eastAsia="仿宋" w:cs="仿宋"/>
          <w:color w:val="auto"/>
          <w:highlight w:val="none"/>
          <w:lang w:val="zh-TW" w:eastAsia="zh-TW"/>
        </w:rPr>
        <w:t>账 号：</w:t>
      </w:r>
      <w:r>
        <w:rPr>
          <w:rFonts w:hint="eastAsia" w:ascii="仿宋" w:hAnsi="仿宋" w:eastAsia="仿宋" w:cs="仿宋"/>
          <w:color w:val="auto"/>
          <w:highlight w:val="none"/>
          <w:lang w:val="zh-TW" w:eastAsia="zh-TW"/>
        </w:rPr>
        <w:tab/>
      </w:r>
    </w:p>
    <w:p w14:paraId="6ADB8F64">
      <w:pPr>
        <w:pStyle w:val="95"/>
        <w:spacing w:line="360" w:lineRule="auto"/>
        <w:ind w:firstLine="480" w:firstLineChars="200"/>
        <w:jc w:val="left"/>
        <w:rPr>
          <w:rFonts w:hint="eastAsia" w:ascii="仿宋" w:hAnsi="仿宋" w:eastAsia="仿宋" w:cs="仿宋"/>
          <w:color w:val="auto"/>
          <w:highlight w:val="none"/>
          <w:lang w:val="zh-TW" w:eastAsia="zh-TW"/>
        </w:rPr>
      </w:pPr>
      <w:r>
        <w:rPr>
          <w:rFonts w:hint="eastAsia" w:ascii="仿宋" w:hAnsi="仿宋" w:eastAsia="仿宋" w:cs="仿宋"/>
          <w:color w:val="auto"/>
          <w:highlight w:val="none"/>
          <w:lang w:val="zh-TW" w:eastAsia="zh-TW"/>
        </w:rPr>
        <w:t>邮政编码：</w:t>
      </w:r>
      <w:r>
        <w:rPr>
          <w:rFonts w:hint="eastAsia" w:ascii="仿宋" w:hAnsi="仿宋" w:eastAsia="仿宋" w:cs="仿宋"/>
          <w:color w:val="auto"/>
          <w:highlight w:val="none"/>
          <w:lang w:val="zh-TW" w:eastAsia="zh-TW"/>
        </w:rPr>
        <w:tab/>
      </w:r>
      <w:r>
        <w:rPr>
          <w:rFonts w:hint="eastAsia" w:ascii="仿宋" w:hAnsi="仿宋" w:eastAsia="仿宋" w:cs="仿宋"/>
          <w:color w:val="auto"/>
          <w:highlight w:val="none"/>
          <w:lang w:val="zh-TW" w:eastAsia="zh-TW"/>
        </w:rPr>
        <w:t xml:space="preserve">                             </w:t>
      </w:r>
      <w:r>
        <w:rPr>
          <w:rFonts w:hint="eastAsia" w:ascii="仿宋" w:hAnsi="仿宋" w:eastAsia="仿宋" w:cs="仿宋"/>
          <w:color w:val="auto"/>
          <w:highlight w:val="none"/>
          <w:lang w:val="zh-TW"/>
        </w:rPr>
        <w:t xml:space="preserve">  </w:t>
      </w:r>
      <w:r>
        <w:rPr>
          <w:rFonts w:hint="eastAsia" w:ascii="仿宋" w:hAnsi="仿宋" w:eastAsia="仿宋" w:cs="仿宋"/>
          <w:color w:val="auto"/>
          <w:highlight w:val="none"/>
          <w:lang w:val="zh-TW" w:eastAsia="zh-TW"/>
        </w:rPr>
        <w:t>邮政编码：</w:t>
      </w:r>
    </w:p>
    <w:p w14:paraId="0418EA97">
      <w:pPr>
        <w:pStyle w:val="95"/>
        <w:spacing w:line="360" w:lineRule="auto"/>
        <w:ind w:firstLine="480" w:firstLineChars="200"/>
        <w:jc w:val="left"/>
        <w:rPr>
          <w:rFonts w:hint="eastAsia" w:ascii="仿宋" w:hAnsi="仿宋" w:eastAsia="仿宋" w:cs="仿宋"/>
          <w:color w:val="auto"/>
          <w:highlight w:val="none"/>
          <w:u w:val="single"/>
          <w:lang w:val="zh-TW" w:eastAsia="zh-TW"/>
        </w:rPr>
      </w:pPr>
      <w:r>
        <w:rPr>
          <w:rFonts w:hint="eastAsia" w:ascii="仿宋" w:hAnsi="仿宋" w:eastAsia="仿宋" w:cs="仿宋"/>
          <w:color w:val="auto"/>
          <w:highlight w:val="none"/>
          <w:lang w:val="zh-TW" w:eastAsia="zh-TW"/>
        </w:rPr>
        <w:t>电子邮箱：</w:t>
      </w:r>
      <w:r>
        <w:rPr>
          <w:rFonts w:hint="eastAsia" w:ascii="仿宋" w:hAnsi="仿宋" w:eastAsia="仿宋" w:cs="仿宋"/>
          <w:color w:val="auto"/>
          <w:highlight w:val="none"/>
          <w:lang w:val="zh-TW" w:eastAsia="zh-TW"/>
        </w:rPr>
        <w:tab/>
      </w:r>
      <w:r>
        <w:rPr>
          <w:rFonts w:hint="eastAsia" w:ascii="仿宋" w:hAnsi="仿宋" w:eastAsia="仿宋" w:cs="仿宋"/>
          <w:color w:val="auto"/>
          <w:highlight w:val="none"/>
          <w:lang w:val="zh-TW" w:eastAsia="zh-TW"/>
        </w:rPr>
        <w:t xml:space="preserve">                             </w:t>
      </w:r>
      <w:r>
        <w:rPr>
          <w:rFonts w:hint="eastAsia" w:ascii="仿宋" w:hAnsi="仿宋" w:eastAsia="仿宋" w:cs="仿宋"/>
          <w:color w:val="auto"/>
          <w:highlight w:val="none"/>
          <w:lang w:val="zh-TW"/>
        </w:rPr>
        <w:t xml:space="preserve">  </w:t>
      </w:r>
      <w:r>
        <w:rPr>
          <w:rFonts w:hint="eastAsia" w:ascii="仿宋" w:hAnsi="仿宋" w:eastAsia="仿宋" w:cs="仿宋"/>
          <w:color w:val="auto"/>
          <w:highlight w:val="none"/>
          <w:lang w:val="zh-TW" w:eastAsia="zh-TW"/>
        </w:rPr>
        <w:t>电子邮箱：</w:t>
      </w:r>
    </w:p>
    <w:p w14:paraId="669399BD">
      <w:pPr>
        <w:pStyle w:val="95"/>
        <w:spacing w:line="360" w:lineRule="auto"/>
        <w:ind w:firstLine="480" w:firstLineChars="200"/>
        <w:jc w:val="left"/>
        <w:rPr>
          <w:rFonts w:hint="eastAsia" w:ascii="仿宋" w:hAnsi="仿宋" w:eastAsia="仿宋" w:cs="仿宋"/>
          <w:color w:val="auto"/>
          <w:highlight w:val="none"/>
          <w:lang w:val="zh-TW" w:eastAsia="zh-TW"/>
        </w:rPr>
      </w:pP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lang w:val="zh-TW" w:eastAsia="zh-TW"/>
        </w:rPr>
        <w:t>年</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lang w:val="zh-TW" w:eastAsia="zh-TW"/>
        </w:rPr>
        <w:t xml:space="preserve">月 </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lang w:val="zh-TW" w:eastAsia="zh-TW"/>
        </w:rPr>
        <w:t xml:space="preserve"> 日        </w:t>
      </w:r>
      <w:r>
        <w:rPr>
          <w:rFonts w:hint="eastAsia" w:ascii="仿宋" w:hAnsi="仿宋" w:eastAsia="仿宋" w:cs="仿宋"/>
          <w:color w:val="auto"/>
          <w:highlight w:val="none"/>
          <w:lang w:val="zh-TW"/>
        </w:rPr>
        <w:t xml:space="preserve">      </w:t>
      </w:r>
      <w:r>
        <w:rPr>
          <w:rFonts w:hint="eastAsia" w:ascii="仿宋" w:hAnsi="仿宋" w:eastAsia="仿宋" w:cs="仿宋"/>
          <w:color w:val="auto"/>
          <w:highlight w:val="none"/>
        </w:rPr>
        <w:t xml:space="preserve"> </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lang w:val="zh-TW" w:eastAsia="zh-TW"/>
        </w:rPr>
        <w:t>年</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lang w:val="zh-TW" w:eastAsia="zh-TW"/>
        </w:rPr>
        <w:t xml:space="preserve">月 </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lang w:val="zh-TW" w:eastAsia="zh-TW"/>
        </w:rPr>
        <w:t xml:space="preserve"> 日</w:t>
      </w:r>
    </w:p>
    <w:p w14:paraId="477DE5C4">
      <w:pPr>
        <w:pStyle w:val="95"/>
        <w:spacing w:line="360" w:lineRule="auto"/>
        <w:ind w:firstLine="480" w:firstLineChars="200"/>
        <w:jc w:val="left"/>
        <w:rPr>
          <w:rFonts w:hint="eastAsia" w:ascii="仿宋" w:hAnsi="仿宋" w:eastAsia="仿宋" w:cs="仿宋"/>
          <w:color w:val="auto"/>
          <w:highlight w:val="none"/>
          <w:lang w:val="zh-TW" w:eastAsia="zh-TW"/>
        </w:rPr>
      </w:pPr>
      <w:r>
        <w:rPr>
          <w:rFonts w:hint="eastAsia" w:ascii="仿宋" w:hAnsi="仿宋" w:eastAsia="仿宋" w:cs="仿宋"/>
          <w:color w:val="auto"/>
          <w:highlight w:val="none"/>
          <w:lang w:val="zh-TW" w:eastAsia="zh-TW"/>
        </w:rPr>
        <w:t>联合体成员</w:t>
      </w:r>
      <w:r>
        <w:rPr>
          <w:rFonts w:hint="eastAsia" w:ascii="仿宋" w:hAnsi="仿宋" w:eastAsia="仿宋" w:cs="仿宋"/>
          <w:color w:val="auto"/>
          <w:highlight w:val="none"/>
        </w:rPr>
        <w:t>三</w:t>
      </w:r>
      <w:r>
        <w:rPr>
          <w:rFonts w:hint="eastAsia" w:ascii="仿宋" w:hAnsi="仿宋" w:eastAsia="仿宋" w:cs="仿宋"/>
          <w:color w:val="auto"/>
          <w:highlight w:val="none"/>
          <w:lang w:val="zh-TW" w:eastAsia="zh-TW"/>
        </w:rPr>
        <w:t>：</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lang w:val="zh-TW" w:eastAsia="zh-TW"/>
        </w:rPr>
        <w:t xml:space="preserve">（盖单位章） </w:t>
      </w:r>
    </w:p>
    <w:p w14:paraId="43E45E94">
      <w:pPr>
        <w:pStyle w:val="95"/>
        <w:spacing w:line="360" w:lineRule="auto"/>
        <w:ind w:firstLine="480" w:firstLineChars="200"/>
        <w:jc w:val="left"/>
        <w:rPr>
          <w:rFonts w:hint="eastAsia" w:ascii="仿宋" w:hAnsi="仿宋" w:eastAsia="仿宋" w:cs="仿宋"/>
          <w:color w:val="auto"/>
          <w:highlight w:val="none"/>
        </w:rPr>
      </w:pPr>
      <w:r>
        <w:rPr>
          <w:rFonts w:hint="eastAsia" w:ascii="仿宋" w:hAnsi="仿宋" w:eastAsia="仿宋" w:cs="仿宋"/>
          <w:color w:val="auto"/>
          <w:highlight w:val="none"/>
          <w:lang w:val="zh-TW" w:eastAsia="zh-TW"/>
        </w:rPr>
        <w:t>法定代表人或其委托代理人：</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lang w:val="zh-TW" w:eastAsia="zh-TW"/>
        </w:rPr>
        <w:t>（签字）</w:t>
      </w:r>
    </w:p>
    <w:p w14:paraId="2B0D2D75">
      <w:pPr>
        <w:pStyle w:val="95"/>
        <w:spacing w:line="360" w:lineRule="auto"/>
        <w:ind w:firstLine="480" w:firstLineChars="200"/>
        <w:jc w:val="left"/>
        <w:rPr>
          <w:rFonts w:hint="eastAsia" w:ascii="仿宋" w:hAnsi="仿宋" w:eastAsia="仿宋" w:cs="仿宋"/>
          <w:color w:val="auto"/>
          <w:highlight w:val="none"/>
          <w:lang w:val="zh-TW" w:eastAsia="zh-TW"/>
        </w:rPr>
      </w:pPr>
      <w:r>
        <w:rPr>
          <w:rFonts w:hint="eastAsia" w:ascii="仿宋" w:hAnsi="仿宋" w:eastAsia="仿宋" w:cs="仿宋"/>
          <w:color w:val="auto"/>
          <w:highlight w:val="none"/>
          <w:lang w:val="zh-TW" w:eastAsia="zh-TW"/>
        </w:rPr>
        <w:t xml:space="preserve">电    话：                             </w:t>
      </w:r>
    </w:p>
    <w:p w14:paraId="3395A53D">
      <w:pPr>
        <w:pStyle w:val="95"/>
        <w:spacing w:line="360" w:lineRule="auto"/>
        <w:ind w:firstLine="480" w:firstLineChars="200"/>
        <w:jc w:val="left"/>
        <w:rPr>
          <w:rFonts w:hint="eastAsia" w:ascii="仿宋" w:hAnsi="仿宋" w:eastAsia="仿宋" w:cs="仿宋"/>
          <w:color w:val="auto"/>
          <w:highlight w:val="none"/>
          <w:lang w:val="zh-TW" w:eastAsia="zh-TW"/>
        </w:rPr>
      </w:pPr>
      <w:r>
        <w:rPr>
          <w:rFonts w:hint="eastAsia" w:ascii="仿宋" w:hAnsi="仿宋" w:eastAsia="仿宋" w:cs="仿宋"/>
          <w:color w:val="auto"/>
          <w:highlight w:val="none"/>
          <w:lang w:val="zh-TW" w:eastAsia="zh-TW"/>
        </w:rPr>
        <w:t xml:space="preserve">传    真：                               </w:t>
      </w:r>
    </w:p>
    <w:p w14:paraId="0EF0F6CC">
      <w:pPr>
        <w:pStyle w:val="95"/>
        <w:spacing w:line="360" w:lineRule="auto"/>
        <w:ind w:firstLine="480" w:firstLineChars="200"/>
        <w:jc w:val="left"/>
        <w:rPr>
          <w:rFonts w:hint="eastAsia" w:ascii="仿宋" w:hAnsi="仿宋" w:eastAsia="仿宋" w:cs="仿宋"/>
          <w:color w:val="auto"/>
          <w:highlight w:val="none"/>
          <w:lang w:val="zh-TW" w:eastAsia="zh-TW"/>
        </w:rPr>
      </w:pPr>
      <w:r>
        <w:rPr>
          <w:rFonts w:hint="eastAsia" w:ascii="仿宋" w:hAnsi="仿宋" w:eastAsia="仿宋" w:cs="仿宋"/>
          <w:color w:val="auto"/>
          <w:highlight w:val="none"/>
          <w:lang w:val="zh-TW" w:eastAsia="zh-TW"/>
        </w:rPr>
        <w:t>开户银行：</w:t>
      </w:r>
      <w:r>
        <w:rPr>
          <w:rFonts w:hint="eastAsia" w:ascii="仿宋" w:hAnsi="仿宋" w:eastAsia="仿宋" w:cs="仿宋"/>
          <w:color w:val="auto"/>
          <w:highlight w:val="none"/>
          <w:lang w:val="zh-TW" w:eastAsia="zh-TW"/>
        </w:rPr>
        <w:tab/>
      </w:r>
      <w:r>
        <w:rPr>
          <w:rFonts w:hint="eastAsia" w:ascii="仿宋" w:hAnsi="仿宋" w:eastAsia="仿宋" w:cs="仿宋"/>
          <w:color w:val="auto"/>
          <w:highlight w:val="none"/>
          <w:lang w:val="zh-TW" w:eastAsia="zh-TW"/>
        </w:rPr>
        <w:t xml:space="preserve">                            </w:t>
      </w:r>
      <w:r>
        <w:rPr>
          <w:rFonts w:hint="eastAsia" w:ascii="仿宋" w:hAnsi="仿宋" w:eastAsia="仿宋" w:cs="仿宋"/>
          <w:color w:val="auto"/>
          <w:highlight w:val="none"/>
          <w:lang w:val="zh-TW"/>
        </w:rPr>
        <w:t xml:space="preserve"> </w:t>
      </w:r>
      <w:r>
        <w:rPr>
          <w:rFonts w:hint="eastAsia" w:ascii="仿宋" w:hAnsi="仿宋" w:eastAsia="仿宋" w:cs="仿宋"/>
          <w:color w:val="auto"/>
          <w:highlight w:val="none"/>
          <w:lang w:val="zh-TW" w:eastAsia="zh-TW"/>
        </w:rPr>
        <w:t xml:space="preserve"> </w:t>
      </w:r>
    </w:p>
    <w:p w14:paraId="4D389739">
      <w:pPr>
        <w:pStyle w:val="95"/>
        <w:spacing w:line="360" w:lineRule="auto"/>
        <w:ind w:firstLine="480" w:firstLineChars="200"/>
        <w:jc w:val="left"/>
        <w:rPr>
          <w:rFonts w:hint="eastAsia" w:ascii="仿宋" w:hAnsi="仿宋" w:eastAsia="仿宋" w:cs="仿宋"/>
          <w:color w:val="auto"/>
          <w:highlight w:val="none"/>
          <w:lang w:val="zh-TW" w:eastAsia="zh-TW"/>
        </w:rPr>
      </w:pPr>
      <w:r>
        <w:rPr>
          <w:rFonts w:hint="eastAsia" w:ascii="仿宋" w:hAnsi="仿宋" w:eastAsia="仿宋" w:cs="仿宋"/>
          <w:color w:val="auto"/>
          <w:highlight w:val="none"/>
          <w:lang w:val="zh-TW" w:eastAsia="zh-TW"/>
        </w:rPr>
        <w:t>账</w:t>
      </w:r>
      <w:r>
        <w:rPr>
          <w:rFonts w:hint="eastAsia" w:ascii="仿宋" w:hAnsi="仿宋" w:eastAsia="仿宋" w:cs="仿宋"/>
          <w:color w:val="auto"/>
          <w:highlight w:val="none"/>
          <w:lang w:val="zh-TW" w:eastAsia="zh-TW"/>
        </w:rPr>
        <w:tab/>
      </w:r>
      <w:r>
        <w:rPr>
          <w:rFonts w:hint="eastAsia" w:ascii="仿宋" w:hAnsi="仿宋" w:eastAsia="仿宋" w:cs="仿宋"/>
          <w:color w:val="auto"/>
          <w:highlight w:val="none"/>
          <w:lang w:val="zh-TW" w:eastAsia="zh-TW"/>
        </w:rPr>
        <w:t>号：</w:t>
      </w:r>
      <w:r>
        <w:rPr>
          <w:rFonts w:hint="eastAsia" w:ascii="仿宋" w:hAnsi="仿宋" w:eastAsia="仿宋" w:cs="仿宋"/>
          <w:color w:val="auto"/>
          <w:highlight w:val="none"/>
          <w:lang w:val="zh-TW" w:eastAsia="zh-TW"/>
        </w:rPr>
        <w:tab/>
      </w:r>
      <w:r>
        <w:rPr>
          <w:rFonts w:hint="eastAsia" w:ascii="仿宋" w:hAnsi="仿宋" w:eastAsia="仿宋" w:cs="仿宋"/>
          <w:color w:val="auto"/>
          <w:highlight w:val="none"/>
          <w:lang w:val="zh-TW" w:eastAsia="zh-TW"/>
        </w:rPr>
        <w:t xml:space="preserve">                             </w:t>
      </w:r>
    </w:p>
    <w:p w14:paraId="0F0E3882">
      <w:pPr>
        <w:pStyle w:val="95"/>
        <w:spacing w:line="360" w:lineRule="auto"/>
        <w:ind w:firstLine="480" w:firstLineChars="200"/>
        <w:jc w:val="left"/>
        <w:rPr>
          <w:rFonts w:hint="eastAsia" w:ascii="仿宋" w:hAnsi="仿宋" w:eastAsia="仿宋" w:cs="仿宋"/>
          <w:color w:val="auto"/>
          <w:highlight w:val="none"/>
          <w:lang w:val="zh-TW" w:eastAsia="zh-TW"/>
        </w:rPr>
      </w:pPr>
      <w:r>
        <w:rPr>
          <w:rFonts w:hint="eastAsia" w:ascii="仿宋" w:hAnsi="仿宋" w:eastAsia="仿宋" w:cs="仿宋"/>
          <w:color w:val="auto"/>
          <w:highlight w:val="none"/>
          <w:lang w:val="zh-TW" w:eastAsia="zh-TW"/>
        </w:rPr>
        <w:t>邮政编码：</w:t>
      </w:r>
    </w:p>
    <w:p w14:paraId="2F9A7BB0">
      <w:pPr>
        <w:pStyle w:val="95"/>
        <w:spacing w:line="360" w:lineRule="auto"/>
        <w:ind w:firstLine="480" w:firstLineChars="200"/>
        <w:jc w:val="left"/>
        <w:rPr>
          <w:rFonts w:hint="eastAsia" w:ascii="仿宋" w:hAnsi="仿宋" w:eastAsia="仿宋" w:cs="仿宋"/>
          <w:color w:val="auto"/>
          <w:highlight w:val="none"/>
          <w:lang w:val="zh-TW" w:eastAsia="zh-TW"/>
        </w:rPr>
      </w:pPr>
      <w:r>
        <w:rPr>
          <w:rFonts w:hint="eastAsia" w:ascii="仿宋" w:hAnsi="仿宋" w:eastAsia="仿宋" w:cs="仿宋"/>
          <w:color w:val="auto"/>
          <w:highlight w:val="none"/>
          <w:lang w:val="zh-TW" w:eastAsia="zh-TW"/>
        </w:rPr>
        <w:t>电子邮箱：</w:t>
      </w:r>
      <w:r>
        <w:rPr>
          <w:rFonts w:hint="eastAsia" w:ascii="仿宋" w:hAnsi="仿宋" w:eastAsia="仿宋" w:cs="仿宋"/>
          <w:color w:val="auto"/>
          <w:highlight w:val="none"/>
          <w:lang w:val="zh-TW" w:eastAsia="zh-TW"/>
        </w:rPr>
        <w:tab/>
      </w:r>
      <w:r>
        <w:rPr>
          <w:rFonts w:hint="eastAsia" w:ascii="仿宋" w:hAnsi="仿宋" w:eastAsia="仿宋" w:cs="仿宋"/>
          <w:color w:val="auto"/>
          <w:highlight w:val="none"/>
          <w:lang w:val="zh-TW" w:eastAsia="zh-TW"/>
        </w:rPr>
        <w:t xml:space="preserve">                            </w:t>
      </w:r>
    </w:p>
    <w:p w14:paraId="5487EC13">
      <w:pPr>
        <w:spacing w:line="360" w:lineRule="auto"/>
        <w:ind w:firstLine="480" w:firstLineChars="200"/>
        <w:jc w:val="left"/>
        <w:rPr>
          <w:rFonts w:hint="eastAsia" w:ascii="仿宋" w:hAnsi="仿宋" w:eastAsia="仿宋" w:cs="仿宋"/>
          <w:b/>
          <w:color w:val="auto"/>
          <w:sz w:val="32"/>
          <w:szCs w:val="32"/>
          <w:highlight w:val="none"/>
        </w:rPr>
      </w:pPr>
      <w:r>
        <w:rPr>
          <w:rFonts w:hint="eastAsia" w:ascii="仿宋" w:hAnsi="仿宋" w:eastAsia="仿宋" w:cs="仿宋"/>
          <w:color w:val="auto"/>
          <w:szCs w:val="21"/>
          <w:highlight w:val="none"/>
          <w:u w:val="single"/>
        </w:rPr>
        <w:t xml:space="preserve">     </w:t>
      </w:r>
      <w:r>
        <w:rPr>
          <w:rFonts w:hint="eastAsia" w:ascii="仿宋" w:hAnsi="仿宋" w:eastAsia="仿宋" w:cs="仿宋"/>
          <w:color w:val="auto"/>
          <w:szCs w:val="21"/>
          <w:highlight w:val="none"/>
          <w:lang w:val="zh-TW" w:eastAsia="zh-TW"/>
        </w:rPr>
        <w:t>年</w:t>
      </w:r>
      <w:r>
        <w:rPr>
          <w:rFonts w:hint="eastAsia" w:ascii="仿宋" w:hAnsi="仿宋" w:eastAsia="仿宋" w:cs="仿宋"/>
          <w:color w:val="auto"/>
          <w:szCs w:val="21"/>
          <w:highlight w:val="none"/>
          <w:u w:val="single"/>
        </w:rPr>
        <w:t xml:space="preserve">    </w:t>
      </w:r>
      <w:r>
        <w:rPr>
          <w:rFonts w:hint="eastAsia" w:ascii="仿宋" w:hAnsi="仿宋" w:eastAsia="仿宋" w:cs="仿宋"/>
          <w:color w:val="auto"/>
          <w:szCs w:val="21"/>
          <w:highlight w:val="none"/>
          <w:lang w:val="zh-TW" w:eastAsia="zh-TW"/>
        </w:rPr>
        <w:t xml:space="preserve">月 </w:t>
      </w:r>
      <w:r>
        <w:rPr>
          <w:rFonts w:hint="eastAsia" w:ascii="仿宋" w:hAnsi="仿宋" w:eastAsia="仿宋" w:cs="仿宋"/>
          <w:color w:val="auto"/>
          <w:szCs w:val="21"/>
          <w:highlight w:val="none"/>
          <w:u w:val="single"/>
        </w:rPr>
        <w:t xml:space="preserve">    </w:t>
      </w:r>
      <w:r>
        <w:rPr>
          <w:rFonts w:hint="eastAsia" w:ascii="仿宋" w:hAnsi="仿宋" w:eastAsia="仿宋" w:cs="仿宋"/>
          <w:color w:val="auto"/>
          <w:szCs w:val="21"/>
          <w:highlight w:val="none"/>
          <w:lang w:val="zh-TW" w:eastAsia="zh-TW"/>
        </w:rPr>
        <w:t xml:space="preserve"> 日   </w:t>
      </w:r>
      <w:r>
        <w:rPr>
          <w:rFonts w:hint="eastAsia" w:ascii="仿宋" w:hAnsi="仿宋" w:eastAsia="仿宋" w:cs="仿宋"/>
          <w:b/>
          <w:color w:val="auto"/>
          <w:szCs w:val="21"/>
          <w:highlight w:val="none"/>
        </w:rPr>
        <w:br w:type="page"/>
      </w:r>
    </w:p>
    <w:p w14:paraId="1F04D8DA">
      <w:pPr>
        <w:pStyle w:val="3"/>
        <w:jc w:val="center"/>
        <w:rPr>
          <w:rFonts w:hint="eastAsia" w:ascii="仿宋" w:hAnsi="仿宋" w:eastAsia="仿宋" w:cs="仿宋"/>
          <w:color w:val="auto"/>
          <w:highlight w:val="none"/>
          <w:lang w:val="en-US" w:eastAsia="zh-CN"/>
        </w:rPr>
      </w:pPr>
      <w:bookmarkStart w:id="526" w:name="_Toc14292"/>
      <w:r>
        <w:rPr>
          <w:rFonts w:hint="eastAsia" w:ascii="仿宋" w:hAnsi="仿宋" w:eastAsia="仿宋" w:cs="仿宋"/>
          <w:color w:val="auto"/>
          <w:highlight w:val="none"/>
        </w:rPr>
        <w:t xml:space="preserve">第二章 </w:t>
      </w:r>
      <w:r>
        <w:rPr>
          <w:rFonts w:hint="eastAsia" w:ascii="仿宋" w:hAnsi="仿宋" w:eastAsia="仿宋" w:cs="仿宋"/>
          <w:color w:val="auto"/>
          <w:highlight w:val="none"/>
          <w:lang w:val="en-US" w:eastAsia="zh-CN"/>
        </w:rPr>
        <w:t>通用条款</w:t>
      </w:r>
      <w:bookmarkEnd w:id="526"/>
    </w:p>
    <w:p w14:paraId="7E8148A4">
      <w:pPr>
        <w:spacing w:line="360" w:lineRule="auto"/>
        <w:ind w:firstLine="480" w:firstLineChars="200"/>
        <w:jc w:val="left"/>
        <w:rPr>
          <w:rFonts w:hint="eastAsia" w:ascii="仿宋" w:hAnsi="仿宋" w:eastAsia="仿宋" w:cs="仿宋"/>
          <w:color w:val="auto"/>
          <w:sz w:val="24"/>
          <w:szCs w:val="24"/>
          <w:highlight w:val="none"/>
          <w:lang w:val="zh-TW" w:eastAsia="zh-TW"/>
        </w:rPr>
      </w:pPr>
      <w:bookmarkStart w:id="527" w:name="_Toc7362"/>
      <w:r>
        <w:rPr>
          <w:rFonts w:hint="eastAsia" w:ascii="仿宋" w:hAnsi="仿宋" w:eastAsia="仿宋" w:cs="仿宋"/>
          <w:color w:val="auto"/>
          <w:sz w:val="24"/>
          <w:szCs w:val="24"/>
          <w:highlight w:val="none"/>
          <w:lang w:val="zh-TW" w:eastAsia="zh-TW"/>
        </w:rPr>
        <w:t>按住房和城乡建设部、市场监管总局制定的《建设项目工程总承包合同（示范文本）》</w:t>
      </w:r>
    </w:p>
    <w:p w14:paraId="198E49DF">
      <w:pPr>
        <w:spacing w:line="360" w:lineRule="auto"/>
        <w:ind w:firstLine="0"/>
        <w:jc w:val="left"/>
        <w:rPr>
          <w:rFonts w:hint="eastAsia" w:ascii="仿宋" w:hAnsi="仿宋" w:eastAsia="仿宋" w:cs="仿宋"/>
          <w:color w:val="auto"/>
          <w:sz w:val="24"/>
          <w:szCs w:val="24"/>
          <w:highlight w:val="none"/>
          <w:lang w:val="zh-TW" w:eastAsia="zh-TW"/>
        </w:rPr>
      </w:pPr>
      <w:r>
        <w:rPr>
          <w:rFonts w:hint="eastAsia" w:ascii="仿宋" w:hAnsi="仿宋" w:eastAsia="仿宋" w:cs="仿宋"/>
          <w:color w:val="auto"/>
          <w:sz w:val="24"/>
          <w:szCs w:val="24"/>
          <w:highlight w:val="none"/>
          <w:lang w:val="zh-TW" w:eastAsia="zh-TW"/>
        </w:rPr>
        <w:t>（GF-2020-0216）第二部分通用合同条款执行。</w:t>
      </w:r>
      <w:bookmarkEnd w:id="527"/>
    </w:p>
    <w:p w14:paraId="6E627D07">
      <w:pPr>
        <w:pStyle w:val="3"/>
        <w:jc w:val="left"/>
        <w:outlineLvl w:val="9"/>
        <w:rPr>
          <w:rFonts w:hint="eastAsia" w:ascii="仿宋" w:hAnsi="仿宋" w:eastAsia="仿宋" w:cs="仿宋"/>
          <w:color w:val="auto"/>
          <w:highlight w:val="none"/>
        </w:rPr>
      </w:pPr>
    </w:p>
    <w:p w14:paraId="3C4022BF">
      <w:pPr>
        <w:jc w:val="left"/>
        <w:rPr>
          <w:rFonts w:hint="eastAsia" w:ascii="仿宋" w:hAnsi="仿宋" w:eastAsia="仿宋" w:cs="仿宋"/>
          <w:color w:val="auto"/>
          <w:highlight w:val="none"/>
        </w:rPr>
      </w:pPr>
    </w:p>
    <w:p w14:paraId="54C7DA11">
      <w:pPr>
        <w:pStyle w:val="2"/>
        <w:jc w:val="left"/>
        <w:rPr>
          <w:rFonts w:hint="eastAsia" w:ascii="仿宋" w:hAnsi="仿宋" w:eastAsia="仿宋" w:cs="仿宋"/>
          <w:color w:val="auto"/>
          <w:highlight w:val="none"/>
        </w:rPr>
      </w:pPr>
    </w:p>
    <w:p w14:paraId="5961C06C">
      <w:pPr>
        <w:jc w:val="left"/>
        <w:rPr>
          <w:rFonts w:hint="eastAsia" w:ascii="仿宋" w:hAnsi="仿宋" w:eastAsia="仿宋" w:cs="仿宋"/>
          <w:color w:val="auto"/>
          <w:highlight w:val="none"/>
        </w:rPr>
      </w:pPr>
    </w:p>
    <w:p w14:paraId="0F572224">
      <w:pPr>
        <w:pStyle w:val="2"/>
        <w:jc w:val="left"/>
        <w:rPr>
          <w:rFonts w:hint="eastAsia" w:ascii="仿宋" w:hAnsi="仿宋" w:eastAsia="仿宋" w:cs="仿宋"/>
          <w:color w:val="auto"/>
          <w:highlight w:val="none"/>
        </w:rPr>
      </w:pPr>
    </w:p>
    <w:p w14:paraId="349C4ED3">
      <w:pPr>
        <w:jc w:val="left"/>
        <w:rPr>
          <w:rFonts w:hint="eastAsia" w:ascii="仿宋" w:hAnsi="仿宋" w:eastAsia="仿宋" w:cs="仿宋"/>
          <w:color w:val="auto"/>
          <w:highlight w:val="none"/>
        </w:rPr>
      </w:pPr>
    </w:p>
    <w:p w14:paraId="3F274E6B">
      <w:pPr>
        <w:pStyle w:val="2"/>
        <w:jc w:val="left"/>
        <w:rPr>
          <w:rFonts w:hint="eastAsia" w:ascii="仿宋" w:hAnsi="仿宋" w:eastAsia="仿宋" w:cs="仿宋"/>
          <w:color w:val="auto"/>
          <w:highlight w:val="none"/>
        </w:rPr>
      </w:pPr>
    </w:p>
    <w:p w14:paraId="0A2E5659">
      <w:pPr>
        <w:jc w:val="left"/>
        <w:rPr>
          <w:rFonts w:hint="eastAsia" w:ascii="仿宋" w:hAnsi="仿宋" w:eastAsia="仿宋" w:cs="仿宋"/>
          <w:color w:val="auto"/>
          <w:highlight w:val="none"/>
        </w:rPr>
      </w:pPr>
    </w:p>
    <w:p w14:paraId="5826296D">
      <w:pPr>
        <w:pStyle w:val="2"/>
        <w:jc w:val="left"/>
        <w:rPr>
          <w:rFonts w:hint="eastAsia" w:ascii="仿宋" w:hAnsi="仿宋" w:eastAsia="仿宋" w:cs="仿宋"/>
          <w:color w:val="auto"/>
          <w:highlight w:val="none"/>
        </w:rPr>
      </w:pPr>
    </w:p>
    <w:p w14:paraId="600C4C6C">
      <w:pPr>
        <w:jc w:val="left"/>
        <w:rPr>
          <w:rFonts w:hint="eastAsia" w:ascii="仿宋" w:hAnsi="仿宋" w:eastAsia="仿宋" w:cs="仿宋"/>
          <w:color w:val="auto"/>
          <w:highlight w:val="none"/>
        </w:rPr>
      </w:pPr>
    </w:p>
    <w:p w14:paraId="78EFA6AA">
      <w:pPr>
        <w:pStyle w:val="2"/>
        <w:jc w:val="left"/>
        <w:rPr>
          <w:rFonts w:hint="eastAsia" w:ascii="仿宋" w:hAnsi="仿宋" w:eastAsia="仿宋" w:cs="仿宋"/>
          <w:color w:val="auto"/>
          <w:highlight w:val="none"/>
        </w:rPr>
      </w:pPr>
    </w:p>
    <w:p w14:paraId="5305335B">
      <w:pPr>
        <w:jc w:val="left"/>
        <w:rPr>
          <w:rFonts w:hint="eastAsia" w:ascii="仿宋" w:hAnsi="仿宋" w:eastAsia="仿宋" w:cs="仿宋"/>
          <w:color w:val="auto"/>
          <w:highlight w:val="none"/>
        </w:rPr>
      </w:pPr>
    </w:p>
    <w:p w14:paraId="63312635">
      <w:pPr>
        <w:pStyle w:val="2"/>
        <w:jc w:val="left"/>
        <w:rPr>
          <w:rFonts w:hint="eastAsia" w:ascii="仿宋" w:hAnsi="仿宋" w:eastAsia="仿宋" w:cs="仿宋"/>
          <w:color w:val="auto"/>
          <w:highlight w:val="none"/>
        </w:rPr>
      </w:pPr>
    </w:p>
    <w:p w14:paraId="08DBCC0A">
      <w:pPr>
        <w:jc w:val="left"/>
        <w:rPr>
          <w:rFonts w:hint="eastAsia" w:ascii="仿宋" w:hAnsi="仿宋" w:eastAsia="仿宋" w:cs="仿宋"/>
          <w:color w:val="auto"/>
          <w:highlight w:val="none"/>
        </w:rPr>
      </w:pPr>
    </w:p>
    <w:p w14:paraId="6019E5F1">
      <w:pPr>
        <w:pStyle w:val="2"/>
        <w:jc w:val="left"/>
        <w:rPr>
          <w:rFonts w:hint="eastAsia" w:ascii="仿宋" w:hAnsi="仿宋" w:eastAsia="仿宋" w:cs="仿宋"/>
          <w:color w:val="auto"/>
          <w:highlight w:val="none"/>
        </w:rPr>
      </w:pPr>
    </w:p>
    <w:p w14:paraId="30A3E9A6">
      <w:pPr>
        <w:jc w:val="left"/>
        <w:rPr>
          <w:rFonts w:hint="eastAsia" w:ascii="仿宋" w:hAnsi="仿宋" w:eastAsia="仿宋" w:cs="仿宋"/>
          <w:color w:val="auto"/>
          <w:highlight w:val="none"/>
        </w:rPr>
      </w:pPr>
    </w:p>
    <w:p w14:paraId="073AABA5">
      <w:pPr>
        <w:pStyle w:val="2"/>
        <w:jc w:val="left"/>
        <w:rPr>
          <w:rFonts w:hint="eastAsia" w:ascii="仿宋" w:hAnsi="仿宋" w:eastAsia="仿宋" w:cs="仿宋"/>
          <w:color w:val="auto"/>
          <w:highlight w:val="none"/>
        </w:rPr>
      </w:pPr>
    </w:p>
    <w:p w14:paraId="08A9D1EE">
      <w:pPr>
        <w:jc w:val="left"/>
        <w:rPr>
          <w:rFonts w:hint="eastAsia" w:ascii="仿宋" w:hAnsi="仿宋" w:eastAsia="仿宋" w:cs="仿宋"/>
          <w:color w:val="auto"/>
          <w:highlight w:val="none"/>
        </w:rPr>
      </w:pPr>
    </w:p>
    <w:p w14:paraId="37D13E26">
      <w:pPr>
        <w:pStyle w:val="2"/>
        <w:jc w:val="left"/>
        <w:rPr>
          <w:rFonts w:hint="eastAsia" w:ascii="仿宋" w:hAnsi="仿宋" w:eastAsia="仿宋" w:cs="仿宋"/>
          <w:color w:val="auto"/>
          <w:highlight w:val="none"/>
        </w:rPr>
      </w:pPr>
    </w:p>
    <w:p w14:paraId="55FF7843">
      <w:pPr>
        <w:jc w:val="left"/>
        <w:rPr>
          <w:rFonts w:hint="eastAsia" w:ascii="仿宋" w:hAnsi="仿宋" w:eastAsia="仿宋" w:cs="仿宋"/>
          <w:color w:val="auto"/>
          <w:highlight w:val="none"/>
        </w:rPr>
      </w:pPr>
    </w:p>
    <w:p w14:paraId="44C800B2">
      <w:pPr>
        <w:pStyle w:val="2"/>
        <w:jc w:val="left"/>
        <w:rPr>
          <w:rFonts w:hint="eastAsia" w:ascii="仿宋" w:hAnsi="仿宋" w:eastAsia="仿宋" w:cs="仿宋"/>
          <w:color w:val="auto"/>
          <w:highlight w:val="none"/>
        </w:rPr>
      </w:pPr>
    </w:p>
    <w:p w14:paraId="0EC7CD52">
      <w:pPr>
        <w:jc w:val="left"/>
        <w:rPr>
          <w:rFonts w:hint="eastAsia" w:ascii="仿宋" w:hAnsi="仿宋" w:eastAsia="仿宋" w:cs="仿宋"/>
          <w:color w:val="auto"/>
          <w:highlight w:val="none"/>
        </w:rPr>
      </w:pPr>
    </w:p>
    <w:p w14:paraId="17A847B4">
      <w:pPr>
        <w:pStyle w:val="2"/>
        <w:jc w:val="left"/>
        <w:rPr>
          <w:rFonts w:hint="eastAsia" w:ascii="仿宋" w:hAnsi="仿宋" w:eastAsia="仿宋" w:cs="仿宋"/>
          <w:color w:val="auto"/>
          <w:highlight w:val="none"/>
        </w:rPr>
      </w:pPr>
    </w:p>
    <w:p w14:paraId="45E61D7D">
      <w:pPr>
        <w:jc w:val="left"/>
        <w:rPr>
          <w:rFonts w:hint="eastAsia" w:ascii="仿宋" w:hAnsi="仿宋" w:eastAsia="仿宋" w:cs="仿宋"/>
          <w:color w:val="auto"/>
          <w:highlight w:val="none"/>
        </w:rPr>
      </w:pPr>
    </w:p>
    <w:p w14:paraId="1932F807">
      <w:pPr>
        <w:pStyle w:val="2"/>
        <w:jc w:val="left"/>
        <w:rPr>
          <w:rFonts w:hint="eastAsia" w:ascii="仿宋" w:hAnsi="仿宋" w:eastAsia="仿宋" w:cs="仿宋"/>
          <w:color w:val="auto"/>
          <w:highlight w:val="none"/>
        </w:rPr>
      </w:pPr>
    </w:p>
    <w:p w14:paraId="464AC0F3">
      <w:pPr>
        <w:pStyle w:val="3"/>
        <w:jc w:val="left"/>
        <w:outlineLvl w:val="9"/>
        <w:rPr>
          <w:rFonts w:hint="eastAsia" w:ascii="仿宋" w:hAnsi="仿宋" w:eastAsia="仿宋" w:cs="仿宋"/>
          <w:color w:val="auto"/>
          <w:highlight w:val="none"/>
        </w:rPr>
      </w:pPr>
    </w:p>
    <w:p w14:paraId="24F5DA36">
      <w:pPr>
        <w:jc w:val="left"/>
        <w:rPr>
          <w:rFonts w:hint="eastAsia" w:ascii="仿宋" w:hAnsi="仿宋" w:eastAsia="仿宋" w:cs="仿宋"/>
          <w:color w:val="auto"/>
          <w:highlight w:val="none"/>
        </w:rPr>
      </w:pPr>
    </w:p>
    <w:p w14:paraId="2168F2B3">
      <w:pPr>
        <w:pStyle w:val="3"/>
        <w:numPr>
          <w:ilvl w:val="0"/>
          <w:numId w:val="4"/>
        </w:numPr>
        <w:jc w:val="center"/>
        <w:rPr>
          <w:rFonts w:hint="eastAsia" w:ascii="仿宋" w:hAnsi="仿宋" w:eastAsia="仿宋" w:cs="仿宋"/>
          <w:color w:val="auto"/>
          <w:highlight w:val="none"/>
          <w:lang w:val="en-US" w:eastAsia="zh-CN"/>
        </w:rPr>
      </w:pPr>
      <w:bookmarkStart w:id="528" w:name="_Toc22930"/>
      <w:r>
        <w:rPr>
          <w:rFonts w:hint="eastAsia" w:ascii="仿宋" w:hAnsi="仿宋" w:eastAsia="仿宋" w:cs="仿宋"/>
          <w:color w:val="auto"/>
          <w:highlight w:val="none"/>
          <w:lang w:val="en-US" w:eastAsia="zh-CN"/>
        </w:rPr>
        <w:t>专用合同条款</w:t>
      </w:r>
      <w:bookmarkEnd w:id="528"/>
    </w:p>
    <w:p w14:paraId="67198150">
      <w:pPr>
        <w:spacing w:line="360" w:lineRule="auto"/>
        <w:ind w:firstLine="480" w:firstLineChars="200"/>
        <w:jc w:val="left"/>
        <w:rPr>
          <w:rFonts w:hint="eastAsia" w:ascii="仿宋" w:hAnsi="仿宋" w:eastAsia="仿宋" w:cs="仿宋"/>
          <w:color w:val="auto"/>
          <w:sz w:val="24"/>
          <w:szCs w:val="24"/>
          <w:highlight w:val="none"/>
          <w:lang w:val="zh-TW" w:eastAsia="zh-TW"/>
        </w:rPr>
      </w:pPr>
      <w:bookmarkStart w:id="529" w:name="_Toc30453"/>
      <w:r>
        <w:rPr>
          <w:rFonts w:hint="eastAsia" w:ascii="仿宋" w:hAnsi="仿宋" w:eastAsia="仿宋" w:cs="仿宋"/>
          <w:color w:val="auto"/>
          <w:sz w:val="24"/>
          <w:szCs w:val="24"/>
          <w:highlight w:val="none"/>
          <w:lang w:val="zh-TW" w:eastAsia="zh-TW"/>
        </w:rPr>
        <w:t>本专用合同条款是在通用合同条款中已经明确提出，但要在专用合同条款中予以具体化的内容，是发包人根据项目的特点和环境，针对通用合同条款中的条款，在此进行修正、补充或删除，在执行过程中以此为准。</w:t>
      </w:r>
      <w:bookmarkEnd w:id="529"/>
    </w:p>
    <w:p w14:paraId="34D8EB37">
      <w:pPr>
        <w:spacing w:line="360" w:lineRule="auto"/>
        <w:ind w:firstLine="480" w:firstLineChars="200"/>
        <w:jc w:val="left"/>
        <w:rPr>
          <w:rFonts w:hint="eastAsia" w:ascii="仿宋" w:hAnsi="仿宋" w:eastAsia="仿宋" w:cs="仿宋"/>
          <w:color w:val="auto"/>
          <w:sz w:val="24"/>
          <w:szCs w:val="24"/>
          <w:highlight w:val="none"/>
          <w:lang w:val="zh-TW" w:eastAsia="zh-TW"/>
        </w:rPr>
      </w:pPr>
    </w:p>
    <w:p w14:paraId="14A0E16B">
      <w:pPr>
        <w:pStyle w:val="4"/>
        <w:numPr>
          <w:ilvl w:val="-1"/>
          <w:numId w:val="0"/>
        </w:numPr>
        <w:jc w:val="left"/>
        <w:rPr>
          <w:rFonts w:hint="eastAsia" w:ascii="仿宋" w:hAnsi="仿宋" w:eastAsia="仿宋" w:cs="仿宋"/>
          <w:color w:val="auto"/>
          <w:highlight w:val="none"/>
        </w:rPr>
      </w:pPr>
      <w:bookmarkStart w:id="530" w:name="_Toc8759"/>
      <w:r>
        <w:rPr>
          <w:rFonts w:hint="eastAsia" w:ascii="仿宋" w:hAnsi="仿宋" w:eastAsia="仿宋" w:cs="仿宋"/>
          <w:color w:val="auto"/>
          <w:highlight w:val="none"/>
          <w:lang w:val="en-US" w:eastAsia="zh-CN"/>
        </w:rPr>
        <w:t>一、</w:t>
      </w:r>
      <w:r>
        <w:rPr>
          <w:rFonts w:hint="eastAsia" w:ascii="仿宋" w:hAnsi="仿宋" w:eastAsia="仿宋" w:cs="仿宋"/>
          <w:color w:val="auto"/>
          <w:highlight w:val="none"/>
        </w:rPr>
        <w:t>工程设计专</w:t>
      </w:r>
      <w:r>
        <w:rPr>
          <w:rFonts w:hint="eastAsia" w:ascii="仿宋" w:hAnsi="仿宋" w:eastAsia="仿宋" w:cs="仿宋"/>
          <w:color w:val="auto"/>
          <w:highlight w:val="none"/>
          <w:lang w:val="en-US" w:eastAsia="zh-CN"/>
        </w:rPr>
        <w:t>用</w:t>
      </w:r>
      <w:r>
        <w:rPr>
          <w:rFonts w:hint="eastAsia" w:ascii="仿宋" w:hAnsi="仿宋" w:eastAsia="仿宋" w:cs="仿宋"/>
          <w:color w:val="auto"/>
          <w:highlight w:val="none"/>
        </w:rPr>
        <w:t>条款</w:t>
      </w:r>
      <w:bookmarkEnd w:id="530"/>
    </w:p>
    <w:p w14:paraId="58FC2A8C">
      <w:pPr>
        <w:numPr>
          <w:ilvl w:val="-1"/>
          <w:numId w:val="0"/>
        </w:numPr>
        <w:jc w:val="left"/>
        <w:rPr>
          <w:rFonts w:hint="eastAsia" w:ascii="仿宋" w:hAnsi="仿宋" w:eastAsia="仿宋" w:cs="仿宋"/>
          <w:color w:val="auto"/>
          <w:highlight w:val="none"/>
        </w:rPr>
      </w:pPr>
      <w:r>
        <w:rPr>
          <w:rFonts w:hint="eastAsia" w:ascii="仿宋" w:hAnsi="仿宋" w:eastAsia="仿宋" w:cs="仿宋"/>
          <w:color w:val="auto"/>
          <w:highlight w:val="none"/>
        </w:rPr>
        <w:t>（本工程设计专用条款中的承包人均指本项目设计单位）</w:t>
      </w:r>
    </w:p>
    <w:p w14:paraId="5239E7C5">
      <w:pPr>
        <w:pStyle w:val="5"/>
        <w:bidi w:val="0"/>
        <w:jc w:val="left"/>
        <w:rPr>
          <w:rFonts w:hint="eastAsia" w:ascii="仿宋" w:hAnsi="仿宋" w:eastAsia="仿宋" w:cs="仿宋"/>
          <w:color w:val="auto"/>
          <w:highlight w:val="none"/>
          <w:lang w:val="zh-TW" w:eastAsia="zh-TW"/>
        </w:rPr>
      </w:pPr>
      <w:r>
        <w:rPr>
          <w:rFonts w:hint="eastAsia" w:ascii="仿宋" w:hAnsi="仿宋" w:eastAsia="仿宋" w:cs="仿宋"/>
          <w:color w:val="auto"/>
          <w:highlight w:val="none"/>
          <w:lang w:val="en-US" w:eastAsia="zh-CN"/>
        </w:rPr>
        <w:t>1、</w:t>
      </w:r>
      <w:r>
        <w:rPr>
          <w:rFonts w:hint="eastAsia" w:ascii="仿宋" w:hAnsi="仿宋" w:eastAsia="仿宋" w:cs="仿宋"/>
          <w:color w:val="auto"/>
          <w:highlight w:val="none"/>
          <w:lang w:val="zh-TW" w:eastAsia="zh-TW"/>
        </w:rPr>
        <w:t>工程设计范围、阶段与服务内容</w:t>
      </w:r>
    </w:p>
    <w:p w14:paraId="127D4F81">
      <w:pPr>
        <w:pStyle w:val="95"/>
        <w:spacing w:line="360" w:lineRule="auto"/>
        <w:ind w:firstLine="480" w:firstLineChars="200"/>
        <w:jc w:val="left"/>
        <w:rPr>
          <w:rFonts w:hint="eastAsia" w:ascii="仿宋" w:hAnsi="仿宋" w:eastAsia="仿宋" w:cs="仿宋"/>
          <w:color w:val="auto"/>
          <w:sz w:val="24"/>
          <w:szCs w:val="24"/>
          <w:highlight w:val="none"/>
          <w:u w:val="single"/>
          <w:lang w:val="zh-TW"/>
        </w:rPr>
      </w:pPr>
      <w:r>
        <w:rPr>
          <w:rFonts w:hint="eastAsia" w:ascii="仿宋" w:hAnsi="仿宋" w:eastAsia="仿宋" w:cs="仿宋"/>
          <w:color w:val="auto"/>
          <w:sz w:val="24"/>
          <w:szCs w:val="24"/>
          <w:highlight w:val="none"/>
        </w:rPr>
        <w:t>1.</w:t>
      </w: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lang w:val="zh-TW" w:eastAsia="zh-TW"/>
        </w:rPr>
        <w:t>工程设计范围：</w:t>
      </w:r>
      <w:r>
        <w:rPr>
          <w:rFonts w:hint="eastAsia" w:ascii="仿宋" w:hAnsi="仿宋" w:eastAsia="仿宋" w:cs="仿宋"/>
          <w:color w:val="auto"/>
          <w:sz w:val="24"/>
          <w:szCs w:val="24"/>
          <w:highlight w:val="none"/>
          <w:u w:val="single"/>
        </w:rPr>
        <w:t>完成本项目建设范围内的施工图设计、施工图优化并配合送审取得施工图审查合格书等工作；协助办理本工程引起的工程设计报建手续；施工过程技术服务及设计变更手续等</w:t>
      </w:r>
      <w:r>
        <w:rPr>
          <w:rFonts w:hint="eastAsia" w:ascii="仿宋" w:hAnsi="仿宋" w:eastAsia="仿宋" w:cs="仿宋"/>
          <w:color w:val="auto"/>
          <w:sz w:val="24"/>
          <w:szCs w:val="24"/>
          <w:highlight w:val="none"/>
          <w:lang w:val="zh-TW" w:eastAsia="zh-TW"/>
        </w:rPr>
        <w:t>。</w:t>
      </w:r>
    </w:p>
    <w:p w14:paraId="6C5FC0A8">
      <w:pPr>
        <w:pStyle w:val="95"/>
        <w:spacing w:line="360" w:lineRule="auto"/>
        <w:ind w:firstLine="480" w:firstLineChars="200"/>
        <w:jc w:val="left"/>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rPr>
        <w:t>2</w:t>
      </w:r>
      <w:r>
        <w:rPr>
          <w:rFonts w:hint="eastAsia" w:ascii="仿宋" w:hAnsi="仿宋" w:eastAsia="仿宋" w:cs="仿宋"/>
          <w:color w:val="auto"/>
          <w:sz w:val="24"/>
          <w:szCs w:val="24"/>
          <w:highlight w:val="none"/>
          <w:lang w:val="zh-TW" w:eastAsia="zh-TW"/>
        </w:rPr>
        <w:t>工程设计阶段：</w:t>
      </w:r>
      <w:r>
        <w:rPr>
          <w:rFonts w:hint="eastAsia" w:ascii="仿宋" w:hAnsi="仿宋" w:eastAsia="仿宋" w:cs="仿宋"/>
          <w:color w:val="auto"/>
          <w:sz w:val="24"/>
          <w:szCs w:val="24"/>
          <w:highlight w:val="none"/>
          <w:u w:val="single"/>
          <w:lang w:val="zh-TW" w:eastAsia="zh-TW"/>
        </w:rPr>
        <w:t xml:space="preserve"> 施工图设计</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lang w:val="zh-TW" w:eastAsia="zh-TW"/>
        </w:rPr>
        <w:t>。</w:t>
      </w:r>
    </w:p>
    <w:p w14:paraId="7D661D9F">
      <w:pPr>
        <w:pStyle w:val="95"/>
        <w:spacing w:line="360" w:lineRule="auto"/>
        <w:ind w:firstLine="480" w:firstLineChars="200"/>
        <w:jc w:val="left"/>
        <w:rPr>
          <w:rFonts w:hint="eastAsia" w:ascii="仿宋" w:hAnsi="仿宋" w:eastAsia="仿宋" w:cs="仿宋"/>
          <w:color w:val="auto"/>
          <w:sz w:val="24"/>
          <w:szCs w:val="24"/>
          <w:highlight w:val="none"/>
          <w:lang w:val="zh-TW" w:eastAsia="zh-TW"/>
        </w:rPr>
      </w:pP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rPr>
        <w:t>3</w:t>
      </w:r>
      <w:r>
        <w:rPr>
          <w:rFonts w:hint="eastAsia" w:ascii="仿宋" w:hAnsi="仿宋" w:eastAsia="仿宋" w:cs="仿宋"/>
          <w:color w:val="auto"/>
          <w:sz w:val="24"/>
          <w:szCs w:val="24"/>
          <w:highlight w:val="none"/>
          <w:lang w:val="zh-TW" w:eastAsia="zh-TW"/>
        </w:rPr>
        <w:t>工程设计服务内容：</w:t>
      </w:r>
      <w:r>
        <w:rPr>
          <w:rFonts w:hint="eastAsia" w:ascii="仿宋" w:hAnsi="仿宋" w:eastAsia="仿宋" w:cs="仿宋"/>
          <w:color w:val="auto"/>
          <w:sz w:val="24"/>
          <w:szCs w:val="24"/>
          <w:highlight w:val="none"/>
          <w:u w:val="single"/>
          <w:lang w:val="zh-TW" w:eastAsia="zh-TW"/>
        </w:rPr>
        <w:t>本工程设计范围内的图纸设计、按需要进行设计变更、配合施工单位现场服务、参与阶段性工程及最终工程验收</w:t>
      </w:r>
      <w:r>
        <w:rPr>
          <w:rFonts w:hint="eastAsia" w:ascii="仿宋" w:hAnsi="仿宋" w:eastAsia="仿宋" w:cs="仿宋"/>
          <w:color w:val="auto"/>
          <w:sz w:val="24"/>
          <w:szCs w:val="24"/>
          <w:highlight w:val="none"/>
          <w:u w:val="single"/>
        </w:rPr>
        <w:t></w:t>
      </w:r>
      <w:r>
        <w:rPr>
          <w:rFonts w:hint="eastAsia" w:ascii="仿宋" w:hAnsi="仿宋" w:eastAsia="仿宋" w:cs="仿宋"/>
          <w:color w:val="auto"/>
          <w:sz w:val="24"/>
          <w:szCs w:val="24"/>
          <w:highlight w:val="none"/>
          <w:lang w:val="zh-TW" w:eastAsia="zh-TW"/>
        </w:rPr>
        <w:t>。</w:t>
      </w:r>
    </w:p>
    <w:p w14:paraId="60439F67">
      <w:pPr>
        <w:pStyle w:val="95"/>
        <w:spacing w:line="360" w:lineRule="auto"/>
        <w:ind w:firstLine="480" w:firstLineChars="200"/>
        <w:jc w:val="left"/>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1.4工程主要技术标准：按国家工程建设标准强制性条文及国家、省、市有关规范、规程、规定进行设计。</w:t>
      </w:r>
    </w:p>
    <w:p w14:paraId="05541BF7">
      <w:pPr>
        <w:pStyle w:val="96"/>
        <w:framePr w:wrap="auto" w:vAnchor="margin" w:hAnchor="text" w:yAlign="inline"/>
        <w:jc w:val="left"/>
        <w:rPr>
          <w:rFonts w:hint="eastAsia" w:ascii="仿宋" w:hAnsi="仿宋" w:eastAsia="仿宋" w:cs="仿宋"/>
          <w:color w:val="auto"/>
          <w:highlight w:val="none"/>
          <w:lang w:val="en-US" w:eastAsia="zh-CN"/>
        </w:rPr>
      </w:pPr>
    </w:p>
    <w:p w14:paraId="28BE3D7F">
      <w:pPr>
        <w:pStyle w:val="5"/>
        <w:bidi w:val="0"/>
        <w:jc w:val="left"/>
        <w:rPr>
          <w:rFonts w:hint="eastAsia" w:ascii="仿宋" w:hAnsi="仿宋" w:eastAsia="仿宋" w:cs="仿宋"/>
          <w:color w:val="auto"/>
          <w:highlight w:val="none"/>
          <w:lang w:val="zh-TW" w:eastAsia="zh-TW"/>
        </w:rPr>
      </w:pPr>
      <w:r>
        <w:rPr>
          <w:rFonts w:hint="eastAsia" w:ascii="仿宋" w:hAnsi="仿宋" w:eastAsia="仿宋" w:cs="仿宋"/>
          <w:color w:val="auto"/>
          <w:highlight w:val="none"/>
          <w:lang w:val="en-US" w:eastAsia="zh-CN"/>
        </w:rPr>
        <w:t>2、</w:t>
      </w:r>
      <w:r>
        <w:rPr>
          <w:rFonts w:hint="eastAsia" w:ascii="仿宋" w:hAnsi="仿宋" w:eastAsia="仿宋" w:cs="仿宋"/>
          <w:color w:val="auto"/>
          <w:highlight w:val="none"/>
          <w:lang w:val="zh-TW" w:eastAsia="zh-TW"/>
        </w:rPr>
        <w:t>工程设计周期</w:t>
      </w:r>
    </w:p>
    <w:p w14:paraId="2549FA92">
      <w:pPr>
        <w:pStyle w:val="95"/>
        <w:spacing w:line="360" w:lineRule="auto"/>
        <w:ind w:firstLine="480" w:firstLineChars="200"/>
        <w:jc w:val="left"/>
        <w:rPr>
          <w:rFonts w:hint="eastAsia" w:ascii="仿宋" w:hAnsi="仿宋" w:eastAsia="仿宋" w:cs="仿宋"/>
          <w:color w:val="auto"/>
          <w:sz w:val="24"/>
          <w:szCs w:val="24"/>
          <w:highlight w:val="none"/>
          <w:lang w:val="zh-TW" w:eastAsia="zh-TW"/>
        </w:rPr>
      </w:pPr>
      <w:r>
        <w:rPr>
          <w:rFonts w:hint="eastAsia" w:ascii="仿宋" w:hAnsi="仿宋" w:eastAsia="仿宋" w:cs="仿宋"/>
          <w:color w:val="auto"/>
          <w:sz w:val="24"/>
          <w:szCs w:val="24"/>
          <w:highlight w:val="none"/>
          <w:lang w:val="zh-TW" w:eastAsia="zh-TW"/>
        </w:rPr>
        <w:t>计划开始设计日期：</w:t>
      </w:r>
      <w:r>
        <w:rPr>
          <w:rFonts w:hint="eastAsia" w:ascii="仿宋" w:hAnsi="仿宋" w:eastAsia="仿宋" w:cs="仿宋"/>
          <w:color w:val="auto"/>
          <w:sz w:val="24"/>
          <w:szCs w:val="24"/>
          <w:highlight w:val="none"/>
          <w:u w:val="single"/>
          <w:lang w:val="zh-TW" w:eastAsia="zh-TW"/>
        </w:rPr>
        <w:t>    </w:t>
      </w:r>
      <w:r>
        <w:rPr>
          <w:rFonts w:hint="eastAsia" w:ascii="仿宋" w:hAnsi="仿宋" w:eastAsia="仿宋" w:cs="仿宋"/>
          <w:color w:val="auto"/>
          <w:sz w:val="24"/>
          <w:szCs w:val="24"/>
          <w:highlight w:val="none"/>
          <w:lang w:val="zh-TW" w:eastAsia="zh-TW"/>
        </w:rPr>
        <w:t>年</w:t>
      </w:r>
      <w:r>
        <w:rPr>
          <w:rFonts w:hint="eastAsia" w:ascii="仿宋" w:hAnsi="仿宋" w:eastAsia="仿宋" w:cs="仿宋"/>
          <w:color w:val="auto"/>
          <w:sz w:val="24"/>
          <w:szCs w:val="24"/>
          <w:highlight w:val="none"/>
          <w:u w:val="single"/>
          <w:lang w:val="zh-TW" w:eastAsia="zh-TW"/>
        </w:rPr>
        <w:t>  </w:t>
      </w:r>
      <w:r>
        <w:rPr>
          <w:rFonts w:hint="eastAsia" w:ascii="仿宋" w:hAnsi="仿宋" w:eastAsia="仿宋" w:cs="仿宋"/>
          <w:color w:val="auto"/>
          <w:sz w:val="24"/>
          <w:szCs w:val="24"/>
          <w:highlight w:val="none"/>
          <w:lang w:val="zh-TW" w:eastAsia="zh-TW"/>
        </w:rPr>
        <w:t>月</w:t>
      </w:r>
      <w:r>
        <w:rPr>
          <w:rFonts w:hint="eastAsia" w:ascii="仿宋" w:hAnsi="仿宋" w:eastAsia="仿宋" w:cs="仿宋"/>
          <w:color w:val="auto"/>
          <w:sz w:val="24"/>
          <w:szCs w:val="24"/>
          <w:highlight w:val="none"/>
          <w:u w:val="single"/>
          <w:lang w:val="zh-TW" w:eastAsia="zh-TW"/>
        </w:rPr>
        <w:t>  </w:t>
      </w:r>
      <w:r>
        <w:rPr>
          <w:rFonts w:hint="eastAsia" w:ascii="仿宋" w:hAnsi="仿宋" w:eastAsia="仿宋" w:cs="仿宋"/>
          <w:color w:val="auto"/>
          <w:sz w:val="24"/>
          <w:szCs w:val="24"/>
          <w:highlight w:val="none"/>
          <w:lang w:val="zh-TW" w:eastAsia="zh-TW"/>
        </w:rPr>
        <w:t>日。</w:t>
      </w:r>
    </w:p>
    <w:p w14:paraId="221E66D1">
      <w:pPr>
        <w:pStyle w:val="95"/>
        <w:spacing w:line="360" w:lineRule="auto"/>
        <w:ind w:firstLine="480" w:firstLineChars="200"/>
        <w:jc w:val="left"/>
        <w:rPr>
          <w:rFonts w:hint="eastAsia" w:ascii="仿宋" w:hAnsi="仿宋" w:eastAsia="仿宋" w:cs="仿宋"/>
          <w:color w:val="auto"/>
          <w:szCs w:val="24"/>
          <w:highlight w:val="none"/>
          <w:lang w:val="zh-TW" w:eastAsia="zh-TW"/>
        </w:rPr>
      </w:pPr>
      <w:r>
        <w:rPr>
          <w:rFonts w:hint="eastAsia" w:ascii="仿宋" w:hAnsi="仿宋" w:eastAsia="仿宋" w:cs="仿宋"/>
          <w:color w:val="auto"/>
          <w:szCs w:val="24"/>
          <w:highlight w:val="none"/>
          <w:lang w:val="zh-TW" w:eastAsia="zh-TW"/>
        </w:rPr>
        <w:t>计划完成设计日期：</w:t>
      </w:r>
      <w:r>
        <w:rPr>
          <w:rFonts w:hint="eastAsia" w:ascii="仿宋" w:hAnsi="仿宋" w:eastAsia="仿宋" w:cs="仿宋"/>
          <w:color w:val="auto"/>
          <w:szCs w:val="24"/>
          <w:highlight w:val="none"/>
          <w:u w:val="single"/>
        </w:rPr>
        <w:t xml:space="preserve">      </w:t>
      </w:r>
      <w:r>
        <w:rPr>
          <w:rFonts w:hint="eastAsia" w:ascii="仿宋" w:hAnsi="仿宋" w:eastAsia="仿宋" w:cs="仿宋"/>
          <w:color w:val="auto"/>
          <w:szCs w:val="24"/>
          <w:highlight w:val="none"/>
          <w:lang w:val="zh-TW" w:eastAsia="zh-TW"/>
        </w:rPr>
        <w:t>年</w:t>
      </w:r>
      <w:r>
        <w:rPr>
          <w:rFonts w:hint="eastAsia" w:ascii="仿宋" w:hAnsi="仿宋" w:eastAsia="仿宋" w:cs="仿宋"/>
          <w:color w:val="auto"/>
          <w:szCs w:val="24"/>
          <w:highlight w:val="none"/>
          <w:u w:val="single"/>
        </w:rPr>
        <w:t xml:space="preserve">    </w:t>
      </w:r>
      <w:r>
        <w:rPr>
          <w:rFonts w:hint="eastAsia" w:ascii="仿宋" w:hAnsi="仿宋" w:eastAsia="仿宋" w:cs="仿宋"/>
          <w:color w:val="auto"/>
          <w:szCs w:val="24"/>
          <w:highlight w:val="none"/>
          <w:lang w:val="zh-TW" w:eastAsia="zh-TW"/>
        </w:rPr>
        <w:t>月</w:t>
      </w:r>
      <w:r>
        <w:rPr>
          <w:rFonts w:hint="eastAsia" w:ascii="仿宋" w:hAnsi="仿宋" w:eastAsia="仿宋" w:cs="仿宋"/>
          <w:color w:val="auto"/>
          <w:szCs w:val="24"/>
          <w:highlight w:val="none"/>
          <w:u w:val="single"/>
        </w:rPr>
        <w:t>  </w:t>
      </w:r>
      <w:r>
        <w:rPr>
          <w:rFonts w:hint="eastAsia" w:ascii="仿宋" w:hAnsi="仿宋" w:eastAsia="仿宋" w:cs="仿宋"/>
          <w:color w:val="auto"/>
          <w:szCs w:val="24"/>
          <w:highlight w:val="none"/>
          <w:lang w:val="zh-TW" w:eastAsia="zh-TW"/>
        </w:rPr>
        <w:t>日。</w:t>
      </w:r>
    </w:p>
    <w:p w14:paraId="2418CE0E">
      <w:pPr>
        <w:pStyle w:val="95"/>
        <w:spacing w:line="360" w:lineRule="auto"/>
        <w:ind w:firstLine="480" w:firstLineChars="200"/>
        <w:jc w:val="left"/>
        <w:rPr>
          <w:rStyle w:val="100"/>
          <w:rFonts w:hint="eastAsia" w:ascii="仿宋" w:hAnsi="仿宋" w:eastAsia="仿宋" w:cs="仿宋"/>
          <w:color w:val="auto"/>
          <w:sz w:val="24"/>
          <w:szCs w:val="24"/>
          <w:highlight w:val="none"/>
        </w:rPr>
      </w:pPr>
      <w:r>
        <w:rPr>
          <w:rStyle w:val="100"/>
          <w:rFonts w:hint="eastAsia" w:ascii="仿宋" w:hAnsi="仿宋" w:eastAsia="仿宋" w:cs="仿宋"/>
          <w:color w:val="auto"/>
          <w:sz w:val="24"/>
          <w:szCs w:val="24"/>
          <w:highlight w:val="none"/>
          <w:lang w:val="en-US" w:eastAsia="zh-CN"/>
        </w:rPr>
        <w:t>2</w:t>
      </w:r>
      <w:r>
        <w:rPr>
          <w:rStyle w:val="100"/>
          <w:rFonts w:hint="eastAsia" w:ascii="仿宋" w:hAnsi="仿宋" w:eastAsia="仿宋" w:cs="仿宋"/>
          <w:color w:val="auto"/>
          <w:sz w:val="24"/>
          <w:szCs w:val="24"/>
          <w:highlight w:val="none"/>
        </w:rPr>
        <w:t>.1 工程设计进度计划的编制</w:t>
      </w:r>
    </w:p>
    <w:p w14:paraId="756A680F">
      <w:pPr>
        <w:pStyle w:val="95"/>
        <w:spacing w:line="360" w:lineRule="auto"/>
        <w:ind w:firstLine="480" w:firstLineChars="200"/>
        <w:jc w:val="left"/>
        <w:rPr>
          <w:rStyle w:val="100"/>
          <w:rFonts w:hint="eastAsia" w:ascii="仿宋" w:hAnsi="仿宋" w:eastAsia="仿宋" w:cs="仿宋"/>
          <w:color w:val="auto"/>
          <w:sz w:val="24"/>
          <w:szCs w:val="24"/>
          <w:highlight w:val="none"/>
          <w:u w:val="single"/>
        </w:rPr>
      </w:pPr>
      <w:r>
        <w:rPr>
          <w:rStyle w:val="100"/>
          <w:rFonts w:hint="eastAsia" w:ascii="仿宋" w:hAnsi="仿宋" w:eastAsia="仿宋" w:cs="仿宋"/>
          <w:color w:val="auto"/>
          <w:sz w:val="24"/>
          <w:szCs w:val="24"/>
          <w:highlight w:val="none"/>
        </w:rPr>
        <w:t>合同当事人约定的工程设计进度计划提交的时间：</w:t>
      </w:r>
      <w:r>
        <w:rPr>
          <w:rStyle w:val="100"/>
          <w:rFonts w:hint="eastAsia" w:ascii="仿宋" w:hAnsi="仿宋" w:eastAsia="仿宋" w:cs="仿宋"/>
          <w:color w:val="auto"/>
          <w:sz w:val="24"/>
          <w:szCs w:val="24"/>
          <w:highlight w:val="none"/>
          <w:u w:val="single"/>
        </w:rPr>
        <w:t>合同签订后</w:t>
      </w:r>
      <w:r>
        <w:rPr>
          <w:rStyle w:val="100"/>
          <w:rFonts w:hint="eastAsia" w:ascii="仿宋" w:hAnsi="仿宋" w:cs="仿宋"/>
          <w:color w:val="auto"/>
          <w:sz w:val="24"/>
          <w:szCs w:val="24"/>
          <w:highlight w:val="none"/>
          <w:u w:val="single"/>
          <w:lang w:val="en-US" w:eastAsia="zh-CN"/>
        </w:rPr>
        <w:t>15</w:t>
      </w:r>
      <w:r>
        <w:rPr>
          <w:rStyle w:val="100"/>
          <w:rFonts w:hint="eastAsia" w:ascii="仿宋" w:hAnsi="仿宋" w:eastAsia="仿宋" w:cs="仿宋"/>
          <w:color w:val="auto"/>
          <w:sz w:val="24"/>
          <w:szCs w:val="24"/>
          <w:highlight w:val="none"/>
          <w:u w:val="single"/>
        </w:rPr>
        <w:t>日内</w:t>
      </w:r>
      <w:r>
        <w:rPr>
          <w:rStyle w:val="100"/>
          <w:rFonts w:hint="eastAsia" w:ascii="仿宋" w:hAnsi="仿宋" w:cs="仿宋"/>
          <w:color w:val="auto"/>
          <w:sz w:val="24"/>
          <w:szCs w:val="24"/>
          <w:highlight w:val="none"/>
          <w:u w:val="single"/>
          <w:lang w:val="en-US" w:eastAsia="zh-CN"/>
        </w:rPr>
        <w:t>完成全部设计工作</w:t>
      </w:r>
      <w:r>
        <w:rPr>
          <w:rStyle w:val="100"/>
          <w:rFonts w:hint="eastAsia" w:ascii="仿宋" w:hAnsi="仿宋" w:eastAsia="仿宋" w:cs="仿宋"/>
          <w:color w:val="auto"/>
          <w:sz w:val="24"/>
          <w:szCs w:val="24"/>
          <w:highlight w:val="none"/>
          <w:u w:val="single"/>
        </w:rPr>
        <w:t>。</w:t>
      </w:r>
    </w:p>
    <w:p w14:paraId="51FCF36B">
      <w:pPr>
        <w:pStyle w:val="95"/>
        <w:spacing w:line="360" w:lineRule="auto"/>
        <w:ind w:firstLine="480" w:firstLineChars="200"/>
        <w:jc w:val="left"/>
        <w:rPr>
          <w:rStyle w:val="100"/>
          <w:rFonts w:hint="eastAsia" w:ascii="仿宋" w:hAnsi="仿宋" w:eastAsia="仿宋" w:cs="仿宋"/>
          <w:color w:val="auto"/>
          <w:sz w:val="24"/>
          <w:szCs w:val="24"/>
          <w:highlight w:val="none"/>
        </w:rPr>
      </w:pPr>
      <w:r>
        <w:rPr>
          <w:rStyle w:val="100"/>
          <w:rFonts w:hint="eastAsia" w:ascii="仿宋" w:hAnsi="仿宋" w:eastAsia="仿宋" w:cs="仿宋"/>
          <w:color w:val="auto"/>
          <w:sz w:val="24"/>
          <w:szCs w:val="24"/>
          <w:highlight w:val="none"/>
        </w:rPr>
        <w:t>合同当事人约定的工程设计进度计划应包括的内容：合同约定和一般工程设计实践惯例应包括的内容及发包人提出的其他内容。</w:t>
      </w:r>
    </w:p>
    <w:p w14:paraId="6DF63314">
      <w:pPr>
        <w:pStyle w:val="95"/>
        <w:spacing w:line="360" w:lineRule="auto"/>
        <w:ind w:firstLine="480" w:firstLineChars="200"/>
        <w:jc w:val="left"/>
        <w:rPr>
          <w:rStyle w:val="100"/>
          <w:rFonts w:hint="eastAsia" w:ascii="仿宋" w:hAnsi="仿宋" w:eastAsia="仿宋" w:cs="仿宋"/>
          <w:color w:val="auto"/>
          <w:sz w:val="24"/>
          <w:szCs w:val="24"/>
          <w:highlight w:val="none"/>
        </w:rPr>
      </w:pPr>
      <w:r>
        <w:rPr>
          <w:rStyle w:val="100"/>
          <w:rFonts w:hint="eastAsia" w:ascii="仿宋" w:hAnsi="仿宋" w:eastAsia="仿宋" w:cs="仿宋"/>
          <w:color w:val="auto"/>
          <w:sz w:val="24"/>
          <w:szCs w:val="24"/>
          <w:highlight w:val="none"/>
          <w:lang w:val="en-US" w:eastAsia="zh-CN"/>
        </w:rPr>
        <w:t>2</w:t>
      </w:r>
      <w:r>
        <w:rPr>
          <w:rStyle w:val="100"/>
          <w:rFonts w:hint="eastAsia" w:ascii="仿宋" w:hAnsi="仿宋" w:eastAsia="仿宋" w:cs="仿宋"/>
          <w:color w:val="auto"/>
          <w:sz w:val="24"/>
          <w:szCs w:val="24"/>
          <w:highlight w:val="none"/>
        </w:rPr>
        <w:t>.2 工程设计进度计划的修订</w:t>
      </w:r>
    </w:p>
    <w:p w14:paraId="7E398783">
      <w:pPr>
        <w:pStyle w:val="95"/>
        <w:spacing w:line="360" w:lineRule="auto"/>
        <w:ind w:firstLine="480" w:firstLineChars="200"/>
        <w:jc w:val="left"/>
        <w:rPr>
          <w:rStyle w:val="100"/>
          <w:rFonts w:hint="eastAsia" w:ascii="仿宋" w:hAnsi="仿宋" w:eastAsia="仿宋" w:cs="仿宋"/>
          <w:color w:val="auto"/>
          <w:sz w:val="24"/>
          <w:szCs w:val="24"/>
          <w:highlight w:val="none"/>
        </w:rPr>
      </w:pPr>
      <w:r>
        <w:rPr>
          <w:rStyle w:val="100"/>
          <w:rFonts w:hint="eastAsia" w:ascii="仿宋" w:hAnsi="仿宋" w:eastAsia="仿宋" w:cs="仿宋"/>
          <w:color w:val="auto"/>
          <w:sz w:val="24"/>
          <w:szCs w:val="24"/>
          <w:highlight w:val="none"/>
        </w:rPr>
        <w:t>发包人在收到工程设计进度计划后确认或提出修改意见的期限：</w:t>
      </w:r>
      <w:r>
        <w:rPr>
          <w:rStyle w:val="100"/>
          <w:rFonts w:hint="eastAsia" w:ascii="仿宋" w:hAnsi="仿宋" w:eastAsia="仿宋" w:cs="仿宋"/>
          <w:color w:val="auto"/>
          <w:sz w:val="24"/>
          <w:szCs w:val="24"/>
          <w:highlight w:val="none"/>
          <w:u w:val="single"/>
        </w:rPr>
        <w:t xml:space="preserve">         </w:t>
      </w:r>
      <w:r>
        <w:rPr>
          <w:rStyle w:val="100"/>
          <w:rFonts w:hint="eastAsia" w:ascii="仿宋" w:hAnsi="仿宋" w:eastAsia="仿宋" w:cs="仿宋"/>
          <w:color w:val="auto"/>
          <w:sz w:val="24"/>
          <w:szCs w:val="24"/>
          <w:highlight w:val="none"/>
        </w:rPr>
        <w:t>。</w:t>
      </w:r>
    </w:p>
    <w:p w14:paraId="21B23F2A">
      <w:pPr>
        <w:pStyle w:val="95"/>
        <w:spacing w:line="360" w:lineRule="auto"/>
        <w:ind w:firstLine="480" w:firstLineChars="200"/>
        <w:jc w:val="left"/>
        <w:rPr>
          <w:rStyle w:val="100"/>
          <w:rFonts w:hint="eastAsia" w:ascii="仿宋" w:hAnsi="仿宋" w:eastAsia="仿宋" w:cs="仿宋"/>
          <w:color w:val="auto"/>
          <w:sz w:val="24"/>
          <w:szCs w:val="24"/>
          <w:highlight w:val="none"/>
        </w:rPr>
      </w:pPr>
      <w:r>
        <w:rPr>
          <w:rStyle w:val="100"/>
          <w:rFonts w:hint="eastAsia" w:ascii="仿宋" w:hAnsi="仿宋" w:eastAsia="仿宋" w:cs="仿宋"/>
          <w:color w:val="auto"/>
          <w:sz w:val="24"/>
          <w:szCs w:val="24"/>
          <w:highlight w:val="none"/>
          <w:lang w:val="en-US" w:eastAsia="zh-CN"/>
        </w:rPr>
        <w:t>2.3</w:t>
      </w:r>
      <w:r>
        <w:rPr>
          <w:rStyle w:val="100"/>
          <w:rFonts w:hint="eastAsia" w:ascii="仿宋" w:hAnsi="仿宋" w:eastAsia="仿宋" w:cs="仿宋"/>
          <w:color w:val="auto"/>
          <w:sz w:val="24"/>
          <w:szCs w:val="24"/>
          <w:highlight w:val="none"/>
        </w:rPr>
        <w:t xml:space="preserve"> 工程设计进度延误</w:t>
      </w:r>
    </w:p>
    <w:p w14:paraId="0FB05CAA">
      <w:pPr>
        <w:pStyle w:val="95"/>
        <w:spacing w:line="360" w:lineRule="auto"/>
        <w:ind w:firstLine="480" w:firstLineChars="200"/>
        <w:jc w:val="left"/>
        <w:rPr>
          <w:rStyle w:val="100"/>
          <w:rFonts w:hint="eastAsia" w:ascii="仿宋" w:hAnsi="仿宋" w:eastAsia="仿宋" w:cs="仿宋"/>
          <w:color w:val="auto"/>
          <w:sz w:val="24"/>
          <w:szCs w:val="24"/>
          <w:highlight w:val="none"/>
        </w:rPr>
      </w:pPr>
      <w:r>
        <w:rPr>
          <w:rStyle w:val="100"/>
          <w:rFonts w:hint="eastAsia" w:ascii="仿宋" w:hAnsi="仿宋" w:eastAsia="仿宋" w:cs="仿宋"/>
          <w:color w:val="auto"/>
          <w:sz w:val="24"/>
          <w:szCs w:val="24"/>
          <w:highlight w:val="none"/>
          <w:lang w:val="en-US" w:eastAsia="zh-CN"/>
        </w:rPr>
        <w:t>2.3</w:t>
      </w:r>
      <w:r>
        <w:rPr>
          <w:rStyle w:val="100"/>
          <w:rFonts w:hint="eastAsia" w:ascii="仿宋" w:hAnsi="仿宋" w:eastAsia="仿宋" w:cs="仿宋"/>
          <w:color w:val="auto"/>
          <w:sz w:val="24"/>
          <w:szCs w:val="24"/>
          <w:highlight w:val="none"/>
        </w:rPr>
        <w:t xml:space="preserve">.1 </w:t>
      </w:r>
      <w:r>
        <w:rPr>
          <w:rStyle w:val="100"/>
          <w:rFonts w:hint="eastAsia" w:ascii="仿宋" w:hAnsi="仿宋" w:eastAsia="仿宋" w:cs="仿宋"/>
          <w:color w:val="auto"/>
          <w:sz w:val="24"/>
          <w:szCs w:val="24"/>
          <w:highlight w:val="none"/>
          <w:lang w:eastAsia="zh-CN"/>
        </w:rPr>
        <w:t>承包人</w:t>
      </w:r>
      <w:r>
        <w:rPr>
          <w:rStyle w:val="100"/>
          <w:rFonts w:hint="eastAsia" w:ascii="仿宋" w:hAnsi="仿宋" w:eastAsia="仿宋" w:cs="仿宋"/>
          <w:color w:val="auto"/>
          <w:sz w:val="24"/>
          <w:szCs w:val="24"/>
          <w:highlight w:val="none"/>
        </w:rPr>
        <w:t>的服务应及时高效，包括意见修改、施工配合等。如出现拖延或服务质量达不到发包人要求的，视为延误。</w:t>
      </w:r>
    </w:p>
    <w:p w14:paraId="2B110385">
      <w:pPr>
        <w:pStyle w:val="95"/>
        <w:spacing w:line="360" w:lineRule="auto"/>
        <w:ind w:firstLine="480" w:firstLineChars="200"/>
        <w:jc w:val="left"/>
        <w:rPr>
          <w:rStyle w:val="100"/>
          <w:rFonts w:hint="eastAsia" w:ascii="仿宋" w:hAnsi="仿宋" w:eastAsia="仿宋" w:cs="仿宋"/>
          <w:color w:val="auto"/>
          <w:sz w:val="24"/>
          <w:szCs w:val="24"/>
          <w:highlight w:val="none"/>
        </w:rPr>
      </w:pPr>
      <w:r>
        <w:rPr>
          <w:rStyle w:val="100"/>
          <w:rFonts w:hint="eastAsia" w:ascii="仿宋" w:hAnsi="仿宋" w:eastAsia="仿宋" w:cs="仿宋"/>
          <w:color w:val="auto"/>
          <w:sz w:val="24"/>
          <w:szCs w:val="24"/>
          <w:highlight w:val="none"/>
          <w:lang w:val="en-US" w:eastAsia="zh-CN"/>
        </w:rPr>
        <w:t>2.3.2</w:t>
      </w:r>
      <w:r>
        <w:rPr>
          <w:rStyle w:val="100"/>
          <w:rFonts w:hint="eastAsia" w:ascii="仿宋" w:hAnsi="仿宋" w:eastAsia="仿宋" w:cs="仿宋"/>
          <w:color w:val="auto"/>
          <w:sz w:val="24"/>
          <w:szCs w:val="24"/>
          <w:highlight w:val="none"/>
        </w:rPr>
        <w:t>因发包人原因导致工程设计进度延误</w:t>
      </w:r>
      <w:r>
        <w:rPr>
          <w:rStyle w:val="100"/>
          <w:rFonts w:hint="eastAsia" w:ascii="仿宋" w:hAnsi="仿宋" w:eastAsia="仿宋" w:cs="仿宋"/>
          <w:color w:val="auto"/>
          <w:sz w:val="24"/>
          <w:szCs w:val="24"/>
          <w:highlight w:val="none"/>
          <w:lang w:eastAsia="zh-CN"/>
        </w:rPr>
        <w:t>，承包人</w:t>
      </w:r>
      <w:r>
        <w:rPr>
          <w:rStyle w:val="100"/>
          <w:rFonts w:hint="eastAsia" w:ascii="仿宋" w:hAnsi="仿宋" w:eastAsia="仿宋" w:cs="仿宋"/>
          <w:color w:val="auto"/>
          <w:sz w:val="24"/>
          <w:szCs w:val="24"/>
          <w:highlight w:val="none"/>
        </w:rPr>
        <w:t>应在发生进度延误的情形后</w:t>
      </w:r>
      <w:r>
        <w:rPr>
          <w:rStyle w:val="100"/>
          <w:rFonts w:hint="eastAsia" w:ascii="仿宋" w:hAnsi="仿宋" w:eastAsia="仿宋" w:cs="仿宋"/>
          <w:color w:val="auto"/>
          <w:sz w:val="24"/>
          <w:szCs w:val="24"/>
          <w:highlight w:val="none"/>
          <w:u w:val="single"/>
        </w:rPr>
        <w:t xml:space="preserve">    </w:t>
      </w:r>
      <w:r>
        <w:rPr>
          <w:rStyle w:val="100"/>
          <w:rFonts w:hint="eastAsia" w:ascii="仿宋" w:hAnsi="仿宋" w:eastAsia="仿宋" w:cs="仿宋"/>
          <w:color w:val="auto"/>
          <w:sz w:val="24"/>
          <w:szCs w:val="24"/>
          <w:highlight w:val="none"/>
        </w:rPr>
        <w:t>天内向发包人发出要求延期的书面通知，在发生该情形后</w:t>
      </w:r>
      <w:r>
        <w:rPr>
          <w:rStyle w:val="100"/>
          <w:rFonts w:hint="eastAsia" w:ascii="仿宋" w:hAnsi="仿宋" w:eastAsia="仿宋" w:cs="仿宋"/>
          <w:color w:val="auto"/>
          <w:sz w:val="24"/>
          <w:szCs w:val="24"/>
          <w:highlight w:val="none"/>
          <w:u w:val="single"/>
        </w:rPr>
        <w:t xml:space="preserve">    </w:t>
      </w:r>
      <w:r>
        <w:rPr>
          <w:rStyle w:val="100"/>
          <w:rFonts w:hint="eastAsia" w:ascii="仿宋" w:hAnsi="仿宋" w:eastAsia="仿宋" w:cs="仿宋"/>
          <w:color w:val="auto"/>
          <w:sz w:val="24"/>
          <w:szCs w:val="24"/>
          <w:highlight w:val="none"/>
        </w:rPr>
        <w:t>天内提交要求延期的详细说明。发包人收到</w:t>
      </w:r>
      <w:r>
        <w:rPr>
          <w:rStyle w:val="100"/>
          <w:rFonts w:hint="eastAsia" w:ascii="仿宋" w:hAnsi="仿宋" w:eastAsia="仿宋" w:cs="仿宋"/>
          <w:color w:val="auto"/>
          <w:sz w:val="24"/>
          <w:szCs w:val="24"/>
          <w:highlight w:val="none"/>
          <w:lang w:eastAsia="zh-CN"/>
        </w:rPr>
        <w:t>承包人</w:t>
      </w:r>
      <w:r>
        <w:rPr>
          <w:rStyle w:val="100"/>
          <w:rFonts w:hint="eastAsia" w:ascii="仿宋" w:hAnsi="仿宋" w:eastAsia="仿宋" w:cs="仿宋"/>
          <w:color w:val="auto"/>
          <w:sz w:val="24"/>
          <w:szCs w:val="24"/>
          <w:highlight w:val="none"/>
        </w:rPr>
        <w:t>要求延期的详细说明后，应在</w:t>
      </w:r>
      <w:r>
        <w:rPr>
          <w:rStyle w:val="100"/>
          <w:rFonts w:hint="eastAsia" w:ascii="仿宋" w:hAnsi="仿宋" w:eastAsia="仿宋" w:cs="仿宋"/>
          <w:color w:val="auto"/>
          <w:sz w:val="24"/>
          <w:szCs w:val="24"/>
          <w:highlight w:val="none"/>
          <w:u w:val="single"/>
        </w:rPr>
        <w:t xml:space="preserve">    </w:t>
      </w:r>
      <w:r>
        <w:rPr>
          <w:rStyle w:val="100"/>
          <w:rFonts w:hint="eastAsia" w:ascii="仿宋" w:hAnsi="仿宋" w:eastAsia="仿宋" w:cs="仿宋"/>
          <w:color w:val="auto"/>
          <w:sz w:val="24"/>
          <w:szCs w:val="24"/>
          <w:highlight w:val="none"/>
        </w:rPr>
        <w:t>天内进行审查并书面答复。</w:t>
      </w:r>
    </w:p>
    <w:p w14:paraId="7CD99CFC">
      <w:pPr>
        <w:pStyle w:val="5"/>
        <w:jc w:val="left"/>
        <w:rPr>
          <w:rFonts w:hint="eastAsia" w:ascii="仿宋" w:hAnsi="仿宋" w:eastAsia="仿宋" w:cs="仿宋"/>
          <w:color w:val="auto"/>
          <w:highlight w:val="none"/>
        </w:rPr>
      </w:pPr>
      <w:r>
        <w:rPr>
          <w:rFonts w:hint="eastAsia" w:ascii="仿宋" w:hAnsi="仿宋" w:eastAsia="仿宋" w:cs="仿宋"/>
          <w:color w:val="auto"/>
          <w:highlight w:val="none"/>
          <w:lang w:val="en-US" w:eastAsia="zh-CN"/>
        </w:rPr>
        <w:t>3</w:t>
      </w:r>
      <w:r>
        <w:rPr>
          <w:rFonts w:hint="eastAsia" w:ascii="仿宋" w:hAnsi="仿宋" w:eastAsia="仿宋" w:cs="仿宋"/>
          <w:color w:val="auto"/>
          <w:highlight w:val="none"/>
          <w:lang w:val="zh-TW" w:eastAsia="zh-TW"/>
        </w:rPr>
        <w:t>、签约合同价</w:t>
      </w:r>
      <w:r>
        <w:rPr>
          <w:rFonts w:hint="eastAsia" w:ascii="仿宋" w:hAnsi="仿宋" w:eastAsia="仿宋" w:cs="仿宋"/>
          <w:color w:val="auto"/>
          <w:highlight w:val="none"/>
          <w:lang w:val="en-US" w:eastAsia="zh-CN"/>
        </w:rPr>
        <w:t>与付款</w:t>
      </w:r>
      <w:r>
        <w:rPr>
          <w:rFonts w:hint="eastAsia" w:ascii="仿宋" w:hAnsi="仿宋" w:eastAsia="仿宋" w:cs="仿宋"/>
          <w:color w:val="auto"/>
          <w:highlight w:val="none"/>
        </w:rPr>
        <w:tab/>
      </w:r>
    </w:p>
    <w:p w14:paraId="57C2A51E">
      <w:pPr>
        <w:pStyle w:val="95"/>
        <w:spacing w:line="360" w:lineRule="auto"/>
        <w:ind w:firstLine="480" w:firstLineChars="200"/>
        <w:jc w:val="left"/>
        <w:rPr>
          <w:rFonts w:hint="eastAsia" w:ascii="仿宋" w:hAnsi="仿宋" w:eastAsia="仿宋" w:cs="仿宋"/>
          <w:color w:val="auto"/>
          <w:sz w:val="24"/>
          <w:szCs w:val="24"/>
          <w:highlight w:val="none"/>
          <w:lang w:val="zh-TW" w:eastAsia="zh-TW"/>
        </w:rPr>
      </w:pPr>
      <w:r>
        <w:rPr>
          <w:rFonts w:hint="eastAsia" w:ascii="仿宋" w:hAnsi="仿宋" w:eastAsia="仿宋" w:cs="仿宋"/>
          <w:color w:val="auto"/>
          <w:sz w:val="24"/>
          <w:szCs w:val="24"/>
          <w:highlight w:val="none"/>
          <w:lang w:val="en-US" w:eastAsia="zh-CN"/>
        </w:rPr>
        <w:t>3.1</w:t>
      </w:r>
      <w:r>
        <w:rPr>
          <w:rFonts w:hint="eastAsia" w:ascii="仿宋" w:hAnsi="仿宋" w:eastAsia="仿宋" w:cs="仿宋"/>
          <w:color w:val="auto"/>
          <w:sz w:val="24"/>
          <w:szCs w:val="24"/>
          <w:highlight w:val="none"/>
          <w:lang w:val="zh-TW" w:eastAsia="zh-TW"/>
        </w:rPr>
        <w:t>签约合同价</w:t>
      </w:r>
    </w:p>
    <w:p w14:paraId="36D2A8A2">
      <w:pPr>
        <w:pStyle w:val="95"/>
        <w:spacing w:line="360" w:lineRule="auto"/>
        <w:ind w:firstLine="480" w:firstLineChars="200"/>
        <w:jc w:val="left"/>
        <w:rPr>
          <w:rFonts w:hint="eastAsia" w:ascii="仿宋" w:hAnsi="仿宋" w:eastAsia="仿宋" w:cs="仿宋"/>
          <w:color w:val="auto"/>
          <w:sz w:val="24"/>
          <w:szCs w:val="24"/>
          <w:highlight w:val="none"/>
          <w:u w:val="single"/>
          <w:lang w:val="zh-TW" w:eastAsia="zh-TW"/>
        </w:rPr>
      </w:pPr>
      <w:r>
        <w:rPr>
          <w:rFonts w:hint="eastAsia" w:ascii="仿宋" w:hAnsi="仿宋" w:eastAsia="仿宋" w:cs="仿宋"/>
          <w:color w:val="auto"/>
          <w:sz w:val="24"/>
          <w:szCs w:val="24"/>
          <w:highlight w:val="none"/>
          <w:lang w:val="en-US" w:eastAsia="zh-CN"/>
        </w:rPr>
        <w:t>签约合同价</w:t>
      </w:r>
      <w:r>
        <w:rPr>
          <w:rFonts w:hint="eastAsia" w:ascii="仿宋" w:hAnsi="仿宋" w:eastAsia="仿宋" w:cs="仿宋"/>
          <w:color w:val="auto"/>
          <w:sz w:val="24"/>
          <w:szCs w:val="24"/>
          <w:highlight w:val="none"/>
          <w:lang w:val="zh-TW" w:eastAsia="zh-TW"/>
        </w:rPr>
        <w:t>暂定为：</w:t>
      </w:r>
      <w:r>
        <w:rPr>
          <w:rFonts w:hint="eastAsia" w:ascii="仿宋" w:hAnsi="仿宋" w:eastAsia="仿宋" w:cs="仿宋"/>
          <w:color w:val="auto"/>
          <w:sz w:val="24"/>
          <w:szCs w:val="24"/>
          <w:highlight w:val="none"/>
          <w:u w:val="single"/>
        </w:rPr>
        <w:t xml:space="preserve">  </w:t>
      </w:r>
      <w:r>
        <w:rPr>
          <w:rStyle w:val="100"/>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u w:val="single"/>
          <w:lang w:val="zh-TW" w:eastAsia="zh-TW"/>
        </w:rPr>
        <w:t xml:space="preserve">  </w:t>
      </w:r>
      <w:r>
        <w:rPr>
          <w:rFonts w:hint="eastAsia" w:ascii="仿宋" w:hAnsi="仿宋" w:eastAsia="仿宋" w:cs="仿宋"/>
          <w:color w:val="auto"/>
          <w:sz w:val="24"/>
          <w:szCs w:val="24"/>
          <w:highlight w:val="none"/>
          <w:lang w:val="zh-TW" w:eastAsia="zh-TW"/>
        </w:rPr>
        <w:t>。人民币（大写）</w:t>
      </w:r>
      <w:r>
        <w:rPr>
          <w:rFonts w:hint="eastAsia" w:ascii="仿宋" w:hAnsi="仿宋" w:eastAsia="仿宋" w:cs="仿宋"/>
          <w:color w:val="auto"/>
          <w:sz w:val="24"/>
          <w:szCs w:val="24"/>
          <w:highlight w:val="none"/>
          <w:u w:val="single"/>
          <w:lang w:val="zh-TW" w:eastAsia="zh-TW"/>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szCs w:val="24"/>
          <w:highlight w:val="none"/>
          <w:u w:val="single"/>
          <w:lang w:val="zh-TW" w:eastAsia="zh-TW"/>
        </w:rPr>
        <w:t xml:space="preserve"> </w:t>
      </w:r>
    </w:p>
    <w:p w14:paraId="7AADA612">
      <w:pPr>
        <w:pStyle w:val="95"/>
        <w:spacing w:line="360" w:lineRule="auto"/>
        <w:ind w:firstLine="480" w:firstLineChars="200"/>
        <w:jc w:val="left"/>
        <w:rPr>
          <w:rStyle w:val="100"/>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zh-TW" w:eastAsia="zh-TW"/>
        </w:rPr>
        <w:t>合同价格形式：</w:t>
      </w:r>
      <w:r>
        <w:rPr>
          <w:rFonts w:hint="eastAsia" w:ascii="仿宋" w:hAnsi="仿宋" w:eastAsia="仿宋" w:cs="仿宋"/>
          <w:color w:val="auto"/>
          <w:sz w:val="24"/>
          <w:szCs w:val="24"/>
          <w:highlight w:val="none"/>
          <w:u w:val="single"/>
          <w:lang w:val="zh-TW" w:eastAsia="zh-TW"/>
        </w:rPr>
        <w:t xml:space="preserve"> </w:t>
      </w:r>
      <w:r>
        <w:rPr>
          <w:rFonts w:hint="eastAsia" w:ascii="仿宋" w:hAnsi="仿宋" w:eastAsia="仿宋" w:cs="仿宋"/>
          <w:color w:val="auto"/>
          <w:sz w:val="24"/>
          <w:szCs w:val="24"/>
          <w:highlight w:val="none"/>
          <w:u w:val="single"/>
          <w:lang w:val="zh-TW"/>
        </w:rPr>
        <w:t>固定总价</w:t>
      </w:r>
      <w:r>
        <w:rPr>
          <w:rFonts w:hint="eastAsia" w:ascii="仿宋" w:hAnsi="仿宋" w:eastAsia="仿宋" w:cs="仿宋"/>
          <w:color w:val="auto"/>
          <w:sz w:val="24"/>
          <w:szCs w:val="24"/>
          <w:highlight w:val="none"/>
          <w:u w:val="single"/>
          <w:lang w:val="zh-TW" w:eastAsia="zh-TW"/>
        </w:rPr>
        <w:t xml:space="preserve">  </w:t>
      </w:r>
      <w:r>
        <w:rPr>
          <w:rFonts w:hint="eastAsia" w:ascii="仿宋" w:hAnsi="仿宋" w:eastAsia="仿宋" w:cs="仿宋"/>
          <w:color w:val="auto"/>
          <w:sz w:val="24"/>
          <w:szCs w:val="24"/>
          <w:highlight w:val="none"/>
          <w:u w:val="none" w:color="auto"/>
          <w:lang w:val="zh-TW" w:eastAsia="zh-CN"/>
        </w:rPr>
        <w:t>，</w:t>
      </w:r>
      <w:r>
        <w:rPr>
          <w:rStyle w:val="100"/>
          <w:rFonts w:hint="eastAsia" w:ascii="仿宋" w:hAnsi="仿宋" w:eastAsia="仿宋" w:cs="仿宋"/>
          <w:color w:val="auto"/>
          <w:sz w:val="24"/>
          <w:szCs w:val="24"/>
          <w:highlight w:val="none"/>
          <w:lang w:val="zh-TW" w:eastAsia="zh-TW"/>
        </w:rPr>
        <w:t>总价包含的风险范围：</w:t>
      </w:r>
      <w:r>
        <w:rPr>
          <w:rStyle w:val="100"/>
          <w:rFonts w:hint="eastAsia" w:ascii="仿宋" w:hAnsi="仿宋" w:eastAsia="仿宋" w:cs="仿宋"/>
          <w:color w:val="auto"/>
          <w:sz w:val="24"/>
          <w:szCs w:val="24"/>
          <w:highlight w:val="none"/>
          <w:u w:val="single"/>
        </w:rPr>
        <w:t>全部风险均已包含在合同设计费中，合同价不因风险调整。</w:t>
      </w:r>
    </w:p>
    <w:p w14:paraId="0791D77D">
      <w:pPr>
        <w:pStyle w:val="95"/>
        <w:spacing w:line="360" w:lineRule="auto"/>
        <w:ind w:firstLine="480" w:firstLineChars="200"/>
        <w:jc w:val="left"/>
        <w:rPr>
          <w:rFonts w:hint="eastAsia" w:ascii="仿宋" w:hAnsi="仿宋" w:eastAsia="仿宋" w:cs="仿宋"/>
          <w:color w:val="auto"/>
          <w:sz w:val="24"/>
          <w:szCs w:val="24"/>
          <w:highlight w:val="none"/>
          <w:u w:val="none" w:color="auto"/>
          <w:lang w:val="en-US" w:eastAsia="zh-CN"/>
        </w:rPr>
      </w:pPr>
      <w:r>
        <w:rPr>
          <w:rFonts w:hint="eastAsia" w:ascii="仿宋" w:hAnsi="仿宋" w:eastAsia="仿宋" w:cs="仿宋"/>
          <w:color w:val="auto"/>
          <w:sz w:val="24"/>
          <w:szCs w:val="24"/>
          <w:highlight w:val="none"/>
          <w:u w:val="none" w:color="auto"/>
          <w:lang w:val="en-US" w:eastAsia="zh-CN"/>
        </w:rPr>
        <w:t>3.2付款</w:t>
      </w:r>
    </w:p>
    <w:p w14:paraId="4593A2CD">
      <w:pPr>
        <w:pStyle w:val="95"/>
        <w:spacing w:line="360" w:lineRule="auto"/>
        <w:ind w:firstLine="480" w:firstLineChars="200"/>
        <w:jc w:val="left"/>
        <w:rPr>
          <w:rFonts w:hint="eastAsia" w:ascii="仿宋" w:hAnsi="仿宋" w:eastAsia="仿宋" w:cs="仿宋"/>
          <w:color w:val="auto"/>
          <w:sz w:val="24"/>
          <w:szCs w:val="24"/>
          <w:highlight w:val="none"/>
          <w:u w:val="none" w:color="auto"/>
          <w:lang w:val="en-US" w:eastAsia="zh-CN"/>
        </w:rPr>
      </w:pPr>
      <w:r>
        <w:rPr>
          <w:rFonts w:hint="eastAsia" w:ascii="仿宋" w:hAnsi="仿宋" w:cs="仿宋"/>
          <w:color w:val="auto"/>
          <w:sz w:val="24"/>
          <w:szCs w:val="24"/>
          <w:highlight w:val="none"/>
          <w:u w:val="none" w:color="auto"/>
          <w:lang w:val="en-US" w:eastAsia="zh-CN"/>
        </w:rPr>
        <w:t>3.2.</w:t>
      </w:r>
      <w:r>
        <w:rPr>
          <w:rFonts w:hint="eastAsia" w:ascii="仿宋" w:hAnsi="仿宋" w:eastAsia="仿宋" w:cs="仿宋"/>
          <w:color w:val="auto"/>
          <w:sz w:val="24"/>
          <w:szCs w:val="24"/>
          <w:highlight w:val="none"/>
          <w:u w:val="none" w:color="auto"/>
          <w:lang w:val="en-US" w:eastAsia="zh-CN"/>
        </w:rPr>
        <w:t xml:space="preserve">1.施工图设计完成经招标人确定后，发包人支付设计费的50%； </w:t>
      </w:r>
    </w:p>
    <w:p w14:paraId="466EFA01">
      <w:pPr>
        <w:pStyle w:val="95"/>
        <w:spacing w:line="360" w:lineRule="auto"/>
        <w:ind w:firstLine="480" w:firstLineChars="200"/>
        <w:jc w:val="left"/>
        <w:rPr>
          <w:rStyle w:val="100"/>
          <w:rFonts w:hint="eastAsia" w:ascii="仿宋" w:hAnsi="仿宋" w:eastAsia="仿宋" w:cs="仿宋"/>
          <w:color w:val="auto"/>
          <w:sz w:val="24"/>
          <w:szCs w:val="24"/>
          <w:highlight w:val="none"/>
          <w:lang w:val="zh-TW"/>
        </w:rPr>
      </w:pPr>
      <w:r>
        <w:rPr>
          <w:rFonts w:hint="eastAsia" w:ascii="仿宋" w:hAnsi="仿宋" w:cs="仿宋"/>
          <w:color w:val="auto"/>
          <w:sz w:val="24"/>
          <w:szCs w:val="24"/>
          <w:highlight w:val="none"/>
          <w:u w:val="none" w:color="auto"/>
          <w:lang w:val="en-US" w:eastAsia="zh-CN"/>
        </w:rPr>
        <w:t>3.2.</w:t>
      </w:r>
      <w:r>
        <w:rPr>
          <w:rFonts w:hint="eastAsia" w:ascii="仿宋" w:hAnsi="仿宋" w:eastAsia="仿宋" w:cs="仿宋"/>
          <w:color w:val="auto"/>
          <w:sz w:val="24"/>
          <w:szCs w:val="24"/>
          <w:highlight w:val="none"/>
          <w:u w:val="none" w:color="auto"/>
          <w:lang w:val="en-US" w:eastAsia="zh-CN"/>
        </w:rPr>
        <w:t>2.工程竣工验收合格后支付设计费的50%</w:t>
      </w:r>
      <w:r>
        <w:rPr>
          <w:rStyle w:val="100"/>
          <w:rFonts w:hint="eastAsia" w:ascii="仿宋" w:hAnsi="仿宋" w:eastAsia="仿宋" w:cs="仿宋"/>
          <w:color w:val="auto"/>
          <w:sz w:val="24"/>
          <w:szCs w:val="24"/>
          <w:highlight w:val="none"/>
          <w:lang w:val="zh-TW"/>
        </w:rPr>
        <w:t>。</w:t>
      </w:r>
    </w:p>
    <w:p w14:paraId="08966FD2">
      <w:pPr>
        <w:pStyle w:val="5"/>
        <w:jc w:val="left"/>
        <w:rPr>
          <w:rFonts w:hint="eastAsia" w:ascii="仿宋" w:hAnsi="仿宋" w:eastAsia="仿宋" w:cs="仿宋"/>
          <w:color w:val="auto"/>
          <w:highlight w:val="none"/>
        </w:rPr>
      </w:pPr>
      <w:r>
        <w:rPr>
          <w:rFonts w:hint="eastAsia" w:ascii="仿宋" w:hAnsi="仿宋" w:eastAsia="仿宋" w:cs="仿宋"/>
          <w:color w:val="auto"/>
          <w:highlight w:val="none"/>
          <w:lang w:val="en-US" w:eastAsia="zh-CN"/>
        </w:rPr>
        <w:t>4</w:t>
      </w:r>
      <w:r>
        <w:rPr>
          <w:rFonts w:hint="eastAsia" w:ascii="仿宋" w:hAnsi="仿宋" w:eastAsia="仿宋" w:cs="仿宋"/>
          <w:color w:val="auto"/>
          <w:highlight w:val="none"/>
          <w:lang w:val="zh-TW" w:eastAsia="zh-TW"/>
        </w:rPr>
        <w:t>、发包人代表与</w:t>
      </w:r>
      <w:r>
        <w:rPr>
          <w:rFonts w:hint="eastAsia" w:ascii="仿宋" w:hAnsi="仿宋" w:eastAsia="仿宋" w:cs="仿宋"/>
          <w:color w:val="auto"/>
          <w:highlight w:val="none"/>
          <w:lang w:val="zh-TW" w:eastAsia="zh-CN"/>
        </w:rPr>
        <w:t>承包人</w:t>
      </w:r>
      <w:r>
        <w:rPr>
          <w:rFonts w:hint="eastAsia" w:ascii="仿宋" w:hAnsi="仿宋" w:eastAsia="仿宋" w:cs="仿宋"/>
          <w:color w:val="auto"/>
          <w:highlight w:val="none"/>
          <w:lang w:val="zh-TW" w:eastAsia="zh-TW"/>
        </w:rPr>
        <w:t>项目负责人</w:t>
      </w:r>
    </w:p>
    <w:p w14:paraId="3A177424">
      <w:pPr>
        <w:pStyle w:val="95"/>
        <w:spacing w:line="360" w:lineRule="auto"/>
        <w:ind w:firstLine="480" w:firstLineChars="200"/>
        <w:jc w:val="left"/>
        <w:rPr>
          <w:rStyle w:val="100"/>
          <w:rFonts w:hint="eastAsia" w:ascii="仿宋" w:hAnsi="仿宋" w:eastAsia="仿宋" w:cs="仿宋"/>
          <w:color w:val="auto"/>
          <w:kern w:val="0"/>
          <w:sz w:val="24"/>
          <w:szCs w:val="24"/>
          <w:highlight w:val="none"/>
        </w:rPr>
      </w:pPr>
      <w:r>
        <w:rPr>
          <w:rStyle w:val="100"/>
          <w:rFonts w:hint="eastAsia" w:ascii="仿宋" w:hAnsi="仿宋" w:eastAsia="仿宋" w:cs="仿宋"/>
          <w:color w:val="auto"/>
          <w:kern w:val="0"/>
          <w:sz w:val="24"/>
          <w:szCs w:val="24"/>
          <w:highlight w:val="none"/>
          <w:lang w:val="en-US" w:eastAsia="zh-CN"/>
        </w:rPr>
        <w:t>4.1</w:t>
      </w:r>
      <w:r>
        <w:rPr>
          <w:rStyle w:val="100"/>
          <w:rFonts w:hint="eastAsia" w:ascii="仿宋" w:hAnsi="仿宋" w:eastAsia="仿宋" w:cs="仿宋"/>
          <w:color w:val="auto"/>
          <w:kern w:val="0"/>
          <w:sz w:val="24"/>
          <w:szCs w:val="24"/>
          <w:highlight w:val="none"/>
          <w:lang w:val="zh-TW" w:eastAsia="zh-TW"/>
        </w:rPr>
        <w:t>发包人和</w:t>
      </w:r>
      <w:r>
        <w:rPr>
          <w:rStyle w:val="100"/>
          <w:rFonts w:hint="eastAsia" w:ascii="仿宋" w:hAnsi="仿宋" w:eastAsia="仿宋" w:cs="仿宋"/>
          <w:color w:val="auto"/>
          <w:kern w:val="0"/>
          <w:sz w:val="24"/>
          <w:szCs w:val="24"/>
          <w:highlight w:val="none"/>
          <w:lang w:val="zh-TW" w:eastAsia="zh-CN"/>
        </w:rPr>
        <w:t>承包人</w:t>
      </w:r>
      <w:r>
        <w:rPr>
          <w:rStyle w:val="100"/>
          <w:rFonts w:hint="eastAsia" w:ascii="仿宋" w:hAnsi="仿宋" w:eastAsia="仿宋" w:cs="仿宋"/>
          <w:color w:val="auto"/>
          <w:kern w:val="0"/>
          <w:sz w:val="24"/>
          <w:szCs w:val="24"/>
          <w:highlight w:val="none"/>
          <w:lang w:val="zh-TW" w:eastAsia="zh-TW"/>
        </w:rPr>
        <w:t>联系信息</w:t>
      </w:r>
    </w:p>
    <w:p w14:paraId="30CF5AFA">
      <w:pPr>
        <w:pStyle w:val="95"/>
        <w:spacing w:line="360" w:lineRule="auto"/>
        <w:ind w:firstLine="480" w:firstLineChars="200"/>
        <w:jc w:val="left"/>
        <w:rPr>
          <w:rStyle w:val="100"/>
          <w:rFonts w:hint="eastAsia" w:ascii="仿宋" w:hAnsi="仿宋" w:eastAsia="仿宋" w:cs="仿宋"/>
          <w:color w:val="auto"/>
          <w:kern w:val="0"/>
          <w:sz w:val="24"/>
          <w:szCs w:val="24"/>
          <w:highlight w:val="none"/>
        </w:rPr>
      </w:pPr>
      <w:r>
        <w:rPr>
          <w:rStyle w:val="100"/>
          <w:rFonts w:hint="eastAsia" w:ascii="仿宋" w:hAnsi="仿宋" w:eastAsia="仿宋" w:cs="仿宋"/>
          <w:color w:val="auto"/>
          <w:kern w:val="0"/>
          <w:sz w:val="24"/>
          <w:szCs w:val="24"/>
          <w:highlight w:val="none"/>
          <w:lang w:val="zh-TW" w:eastAsia="zh-TW"/>
        </w:rPr>
        <w:t>发包人接收文件的地点：</w:t>
      </w:r>
      <w:r>
        <w:rPr>
          <w:rStyle w:val="100"/>
          <w:rFonts w:hint="eastAsia" w:ascii="仿宋" w:hAnsi="仿宋" w:eastAsia="仿宋" w:cs="仿宋"/>
          <w:color w:val="auto"/>
          <w:kern w:val="0"/>
          <w:sz w:val="24"/>
          <w:szCs w:val="24"/>
          <w:highlight w:val="none"/>
          <w:u w:val="single"/>
        </w:rPr>
        <w:t xml:space="preserve">                                       </w:t>
      </w:r>
      <w:r>
        <w:rPr>
          <w:rStyle w:val="100"/>
          <w:rFonts w:hint="eastAsia" w:ascii="仿宋" w:hAnsi="仿宋" w:eastAsia="仿宋" w:cs="仿宋"/>
          <w:color w:val="auto"/>
          <w:kern w:val="0"/>
          <w:sz w:val="24"/>
          <w:szCs w:val="24"/>
          <w:highlight w:val="none"/>
          <w:lang w:val="zh-TW" w:eastAsia="zh-TW"/>
        </w:rPr>
        <w:t>；</w:t>
      </w:r>
    </w:p>
    <w:p w14:paraId="1DE1F0C1">
      <w:pPr>
        <w:pStyle w:val="95"/>
        <w:spacing w:line="360" w:lineRule="auto"/>
        <w:ind w:firstLine="480" w:firstLineChars="200"/>
        <w:jc w:val="left"/>
        <w:rPr>
          <w:rStyle w:val="100"/>
          <w:rFonts w:hint="eastAsia" w:ascii="仿宋" w:hAnsi="仿宋" w:eastAsia="仿宋" w:cs="仿宋"/>
          <w:color w:val="auto"/>
          <w:sz w:val="24"/>
          <w:szCs w:val="24"/>
          <w:highlight w:val="none"/>
        </w:rPr>
      </w:pPr>
      <w:r>
        <w:rPr>
          <w:rStyle w:val="100"/>
          <w:rFonts w:hint="eastAsia" w:ascii="仿宋" w:hAnsi="仿宋" w:eastAsia="仿宋" w:cs="仿宋"/>
          <w:color w:val="auto"/>
          <w:kern w:val="0"/>
          <w:sz w:val="24"/>
          <w:szCs w:val="24"/>
          <w:highlight w:val="none"/>
          <w:lang w:val="zh-TW" w:eastAsia="zh-TW"/>
        </w:rPr>
        <w:t>发包人指定的接收人为：</w:t>
      </w:r>
      <w:r>
        <w:rPr>
          <w:rStyle w:val="100"/>
          <w:rFonts w:hint="eastAsia" w:ascii="仿宋" w:hAnsi="仿宋" w:eastAsia="仿宋" w:cs="仿宋"/>
          <w:color w:val="auto"/>
          <w:sz w:val="24"/>
          <w:szCs w:val="24"/>
          <w:highlight w:val="none"/>
          <w:u w:val="single"/>
        </w:rPr>
        <w:t xml:space="preserve">                               </w:t>
      </w:r>
      <w:r>
        <w:rPr>
          <w:rStyle w:val="100"/>
          <w:rFonts w:hint="eastAsia" w:ascii="仿宋" w:hAnsi="仿宋" w:eastAsia="仿宋" w:cs="仿宋"/>
          <w:color w:val="auto"/>
          <w:sz w:val="24"/>
          <w:szCs w:val="24"/>
          <w:highlight w:val="none"/>
          <w:lang w:val="zh-TW" w:eastAsia="zh-TW"/>
        </w:rPr>
        <w:t>；</w:t>
      </w:r>
    </w:p>
    <w:p w14:paraId="7FDDDDF9">
      <w:pPr>
        <w:pStyle w:val="95"/>
        <w:spacing w:line="360" w:lineRule="auto"/>
        <w:ind w:firstLine="480" w:firstLineChars="200"/>
        <w:jc w:val="left"/>
        <w:rPr>
          <w:rStyle w:val="100"/>
          <w:rFonts w:hint="eastAsia" w:ascii="仿宋" w:hAnsi="仿宋" w:eastAsia="仿宋" w:cs="仿宋"/>
          <w:color w:val="auto"/>
          <w:sz w:val="24"/>
          <w:szCs w:val="24"/>
          <w:highlight w:val="none"/>
          <w:u w:val="single"/>
        </w:rPr>
      </w:pPr>
      <w:r>
        <w:rPr>
          <w:rStyle w:val="100"/>
          <w:rFonts w:hint="eastAsia" w:ascii="仿宋" w:hAnsi="仿宋" w:eastAsia="仿宋" w:cs="仿宋"/>
          <w:color w:val="auto"/>
          <w:sz w:val="24"/>
          <w:szCs w:val="24"/>
          <w:highlight w:val="none"/>
          <w:lang w:val="zh-TW" w:eastAsia="zh-TW"/>
        </w:rPr>
        <w:t>发包人指定的联系电话及传真号码：</w:t>
      </w:r>
      <w:r>
        <w:rPr>
          <w:rStyle w:val="100"/>
          <w:rFonts w:hint="eastAsia" w:ascii="仿宋" w:hAnsi="仿宋" w:eastAsia="仿宋" w:cs="仿宋"/>
          <w:color w:val="auto"/>
          <w:sz w:val="24"/>
          <w:szCs w:val="24"/>
          <w:highlight w:val="none"/>
          <w:u w:val="single"/>
        </w:rPr>
        <w:t>                     </w:t>
      </w:r>
      <w:r>
        <w:rPr>
          <w:rStyle w:val="100"/>
          <w:rFonts w:hint="eastAsia" w:ascii="仿宋" w:hAnsi="仿宋" w:eastAsia="仿宋" w:cs="仿宋"/>
          <w:color w:val="auto"/>
          <w:sz w:val="24"/>
          <w:szCs w:val="24"/>
          <w:highlight w:val="none"/>
          <w:lang w:val="zh-TW" w:eastAsia="zh-TW"/>
        </w:rPr>
        <w:t>；</w:t>
      </w:r>
    </w:p>
    <w:p w14:paraId="7D998CB1">
      <w:pPr>
        <w:pStyle w:val="95"/>
        <w:spacing w:line="360" w:lineRule="auto"/>
        <w:ind w:firstLine="480" w:firstLineChars="200"/>
        <w:jc w:val="left"/>
        <w:rPr>
          <w:rStyle w:val="100"/>
          <w:rFonts w:hint="eastAsia" w:ascii="仿宋" w:hAnsi="仿宋" w:eastAsia="仿宋" w:cs="仿宋"/>
          <w:color w:val="auto"/>
          <w:kern w:val="0"/>
          <w:sz w:val="24"/>
          <w:szCs w:val="24"/>
          <w:highlight w:val="none"/>
        </w:rPr>
      </w:pPr>
      <w:r>
        <w:rPr>
          <w:rStyle w:val="100"/>
          <w:rFonts w:hint="eastAsia" w:ascii="仿宋" w:hAnsi="仿宋" w:eastAsia="仿宋" w:cs="仿宋"/>
          <w:color w:val="auto"/>
          <w:kern w:val="0"/>
          <w:sz w:val="24"/>
          <w:szCs w:val="24"/>
          <w:highlight w:val="none"/>
          <w:lang w:val="zh-TW" w:eastAsia="zh-TW"/>
        </w:rPr>
        <w:t>发包人指定的电子邮箱：</w:t>
      </w:r>
      <w:r>
        <w:rPr>
          <w:rStyle w:val="100"/>
          <w:rFonts w:hint="eastAsia" w:ascii="仿宋" w:hAnsi="仿宋" w:eastAsia="仿宋" w:cs="仿宋"/>
          <w:color w:val="auto"/>
          <w:kern w:val="0"/>
          <w:sz w:val="24"/>
          <w:szCs w:val="24"/>
          <w:highlight w:val="none"/>
          <w:u w:val="single"/>
        </w:rPr>
        <w:t xml:space="preserve">  </w:t>
      </w:r>
      <w:r>
        <w:rPr>
          <w:rStyle w:val="100"/>
          <w:rFonts w:hint="eastAsia" w:ascii="仿宋" w:hAnsi="仿宋" w:eastAsia="仿宋" w:cs="仿宋"/>
          <w:color w:val="auto"/>
          <w:sz w:val="24"/>
          <w:szCs w:val="24"/>
          <w:highlight w:val="none"/>
          <w:u w:val="single"/>
        </w:rPr>
        <w:t xml:space="preserve">  </w:t>
      </w:r>
      <w:r>
        <w:rPr>
          <w:rStyle w:val="100"/>
          <w:rFonts w:hint="eastAsia" w:ascii="仿宋" w:hAnsi="仿宋" w:eastAsia="仿宋" w:cs="仿宋"/>
          <w:color w:val="auto"/>
          <w:kern w:val="0"/>
          <w:sz w:val="24"/>
          <w:szCs w:val="24"/>
          <w:highlight w:val="none"/>
          <w:u w:val="single"/>
        </w:rPr>
        <w:t xml:space="preserve">                                   </w:t>
      </w:r>
      <w:r>
        <w:rPr>
          <w:rStyle w:val="100"/>
          <w:rFonts w:hint="eastAsia" w:ascii="仿宋" w:hAnsi="仿宋" w:eastAsia="仿宋" w:cs="仿宋"/>
          <w:color w:val="auto"/>
          <w:kern w:val="0"/>
          <w:sz w:val="24"/>
          <w:szCs w:val="24"/>
          <w:highlight w:val="none"/>
          <w:lang w:val="zh-TW" w:eastAsia="zh-TW"/>
        </w:rPr>
        <w:t>。</w:t>
      </w:r>
    </w:p>
    <w:p w14:paraId="06B77098">
      <w:pPr>
        <w:pStyle w:val="95"/>
        <w:spacing w:line="360" w:lineRule="auto"/>
        <w:ind w:firstLine="480" w:firstLineChars="200"/>
        <w:jc w:val="left"/>
        <w:rPr>
          <w:rStyle w:val="100"/>
          <w:rFonts w:hint="eastAsia" w:ascii="仿宋" w:hAnsi="仿宋" w:eastAsia="仿宋" w:cs="仿宋"/>
          <w:color w:val="auto"/>
          <w:kern w:val="0"/>
          <w:sz w:val="24"/>
          <w:szCs w:val="24"/>
          <w:highlight w:val="none"/>
        </w:rPr>
      </w:pPr>
      <w:r>
        <w:rPr>
          <w:rStyle w:val="100"/>
          <w:rFonts w:hint="eastAsia" w:ascii="仿宋" w:hAnsi="仿宋" w:eastAsia="仿宋" w:cs="仿宋"/>
          <w:color w:val="auto"/>
          <w:kern w:val="0"/>
          <w:sz w:val="24"/>
          <w:szCs w:val="24"/>
          <w:highlight w:val="none"/>
          <w:lang w:val="zh-TW" w:eastAsia="zh-CN"/>
        </w:rPr>
        <w:t>承包人</w:t>
      </w:r>
      <w:r>
        <w:rPr>
          <w:rStyle w:val="100"/>
          <w:rFonts w:hint="eastAsia" w:ascii="仿宋" w:hAnsi="仿宋" w:eastAsia="仿宋" w:cs="仿宋"/>
          <w:color w:val="auto"/>
          <w:kern w:val="0"/>
          <w:sz w:val="24"/>
          <w:szCs w:val="24"/>
          <w:highlight w:val="none"/>
          <w:lang w:val="zh-TW" w:eastAsia="zh-TW"/>
        </w:rPr>
        <w:t>接收文件的地点：</w:t>
      </w:r>
      <w:r>
        <w:rPr>
          <w:rStyle w:val="100"/>
          <w:rFonts w:hint="eastAsia" w:ascii="仿宋" w:hAnsi="仿宋" w:eastAsia="仿宋" w:cs="仿宋"/>
          <w:color w:val="auto"/>
          <w:sz w:val="24"/>
          <w:szCs w:val="24"/>
          <w:highlight w:val="none"/>
          <w:u w:val="single"/>
        </w:rPr>
        <w:t></w:t>
      </w:r>
      <w:r>
        <w:rPr>
          <w:rStyle w:val="100"/>
          <w:rFonts w:hint="eastAsia" w:ascii="仿宋" w:hAnsi="仿宋" w:eastAsia="仿宋" w:cs="仿宋"/>
          <w:color w:val="auto"/>
          <w:kern w:val="0"/>
          <w:sz w:val="24"/>
          <w:szCs w:val="24"/>
          <w:highlight w:val="none"/>
          <w:u w:val="single"/>
          <w:lang w:val="zh-TW"/>
        </w:rPr>
        <w:t xml:space="preserve">                                </w:t>
      </w:r>
      <w:r>
        <w:rPr>
          <w:rStyle w:val="100"/>
          <w:rFonts w:hint="eastAsia" w:ascii="仿宋" w:hAnsi="仿宋" w:eastAsia="仿宋" w:cs="仿宋"/>
          <w:color w:val="auto"/>
          <w:sz w:val="24"/>
          <w:szCs w:val="24"/>
          <w:highlight w:val="none"/>
          <w:u w:val="single"/>
        </w:rPr>
        <w:t xml:space="preserve">   </w:t>
      </w:r>
      <w:r>
        <w:rPr>
          <w:rStyle w:val="100"/>
          <w:rFonts w:hint="eastAsia" w:ascii="仿宋" w:hAnsi="仿宋" w:eastAsia="仿宋" w:cs="仿宋"/>
          <w:color w:val="auto"/>
          <w:sz w:val="24"/>
          <w:szCs w:val="24"/>
          <w:highlight w:val="none"/>
          <w:lang w:val="zh-TW" w:eastAsia="zh-TW"/>
        </w:rPr>
        <w:t>；</w:t>
      </w:r>
    </w:p>
    <w:p w14:paraId="4667284C">
      <w:pPr>
        <w:pStyle w:val="95"/>
        <w:spacing w:line="360" w:lineRule="auto"/>
        <w:ind w:firstLine="480" w:firstLineChars="200"/>
        <w:jc w:val="left"/>
        <w:rPr>
          <w:rStyle w:val="100"/>
          <w:rFonts w:hint="eastAsia" w:ascii="仿宋" w:hAnsi="仿宋" w:eastAsia="仿宋" w:cs="仿宋"/>
          <w:color w:val="auto"/>
          <w:sz w:val="24"/>
          <w:szCs w:val="24"/>
          <w:highlight w:val="none"/>
        </w:rPr>
      </w:pPr>
      <w:r>
        <w:rPr>
          <w:rStyle w:val="100"/>
          <w:rFonts w:hint="eastAsia" w:ascii="仿宋" w:hAnsi="仿宋" w:eastAsia="仿宋" w:cs="仿宋"/>
          <w:color w:val="auto"/>
          <w:kern w:val="0"/>
          <w:sz w:val="24"/>
          <w:szCs w:val="24"/>
          <w:highlight w:val="none"/>
          <w:lang w:val="zh-TW" w:eastAsia="zh-CN"/>
        </w:rPr>
        <w:t>承包人</w:t>
      </w:r>
      <w:r>
        <w:rPr>
          <w:rStyle w:val="100"/>
          <w:rFonts w:hint="eastAsia" w:ascii="仿宋" w:hAnsi="仿宋" w:eastAsia="仿宋" w:cs="仿宋"/>
          <w:color w:val="auto"/>
          <w:kern w:val="0"/>
          <w:sz w:val="24"/>
          <w:szCs w:val="24"/>
          <w:highlight w:val="none"/>
          <w:lang w:val="zh-TW" w:eastAsia="zh-TW"/>
        </w:rPr>
        <w:t>指定的接收人为：</w:t>
      </w:r>
      <w:r>
        <w:rPr>
          <w:rStyle w:val="100"/>
          <w:rFonts w:hint="eastAsia" w:ascii="仿宋" w:hAnsi="仿宋" w:eastAsia="仿宋" w:cs="仿宋"/>
          <w:color w:val="auto"/>
          <w:sz w:val="24"/>
          <w:szCs w:val="24"/>
          <w:highlight w:val="none"/>
          <w:u w:val="single"/>
        </w:rPr>
        <w:t></w:t>
      </w:r>
      <w:r>
        <w:rPr>
          <w:rStyle w:val="100"/>
          <w:rFonts w:hint="eastAsia" w:ascii="仿宋" w:hAnsi="仿宋" w:eastAsia="仿宋" w:cs="仿宋"/>
          <w:color w:val="auto"/>
          <w:sz w:val="24"/>
          <w:szCs w:val="24"/>
          <w:highlight w:val="none"/>
          <w:u w:val="single"/>
          <w:lang w:val="zh-TW"/>
        </w:rPr>
        <w:t xml:space="preserve">    </w:t>
      </w:r>
      <w:r>
        <w:rPr>
          <w:rStyle w:val="100"/>
          <w:rFonts w:hint="eastAsia" w:ascii="仿宋" w:hAnsi="仿宋" w:eastAsia="仿宋" w:cs="仿宋"/>
          <w:color w:val="auto"/>
          <w:sz w:val="24"/>
          <w:szCs w:val="24"/>
          <w:highlight w:val="none"/>
          <w:u w:val="single"/>
          <w:lang w:val="zh-TW" w:eastAsia="zh-TW"/>
        </w:rPr>
        <w:t xml:space="preserve">  </w:t>
      </w:r>
      <w:r>
        <w:rPr>
          <w:rStyle w:val="100"/>
          <w:rFonts w:hint="eastAsia" w:ascii="仿宋" w:hAnsi="仿宋" w:eastAsia="仿宋" w:cs="仿宋"/>
          <w:color w:val="auto"/>
          <w:sz w:val="24"/>
          <w:szCs w:val="24"/>
          <w:highlight w:val="none"/>
          <w:u w:val="single"/>
        </w:rPr>
        <w:t xml:space="preserve">                 </w:t>
      </w:r>
      <w:r>
        <w:rPr>
          <w:rStyle w:val="100"/>
          <w:rFonts w:hint="eastAsia" w:ascii="仿宋" w:hAnsi="仿宋" w:eastAsia="仿宋" w:cs="仿宋"/>
          <w:color w:val="auto"/>
          <w:sz w:val="24"/>
          <w:szCs w:val="24"/>
          <w:highlight w:val="none"/>
          <w:lang w:val="zh-TW" w:eastAsia="zh-TW"/>
        </w:rPr>
        <w:t>；</w:t>
      </w:r>
    </w:p>
    <w:p w14:paraId="7E81C479">
      <w:pPr>
        <w:pStyle w:val="95"/>
        <w:spacing w:line="360" w:lineRule="auto"/>
        <w:ind w:firstLine="480" w:firstLineChars="200"/>
        <w:jc w:val="left"/>
        <w:rPr>
          <w:rStyle w:val="100"/>
          <w:rFonts w:hint="eastAsia" w:ascii="仿宋" w:hAnsi="仿宋" w:eastAsia="仿宋" w:cs="仿宋"/>
          <w:color w:val="auto"/>
          <w:sz w:val="24"/>
          <w:szCs w:val="24"/>
          <w:highlight w:val="none"/>
          <w:u w:val="single"/>
        </w:rPr>
      </w:pPr>
      <w:r>
        <w:rPr>
          <w:rStyle w:val="100"/>
          <w:rFonts w:hint="eastAsia" w:ascii="仿宋" w:hAnsi="仿宋" w:eastAsia="仿宋" w:cs="仿宋"/>
          <w:color w:val="auto"/>
          <w:sz w:val="24"/>
          <w:szCs w:val="24"/>
          <w:highlight w:val="none"/>
          <w:lang w:val="zh-TW" w:eastAsia="zh-CN"/>
        </w:rPr>
        <w:t>承包人</w:t>
      </w:r>
      <w:r>
        <w:rPr>
          <w:rStyle w:val="100"/>
          <w:rFonts w:hint="eastAsia" w:ascii="仿宋" w:hAnsi="仿宋" w:eastAsia="仿宋" w:cs="仿宋"/>
          <w:color w:val="auto"/>
          <w:sz w:val="24"/>
          <w:szCs w:val="24"/>
          <w:highlight w:val="none"/>
          <w:lang w:val="zh-TW" w:eastAsia="zh-TW"/>
        </w:rPr>
        <w:t>指定的联系电话及传真号码：</w:t>
      </w:r>
      <w:r>
        <w:rPr>
          <w:rStyle w:val="100"/>
          <w:rFonts w:hint="eastAsia" w:ascii="仿宋" w:hAnsi="仿宋" w:eastAsia="仿宋" w:cs="仿宋"/>
          <w:color w:val="auto"/>
          <w:sz w:val="24"/>
          <w:szCs w:val="24"/>
          <w:highlight w:val="none"/>
          <w:u w:val="single"/>
        </w:rPr>
        <w:t>                                 </w:t>
      </w:r>
      <w:r>
        <w:rPr>
          <w:rStyle w:val="100"/>
          <w:rFonts w:hint="eastAsia" w:ascii="仿宋" w:hAnsi="仿宋" w:eastAsia="仿宋" w:cs="仿宋"/>
          <w:color w:val="auto"/>
          <w:sz w:val="24"/>
          <w:szCs w:val="24"/>
          <w:highlight w:val="none"/>
          <w:lang w:val="zh-TW" w:eastAsia="zh-TW"/>
        </w:rPr>
        <w:t>；</w:t>
      </w:r>
    </w:p>
    <w:p w14:paraId="535B4021">
      <w:pPr>
        <w:pStyle w:val="95"/>
        <w:spacing w:line="360" w:lineRule="auto"/>
        <w:ind w:firstLine="480" w:firstLineChars="200"/>
        <w:jc w:val="left"/>
        <w:rPr>
          <w:rStyle w:val="100"/>
          <w:rFonts w:hint="eastAsia" w:ascii="仿宋" w:hAnsi="仿宋" w:eastAsia="仿宋" w:cs="仿宋"/>
          <w:color w:val="auto"/>
          <w:kern w:val="0"/>
          <w:sz w:val="24"/>
          <w:szCs w:val="24"/>
          <w:highlight w:val="none"/>
        </w:rPr>
      </w:pPr>
      <w:r>
        <w:rPr>
          <w:rStyle w:val="100"/>
          <w:rFonts w:hint="eastAsia" w:ascii="仿宋" w:hAnsi="仿宋" w:eastAsia="仿宋" w:cs="仿宋"/>
          <w:color w:val="auto"/>
          <w:sz w:val="24"/>
          <w:szCs w:val="24"/>
          <w:highlight w:val="none"/>
          <w:lang w:val="zh-TW" w:eastAsia="zh-CN"/>
        </w:rPr>
        <w:t>承包人</w:t>
      </w:r>
      <w:r>
        <w:rPr>
          <w:rStyle w:val="100"/>
          <w:rFonts w:hint="eastAsia" w:ascii="仿宋" w:hAnsi="仿宋" w:eastAsia="仿宋" w:cs="仿宋"/>
          <w:color w:val="auto"/>
          <w:kern w:val="0"/>
          <w:sz w:val="24"/>
          <w:szCs w:val="24"/>
          <w:highlight w:val="none"/>
          <w:lang w:val="zh-TW" w:eastAsia="zh-TW"/>
        </w:rPr>
        <w:t>指定的电子邮箱：</w:t>
      </w:r>
      <w:r>
        <w:rPr>
          <w:rStyle w:val="100"/>
          <w:rFonts w:hint="eastAsia" w:ascii="仿宋" w:hAnsi="仿宋" w:eastAsia="仿宋" w:cs="仿宋"/>
          <w:color w:val="auto"/>
          <w:kern w:val="0"/>
          <w:sz w:val="24"/>
          <w:szCs w:val="24"/>
          <w:highlight w:val="none"/>
          <w:u w:val="single"/>
        </w:rPr>
        <w:t xml:space="preserve">                                                 </w:t>
      </w:r>
      <w:r>
        <w:rPr>
          <w:rStyle w:val="100"/>
          <w:rFonts w:hint="eastAsia" w:ascii="仿宋" w:hAnsi="仿宋" w:eastAsia="仿宋" w:cs="仿宋"/>
          <w:color w:val="auto"/>
          <w:kern w:val="0"/>
          <w:sz w:val="24"/>
          <w:szCs w:val="24"/>
          <w:highlight w:val="none"/>
          <w:lang w:val="zh-TW" w:eastAsia="zh-TW"/>
        </w:rPr>
        <w:t>。</w:t>
      </w:r>
    </w:p>
    <w:p w14:paraId="431C5C71">
      <w:pPr>
        <w:pStyle w:val="95"/>
        <w:spacing w:line="360" w:lineRule="auto"/>
        <w:ind w:firstLine="480" w:firstLineChars="200"/>
        <w:jc w:val="left"/>
        <w:outlineLvl w:val="9"/>
        <w:rPr>
          <w:rStyle w:val="100"/>
          <w:rFonts w:hint="eastAsia" w:ascii="仿宋" w:hAnsi="仿宋" w:eastAsia="仿宋" w:cs="仿宋"/>
          <w:color w:val="auto"/>
          <w:sz w:val="24"/>
          <w:szCs w:val="24"/>
          <w:highlight w:val="none"/>
          <w:lang w:val="en-US" w:eastAsia="zh-CN"/>
        </w:rPr>
      </w:pPr>
      <w:r>
        <w:rPr>
          <w:rStyle w:val="100"/>
          <w:rFonts w:hint="eastAsia" w:ascii="仿宋" w:hAnsi="仿宋" w:eastAsia="仿宋" w:cs="仿宋"/>
          <w:color w:val="auto"/>
          <w:sz w:val="24"/>
          <w:szCs w:val="24"/>
          <w:highlight w:val="none"/>
          <w:lang w:val="en-US" w:eastAsia="zh-CN"/>
        </w:rPr>
        <w:t>4.2设计项目负责人</w:t>
      </w:r>
    </w:p>
    <w:p w14:paraId="4E68CD8A">
      <w:pPr>
        <w:pStyle w:val="95"/>
        <w:spacing w:line="360" w:lineRule="auto"/>
        <w:ind w:firstLine="480" w:firstLineChars="200"/>
        <w:jc w:val="left"/>
        <w:rPr>
          <w:rStyle w:val="100"/>
          <w:rFonts w:hint="eastAsia" w:ascii="仿宋" w:hAnsi="仿宋" w:eastAsia="仿宋" w:cs="仿宋"/>
          <w:color w:val="auto"/>
          <w:sz w:val="24"/>
          <w:szCs w:val="24"/>
          <w:highlight w:val="none"/>
        </w:rPr>
      </w:pPr>
      <w:r>
        <w:rPr>
          <w:rStyle w:val="100"/>
          <w:rFonts w:hint="eastAsia" w:ascii="仿宋" w:hAnsi="仿宋" w:eastAsia="仿宋" w:cs="仿宋"/>
          <w:color w:val="auto"/>
          <w:sz w:val="24"/>
          <w:szCs w:val="24"/>
          <w:highlight w:val="none"/>
          <w:lang w:val="en-US" w:eastAsia="zh-CN"/>
        </w:rPr>
        <w:t>4.2.1承包人</w:t>
      </w:r>
      <w:r>
        <w:rPr>
          <w:rStyle w:val="100"/>
          <w:rFonts w:hint="eastAsia" w:ascii="仿宋" w:hAnsi="仿宋" w:eastAsia="仿宋" w:cs="仿宋"/>
          <w:color w:val="auto"/>
          <w:sz w:val="24"/>
          <w:szCs w:val="24"/>
          <w:highlight w:val="none"/>
          <w:lang w:val="zh-TW" w:eastAsia="zh-TW"/>
        </w:rPr>
        <w:t>项目负责人</w:t>
      </w:r>
    </w:p>
    <w:p w14:paraId="5F96A1B2">
      <w:pPr>
        <w:pStyle w:val="95"/>
        <w:spacing w:line="360" w:lineRule="auto"/>
        <w:ind w:firstLine="480" w:firstLineChars="200"/>
        <w:jc w:val="left"/>
        <w:rPr>
          <w:rStyle w:val="100"/>
          <w:rFonts w:hint="eastAsia" w:ascii="仿宋" w:hAnsi="仿宋" w:eastAsia="仿宋" w:cs="仿宋"/>
          <w:color w:val="auto"/>
          <w:sz w:val="24"/>
          <w:szCs w:val="24"/>
          <w:highlight w:val="none"/>
        </w:rPr>
      </w:pPr>
      <w:r>
        <w:rPr>
          <w:rStyle w:val="100"/>
          <w:rFonts w:hint="eastAsia" w:ascii="仿宋" w:hAnsi="仿宋" w:eastAsia="仿宋" w:cs="仿宋"/>
          <w:color w:val="auto"/>
          <w:sz w:val="24"/>
          <w:szCs w:val="24"/>
          <w:highlight w:val="none"/>
          <w:lang w:val="zh-TW" w:eastAsia="zh-TW"/>
        </w:rPr>
        <w:t>姓    名：</w:t>
      </w:r>
      <w:r>
        <w:rPr>
          <w:rStyle w:val="100"/>
          <w:rFonts w:hint="eastAsia" w:ascii="仿宋" w:hAnsi="仿宋" w:eastAsia="仿宋" w:cs="仿宋"/>
          <w:color w:val="auto"/>
          <w:sz w:val="24"/>
          <w:szCs w:val="24"/>
          <w:highlight w:val="none"/>
          <w:u w:val="single"/>
        </w:rPr>
        <w:t></w:t>
      </w:r>
      <w:r>
        <w:rPr>
          <w:rStyle w:val="100"/>
          <w:rFonts w:hint="eastAsia" w:ascii="仿宋" w:hAnsi="仿宋" w:eastAsia="仿宋" w:cs="仿宋"/>
          <w:color w:val="auto"/>
          <w:sz w:val="24"/>
          <w:szCs w:val="24"/>
          <w:highlight w:val="none"/>
          <w:u w:val="single"/>
          <w:lang w:val="zh-TW"/>
        </w:rPr>
        <w:t xml:space="preserve">      </w:t>
      </w:r>
      <w:r>
        <w:rPr>
          <w:rStyle w:val="100"/>
          <w:rFonts w:hint="eastAsia" w:ascii="仿宋" w:hAnsi="仿宋" w:eastAsia="仿宋" w:cs="仿宋"/>
          <w:color w:val="auto"/>
          <w:sz w:val="24"/>
          <w:szCs w:val="24"/>
          <w:highlight w:val="none"/>
          <w:u w:val="single"/>
        </w:rPr>
        <w:t xml:space="preserve">            </w:t>
      </w:r>
      <w:r>
        <w:rPr>
          <w:rStyle w:val="100"/>
          <w:rFonts w:hint="eastAsia" w:ascii="仿宋" w:hAnsi="仿宋" w:eastAsia="仿宋" w:cs="仿宋"/>
          <w:color w:val="auto"/>
          <w:sz w:val="24"/>
          <w:szCs w:val="24"/>
          <w:highlight w:val="none"/>
          <w:lang w:val="zh-TW" w:eastAsia="zh-TW"/>
        </w:rPr>
        <w:t>；</w:t>
      </w:r>
    </w:p>
    <w:p w14:paraId="0927B2A0">
      <w:pPr>
        <w:pStyle w:val="95"/>
        <w:spacing w:line="360" w:lineRule="auto"/>
        <w:ind w:firstLine="480" w:firstLineChars="200"/>
        <w:jc w:val="left"/>
        <w:rPr>
          <w:rStyle w:val="100"/>
          <w:rFonts w:hint="eastAsia" w:ascii="仿宋" w:hAnsi="仿宋" w:eastAsia="仿宋" w:cs="仿宋"/>
          <w:color w:val="auto"/>
          <w:sz w:val="24"/>
          <w:szCs w:val="24"/>
          <w:highlight w:val="none"/>
        </w:rPr>
      </w:pPr>
      <w:r>
        <w:rPr>
          <w:rStyle w:val="100"/>
          <w:rFonts w:hint="eastAsia" w:ascii="仿宋" w:hAnsi="仿宋" w:eastAsia="仿宋" w:cs="仿宋"/>
          <w:color w:val="auto"/>
          <w:sz w:val="24"/>
          <w:szCs w:val="24"/>
          <w:highlight w:val="none"/>
          <w:lang w:val="zh-TW" w:eastAsia="zh-TW"/>
        </w:rPr>
        <w:t>执业资格及等级：</w:t>
      </w:r>
      <w:r>
        <w:rPr>
          <w:rStyle w:val="100"/>
          <w:rFonts w:hint="eastAsia" w:ascii="仿宋" w:hAnsi="仿宋" w:eastAsia="仿宋" w:cs="仿宋"/>
          <w:color w:val="auto"/>
          <w:sz w:val="24"/>
          <w:szCs w:val="24"/>
          <w:highlight w:val="none"/>
          <w:u w:val="single"/>
        </w:rPr>
        <w:t></w:t>
      </w:r>
      <w:r>
        <w:rPr>
          <w:rStyle w:val="100"/>
          <w:rFonts w:hint="eastAsia" w:ascii="仿宋" w:hAnsi="仿宋" w:eastAsia="仿宋" w:cs="仿宋"/>
          <w:color w:val="auto"/>
          <w:sz w:val="24"/>
          <w:szCs w:val="24"/>
          <w:highlight w:val="none"/>
          <w:u w:val="single"/>
          <w:lang w:val="zh-TW"/>
        </w:rPr>
        <w:t xml:space="preserve">                            </w:t>
      </w:r>
      <w:r>
        <w:rPr>
          <w:rStyle w:val="100"/>
          <w:rFonts w:hint="eastAsia" w:ascii="仿宋" w:hAnsi="仿宋" w:eastAsia="仿宋" w:cs="仿宋"/>
          <w:color w:val="auto"/>
          <w:sz w:val="24"/>
          <w:szCs w:val="24"/>
          <w:highlight w:val="none"/>
          <w:u w:val="single"/>
        </w:rPr>
        <w:t xml:space="preserve">  </w:t>
      </w:r>
      <w:r>
        <w:rPr>
          <w:rStyle w:val="100"/>
          <w:rFonts w:hint="eastAsia" w:ascii="仿宋" w:hAnsi="仿宋" w:eastAsia="仿宋" w:cs="仿宋"/>
          <w:color w:val="auto"/>
          <w:sz w:val="24"/>
          <w:szCs w:val="24"/>
          <w:highlight w:val="none"/>
          <w:lang w:val="zh-TW" w:eastAsia="zh-TW"/>
        </w:rPr>
        <w:t>；</w:t>
      </w:r>
    </w:p>
    <w:p w14:paraId="432B0468">
      <w:pPr>
        <w:pStyle w:val="95"/>
        <w:spacing w:line="360" w:lineRule="auto"/>
        <w:ind w:firstLine="480" w:firstLineChars="200"/>
        <w:jc w:val="left"/>
        <w:rPr>
          <w:rStyle w:val="100"/>
          <w:rFonts w:hint="eastAsia" w:ascii="仿宋" w:hAnsi="仿宋" w:eastAsia="仿宋" w:cs="仿宋"/>
          <w:color w:val="auto"/>
          <w:sz w:val="24"/>
          <w:szCs w:val="24"/>
          <w:highlight w:val="none"/>
        </w:rPr>
      </w:pPr>
      <w:r>
        <w:rPr>
          <w:rStyle w:val="100"/>
          <w:rFonts w:hint="eastAsia" w:ascii="仿宋" w:hAnsi="仿宋" w:eastAsia="仿宋" w:cs="仿宋"/>
          <w:color w:val="auto"/>
          <w:sz w:val="24"/>
          <w:szCs w:val="24"/>
          <w:highlight w:val="none"/>
          <w:lang w:val="zh-TW" w:eastAsia="zh-TW"/>
        </w:rPr>
        <w:t>注册证书号：</w:t>
      </w:r>
      <w:r>
        <w:rPr>
          <w:rStyle w:val="100"/>
          <w:rFonts w:hint="eastAsia" w:ascii="仿宋" w:hAnsi="仿宋" w:eastAsia="仿宋" w:cs="仿宋"/>
          <w:color w:val="auto"/>
          <w:sz w:val="24"/>
          <w:szCs w:val="24"/>
          <w:highlight w:val="none"/>
          <w:u w:val="single"/>
        </w:rPr>
        <w:t xml:space="preserve">                          </w:t>
      </w:r>
      <w:r>
        <w:rPr>
          <w:rStyle w:val="100"/>
          <w:rFonts w:hint="eastAsia" w:ascii="仿宋" w:hAnsi="仿宋" w:eastAsia="仿宋" w:cs="仿宋"/>
          <w:color w:val="auto"/>
          <w:sz w:val="24"/>
          <w:szCs w:val="24"/>
          <w:highlight w:val="none"/>
          <w:lang w:val="zh-TW" w:eastAsia="zh-TW"/>
        </w:rPr>
        <w:t>；</w:t>
      </w:r>
    </w:p>
    <w:p w14:paraId="724EE279">
      <w:pPr>
        <w:pStyle w:val="95"/>
        <w:spacing w:line="360" w:lineRule="auto"/>
        <w:ind w:firstLine="480" w:firstLineChars="200"/>
        <w:jc w:val="left"/>
        <w:rPr>
          <w:rStyle w:val="100"/>
          <w:rFonts w:hint="eastAsia" w:ascii="仿宋" w:hAnsi="仿宋" w:eastAsia="仿宋" w:cs="仿宋"/>
          <w:color w:val="auto"/>
          <w:sz w:val="24"/>
          <w:szCs w:val="24"/>
          <w:highlight w:val="none"/>
        </w:rPr>
      </w:pPr>
      <w:r>
        <w:rPr>
          <w:rStyle w:val="100"/>
          <w:rFonts w:hint="eastAsia" w:ascii="仿宋" w:hAnsi="仿宋" w:eastAsia="仿宋" w:cs="仿宋"/>
          <w:color w:val="auto"/>
          <w:sz w:val="24"/>
          <w:szCs w:val="24"/>
          <w:highlight w:val="none"/>
          <w:lang w:val="zh-TW" w:eastAsia="zh-TW"/>
        </w:rPr>
        <w:t>联系电话：</w:t>
      </w:r>
      <w:r>
        <w:rPr>
          <w:rStyle w:val="100"/>
          <w:rFonts w:hint="eastAsia" w:ascii="仿宋" w:hAnsi="仿宋" w:eastAsia="仿宋" w:cs="仿宋"/>
          <w:color w:val="auto"/>
          <w:sz w:val="24"/>
          <w:szCs w:val="24"/>
          <w:highlight w:val="none"/>
          <w:u w:val="single"/>
        </w:rPr>
        <w:t xml:space="preserve">                         </w:t>
      </w:r>
      <w:r>
        <w:rPr>
          <w:rStyle w:val="100"/>
          <w:rFonts w:hint="eastAsia" w:ascii="仿宋" w:hAnsi="仿宋" w:eastAsia="仿宋" w:cs="仿宋"/>
          <w:color w:val="auto"/>
          <w:sz w:val="24"/>
          <w:szCs w:val="24"/>
          <w:highlight w:val="none"/>
          <w:lang w:val="zh-TW" w:eastAsia="zh-TW"/>
        </w:rPr>
        <w:t>；</w:t>
      </w:r>
    </w:p>
    <w:p w14:paraId="6E5D3195">
      <w:pPr>
        <w:pStyle w:val="95"/>
        <w:spacing w:line="360" w:lineRule="auto"/>
        <w:ind w:firstLine="480" w:firstLineChars="200"/>
        <w:jc w:val="left"/>
        <w:rPr>
          <w:rStyle w:val="100"/>
          <w:rFonts w:hint="eastAsia" w:ascii="仿宋" w:hAnsi="仿宋" w:eastAsia="仿宋" w:cs="仿宋"/>
          <w:color w:val="auto"/>
          <w:sz w:val="24"/>
          <w:szCs w:val="24"/>
          <w:highlight w:val="none"/>
        </w:rPr>
      </w:pPr>
      <w:r>
        <w:rPr>
          <w:rStyle w:val="100"/>
          <w:rFonts w:hint="eastAsia" w:ascii="仿宋" w:hAnsi="仿宋" w:eastAsia="仿宋" w:cs="仿宋"/>
          <w:color w:val="auto"/>
          <w:sz w:val="24"/>
          <w:szCs w:val="24"/>
          <w:highlight w:val="none"/>
          <w:lang w:val="zh-TW" w:eastAsia="zh-TW"/>
        </w:rPr>
        <w:t>电子信箱：</w:t>
      </w:r>
      <w:r>
        <w:rPr>
          <w:rStyle w:val="100"/>
          <w:rFonts w:hint="eastAsia" w:ascii="仿宋" w:hAnsi="仿宋" w:eastAsia="仿宋" w:cs="仿宋"/>
          <w:color w:val="auto"/>
          <w:sz w:val="24"/>
          <w:szCs w:val="24"/>
          <w:highlight w:val="none"/>
          <w:u w:val="single"/>
        </w:rPr>
        <w:t xml:space="preserve">                            </w:t>
      </w:r>
      <w:r>
        <w:rPr>
          <w:rStyle w:val="100"/>
          <w:rFonts w:hint="eastAsia" w:ascii="仿宋" w:hAnsi="仿宋" w:eastAsia="仿宋" w:cs="仿宋"/>
          <w:color w:val="auto"/>
          <w:sz w:val="24"/>
          <w:szCs w:val="24"/>
          <w:highlight w:val="none"/>
          <w:lang w:val="zh-TW" w:eastAsia="zh-TW"/>
        </w:rPr>
        <w:t>；</w:t>
      </w:r>
    </w:p>
    <w:p w14:paraId="23A90659">
      <w:pPr>
        <w:pStyle w:val="95"/>
        <w:spacing w:line="360" w:lineRule="auto"/>
        <w:ind w:firstLine="480" w:firstLineChars="200"/>
        <w:jc w:val="left"/>
        <w:rPr>
          <w:rStyle w:val="100"/>
          <w:rFonts w:hint="eastAsia" w:ascii="仿宋" w:hAnsi="仿宋" w:eastAsia="仿宋" w:cs="仿宋"/>
          <w:color w:val="auto"/>
          <w:sz w:val="24"/>
          <w:szCs w:val="24"/>
          <w:highlight w:val="none"/>
        </w:rPr>
      </w:pPr>
      <w:r>
        <w:rPr>
          <w:rStyle w:val="100"/>
          <w:rFonts w:hint="eastAsia" w:ascii="仿宋" w:hAnsi="仿宋" w:eastAsia="仿宋" w:cs="仿宋"/>
          <w:color w:val="auto"/>
          <w:sz w:val="24"/>
          <w:szCs w:val="24"/>
          <w:highlight w:val="none"/>
          <w:lang w:val="zh-TW" w:eastAsia="zh-TW"/>
        </w:rPr>
        <w:t>通信地址：</w:t>
      </w:r>
      <w:r>
        <w:rPr>
          <w:rStyle w:val="100"/>
          <w:rFonts w:hint="eastAsia" w:ascii="仿宋" w:hAnsi="仿宋" w:eastAsia="仿宋" w:cs="仿宋"/>
          <w:color w:val="auto"/>
          <w:sz w:val="24"/>
          <w:szCs w:val="24"/>
          <w:highlight w:val="none"/>
          <w:u w:val="single"/>
        </w:rPr>
        <w:t></w:t>
      </w:r>
      <w:r>
        <w:rPr>
          <w:rStyle w:val="100"/>
          <w:rFonts w:hint="eastAsia" w:ascii="仿宋" w:hAnsi="仿宋" w:eastAsia="仿宋" w:cs="仿宋"/>
          <w:color w:val="auto"/>
          <w:sz w:val="24"/>
          <w:szCs w:val="24"/>
          <w:highlight w:val="none"/>
          <w:u w:val="single"/>
          <w:lang w:val="zh-TW"/>
        </w:rPr>
        <w:t xml:space="preserve">                    </w:t>
      </w:r>
      <w:r>
        <w:rPr>
          <w:rStyle w:val="100"/>
          <w:rFonts w:hint="eastAsia" w:ascii="仿宋" w:hAnsi="仿宋" w:eastAsia="仿宋" w:cs="仿宋"/>
          <w:color w:val="auto"/>
          <w:sz w:val="24"/>
          <w:szCs w:val="24"/>
          <w:highlight w:val="none"/>
          <w:u w:val="single"/>
        </w:rPr>
        <w:t xml:space="preserve">           </w:t>
      </w:r>
      <w:r>
        <w:rPr>
          <w:rStyle w:val="100"/>
          <w:rFonts w:hint="eastAsia" w:ascii="仿宋" w:hAnsi="仿宋" w:eastAsia="仿宋" w:cs="仿宋"/>
          <w:color w:val="auto"/>
          <w:sz w:val="24"/>
          <w:szCs w:val="24"/>
          <w:highlight w:val="none"/>
          <w:lang w:val="zh-TW" w:eastAsia="zh-TW"/>
        </w:rPr>
        <w:t>；</w:t>
      </w:r>
    </w:p>
    <w:p w14:paraId="40C620D1">
      <w:pPr>
        <w:pStyle w:val="95"/>
        <w:spacing w:line="360" w:lineRule="auto"/>
        <w:ind w:firstLine="480" w:firstLineChars="200"/>
        <w:jc w:val="left"/>
        <w:rPr>
          <w:rStyle w:val="100"/>
          <w:rFonts w:hint="eastAsia" w:ascii="仿宋" w:hAnsi="仿宋" w:eastAsia="仿宋" w:cs="仿宋"/>
          <w:color w:val="auto"/>
          <w:sz w:val="24"/>
          <w:szCs w:val="24"/>
          <w:highlight w:val="none"/>
          <w:lang w:val="zh-TW" w:eastAsia="zh-TW"/>
        </w:rPr>
      </w:pPr>
      <w:r>
        <w:rPr>
          <w:rStyle w:val="100"/>
          <w:rFonts w:hint="eastAsia" w:ascii="仿宋" w:hAnsi="仿宋" w:eastAsia="仿宋" w:cs="仿宋"/>
          <w:color w:val="auto"/>
          <w:sz w:val="24"/>
          <w:szCs w:val="24"/>
          <w:highlight w:val="none"/>
          <w:lang w:val="zh-TW" w:eastAsia="zh-CN"/>
        </w:rPr>
        <w:t>承包人</w:t>
      </w:r>
      <w:r>
        <w:rPr>
          <w:rStyle w:val="100"/>
          <w:rFonts w:hint="eastAsia" w:ascii="仿宋" w:hAnsi="仿宋" w:eastAsia="仿宋" w:cs="仿宋"/>
          <w:color w:val="auto"/>
          <w:sz w:val="24"/>
          <w:szCs w:val="24"/>
          <w:highlight w:val="none"/>
          <w:lang w:val="zh-TW" w:eastAsia="zh-TW"/>
        </w:rPr>
        <w:t>对项目负责人的授权范围如下：</w:t>
      </w:r>
    </w:p>
    <w:p w14:paraId="2BF0A2CB">
      <w:pPr>
        <w:pStyle w:val="95"/>
        <w:spacing w:line="360" w:lineRule="auto"/>
        <w:ind w:firstLine="480" w:firstLineChars="200"/>
        <w:jc w:val="left"/>
        <w:rPr>
          <w:rStyle w:val="100"/>
          <w:rFonts w:hint="eastAsia" w:ascii="仿宋" w:hAnsi="仿宋" w:eastAsia="仿宋" w:cs="仿宋"/>
          <w:color w:val="auto"/>
          <w:sz w:val="24"/>
          <w:szCs w:val="24"/>
          <w:highlight w:val="none"/>
          <w:u w:val="single"/>
        </w:rPr>
      </w:pPr>
      <w:r>
        <w:rPr>
          <w:rStyle w:val="100"/>
          <w:rFonts w:hint="eastAsia" w:ascii="仿宋" w:hAnsi="仿宋" w:eastAsia="仿宋" w:cs="仿宋"/>
          <w:color w:val="auto"/>
          <w:sz w:val="24"/>
          <w:szCs w:val="24"/>
          <w:highlight w:val="none"/>
          <w:u w:val="single"/>
        </w:rPr>
        <w:t>按照发包人要求组织进行方案施工图阶段、施工配合阶段的各项设计任务，按时完成相关设计成果，并提交满足发包人质量要求的设计成果。</w:t>
      </w:r>
    </w:p>
    <w:p w14:paraId="631CE751">
      <w:pPr>
        <w:pStyle w:val="95"/>
        <w:spacing w:line="360" w:lineRule="auto"/>
        <w:ind w:firstLine="480" w:firstLineChars="200"/>
        <w:jc w:val="left"/>
        <w:rPr>
          <w:rStyle w:val="100"/>
          <w:rFonts w:hint="eastAsia" w:ascii="仿宋" w:hAnsi="仿宋" w:eastAsia="仿宋" w:cs="仿宋"/>
          <w:color w:val="auto"/>
          <w:sz w:val="24"/>
          <w:szCs w:val="24"/>
          <w:highlight w:val="none"/>
        </w:rPr>
      </w:pPr>
      <w:r>
        <w:rPr>
          <w:rStyle w:val="100"/>
          <w:rFonts w:hint="eastAsia" w:ascii="仿宋" w:hAnsi="仿宋" w:eastAsia="仿宋" w:cs="仿宋"/>
          <w:color w:val="auto"/>
          <w:sz w:val="24"/>
          <w:szCs w:val="24"/>
          <w:highlight w:val="none"/>
          <w:lang w:val="en-US" w:eastAsia="zh-CN"/>
        </w:rPr>
        <w:t>4</w:t>
      </w:r>
      <w:r>
        <w:rPr>
          <w:rStyle w:val="100"/>
          <w:rFonts w:hint="eastAsia" w:ascii="仿宋" w:hAnsi="仿宋" w:eastAsia="仿宋" w:cs="仿宋"/>
          <w:color w:val="auto"/>
          <w:sz w:val="24"/>
          <w:szCs w:val="24"/>
          <w:highlight w:val="none"/>
        </w:rPr>
        <w:t xml:space="preserve">.2.2 </w:t>
      </w:r>
      <w:r>
        <w:rPr>
          <w:rStyle w:val="100"/>
          <w:rFonts w:hint="eastAsia" w:ascii="仿宋" w:hAnsi="仿宋" w:eastAsia="仿宋" w:cs="仿宋"/>
          <w:color w:val="auto"/>
          <w:sz w:val="24"/>
          <w:szCs w:val="24"/>
          <w:highlight w:val="none"/>
          <w:lang w:eastAsia="zh-CN"/>
        </w:rPr>
        <w:t>承包人</w:t>
      </w:r>
      <w:r>
        <w:rPr>
          <w:rStyle w:val="100"/>
          <w:rFonts w:hint="eastAsia" w:ascii="仿宋" w:hAnsi="仿宋" w:eastAsia="仿宋" w:cs="仿宋"/>
          <w:color w:val="auto"/>
          <w:sz w:val="24"/>
          <w:szCs w:val="24"/>
          <w:highlight w:val="none"/>
        </w:rPr>
        <w:t>更换项目负责人的，应提前</w:t>
      </w:r>
      <w:r>
        <w:rPr>
          <w:rStyle w:val="100"/>
          <w:rFonts w:hint="eastAsia" w:ascii="仿宋" w:hAnsi="仿宋" w:eastAsia="仿宋" w:cs="仿宋"/>
          <w:color w:val="auto"/>
          <w:sz w:val="24"/>
          <w:szCs w:val="24"/>
          <w:highlight w:val="none"/>
          <w:u w:val="single"/>
        </w:rPr>
        <w:t xml:space="preserve"> 7 </w:t>
      </w:r>
      <w:r>
        <w:rPr>
          <w:rStyle w:val="100"/>
          <w:rFonts w:hint="eastAsia" w:ascii="仿宋" w:hAnsi="仿宋" w:eastAsia="仿宋" w:cs="仿宋"/>
          <w:color w:val="auto"/>
          <w:sz w:val="24"/>
          <w:szCs w:val="24"/>
          <w:highlight w:val="none"/>
        </w:rPr>
        <w:t>天书面通知发包人。未经发包人同意，</w:t>
      </w:r>
      <w:r>
        <w:rPr>
          <w:rStyle w:val="100"/>
          <w:rFonts w:hint="eastAsia" w:ascii="仿宋" w:hAnsi="仿宋" w:eastAsia="仿宋" w:cs="仿宋"/>
          <w:color w:val="auto"/>
          <w:sz w:val="24"/>
          <w:szCs w:val="24"/>
          <w:highlight w:val="none"/>
          <w:lang w:eastAsia="zh-CN"/>
        </w:rPr>
        <w:t>承包人</w:t>
      </w:r>
      <w:r>
        <w:rPr>
          <w:rStyle w:val="100"/>
          <w:rFonts w:hint="eastAsia" w:ascii="仿宋" w:hAnsi="仿宋" w:eastAsia="仿宋" w:cs="仿宋"/>
          <w:color w:val="auto"/>
          <w:sz w:val="24"/>
          <w:szCs w:val="24"/>
          <w:highlight w:val="none"/>
        </w:rPr>
        <w:t>不得随意更换项目负责人、各专业负责人。如确需更换，应在征得发包人同意的前提下，整理相关材料报发包人备案。</w:t>
      </w:r>
    </w:p>
    <w:p w14:paraId="1452320B">
      <w:pPr>
        <w:pStyle w:val="95"/>
        <w:spacing w:line="360" w:lineRule="auto"/>
        <w:ind w:firstLine="480" w:firstLineChars="200"/>
        <w:jc w:val="left"/>
        <w:rPr>
          <w:rStyle w:val="100"/>
          <w:rFonts w:hint="eastAsia" w:ascii="仿宋" w:hAnsi="仿宋" w:eastAsia="仿宋" w:cs="仿宋"/>
          <w:color w:val="auto"/>
          <w:sz w:val="24"/>
          <w:szCs w:val="24"/>
          <w:highlight w:val="none"/>
        </w:rPr>
      </w:pPr>
      <w:r>
        <w:rPr>
          <w:rStyle w:val="100"/>
          <w:rFonts w:hint="eastAsia" w:ascii="仿宋" w:hAnsi="仿宋" w:eastAsia="仿宋" w:cs="仿宋"/>
          <w:color w:val="auto"/>
          <w:sz w:val="24"/>
          <w:szCs w:val="24"/>
          <w:highlight w:val="none"/>
          <w:lang w:eastAsia="zh-CN"/>
        </w:rPr>
        <w:t>承包人</w:t>
      </w:r>
      <w:r>
        <w:rPr>
          <w:rStyle w:val="100"/>
          <w:rFonts w:hint="eastAsia" w:ascii="仿宋" w:hAnsi="仿宋" w:eastAsia="仿宋" w:cs="仿宋"/>
          <w:color w:val="auto"/>
          <w:sz w:val="24"/>
          <w:szCs w:val="24"/>
          <w:highlight w:val="none"/>
        </w:rPr>
        <w:t>擅自更换项目负责人的</w:t>
      </w:r>
      <w:r>
        <w:rPr>
          <w:rStyle w:val="100"/>
          <w:rFonts w:hint="eastAsia" w:ascii="仿宋" w:hAnsi="仿宋" w:eastAsia="仿宋" w:cs="仿宋"/>
          <w:color w:val="auto"/>
          <w:sz w:val="24"/>
          <w:szCs w:val="24"/>
          <w:highlight w:val="none"/>
          <w:lang w:eastAsia="zh-CN"/>
        </w:rPr>
        <w:t>，</w:t>
      </w:r>
      <w:r>
        <w:rPr>
          <w:rStyle w:val="100"/>
          <w:rFonts w:hint="eastAsia" w:ascii="仿宋" w:hAnsi="仿宋" w:eastAsia="仿宋" w:cs="仿宋"/>
          <w:color w:val="auto"/>
          <w:sz w:val="24"/>
          <w:szCs w:val="24"/>
          <w:highlight w:val="none"/>
        </w:rPr>
        <w:t>发包人有权解除合同，</w:t>
      </w:r>
      <w:r>
        <w:rPr>
          <w:rStyle w:val="100"/>
          <w:rFonts w:hint="eastAsia" w:ascii="仿宋" w:hAnsi="仿宋" w:eastAsia="仿宋" w:cs="仿宋"/>
          <w:color w:val="auto"/>
          <w:sz w:val="24"/>
          <w:szCs w:val="24"/>
          <w:highlight w:val="none"/>
          <w:lang w:eastAsia="zh-CN"/>
        </w:rPr>
        <w:t>承包人</w:t>
      </w:r>
      <w:r>
        <w:rPr>
          <w:rStyle w:val="100"/>
          <w:rFonts w:hint="eastAsia" w:ascii="仿宋" w:hAnsi="仿宋" w:eastAsia="仿宋" w:cs="仿宋"/>
          <w:color w:val="auto"/>
          <w:sz w:val="24"/>
          <w:szCs w:val="24"/>
          <w:highlight w:val="none"/>
        </w:rPr>
        <w:t>应退还已收款并支付合同总价10%违约金。</w:t>
      </w:r>
    </w:p>
    <w:p w14:paraId="5783CCC1">
      <w:pPr>
        <w:pStyle w:val="95"/>
        <w:spacing w:line="360" w:lineRule="auto"/>
        <w:ind w:firstLine="480" w:firstLineChars="200"/>
        <w:jc w:val="left"/>
        <w:rPr>
          <w:rStyle w:val="100"/>
          <w:rFonts w:hint="eastAsia" w:ascii="仿宋" w:hAnsi="仿宋" w:eastAsia="仿宋" w:cs="仿宋"/>
          <w:color w:val="auto"/>
          <w:sz w:val="24"/>
          <w:szCs w:val="24"/>
          <w:highlight w:val="none"/>
        </w:rPr>
      </w:pPr>
      <w:r>
        <w:rPr>
          <w:rStyle w:val="100"/>
          <w:rFonts w:hint="eastAsia" w:ascii="仿宋" w:hAnsi="仿宋" w:eastAsia="仿宋" w:cs="仿宋"/>
          <w:color w:val="auto"/>
          <w:sz w:val="24"/>
          <w:szCs w:val="24"/>
          <w:highlight w:val="none"/>
          <w:lang w:val="en-US" w:eastAsia="zh-CN"/>
        </w:rPr>
        <w:t>4</w:t>
      </w:r>
      <w:r>
        <w:rPr>
          <w:rStyle w:val="100"/>
          <w:rFonts w:hint="eastAsia" w:ascii="仿宋" w:hAnsi="仿宋" w:eastAsia="仿宋" w:cs="仿宋"/>
          <w:color w:val="auto"/>
          <w:sz w:val="24"/>
          <w:szCs w:val="24"/>
          <w:highlight w:val="none"/>
        </w:rPr>
        <w:t>.2.</w:t>
      </w:r>
      <w:r>
        <w:rPr>
          <w:rStyle w:val="100"/>
          <w:rFonts w:hint="eastAsia" w:ascii="仿宋" w:hAnsi="仿宋" w:eastAsia="仿宋" w:cs="仿宋"/>
          <w:color w:val="auto"/>
          <w:sz w:val="24"/>
          <w:szCs w:val="24"/>
          <w:highlight w:val="none"/>
          <w:lang w:val="en-US" w:eastAsia="zh-CN"/>
        </w:rPr>
        <w:t>3</w:t>
      </w:r>
      <w:r>
        <w:rPr>
          <w:rStyle w:val="100"/>
          <w:rFonts w:hint="eastAsia" w:ascii="仿宋" w:hAnsi="仿宋" w:eastAsia="仿宋" w:cs="仿宋"/>
          <w:color w:val="auto"/>
          <w:sz w:val="24"/>
          <w:szCs w:val="24"/>
          <w:highlight w:val="none"/>
        </w:rPr>
        <w:t xml:space="preserve"> 项目负责人的确定应经发包人同意，发包人有权根据项目设计难易程度、人员项目经验、工作态度更换项目负责人。</w:t>
      </w:r>
      <w:r>
        <w:rPr>
          <w:rStyle w:val="100"/>
          <w:rFonts w:hint="eastAsia" w:ascii="仿宋" w:hAnsi="仿宋" w:eastAsia="仿宋" w:cs="仿宋"/>
          <w:color w:val="auto"/>
          <w:sz w:val="24"/>
          <w:szCs w:val="24"/>
          <w:highlight w:val="none"/>
          <w:lang w:eastAsia="zh-CN"/>
        </w:rPr>
        <w:t>承包人</w:t>
      </w:r>
      <w:r>
        <w:rPr>
          <w:rStyle w:val="100"/>
          <w:rFonts w:hint="eastAsia" w:ascii="仿宋" w:hAnsi="仿宋" w:eastAsia="仿宋" w:cs="仿宋"/>
          <w:color w:val="auto"/>
          <w:sz w:val="24"/>
          <w:szCs w:val="24"/>
          <w:highlight w:val="none"/>
        </w:rPr>
        <w:t>应在收到书面更换通知后</w:t>
      </w:r>
      <w:r>
        <w:rPr>
          <w:rStyle w:val="100"/>
          <w:rFonts w:hint="eastAsia" w:ascii="仿宋" w:hAnsi="仿宋" w:eastAsia="仿宋" w:cs="仿宋"/>
          <w:color w:val="auto"/>
          <w:sz w:val="24"/>
          <w:szCs w:val="24"/>
          <w:highlight w:val="none"/>
          <w:u w:val="single"/>
        </w:rPr>
        <w:t xml:space="preserve">  7 </w:t>
      </w:r>
      <w:r>
        <w:rPr>
          <w:rStyle w:val="100"/>
          <w:rFonts w:hint="eastAsia" w:ascii="仿宋" w:hAnsi="仿宋" w:eastAsia="仿宋" w:cs="仿宋"/>
          <w:color w:val="auto"/>
          <w:sz w:val="24"/>
          <w:szCs w:val="24"/>
          <w:highlight w:val="none"/>
        </w:rPr>
        <w:t>天内更换项目负责人。</w:t>
      </w:r>
    </w:p>
    <w:p w14:paraId="60212CE9">
      <w:pPr>
        <w:pStyle w:val="95"/>
        <w:spacing w:line="360" w:lineRule="auto"/>
        <w:ind w:firstLine="480" w:firstLineChars="200"/>
        <w:jc w:val="left"/>
        <w:rPr>
          <w:rStyle w:val="100"/>
          <w:rFonts w:hint="eastAsia" w:ascii="仿宋" w:hAnsi="仿宋" w:eastAsia="仿宋" w:cs="仿宋"/>
          <w:color w:val="auto"/>
          <w:sz w:val="24"/>
          <w:szCs w:val="24"/>
          <w:highlight w:val="none"/>
        </w:rPr>
      </w:pPr>
      <w:r>
        <w:rPr>
          <w:rStyle w:val="100"/>
          <w:rFonts w:hint="eastAsia" w:ascii="仿宋" w:hAnsi="仿宋" w:eastAsia="仿宋" w:cs="仿宋"/>
          <w:color w:val="auto"/>
          <w:sz w:val="24"/>
          <w:szCs w:val="24"/>
          <w:highlight w:val="none"/>
          <w:lang w:eastAsia="zh-CN"/>
        </w:rPr>
        <w:t>承包人</w:t>
      </w:r>
      <w:r>
        <w:rPr>
          <w:rStyle w:val="100"/>
          <w:rFonts w:hint="eastAsia" w:ascii="仿宋" w:hAnsi="仿宋" w:eastAsia="仿宋" w:cs="仿宋"/>
          <w:color w:val="auto"/>
          <w:sz w:val="24"/>
          <w:szCs w:val="24"/>
          <w:highlight w:val="none"/>
        </w:rPr>
        <w:t>无正当理由拒绝更换项目负责人的违约责任：发包人有权解除合同，</w:t>
      </w:r>
      <w:r>
        <w:rPr>
          <w:rStyle w:val="100"/>
          <w:rFonts w:hint="eastAsia" w:ascii="仿宋" w:hAnsi="仿宋" w:eastAsia="仿宋" w:cs="仿宋"/>
          <w:color w:val="auto"/>
          <w:sz w:val="24"/>
          <w:szCs w:val="24"/>
          <w:highlight w:val="none"/>
          <w:lang w:eastAsia="zh-CN"/>
        </w:rPr>
        <w:t>承包人</w:t>
      </w:r>
      <w:r>
        <w:rPr>
          <w:rStyle w:val="100"/>
          <w:rFonts w:hint="eastAsia" w:ascii="仿宋" w:hAnsi="仿宋" w:eastAsia="仿宋" w:cs="仿宋"/>
          <w:color w:val="auto"/>
          <w:sz w:val="24"/>
          <w:szCs w:val="24"/>
          <w:highlight w:val="none"/>
        </w:rPr>
        <w:t>应退还已收款并支付合同总价10%违约金。</w:t>
      </w:r>
    </w:p>
    <w:p w14:paraId="18D9E7BF">
      <w:pPr>
        <w:pStyle w:val="95"/>
        <w:spacing w:line="360" w:lineRule="auto"/>
        <w:ind w:firstLine="480" w:firstLineChars="200"/>
        <w:jc w:val="left"/>
        <w:rPr>
          <w:rStyle w:val="100"/>
          <w:rFonts w:hint="eastAsia" w:ascii="仿宋" w:hAnsi="仿宋" w:eastAsia="仿宋" w:cs="仿宋"/>
          <w:color w:val="auto"/>
          <w:sz w:val="24"/>
          <w:szCs w:val="24"/>
          <w:highlight w:val="none"/>
        </w:rPr>
      </w:pPr>
      <w:r>
        <w:rPr>
          <w:rStyle w:val="100"/>
          <w:rFonts w:hint="eastAsia" w:ascii="仿宋" w:hAnsi="仿宋" w:eastAsia="仿宋" w:cs="仿宋"/>
          <w:color w:val="auto"/>
          <w:sz w:val="24"/>
          <w:szCs w:val="24"/>
          <w:highlight w:val="none"/>
          <w:lang w:val="en-US" w:eastAsia="zh-CN"/>
        </w:rPr>
        <w:t>4</w:t>
      </w:r>
      <w:r>
        <w:rPr>
          <w:rStyle w:val="100"/>
          <w:rFonts w:hint="eastAsia" w:ascii="仿宋" w:hAnsi="仿宋" w:eastAsia="仿宋" w:cs="仿宋"/>
          <w:color w:val="auto"/>
          <w:sz w:val="24"/>
          <w:szCs w:val="24"/>
          <w:highlight w:val="none"/>
        </w:rPr>
        <w:t>.2.4项目负责人在承接本项目施工图设计期间，同时承接的项目数量不得超过3个。如发包人发现其承接的项目超过3个，</w:t>
      </w:r>
      <w:r>
        <w:rPr>
          <w:rStyle w:val="100"/>
          <w:rFonts w:hint="eastAsia" w:ascii="仿宋" w:hAnsi="仿宋" w:eastAsia="仿宋" w:cs="仿宋"/>
          <w:color w:val="auto"/>
          <w:sz w:val="24"/>
          <w:szCs w:val="24"/>
          <w:highlight w:val="none"/>
          <w:lang w:eastAsia="zh-CN"/>
        </w:rPr>
        <w:t>承包人</w:t>
      </w:r>
      <w:r>
        <w:rPr>
          <w:rStyle w:val="100"/>
          <w:rFonts w:hint="eastAsia" w:ascii="仿宋" w:hAnsi="仿宋" w:eastAsia="仿宋" w:cs="仿宋"/>
          <w:color w:val="auto"/>
          <w:sz w:val="24"/>
          <w:szCs w:val="24"/>
          <w:highlight w:val="none"/>
        </w:rPr>
        <w:t>的违约责任：20万元的违约金。</w:t>
      </w:r>
    </w:p>
    <w:p w14:paraId="4FB553A6">
      <w:pPr>
        <w:pStyle w:val="95"/>
        <w:spacing w:line="360" w:lineRule="auto"/>
        <w:ind w:firstLine="480" w:firstLineChars="200"/>
        <w:jc w:val="left"/>
        <w:rPr>
          <w:rStyle w:val="100"/>
          <w:rFonts w:hint="eastAsia" w:ascii="仿宋" w:hAnsi="仿宋" w:eastAsia="仿宋" w:cs="仿宋"/>
          <w:color w:val="auto"/>
          <w:sz w:val="24"/>
          <w:szCs w:val="24"/>
          <w:highlight w:val="none"/>
        </w:rPr>
      </w:pPr>
      <w:r>
        <w:rPr>
          <w:rStyle w:val="100"/>
          <w:rFonts w:hint="eastAsia" w:ascii="仿宋" w:hAnsi="仿宋" w:eastAsia="仿宋" w:cs="仿宋"/>
          <w:color w:val="auto"/>
          <w:sz w:val="24"/>
          <w:szCs w:val="24"/>
          <w:highlight w:val="none"/>
          <w:lang w:val="en-US" w:eastAsia="zh-CN"/>
        </w:rPr>
        <w:t>4</w:t>
      </w:r>
      <w:r>
        <w:rPr>
          <w:rStyle w:val="100"/>
          <w:rFonts w:hint="eastAsia" w:ascii="仿宋" w:hAnsi="仿宋" w:eastAsia="仿宋" w:cs="仿宋"/>
          <w:color w:val="auto"/>
          <w:sz w:val="24"/>
          <w:szCs w:val="24"/>
          <w:highlight w:val="none"/>
        </w:rPr>
        <w:t xml:space="preserve">.3 </w:t>
      </w:r>
      <w:r>
        <w:rPr>
          <w:rStyle w:val="100"/>
          <w:rFonts w:hint="eastAsia" w:ascii="仿宋" w:hAnsi="仿宋" w:eastAsia="仿宋" w:cs="仿宋"/>
          <w:color w:val="auto"/>
          <w:sz w:val="24"/>
          <w:szCs w:val="24"/>
          <w:highlight w:val="none"/>
          <w:lang w:eastAsia="zh-CN"/>
        </w:rPr>
        <w:t>承包人</w:t>
      </w:r>
      <w:r>
        <w:rPr>
          <w:rStyle w:val="100"/>
          <w:rFonts w:hint="eastAsia" w:ascii="仿宋" w:hAnsi="仿宋" w:eastAsia="仿宋" w:cs="仿宋"/>
          <w:color w:val="auto"/>
          <w:sz w:val="24"/>
          <w:szCs w:val="24"/>
          <w:highlight w:val="none"/>
        </w:rPr>
        <w:t>人员</w:t>
      </w:r>
    </w:p>
    <w:p w14:paraId="1227236B">
      <w:pPr>
        <w:pStyle w:val="95"/>
        <w:spacing w:line="360" w:lineRule="auto"/>
        <w:ind w:firstLine="480" w:firstLineChars="200"/>
        <w:jc w:val="left"/>
        <w:rPr>
          <w:rStyle w:val="100"/>
          <w:rFonts w:hint="eastAsia" w:ascii="仿宋" w:hAnsi="仿宋" w:eastAsia="仿宋" w:cs="仿宋"/>
          <w:color w:val="auto"/>
          <w:sz w:val="24"/>
          <w:szCs w:val="24"/>
          <w:highlight w:val="none"/>
        </w:rPr>
      </w:pPr>
      <w:r>
        <w:rPr>
          <w:rStyle w:val="100"/>
          <w:rFonts w:hint="eastAsia" w:ascii="仿宋" w:hAnsi="仿宋" w:eastAsia="仿宋" w:cs="仿宋"/>
          <w:color w:val="auto"/>
          <w:sz w:val="24"/>
          <w:szCs w:val="24"/>
          <w:highlight w:val="none"/>
          <w:lang w:val="en-US" w:eastAsia="zh-CN"/>
        </w:rPr>
        <w:t>4</w:t>
      </w:r>
      <w:r>
        <w:rPr>
          <w:rStyle w:val="100"/>
          <w:rFonts w:hint="eastAsia" w:ascii="仿宋" w:hAnsi="仿宋" w:eastAsia="仿宋" w:cs="仿宋"/>
          <w:color w:val="auto"/>
          <w:sz w:val="24"/>
          <w:szCs w:val="24"/>
          <w:highlight w:val="none"/>
        </w:rPr>
        <w:t xml:space="preserve">.3.1 </w:t>
      </w:r>
      <w:r>
        <w:rPr>
          <w:rStyle w:val="100"/>
          <w:rFonts w:hint="eastAsia" w:ascii="仿宋" w:hAnsi="仿宋" w:eastAsia="仿宋" w:cs="仿宋"/>
          <w:color w:val="auto"/>
          <w:sz w:val="24"/>
          <w:szCs w:val="24"/>
          <w:highlight w:val="none"/>
          <w:lang w:eastAsia="zh-CN"/>
        </w:rPr>
        <w:t>承包人</w:t>
      </w:r>
      <w:r>
        <w:rPr>
          <w:rStyle w:val="100"/>
          <w:rFonts w:hint="eastAsia" w:ascii="仿宋" w:hAnsi="仿宋" w:eastAsia="仿宋" w:cs="仿宋"/>
          <w:color w:val="auto"/>
          <w:sz w:val="24"/>
          <w:szCs w:val="24"/>
          <w:highlight w:val="none"/>
          <w:lang w:val="en-US" w:eastAsia="zh-CN"/>
        </w:rPr>
        <w:t>应在合同签订时</w:t>
      </w:r>
      <w:r>
        <w:rPr>
          <w:rStyle w:val="100"/>
          <w:rFonts w:hint="eastAsia" w:ascii="仿宋" w:hAnsi="仿宋" w:eastAsia="仿宋" w:cs="仿宋"/>
          <w:color w:val="auto"/>
          <w:sz w:val="24"/>
          <w:szCs w:val="24"/>
          <w:highlight w:val="none"/>
        </w:rPr>
        <w:t>提交项目管理机构及人员安排报告</w:t>
      </w:r>
      <w:r>
        <w:rPr>
          <w:rStyle w:val="100"/>
          <w:rFonts w:hint="eastAsia" w:ascii="仿宋" w:hAnsi="仿宋" w:eastAsia="仿宋" w:cs="仿宋"/>
          <w:color w:val="auto"/>
          <w:sz w:val="24"/>
          <w:szCs w:val="24"/>
          <w:highlight w:val="none"/>
          <w:lang w:eastAsia="zh-CN"/>
        </w:rPr>
        <w:t>，</w:t>
      </w:r>
      <w:r>
        <w:rPr>
          <w:rStyle w:val="100"/>
          <w:rFonts w:hint="eastAsia" w:ascii="仿宋" w:hAnsi="仿宋" w:eastAsia="仿宋" w:cs="仿宋"/>
          <w:color w:val="auto"/>
          <w:sz w:val="24"/>
          <w:szCs w:val="24"/>
          <w:highlight w:val="none"/>
          <w:lang w:val="en-US" w:eastAsia="zh-CN"/>
        </w:rPr>
        <w:t>将其作为合同附件一并签署。</w:t>
      </w:r>
    </w:p>
    <w:p w14:paraId="346DDC2B">
      <w:pPr>
        <w:pStyle w:val="95"/>
        <w:spacing w:line="360" w:lineRule="auto"/>
        <w:ind w:firstLine="480" w:firstLineChars="200"/>
        <w:jc w:val="left"/>
        <w:rPr>
          <w:rStyle w:val="100"/>
          <w:rFonts w:hint="eastAsia" w:ascii="仿宋" w:hAnsi="仿宋" w:eastAsia="仿宋" w:cs="仿宋"/>
          <w:color w:val="auto"/>
          <w:sz w:val="24"/>
          <w:szCs w:val="24"/>
          <w:highlight w:val="none"/>
        </w:rPr>
      </w:pPr>
      <w:r>
        <w:rPr>
          <w:rStyle w:val="100"/>
          <w:rFonts w:hint="eastAsia" w:ascii="仿宋" w:hAnsi="仿宋" w:eastAsia="仿宋" w:cs="仿宋"/>
          <w:color w:val="auto"/>
          <w:sz w:val="24"/>
          <w:szCs w:val="24"/>
          <w:highlight w:val="none"/>
          <w:lang w:val="en-US" w:eastAsia="zh-CN"/>
        </w:rPr>
        <w:t>4</w:t>
      </w:r>
      <w:r>
        <w:rPr>
          <w:rStyle w:val="100"/>
          <w:rFonts w:hint="eastAsia" w:ascii="仿宋" w:hAnsi="仿宋" w:eastAsia="仿宋" w:cs="仿宋"/>
          <w:color w:val="auto"/>
          <w:sz w:val="24"/>
          <w:szCs w:val="24"/>
          <w:highlight w:val="none"/>
        </w:rPr>
        <w:t>.3.2</w:t>
      </w:r>
      <w:r>
        <w:rPr>
          <w:rStyle w:val="100"/>
          <w:rFonts w:hint="eastAsia" w:ascii="仿宋" w:hAnsi="仿宋" w:eastAsia="仿宋" w:cs="仿宋"/>
          <w:color w:val="auto"/>
          <w:sz w:val="24"/>
          <w:szCs w:val="24"/>
          <w:highlight w:val="none"/>
          <w:lang w:eastAsia="zh-CN"/>
        </w:rPr>
        <w:t>承包人</w:t>
      </w:r>
      <w:r>
        <w:rPr>
          <w:rStyle w:val="100"/>
          <w:rFonts w:hint="eastAsia" w:ascii="仿宋" w:hAnsi="仿宋" w:eastAsia="仿宋" w:cs="仿宋"/>
          <w:color w:val="auto"/>
          <w:sz w:val="24"/>
          <w:szCs w:val="24"/>
          <w:highlight w:val="none"/>
        </w:rPr>
        <w:t>擅自更换专业负责人的违约责任：</w:t>
      </w:r>
      <w:r>
        <w:rPr>
          <w:rStyle w:val="100"/>
          <w:rFonts w:hint="eastAsia" w:ascii="仿宋" w:hAnsi="仿宋" w:eastAsia="仿宋" w:cs="仿宋"/>
          <w:color w:val="auto"/>
          <w:sz w:val="24"/>
          <w:szCs w:val="24"/>
          <w:highlight w:val="none"/>
          <w:lang w:eastAsia="zh-CN"/>
        </w:rPr>
        <w:t>承包人</w:t>
      </w:r>
      <w:r>
        <w:rPr>
          <w:rStyle w:val="100"/>
          <w:rFonts w:hint="eastAsia" w:ascii="仿宋" w:hAnsi="仿宋" w:eastAsia="仿宋" w:cs="仿宋"/>
          <w:color w:val="auto"/>
          <w:sz w:val="24"/>
          <w:szCs w:val="24"/>
          <w:highlight w:val="none"/>
        </w:rPr>
        <w:t xml:space="preserve">需承担5万元/人次的违约金，发包人有权在应付设计费中扣除。 </w:t>
      </w:r>
    </w:p>
    <w:p w14:paraId="2D0DAE01">
      <w:pPr>
        <w:pStyle w:val="95"/>
        <w:spacing w:line="360" w:lineRule="auto"/>
        <w:ind w:firstLine="480" w:firstLineChars="200"/>
        <w:jc w:val="left"/>
        <w:rPr>
          <w:rFonts w:hint="eastAsia" w:ascii="仿宋" w:hAnsi="仿宋" w:eastAsia="仿宋" w:cs="仿宋"/>
          <w:color w:val="auto"/>
          <w:highlight w:val="none"/>
          <w:lang w:val="en-US" w:eastAsia="zh-CN"/>
        </w:rPr>
      </w:pPr>
      <w:r>
        <w:rPr>
          <w:rStyle w:val="100"/>
          <w:rFonts w:hint="eastAsia" w:ascii="仿宋" w:hAnsi="仿宋" w:eastAsia="仿宋" w:cs="仿宋"/>
          <w:color w:val="auto"/>
          <w:sz w:val="24"/>
          <w:szCs w:val="24"/>
          <w:highlight w:val="none"/>
          <w:lang w:val="en-US" w:eastAsia="zh-CN"/>
        </w:rPr>
        <w:t>4</w:t>
      </w:r>
      <w:r>
        <w:rPr>
          <w:rStyle w:val="100"/>
          <w:rFonts w:hint="eastAsia" w:ascii="仿宋" w:hAnsi="仿宋" w:eastAsia="仿宋" w:cs="仿宋"/>
          <w:color w:val="auto"/>
          <w:sz w:val="24"/>
          <w:szCs w:val="24"/>
          <w:highlight w:val="none"/>
        </w:rPr>
        <w:t xml:space="preserve">.3.3 </w:t>
      </w:r>
      <w:r>
        <w:rPr>
          <w:rStyle w:val="100"/>
          <w:rFonts w:hint="eastAsia" w:ascii="仿宋" w:hAnsi="仿宋" w:eastAsia="仿宋" w:cs="仿宋"/>
          <w:color w:val="auto"/>
          <w:sz w:val="24"/>
          <w:szCs w:val="24"/>
          <w:highlight w:val="none"/>
          <w:lang w:eastAsia="zh-CN"/>
        </w:rPr>
        <w:t>承包人</w:t>
      </w:r>
      <w:r>
        <w:rPr>
          <w:rStyle w:val="100"/>
          <w:rFonts w:hint="eastAsia" w:ascii="仿宋" w:hAnsi="仿宋" w:eastAsia="仿宋" w:cs="仿宋"/>
          <w:color w:val="auto"/>
          <w:sz w:val="24"/>
          <w:szCs w:val="24"/>
          <w:highlight w:val="none"/>
        </w:rPr>
        <w:t>无正当理由拒绝撤换主要</w:t>
      </w:r>
      <w:r>
        <w:rPr>
          <w:rStyle w:val="100"/>
          <w:rFonts w:hint="eastAsia" w:ascii="仿宋" w:hAnsi="仿宋" w:eastAsia="仿宋" w:cs="仿宋"/>
          <w:color w:val="auto"/>
          <w:sz w:val="24"/>
          <w:szCs w:val="24"/>
          <w:highlight w:val="none"/>
          <w:lang w:eastAsia="zh-CN"/>
        </w:rPr>
        <w:t>承包人</w:t>
      </w:r>
      <w:r>
        <w:rPr>
          <w:rStyle w:val="100"/>
          <w:rFonts w:hint="eastAsia" w:ascii="仿宋" w:hAnsi="仿宋" w:eastAsia="仿宋" w:cs="仿宋"/>
          <w:color w:val="auto"/>
          <w:sz w:val="24"/>
          <w:szCs w:val="24"/>
          <w:highlight w:val="none"/>
        </w:rPr>
        <w:t>员的</w:t>
      </w:r>
      <w:r>
        <w:rPr>
          <w:rStyle w:val="100"/>
          <w:rFonts w:hint="eastAsia" w:ascii="仿宋" w:hAnsi="仿宋" w:eastAsia="仿宋" w:cs="仿宋"/>
          <w:color w:val="auto"/>
          <w:sz w:val="24"/>
          <w:szCs w:val="24"/>
          <w:highlight w:val="none"/>
          <w:lang w:eastAsia="zh-CN"/>
        </w:rPr>
        <w:t>，</w:t>
      </w:r>
      <w:r>
        <w:rPr>
          <w:rStyle w:val="100"/>
          <w:rFonts w:hint="eastAsia" w:ascii="仿宋" w:hAnsi="仿宋" w:eastAsia="仿宋" w:cs="仿宋"/>
          <w:color w:val="auto"/>
          <w:sz w:val="24"/>
          <w:szCs w:val="24"/>
          <w:highlight w:val="none"/>
        </w:rPr>
        <w:t>发包人有权解除合同，</w:t>
      </w:r>
      <w:r>
        <w:rPr>
          <w:rStyle w:val="100"/>
          <w:rFonts w:hint="eastAsia" w:ascii="仿宋" w:hAnsi="仿宋" w:eastAsia="仿宋" w:cs="仿宋"/>
          <w:color w:val="auto"/>
          <w:sz w:val="24"/>
          <w:szCs w:val="24"/>
          <w:highlight w:val="none"/>
          <w:lang w:eastAsia="zh-CN"/>
        </w:rPr>
        <w:t>承包人</w:t>
      </w:r>
      <w:r>
        <w:rPr>
          <w:rStyle w:val="100"/>
          <w:rFonts w:hint="eastAsia" w:ascii="仿宋" w:hAnsi="仿宋" w:eastAsia="仿宋" w:cs="仿宋"/>
          <w:color w:val="auto"/>
          <w:sz w:val="24"/>
          <w:szCs w:val="24"/>
          <w:highlight w:val="none"/>
        </w:rPr>
        <w:t>应退还已收款并支付合同总价10%违约金。</w:t>
      </w:r>
    </w:p>
    <w:p w14:paraId="66B340AD">
      <w:pPr>
        <w:pStyle w:val="5"/>
        <w:jc w:val="left"/>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 xml:space="preserve">5. </w:t>
      </w:r>
      <w:r>
        <w:rPr>
          <w:rFonts w:hint="eastAsia" w:ascii="仿宋" w:hAnsi="仿宋" w:eastAsia="仿宋" w:cs="仿宋"/>
          <w:color w:val="auto"/>
          <w:highlight w:val="none"/>
          <w:lang w:val="zh-TW" w:eastAsia="zh-TW"/>
        </w:rPr>
        <w:t>发包人</w:t>
      </w:r>
      <w:r>
        <w:rPr>
          <w:rFonts w:hint="eastAsia" w:ascii="仿宋" w:hAnsi="仿宋" w:eastAsia="仿宋" w:cs="仿宋"/>
          <w:color w:val="auto"/>
          <w:highlight w:val="none"/>
          <w:lang w:val="en-US" w:eastAsia="zh-CN"/>
        </w:rPr>
        <w:t>权利义务</w:t>
      </w:r>
    </w:p>
    <w:p w14:paraId="05C51EE4">
      <w:pPr>
        <w:pStyle w:val="95"/>
        <w:spacing w:line="360" w:lineRule="auto"/>
        <w:ind w:firstLine="480" w:firstLineChars="200"/>
        <w:jc w:val="left"/>
        <w:rPr>
          <w:rStyle w:val="100"/>
          <w:rFonts w:hint="eastAsia" w:ascii="仿宋" w:hAnsi="仿宋" w:eastAsia="仿宋" w:cs="仿宋"/>
          <w:color w:val="auto"/>
          <w:sz w:val="24"/>
          <w:szCs w:val="24"/>
          <w:highlight w:val="none"/>
        </w:rPr>
      </w:pPr>
      <w:r>
        <w:rPr>
          <w:rStyle w:val="100"/>
          <w:rFonts w:hint="eastAsia" w:ascii="仿宋" w:hAnsi="仿宋" w:eastAsia="仿宋" w:cs="仿宋"/>
          <w:color w:val="auto"/>
          <w:sz w:val="24"/>
          <w:szCs w:val="24"/>
          <w:highlight w:val="none"/>
          <w:lang w:val="en-US" w:eastAsia="zh-CN"/>
        </w:rPr>
        <w:t>5</w:t>
      </w:r>
      <w:r>
        <w:rPr>
          <w:rStyle w:val="100"/>
          <w:rFonts w:hint="eastAsia" w:ascii="仿宋" w:hAnsi="仿宋" w:eastAsia="仿宋" w:cs="仿宋"/>
          <w:color w:val="auto"/>
          <w:sz w:val="24"/>
          <w:szCs w:val="24"/>
          <w:highlight w:val="none"/>
        </w:rPr>
        <w:t xml:space="preserve">.1 </w:t>
      </w:r>
      <w:r>
        <w:rPr>
          <w:rStyle w:val="100"/>
          <w:rFonts w:hint="eastAsia" w:ascii="仿宋" w:hAnsi="仿宋" w:eastAsia="仿宋" w:cs="仿宋"/>
          <w:color w:val="auto"/>
          <w:sz w:val="24"/>
          <w:szCs w:val="24"/>
          <w:highlight w:val="none"/>
          <w:lang w:val="zh-TW" w:eastAsia="zh-TW"/>
        </w:rPr>
        <w:t>发包人一般义务</w:t>
      </w:r>
    </w:p>
    <w:p w14:paraId="763ED5D6">
      <w:pPr>
        <w:pStyle w:val="95"/>
        <w:spacing w:line="360" w:lineRule="auto"/>
        <w:ind w:firstLine="480" w:firstLineChars="200"/>
        <w:jc w:val="left"/>
        <w:rPr>
          <w:rFonts w:hint="eastAsia" w:ascii="仿宋" w:hAnsi="仿宋" w:eastAsia="仿宋" w:cs="仿宋"/>
          <w:color w:val="auto"/>
          <w:sz w:val="24"/>
          <w:szCs w:val="24"/>
          <w:highlight w:val="none"/>
        </w:rPr>
      </w:pPr>
      <w:r>
        <w:rPr>
          <w:rStyle w:val="100"/>
          <w:rFonts w:hint="eastAsia" w:ascii="仿宋" w:hAnsi="仿宋" w:eastAsia="仿宋" w:cs="仿宋"/>
          <w:color w:val="auto"/>
          <w:sz w:val="24"/>
          <w:szCs w:val="24"/>
          <w:highlight w:val="none"/>
          <w:lang w:val="en-US" w:eastAsia="zh-CN"/>
        </w:rPr>
        <w:t>5</w:t>
      </w:r>
      <w:r>
        <w:rPr>
          <w:rStyle w:val="100"/>
          <w:rFonts w:hint="eastAsia" w:ascii="仿宋" w:hAnsi="仿宋" w:eastAsia="仿宋" w:cs="仿宋"/>
          <w:color w:val="auto"/>
          <w:sz w:val="24"/>
          <w:szCs w:val="24"/>
          <w:highlight w:val="none"/>
          <w:lang w:val="zh-TW"/>
        </w:rPr>
        <w:t>.1.1</w:t>
      </w:r>
      <w:r>
        <w:rPr>
          <w:rFonts w:hint="eastAsia" w:ascii="仿宋" w:hAnsi="仿宋" w:eastAsia="仿宋" w:cs="仿宋"/>
          <w:color w:val="auto"/>
          <w:sz w:val="24"/>
          <w:szCs w:val="24"/>
          <w:highlight w:val="none"/>
        </w:rPr>
        <w:t>发包人应在其实施本合同的全部工作中，遵守有关的法律、法规和规章，并积极参与、配合、支持</w:t>
      </w:r>
      <w:r>
        <w:rPr>
          <w:rFonts w:hint="eastAsia" w:ascii="仿宋" w:hAnsi="仿宋" w:eastAsia="仿宋" w:cs="仿宋"/>
          <w:color w:val="auto"/>
          <w:sz w:val="24"/>
          <w:szCs w:val="24"/>
          <w:highlight w:val="none"/>
          <w:lang w:eastAsia="zh-CN"/>
        </w:rPr>
        <w:t>承包人</w:t>
      </w:r>
      <w:r>
        <w:rPr>
          <w:rFonts w:hint="eastAsia" w:ascii="仿宋" w:hAnsi="仿宋" w:eastAsia="仿宋" w:cs="仿宋"/>
          <w:color w:val="auto"/>
          <w:sz w:val="24"/>
          <w:szCs w:val="24"/>
          <w:highlight w:val="none"/>
        </w:rPr>
        <w:t>在项目设计过程中与政府部门及时进行沟通、交流，以便本项目设计成果能够顺利获得审批。</w:t>
      </w:r>
    </w:p>
    <w:p w14:paraId="639E57BE">
      <w:pPr>
        <w:pStyle w:val="95"/>
        <w:spacing w:line="360" w:lineRule="auto"/>
        <w:ind w:firstLine="480" w:firstLineChars="200"/>
        <w:jc w:val="left"/>
        <w:rPr>
          <w:rFonts w:hint="eastAsia" w:ascii="仿宋" w:hAnsi="仿宋" w:eastAsia="仿宋" w:cs="仿宋"/>
          <w:color w:val="auto"/>
          <w:sz w:val="24"/>
          <w:szCs w:val="24"/>
          <w:highlight w:val="none"/>
        </w:rPr>
      </w:pPr>
      <w:r>
        <w:rPr>
          <w:rStyle w:val="100"/>
          <w:rFonts w:hint="eastAsia" w:ascii="仿宋" w:hAnsi="仿宋" w:eastAsia="仿宋" w:cs="仿宋"/>
          <w:color w:val="auto"/>
          <w:sz w:val="24"/>
          <w:szCs w:val="24"/>
          <w:highlight w:val="none"/>
          <w:lang w:val="en-US" w:eastAsia="zh-CN"/>
        </w:rPr>
        <w:t>5</w:t>
      </w:r>
      <w:r>
        <w:rPr>
          <w:rStyle w:val="100"/>
          <w:rFonts w:hint="eastAsia" w:ascii="仿宋" w:hAnsi="仿宋" w:eastAsia="仿宋" w:cs="仿宋"/>
          <w:color w:val="auto"/>
          <w:sz w:val="24"/>
          <w:szCs w:val="24"/>
          <w:highlight w:val="none"/>
          <w:lang w:val="zh-TW"/>
        </w:rPr>
        <w:t>.1.2</w:t>
      </w:r>
      <w:r>
        <w:rPr>
          <w:rFonts w:hint="eastAsia" w:ascii="仿宋" w:hAnsi="仿宋" w:eastAsia="仿宋" w:cs="仿宋"/>
          <w:color w:val="auto"/>
          <w:sz w:val="24"/>
          <w:szCs w:val="24"/>
          <w:highlight w:val="none"/>
        </w:rPr>
        <w:t>发包人不得要求</w:t>
      </w:r>
      <w:r>
        <w:rPr>
          <w:rFonts w:hint="eastAsia" w:ascii="仿宋" w:hAnsi="仿宋" w:eastAsia="仿宋" w:cs="仿宋"/>
          <w:color w:val="auto"/>
          <w:sz w:val="24"/>
          <w:szCs w:val="24"/>
          <w:highlight w:val="none"/>
          <w:lang w:eastAsia="zh-CN"/>
        </w:rPr>
        <w:t>承包人</w:t>
      </w:r>
      <w:r>
        <w:rPr>
          <w:rFonts w:hint="eastAsia" w:ascii="仿宋" w:hAnsi="仿宋" w:eastAsia="仿宋" w:cs="仿宋"/>
          <w:color w:val="auto"/>
          <w:sz w:val="24"/>
          <w:szCs w:val="24"/>
          <w:highlight w:val="none"/>
        </w:rPr>
        <w:t>违反国家强制性规定和有关标准进行设计工作。</w:t>
      </w:r>
    </w:p>
    <w:p w14:paraId="4C990E88">
      <w:pPr>
        <w:pStyle w:val="95"/>
        <w:spacing w:line="360" w:lineRule="auto"/>
        <w:ind w:firstLine="480" w:firstLineChars="200"/>
        <w:jc w:val="left"/>
        <w:rPr>
          <w:rFonts w:hint="eastAsia" w:ascii="仿宋" w:hAnsi="仿宋" w:eastAsia="仿宋" w:cs="仿宋"/>
          <w:color w:val="auto"/>
          <w:sz w:val="24"/>
          <w:szCs w:val="24"/>
          <w:highlight w:val="none"/>
        </w:rPr>
      </w:pPr>
      <w:r>
        <w:rPr>
          <w:rStyle w:val="100"/>
          <w:rFonts w:hint="eastAsia" w:ascii="仿宋" w:hAnsi="仿宋" w:eastAsia="仿宋" w:cs="仿宋"/>
          <w:color w:val="auto"/>
          <w:sz w:val="24"/>
          <w:szCs w:val="24"/>
          <w:highlight w:val="none"/>
          <w:lang w:val="en-US" w:eastAsia="zh-CN"/>
        </w:rPr>
        <w:t>5</w:t>
      </w:r>
      <w:r>
        <w:rPr>
          <w:rStyle w:val="100"/>
          <w:rFonts w:hint="eastAsia" w:ascii="仿宋" w:hAnsi="仿宋" w:eastAsia="仿宋" w:cs="仿宋"/>
          <w:color w:val="auto"/>
          <w:sz w:val="24"/>
          <w:szCs w:val="24"/>
          <w:highlight w:val="none"/>
          <w:lang w:val="zh-TW"/>
        </w:rPr>
        <w:t>.1.3</w:t>
      </w:r>
      <w:r>
        <w:rPr>
          <w:rFonts w:hint="eastAsia" w:ascii="仿宋" w:hAnsi="仿宋" w:eastAsia="仿宋" w:cs="仿宋"/>
          <w:color w:val="auto"/>
          <w:sz w:val="24"/>
          <w:szCs w:val="24"/>
          <w:highlight w:val="none"/>
        </w:rPr>
        <w:t>发包人应按本合同内容，在规定的时间内向</w:t>
      </w:r>
      <w:r>
        <w:rPr>
          <w:rFonts w:hint="eastAsia" w:ascii="仿宋" w:hAnsi="仿宋" w:eastAsia="仿宋" w:cs="仿宋"/>
          <w:color w:val="auto"/>
          <w:sz w:val="24"/>
          <w:szCs w:val="24"/>
          <w:highlight w:val="none"/>
          <w:lang w:eastAsia="zh-CN"/>
        </w:rPr>
        <w:t>承包人</w:t>
      </w:r>
      <w:r>
        <w:rPr>
          <w:rFonts w:hint="eastAsia" w:ascii="仿宋" w:hAnsi="仿宋" w:eastAsia="仿宋" w:cs="仿宋"/>
          <w:color w:val="auto"/>
          <w:sz w:val="24"/>
          <w:szCs w:val="24"/>
          <w:highlight w:val="none"/>
        </w:rPr>
        <w:t>提交基础资料及文件，并对其完整性、正确性及时限性负责。发包人未按约定时间提交资料及文件，双方另行重新确定</w:t>
      </w:r>
      <w:r>
        <w:rPr>
          <w:rFonts w:hint="eastAsia" w:ascii="仿宋" w:hAnsi="仿宋" w:eastAsia="仿宋" w:cs="仿宋"/>
          <w:color w:val="auto"/>
          <w:sz w:val="24"/>
          <w:szCs w:val="24"/>
          <w:highlight w:val="none"/>
          <w:lang w:eastAsia="zh-CN"/>
        </w:rPr>
        <w:t>承包人</w:t>
      </w:r>
      <w:r>
        <w:rPr>
          <w:rFonts w:hint="eastAsia" w:ascii="仿宋" w:hAnsi="仿宋" w:eastAsia="仿宋" w:cs="仿宋"/>
          <w:color w:val="auto"/>
          <w:sz w:val="24"/>
          <w:szCs w:val="24"/>
          <w:highlight w:val="none"/>
        </w:rPr>
        <w:t>提交设计文件的时间。</w:t>
      </w:r>
    </w:p>
    <w:p w14:paraId="26CF5093">
      <w:pPr>
        <w:pStyle w:val="95"/>
        <w:spacing w:line="360" w:lineRule="auto"/>
        <w:ind w:firstLine="480" w:firstLineChars="200"/>
        <w:jc w:val="left"/>
        <w:rPr>
          <w:rFonts w:hint="eastAsia" w:ascii="仿宋" w:hAnsi="仿宋" w:eastAsia="仿宋" w:cs="仿宋"/>
          <w:color w:val="auto"/>
          <w:sz w:val="24"/>
          <w:szCs w:val="24"/>
          <w:highlight w:val="none"/>
        </w:rPr>
      </w:pPr>
      <w:r>
        <w:rPr>
          <w:rStyle w:val="100"/>
          <w:rFonts w:hint="eastAsia" w:ascii="仿宋" w:hAnsi="仿宋" w:eastAsia="仿宋" w:cs="仿宋"/>
          <w:color w:val="auto"/>
          <w:sz w:val="24"/>
          <w:szCs w:val="24"/>
          <w:highlight w:val="none"/>
          <w:lang w:val="en-US" w:eastAsia="zh-CN"/>
        </w:rPr>
        <w:t>5</w:t>
      </w:r>
      <w:r>
        <w:rPr>
          <w:rStyle w:val="100"/>
          <w:rFonts w:hint="eastAsia" w:ascii="仿宋" w:hAnsi="仿宋" w:eastAsia="仿宋" w:cs="仿宋"/>
          <w:color w:val="auto"/>
          <w:sz w:val="24"/>
          <w:szCs w:val="24"/>
          <w:highlight w:val="none"/>
          <w:lang w:val="zh-TW"/>
        </w:rPr>
        <w:t>.1.4</w:t>
      </w:r>
      <w:r>
        <w:rPr>
          <w:rFonts w:hint="eastAsia" w:ascii="仿宋" w:hAnsi="仿宋" w:eastAsia="仿宋" w:cs="仿宋"/>
          <w:color w:val="auto"/>
          <w:sz w:val="24"/>
          <w:szCs w:val="24"/>
          <w:highlight w:val="none"/>
        </w:rPr>
        <w:t>发包人变更委托设计项目、规模、条件或因提交的资料错误，或所提交资料作较大修改，以致造成</w:t>
      </w:r>
      <w:r>
        <w:rPr>
          <w:rFonts w:hint="eastAsia" w:ascii="仿宋" w:hAnsi="仿宋" w:eastAsia="仿宋" w:cs="仿宋"/>
          <w:color w:val="auto"/>
          <w:sz w:val="24"/>
          <w:szCs w:val="24"/>
          <w:highlight w:val="none"/>
          <w:lang w:eastAsia="zh-CN"/>
        </w:rPr>
        <w:t>承包人</w:t>
      </w:r>
      <w:r>
        <w:rPr>
          <w:rFonts w:hint="eastAsia" w:ascii="仿宋" w:hAnsi="仿宋" w:eastAsia="仿宋" w:cs="仿宋"/>
          <w:color w:val="auto"/>
          <w:sz w:val="24"/>
          <w:szCs w:val="24"/>
          <w:highlight w:val="none"/>
        </w:rPr>
        <w:t>设计返工时，双方可另行协商签订补充协议（或另行订立设计合同）并重新明确有关条款，如</w:t>
      </w:r>
      <w:r>
        <w:rPr>
          <w:rFonts w:hint="eastAsia" w:ascii="仿宋" w:hAnsi="仿宋" w:eastAsia="仿宋" w:cs="仿宋"/>
          <w:color w:val="auto"/>
          <w:sz w:val="24"/>
          <w:szCs w:val="24"/>
          <w:highlight w:val="none"/>
          <w:lang w:eastAsia="zh-CN"/>
        </w:rPr>
        <w:t>承包人</w:t>
      </w:r>
      <w:r>
        <w:rPr>
          <w:rFonts w:hint="eastAsia" w:ascii="仿宋" w:hAnsi="仿宋" w:eastAsia="仿宋" w:cs="仿宋"/>
          <w:color w:val="auto"/>
          <w:sz w:val="24"/>
          <w:szCs w:val="24"/>
          <w:highlight w:val="none"/>
        </w:rPr>
        <w:t>发生费用，双方另行协商处理。</w:t>
      </w:r>
    </w:p>
    <w:p w14:paraId="7A52D0B8">
      <w:pPr>
        <w:pStyle w:val="95"/>
        <w:spacing w:line="360" w:lineRule="auto"/>
        <w:ind w:firstLine="480" w:firstLineChars="200"/>
        <w:jc w:val="left"/>
        <w:rPr>
          <w:rStyle w:val="100"/>
          <w:rFonts w:hint="eastAsia" w:ascii="仿宋" w:hAnsi="仿宋" w:eastAsia="仿宋" w:cs="仿宋"/>
          <w:color w:val="auto"/>
          <w:sz w:val="24"/>
          <w:szCs w:val="24"/>
          <w:highlight w:val="none"/>
          <w:lang w:val="zh-TW"/>
        </w:rPr>
      </w:pPr>
      <w:r>
        <w:rPr>
          <w:rStyle w:val="100"/>
          <w:rFonts w:hint="eastAsia" w:ascii="仿宋" w:hAnsi="仿宋" w:eastAsia="仿宋" w:cs="仿宋"/>
          <w:color w:val="auto"/>
          <w:sz w:val="24"/>
          <w:szCs w:val="24"/>
          <w:highlight w:val="none"/>
          <w:lang w:val="en-US" w:eastAsia="zh-CN"/>
        </w:rPr>
        <w:t>5</w:t>
      </w:r>
      <w:r>
        <w:rPr>
          <w:rStyle w:val="100"/>
          <w:rFonts w:hint="eastAsia" w:ascii="仿宋" w:hAnsi="仿宋" w:eastAsia="仿宋" w:cs="仿宋"/>
          <w:color w:val="auto"/>
          <w:sz w:val="24"/>
          <w:szCs w:val="24"/>
          <w:highlight w:val="none"/>
          <w:lang w:val="zh-TW"/>
        </w:rPr>
        <w:t>.1.5</w:t>
      </w:r>
      <w:r>
        <w:rPr>
          <w:rFonts w:hint="eastAsia" w:ascii="仿宋" w:hAnsi="仿宋" w:eastAsia="仿宋" w:cs="仿宋"/>
          <w:color w:val="auto"/>
          <w:sz w:val="24"/>
          <w:szCs w:val="24"/>
          <w:highlight w:val="none"/>
        </w:rPr>
        <w:t>发包人要求</w:t>
      </w:r>
      <w:r>
        <w:rPr>
          <w:rFonts w:hint="eastAsia" w:ascii="仿宋" w:hAnsi="仿宋" w:eastAsia="仿宋" w:cs="仿宋"/>
          <w:color w:val="auto"/>
          <w:sz w:val="24"/>
          <w:szCs w:val="24"/>
          <w:highlight w:val="none"/>
          <w:lang w:eastAsia="zh-CN"/>
        </w:rPr>
        <w:t>承包人</w:t>
      </w:r>
      <w:r>
        <w:rPr>
          <w:rFonts w:hint="eastAsia" w:ascii="仿宋" w:hAnsi="仿宋" w:eastAsia="仿宋" w:cs="仿宋"/>
          <w:color w:val="auto"/>
          <w:sz w:val="24"/>
          <w:szCs w:val="24"/>
          <w:highlight w:val="none"/>
        </w:rPr>
        <w:t>比合同规定时间提前交付设计文件时，须征得</w:t>
      </w:r>
      <w:r>
        <w:rPr>
          <w:rFonts w:hint="eastAsia" w:ascii="仿宋" w:hAnsi="仿宋" w:eastAsia="仿宋" w:cs="仿宋"/>
          <w:color w:val="auto"/>
          <w:sz w:val="24"/>
          <w:szCs w:val="24"/>
          <w:highlight w:val="none"/>
          <w:lang w:eastAsia="zh-CN"/>
        </w:rPr>
        <w:t>承包人</w:t>
      </w:r>
      <w:r>
        <w:rPr>
          <w:rFonts w:hint="eastAsia" w:ascii="仿宋" w:hAnsi="仿宋" w:eastAsia="仿宋" w:cs="仿宋"/>
          <w:color w:val="auto"/>
          <w:sz w:val="24"/>
          <w:szCs w:val="24"/>
          <w:highlight w:val="none"/>
        </w:rPr>
        <w:t>同意，且不得严重背离合理设计周期 。</w:t>
      </w:r>
    </w:p>
    <w:p w14:paraId="5CF13801">
      <w:pPr>
        <w:pStyle w:val="95"/>
        <w:spacing w:line="360" w:lineRule="auto"/>
        <w:ind w:firstLine="480" w:firstLineChars="200"/>
        <w:jc w:val="left"/>
        <w:rPr>
          <w:rStyle w:val="100"/>
          <w:rFonts w:hint="eastAsia" w:ascii="仿宋" w:hAnsi="仿宋" w:eastAsia="仿宋" w:cs="仿宋"/>
          <w:color w:val="auto"/>
          <w:sz w:val="24"/>
          <w:szCs w:val="24"/>
          <w:highlight w:val="none"/>
        </w:rPr>
      </w:pPr>
      <w:r>
        <w:rPr>
          <w:rStyle w:val="100"/>
          <w:rFonts w:hint="eastAsia" w:ascii="仿宋" w:hAnsi="仿宋" w:eastAsia="仿宋" w:cs="仿宋"/>
          <w:color w:val="auto"/>
          <w:sz w:val="24"/>
          <w:szCs w:val="24"/>
          <w:highlight w:val="none"/>
          <w:lang w:val="en-US" w:eastAsia="zh-CN"/>
        </w:rPr>
        <w:t>5</w:t>
      </w:r>
      <w:r>
        <w:rPr>
          <w:rStyle w:val="100"/>
          <w:rFonts w:hint="eastAsia" w:ascii="仿宋" w:hAnsi="仿宋" w:eastAsia="仿宋" w:cs="仿宋"/>
          <w:color w:val="auto"/>
          <w:sz w:val="24"/>
          <w:szCs w:val="24"/>
          <w:highlight w:val="none"/>
          <w:lang w:val="zh-TW"/>
        </w:rPr>
        <w:t>.1.6</w:t>
      </w:r>
      <w:r>
        <w:rPr>
          <w:rStyle w:val="100"/>
          <w:rFonts w:hint="eastAsia" w:ascii="仿宋" w:hAnsi="仿宋" w:eastAsia="仿宋" w:cs="仿宋"/>
          <w:color w:val="auto"/>
          <w:sz w:val="24"/>
          <w:szCs w:val="24"/>
          <w:highlight w:val="none"/>
          <w:lang w:val="zh-TW" w:eastAsia="zh-TW"/>
        </w:rPr>
        <w:t>在合同履行期间，发包人的原因造成项目停建或缓建，发包人应根据合同约定按承包人实际完成设计工作量支付设计费。</w:t>
      </w:r>
    </w:p>
    <w:p w14:paraId="78580E47">
      <w:pPr>
        <w:pStyle w:val="5"/>
        <w:jc w:val="left"/>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 xml:space="preserve">6. </w:t>
      </w:r>
      <w:r>
        <w:rPr>
          <w:rFonts w:hint="eastAsia" w:ascii="仿宋" w:hAnsi="仿宋" w:eastAsia="仿宋" w:cs="仿宋"/>
          <w:color w:val="auto"/>
          <w:highlight w:val="none"/>
          <w:lang w:val="zh-TW" w:eastAsia="zh-CN"/>
        </w:rPr>
        <w:t>承包人</w:t>
      </w:r>
      <w:r>
        <w:rPr>
          <w:rFonts w:hint="eastAsia" w:ascii="仿宋" w:hAnsi="仿宋" w:eastAsia="仿宋" w:cs="仿宋"/>
          <w:color w:val="auto"/>
          <w:highlight w:val="none"/>
          <w:lang w:val="en-US" w:eastAsia="zh-CN"/>
        </w:rPr>
        <w:t>权利义务</w:t>
      </w:r>
    </w:p>
    <w:p w14:paraId="6371E00A">
      <w:pPr>
        <w:pStyle w:val="95"/>
        <w:spacing w:line="360" w:lineRule="auto"/>
        <w:ind w:firstLine="480" w:firstLineChars="200"/>
        <w:jc w:val="left"/>
        <w:rPr>
          <w:rStyle w:val="100"/>
          <w:rFonts w:hint="eastAsia" w:ascii="仿宋" w:hAnsi="仿宋" w:eastAsia="仿宋" w:cs="仿宋"/>
          <w:color w:val="auto"/>
          <w:sz w:val="24"/>
          <w:szCs w:val="24"/>
          <w:highlight w:val="none"/>
        </w:rPr>
      </w:pPr>
      <w:r>
        <w:rPr>
          <w:rStyle w:val="100"/>
          <w:rFonts w:hint="eastAsia" w:ascii="仿宋" w:hAnsi="仿宋" w:eastAsia="仿宋" w:cs="仿宋"/>
          <w:color w:val="auto"/>
          <w:sz w:val="24"/>
          <w:szCs w:val="24"/>
          <w:highlight w:val="none"/>
          <w:lang w:val="en-US" w:eastAsia="zh-CN"/>
        </w:rPr>
        <w:t>6</w:t>
      </w:r>
      <w:r>
        <w:rPr>
          <w:rStyle w:val="100"/>
          <w:rFonts w:hint="eastAsia" w:ascii="仿宋" w:hAnsi="仿宋" w:eastAsia="仿宋" w:cs="仿宋"/>
          <w:color w:val="auto"/>
          <w:sz w:val="24"/>
          <w:szCs w:val="24"/>
          <w:highlight w:val="none"/>
        </w:rPr>
        <w:t xml:space="preserve">.1 </w:t>
      </w:r>
      <w:r>
        <w:rPr>
          <w:rStyle w:val="100"/>
          <w:rFonts w:hint="eastAsia" w:ascii="仿宋" w:hAnsi="仿宋" w:eastAsia="仿宋" w:cs="仿宋"/>
          <w:color w:val="auto"/>
          <w:sz w:val="24"/>
          <w:szCs w:val="24"/>
          <w:highlight w:val="none"/>
          <w:lang w:val="zh-TW" w:eastAsia="zh-CN"/>
        </w:rPr>
        <w:t>承包人</w:t>
      </w:r>
      <w:r>
        <w:rPr>
          <w:rStyle w:val="100"/>
          <w:rFonts w:hint="eastAsia" w:ascii="仿宋" w:hAnsi="仿宋" w:cs="仿宋"/>
          <w:color w:val="auto"/>
          <w:sz w:val="24"/>
          <w:szCs w:val="24"/>
          <w:highlight w:val="none"/>
          <w:lang w:val="en-US" w:eastAsia="zh-CN"/>
        </w:rPr>
        <w:t>须</w:t>
      </w:r>
      <w:r>
        <w:rPr>
          <w:rStyle w:val="100"/>
          <w:rFonts w:hint="eastAsia" w:ascii="仿宋" w:hAnsi="仿宋" w:eastAsia="仿宋" w:cs="仿宋"/>
          <w:color w:val="auto"/>
          <w:kern w:val="0"/>
          <w:sz w:val="24"/>
          <w:szCs w:val="24"/>
          <w:highlight w:val="none"/>
          <w:lang w:val="zh-TW" w:eastAsia="zh-TW"/>
        </w:rPr>
        <w:t>配合发包人办理有关许可、批准或备案手续。</w:t>
      </w:r>
    </w:p>
    <w:p w14:paraId="5CD78921">
      <w:pPr>
        <w:pStyle w:val="95"/>
        <w:spacing w:line="360" w:lineRule="auto"/>
        <w:ind w:firstLine="480" w:firstLineChars="200"/>
        <w:jc w:val="left"/>
        <w:rPr>
          <w:rStyle w:val="100"/>
          <w:rFonts w:hint="eastAsia" w:ascii="仿宋" w:hAnsi="仿宋" w:eastAsia="仿宋" w:cs="仿宋"/>
          <w:color w:val="auto"/>
          <w:sz w:val="24"/>
          <w:szCs w:val="24"/>
          <w:highlight w:val="none"/>
        </w:rPr>
      </w:pPr>
      <w:r>
        <w:rPr>
          <w:rStyle w:val="100"/>
          <w:rFonts w:hint="eastAsia" w:ascii="仿宋" w:hAnsi="仿宋" w:eastAsia="仿宋" w:cs="仿宋"/>
          <w:color w:val="auto"/>
          <w:sz w:val="24"/>
          <w:szCs w:val="24"/>
          <w:highlight w:val="none"/>
          <w:lang w:val="en-US" w:eastAsia="zh-CN"/>
        </w:rPr>
        <w:t>6.2</w:t>
      </w:r>
      <w:r>
        <w:rPr>
          <w:rStyle w:val="100"/>
          <w:rFonts w:hint="eastAsia" w:ascii="仿宋" w:hAnsi="仿宋" w:eastAsia="仿宋" w:cs="仿宋"/>
          <w:color w:val="auto"/>
          <w:sz w:val="24"/>
          <w:szCs w:val="24"/>
          <w:highlight w:val="none"/>
          <w:lang w:eastAsia="zh-CN"/>
        </w:rPr>
        <w:t>承包人</w:t>
      </w:r>
      <w:r>
        <w:rPr>
          <w:rStyle w:val="100"/>
          <w:rFonts w:hint="eastAsia" w:ascii="仿宋" w:hAnsi="仿宋" w:eastAsia="仿宋" w:cs="仿宋"/>
          <w:color w:val="auto"/>
          <w:sz w:val="24"/>
          <w:szCs w:val="24"/>
          <w:highlight w:val="none"/>
        </w:rPr>
        <w:t>应积极主动配合发包人推进政府确定设计边界条件（包括红线范围内及其它本工程范围内需确定的边界条件），针对政府及发包人的特殊要求应积极配合并提出有效建议，以保证项目进度要求。</w:t>
      </w:r>
    </w:p>
    <w:p w14:paraId="53B49A31">
      <w:pPr>
        <w:pStyle w:val="95"/>
        <w:spacing w:line="360" w:lineRule="auto"/>
        <w:ind w:firstLine="480" w:firstLineChars="200"/>
        <w:jc w:val="left"/>
        <w:rPr>
          <w:rStyle w:val="100"/>
          <w:rFonts w:hint="eastAsia" w:ascii="仿宋" w:hAnsi="仿宋" w:eastAsia="仿宋" w:cs="仿宋"/>
          <w:color w:val="auto"/>
          <w:sz w:val="24"/>
          <w:szCs w:val="24"/>
          <w:highlight w:val="none"/>
        </w:rPr>
      </w:pPr>
      <w:r>
        <w:rPr>
          <w:rStyle w:val="100"/>
          <w:rFonts w:hint="eastAsia" w:ascii="仿宋" w:hAnsi="仿宋" w:eastAsia="仿宋" w:cs="仿宋"/>
          <w:color w:val="auto"/>
          <w:sz w:val="24"/>
          <w:szCs w:val="24"/>
          <w:highlight w:val="none"/>
          <w:lang w:val="en-US" w:eastAsia="zh-CN"/>
        </w:rPr>
        <w:t>6.3</w:t>
      </w:r>
      <w:r>
        <w:rPr>
          <w:rStyle w:val="100"/>
          <w:rFonts w:hint="eastAsia" w:ascii="仿宋" w:hAnsi="仿宋" w:eastAsia="仿宋" w:cs="仿宋"/>
          <w:color w:val="auto"/>
          <w:sz w:val="24"/>
          <w:szCs w:val="24"/>
          <w:highlight w:val="none"/>
          <w:lang w:eastAsia="zh-CN"/>
        </w:rPr>
        <w:t>承包人</w:t>
      </w:r>
      <w:r>
        <w:rPr>
          <w:rStyle w:val="100"/>
          <w:rFonts w:hint="eastAsia" w:ascii="仿宋" w:hAnsi="仿宋" w:eastAsia="仿宋" w:cs="仿宋"/>
          <w:color w:val="auto"/>
          <w:sz w:val="24"/>
          <w:szCs w:val="24"/>
          <w:highlight w:val="none"/>
        </w:rPr>
        <w:t>应按国家规定和合同约定的技术规范、标准进行设计，按合同约定向发包人交付设计文件。</w:t>
      </w:r>
      <w:r>
        <w:rPr>
          <w:rStyle w:val="100"/>
          <w:rFonts w:hint="eastAsia" w:ascii="仿宋" w:hAnsi="仿宋" w:eastAsia="仿宋" w:cs="仿宋"/>
          <w:color w:val="auto"/>
          <w:sz w:val="24"/>
          <w:szCs w:val="24"/>
          <w:highlight w:val="none"/>
          <w:lang w:eastAsia="zh-CN"/>
        </w:rPr>
        <w:t>承包人</w:t>
      </w:r>
      <w:r>
        <w:rPr>
          <w:rStyle w:val="100"/>
          <w:rFonts w:hint="eastAsia" w:ascii="仿宋" w:hAnsi="仿宋" w:eastAsia="仿宋" w:cs="仿宋"/>
          <w:color w:val="auto"/>
          <w:sz w:val="24"/>
          <w:szCs w:val="24"/>
          <w:highlight w:val="none"/>
        </w:rPr>
        <w:t>为本合同工程所采用的国家或地方标准、图集及其他所需相关资料，由</w:t>
      </w:r>
      <w:r>
        <w:rPr>
          <w:rStyle w:val="100"/>
          <w:rFonts w:hint="eastAsia" w:ascii="仿宋" w:hAnsi="仿宋" w:eastAsia="仿宋" w:cs="仿宋"/>
          <w:color w:val="auto"/>
          <w:sz w:val="24"/>
          <w:szCs w:val="24"/>
          <w:highlight w:val="none"/>
          <w:lang w:eastAsia="zh-CN"/>
        </w:rPr>
        <w:t>承包人</w:t>
      </w:r>
      <w:r>
        <w:rPr>
          <w:rStyle w:val="100"/>
          <w:rFonts w:hint="eastAsia" w:ascii="仿宋" w:hAnsi="仿宋" w:eastAsia="仿宋" w:cs="仿宋"/>
          <w:color w:val="auto"/>
          <w:sz w:val="24"/>
          <w:szCs w:val="24"/>
          <w:highlight w:val="none"/>
        </w:rPr>
        <w:t>负责向有关部门购买。</w:t>
      </w:r>
    </w:p>
    <w:p w14:paraId="528C3685">
      <w:pPr>
        <w:pStyle w:val="95"/>
        <w:spacing w:line="360" w:lineRule="auto"/>
        <w:ind w:firstLine="480" w:firstLineChars="200"/>
        <w:jc w:val="left"/>
        <w:rPr>
          <w:rStyle w:val="100"/>
          <w:rFonts w:hint="eastAsia" w:ascii="仿宋" w:hAnsi="仿宋" w:eastAsia="仿宋" w:cs="仿宋"/>
          <w:color w:val="auto"/>
          <w:sz w:val="24"/>
          <w:szCs w:val="24"/>
          <w:highlight w:val="none"/>
        </w:rPr>
      </w:pPr>
      <w:r>
        <w:rPr>
          <w:rStyle w:val="100"/>
          <w:rFonts w:hint="eastAsia" w:ascii="仿宋" w:hAnsi="仿宋" w:eastAsia="仿宋" w:cs="仿宋"/>
          <w:color w:val="auto"/>
          <w:sz w:val="24"/>
          <w:szCs w:val="24"/>
          <w:highlight w:val="none"/>
          <w:lang w:val="en-US" w:eastAsia="zh-CN"/>
        </w:rPr>
        <w:t>6.4</w:t>
      </w:r>
      <w:r>
        <w:rPr>
          <w:rStyle w:val="100"/>
          <w:rFonts w:hint="eastAsia" w:ascii="仿宋" w:hAnsi="仿宋" w:eastAsia="仿宋" w:cs="仿宋"/>
          <w:color w:val="auto"/>
          <w:sz w:val="24"/>
          <w:szCs w:val="24"/>
          <w:highlight w:val="none"/>
          <w:lang w:eastAsia="zh-CN"/>
        </w:rPr>
        <w:t>承包人</w:t>
      </w:r>
      <w:r>
        <w:rPr>
          <w:rStyle w:val="100"/>
          <w:rFonts w:hint="eastAsia" w:ascii="仿宋" w:hAnsi="仿宋" w:eastAsia="仿宋" w:cs="仿宋"/>
          <w:color w:val="auto"/>
          <w:sz w:val="24"/>
          <w:szCs w:val="24"/>
          <w:highlight w:val="none"/>
        </w:rPr>
        <w:t>应对发包人提供的各种资料进行复核，如发现问题，及时通知发包人。</w:t>
      </w:r>
    </w:p>
    <w:p w14:paraId="74D8D915">
      <w:pPr>
        <w:pStyle w:val="95"/>
        <w:spacing w:line="360" w:lineRule="auto"/>
        <w:ind w:firstLine="480" w:firstLineChars="200"/>
        <w:jc w:val="left"/>
        <w:rPr>
          <w:rStyle w:val="100"/>
          <w:rFonts w:hint="eastAsia" w:ascii="仿宋" w:hAnsi="仿宋" w:eastAsia="仿宋" w:cs="仿宋"/>
          <w:color w:val="auto"/>
          <w:sz w:val="24"/>
          <w:szCs w:val="24"/>
          <w:highlight w:val="none"/>
        </w:rPr>
      </w:pPr>
      <w:r>
        <w:rPr>
          <w:rStyle w:val="100"/>
          <w:rFonts w:hint="eastAsia" w:ascii="仿宋" w:hAnsi="仿宋" w:eastAsia="仿宋" w:cs="仿宋"/>
          <w:color w:val="auto"/>
          <w:sz w:val="24"/>
          <w:szCs w:val="24"/>
          <w:highlight w:val="none"/>
          <w:lang w:val="en-US" w:eastAsia="zh-CN"/>
        </w:rPr>
        <w:t>6.5</w:t>
      </w:r>
      <w:r>
        <w:rPr>
          <w:rStyle w:val="100"/>
          <w:rFonts w:hint="eastAsia" w:ascii="仿宋" w:hAnsi="仿宋" w:eastAsia="仿宋" w:cs="仿宋"/>
          <w:color w:val="auto"/>
          <w:sz w:val="24"/>
          <w:szCs w:val="24"/>
          <w:highlight w:val="none"/>
          <w:lang w:eastAsia="zh-CN"/>
        </w:rPr>
        <w:t>承包人</w:t>
      </w:r>
      <w:r>
        <w:rPr>
          <w:rStyle w:val="100"/>
          <w:rFonts w:hint="eastAsia" w:ascii="仿宋" w:hAnsi="仿宋" w:eastAsia="仿宋" w:cs="仿宋"/>
          <w:color w:val="auto"/>
          <w:sz w:val="24"/>
          <w:szCs w:val="24"/>
          <w:highlight w:val="none"/>
        </w:rPr>
        <w:t>应对设计成果负责，不得因发包人或其他相关责任人的要求违反国家法律法规、违反相关规范规程、违反相关设计标准，或造成已完工程功能丧失。根据国家有关规定确定合理设计使用年限。</w:t>
      </w:r>
    </w:p>
    <w:p w14:paraId="3E0D00E7">
      <w:pPr>
        <w:pStyle w:val="95"/>
        <w:spacing w:line="360" w:lineRule="auto"/>
        <w:ind w:firstLine="480" w:firstLineChars="200"/>
        <w:jc w:val="left"/>
        <w:rPr>
          <w:rStyle w:val="100"/>
          <w:rFonts w:hint="eastAsia" w:ascii="仿宋" w:hAnsi="仿宋" w:eastAsia="仿宋" w:cs="仿宋"/>
          <w:color w:val="auto"/>
          <w:sz w:val="24"/>
          <w:szCs w:val="24"/>
          <w:highlight w:val="none"/>
        </w:rPr>
      </w:pPr>
      <w:r>
        <w:rPr>
          <w:rStyle w:val="100"/>
          <w:rFonts w:hint="eastAsia" w:ascii="仿宋" w:hAnsi="仿宋" w:eastAsia="仿宋" w:cs="仿宋"/>
          <w:color w:val="auto"/>
          <w:sz w:val="24"/>
          <w:szCs w:val="24"/>
          <w:highlight w:val="none"/>
          <w:lang w:val="en-US" w:eastAsia="zh-CN"/>
        </w:rPr>
        <w:t>6.6</w:t>
      </w:r>
      <w:r>
        <w:rPr>
          <w:rStyle w:val="100"/>
          <w:rFonts w:hint="eastAsia" w:ascii="仿宋" w:hAnsi="仿宋" w:eastAsia="仿宋" w:cs="仿宋"/>
          <w:color w:val="auto"/>
          <w:sz w:val="24"/>
          <w:szCs w:val="24"/>
          <w:highlight w:val="none"/>
          <w:lang w:eastAsia="zh-CN"/>
        </w:rPr>
        <w:t>承包人</w:t>
      </w:r>
      <w:r>
        <w:rPr>
          <w:rStyle w:val="100"/>
          <w:rFonts w:hint="eastAsia" w:ascii="仿宋" w:hAnsi="仿宋" w:eastAsia="仿宋" w:cs="仿宋"/>
          <w:color w:val="auto"/>
          <w:sz w:val="24"/>
          <w:szCs w:val="24"/>
          <w:highlight w:val="none"/>
        </w:rPr>
        <w:t>对设计文件出现的遗漏或错误负责，并按发包人要求的期限完成修改或补充。在未造成损失前，</w:t>
      </w:r>
      <w:r>
        <w:rPr>
          <w:rStyle w:val="100"/>
          <w:rFonts w:hint="eastAsia" w:ascii="仿宋" w:hAnsi="仿宋" w:eastAsia="仿宋" w:cs="仿宋"/>
          <w:color w:val="auto"/>
          <w:sz w:val="24"/>
          <w:szCs w:val="24"/>
          <w:highlight w:val="none"/>
          <w:lang w:eastAsia="zh-CN"/>
        </w:rPr>
        <w:t>承包人</w:t>
      </w:r>
      <w:r>
        <w:rPr>
          <w:rStyle w:val="100"/>
          <w:rFonts w:hint="eastAsia" w:ascii="仿宋" w:hAnsi="仿宋" w:eastAsia="仿宋" w:cs="仿宋"/>
          <w:color w:val="auto"/>
          <w:sz w:val="24"/>
          <w:szCs w:val="24"/>
          <w:highlight w:val="none"/>
        </w:rPr>
        <w:t>发现设计存在遗漏或错误的，应及时上报发包人，并应及时修改或补充，且工期不予顺延。如因设计遗漏或错误造成损失，则</w:t>
      </w:r>
      <w:r>
        <w:rPr>
          <w:rStyle w:val="100"/>
          <w:rFonts w:hint="eastAsia" w:ascii="仿宋" w:hAnsi="仿宋" w:eastAsia="仿宋" w:cs="仿宋"/>
          <w:color w:val="auto"/>
          <w:sz w:val="24"/>
          <w:szCs w:val="24"/>
          <w:highlight w:val="none"/>
          <w:lang w:eastAsia="zh-CN"/>
        </w:rPr>
        <w:t>承包人</w:t>
      </w:r>
      <w:r>
        <w:rPr>
          <w:rStyle w:val="100"/>
          <w:rFonts w:hint="eastAsia" w:ascii="仿宋" w:hAnsi="仿宋" w:eastAsia="仿宋" w:cs="仿宋"/>
          <w:color w:val="auto"/>
          <w:sz w:val="24"/>
          <w:szCs w:val="24"/>
          <w:highlight w:val="none"/>
        </w:rPr>
        <w:t>应赔偿发包人因此造成的损失。</w:t>
      </w:r>
    </w:p>
    <w:p w14:paraId="13E86494">
      <w:pPr>
        <w:pStyle w:val="95"/>
        <w:spacing w:line="360" w:lineRule="auto"/>
        <w:ind w:firstLine="480" w:firstLineChars="200"/>
        <w:jc w:val="left"/>
        <w:rPr>
          <w:rStyle w:val="100"/>
          <w:rFonts w:hint="eastAsia" w:ascii="仿宋" w:hAnsi="仿宋" w:eastAsia="仿宋" w:cs="仿宋"/>
          <w:color w:val="auto"/>
          <w:sz w:val="24"/>
          <w:szCs w:val="24"/>
          <w:highlight w:val="none"/>
        </w:rPr>
      </w:pPr>
      <w:r>
        <w:rPr>
          <w:rStyle w:val="100"/>
          <w:rFonts w:hint="eastAsia" w:ascii="仿宋" w:hAnsi="仿宋" w:eastAsia="仿宋" w:cs="仿宋"/>
          <w:color w:val="auto"/>
          <w:sz w:val="24"/>
          <w:szCs w:val="24"/>
          <w:highlight w:val="none"/>
          <w:lang w:val="en-US" w:eastAsia="zh-CN"/>
        </w:rPr>
        <w:t>6.7</w:t>
      </w:r>
      <w:r>
        <w:rPr>
          <w:rStyle w:val="100"/>
          <w:rFonts w:hint="eastAsia" w:ascii="仿宋" w:hAnsi="仿宋" w:eastAsia="仿宋" w:cs="仿宋"/>
          <w:color w:val="auto"/>
          <w:sz w:val="24"/>
          <w:szCs w:val="24"/>
          <w:highlight w:val="none"/>
          <w:lang w:eastAsia="zh-CN"/>
        </w:rPr>
        <w:t>承包人</w:t>
      </w:r>
      <w:r>
        <w:rPr>
          <w:rStyle w:val="100"/>
          <w:rFonts w:hint="eastAsia" w:ascii="仿宋" w:hAnsi="仿宋" w:eastAsia="仿宋" w:cs="仿宋"/>
          <w:color w:val="auto"/>
          <w:sz w:val="24"/>
          <w:szCs w:val="24"/>
          <w:highlight w:val="none"/>
        </w:rPr>
        <w:t>不得指定或变相指定建筑材料、设备的生产厂或供货商；涉及使用专利技术或产品应征得发包人书面同意。</w:t>
      </w:r>
    </w:p>
    <w:p w14:paraId="55674041">
      <w:pPr>
        <w:pStyle w:val="95"/>
        <w:spacing w:line="360" w:lineRule="auto"/>
        <w:ind w:firstLine="480" w:firstLineChars="200"/>
        <w:jc w:val="left"/>
        <w:rPr>
          <w:rStyle w:val="100"/>
          <w:rFonts w:hint="eastAsia" w:ascii="仿宋" w:hAnsi="仿宋" w:eastAsia="仿宋" w:cs="仿宋"/>
          <w:color w:val="auto"/>
          <w:sz w:val="24"/>
          <w:szCs w:val="24"/>
          <w:highlight w:val="none"/>
        </w:rPr>
      </w:pPr>
      <w:r>
        <w:rPr>
          <w:rStyle w:val="100"/>
          <w:rFonts w:hint="eastAsia" w:ascii="仿宋" w:hAnsi="仿宋" w:eastAsia="仿宋" w:cs="仿宋"/>
          <w:color w:val="auto"/>
          <w:sz w:val="24"/>
          <w:szCs w:val="24"/>
          <w:highlight w:val="none"/>
          <w:lang w:val="en-US" w:eastAsia="zh-CN"/>
        </w:rPr>
        <w:t>6.8</w:t>
      </w:r>
      <w:r>
        <w:rPr>
          <w:rStyle w:val="100"/>
          <w:rFonts w:hint="eastAsia" w:ascii="仿宋" w:hAnsi="仿宋" w:eastAsia="仿宋" w:cs="仿宋"/>
          <w:color w:val="auto"/>
          <w:sz w:val="24"/>
          <w:szCs w:val="24"/>
          <w:highlight w:val="none"/>
          <w:lang w:eastAsia="zh-CN"/>
        </w:rPr>
        <w:t>承包人</w:t>
      </w:r>
      <w:r>
        <w:rPr>
          <w:rStyle w:val="100"/>
          <w:rFonts w:hint="eastAsia" w:ascii="仿宋" w:hAnsi="仿宋" w:eastAsia="仿宋" w:cs="仿宋"/>
          <w:color w:val="auto"/>
          <w:sz w:val="24"/>
          <w:szCs w:val="24"/>
          <w:highlight w:val="none"/>
        </w:rPr>
        <w:t>应按发包人要求时间节点完成工作并提交工作成果。</w:t>
      </w:r>
    </w:p>
    <w:p w14:paraId="57DCEE7B">
      <w:pPr>
        <w:pStyle w:val="95"/>
        <w:spacing w:line="360" w:lineRule="auto"/>
        <w:ind w:firstLine="480" w:firstLineChars="200"/>
        <w:jc w:val="left"/>
        <w:rPr>
          <w:rStyle w:val="100"/>
          <w:rFonts w:hint="eastAsia" w:ascii="仿宋" w:hAnsi="仿宋" w:eastAsia="仿宋" w:cs="仿宋"/>
          <w:color w:val="auto"/>
          <w:sz w:val="24"/>
          <w:szCs w:val="24"/>
          <w:highlight w:val="none"/>
        </w:rPr>
      </w:pPr>
      <w:r>
        <w:rPr>
          <w:rStyle w:val="100"/>
          <w:rFonts w:hint="eastAsia" w:ascii="仿宋" w:hAnsi="仿宋" w:eastAsia="仿宋" w:cs="仿宋"/>
          <w:color w:val="auto"/>
          <w:sz w:val="24"/>
          <w:szCs w:val="24"/>
          <w:highlight w:val="none"/>
          <w:lang w:val="en-US" w:eastAsia="zh-CN"/>
        </w:rPr>
        <w:t>6.9</w:t>
      </w:r>
      <w:r>
        <w:rPr>
          <w:rStyle w:val="100"/>
          <w:rFonts w:hint="eastAsia" w:ascii="仿宋" w:hAnsi="仿宋" w:eastAsia="仿宋" w:cs="仿宋"/>
          <w:color w:val="auto"/>
          <w:sz w:val="24"/>
          <w:szCs w:val="24"/>
          <w:highlight w:val="none"/>
          <w:lang w:eastAsia="zh-CN"/>
        </w:rPr>
        <w:t>承包人</w:t>
      </w:r>
      <w:r>
        <w:rPr>
          <w:rStyle w:val="100"/>
          <w:rFonts w:hint="eastAsia" w:ascii="仿宋" w:hAnsi="仿宋" w:eastAsia="仿宋" w:cs="仿宋"/>
          <w:color w:val="auto"/>
          <w:sz w:val="24"/>
          <w:szCs w:val="24"/>
          <w:highlight w:val="none"/>
        </w:rPr>
        <w:t>应根据立项批复的工程总投资额或发包人要求，按照国家和项目所在地现行的相关法律、法规、规范和技术标准进行限额设计。积极配合发包人或主动开展设计优化工作、提出合理化建议。</w:t>
      </w:r>
    </w:p>
    <w:p w14:paraId="51B5C39E">
      <w:pPr>
        <w:pStyle w:val="95"/>
        <w:spacing w:line="360" w:lineRule="auto"/>
        <w:ind w:firstLine="480" w:firstLineChars="200"/>
        <w:jc w:val="left"/>
        <w:rPr>
          <w:rStyle w:val="100"/>
          <w:rFonts w:hint="eastAsia" w:ascii="仿宋" w:hAnsi="仿宋" w:eastAsia="仿宋" w:cs="仿宋"/>
          <w:color w:val="auto"/>
          <w:sz w:val="24"/>
          <w:szCs w:val="24"/>
          <w:highlight w:val="none"/>
        </w:rPr>
      </w:pPr>
      <w:r>
        <w:rPr>
          <w:rStyle w:val="100"/>
          <w:rFonts w:hint="eastAsia" w:ascii="仿宋" w:hAnsi="仿宋" w:eastAsia="仿宋" w:cs="仿宋"/>
          <w:color w:val="auto"/>
          <w:sz w:val="24"/>
          <w:szCs w:val="24"/>
          <w:highlight w:val="none"/>
          <w:lang w:val="en-US" w:eastAsia="zh-CN"/>
        </w:rPr>
        <w:t>6.1</w:t>
      </w:r>
      <w:r>
        <w:rPr>
          <w:rStyle w:val="100"/>
          <w:rFonts w:hint="eastAsia" w:ascii="仿宋" w:hAnsi="仿宋" w:cs="仿宋"/>
          <w:color w:val="auto"/>
          <w:sz w:val="24"/>
          <w:szCs w:val="24"/>
          <w:highlight w:val="none"/>
          <w:lang w:val="en-US" w:eastAsia="zh-CN"/>
        </w:rPr>
        <w:t>0</w:t>
      </w:r>
      <w:r>
        <w:rPr>
          <w:rStyle w:val="100"/>
          <w:rFonts w:hint="eastAsia" w:ascii="仿宋" w:hAnsi="仿宋" w:eastAsia="仿宋" w:cs="仿宋"/>
          <w:color w:val="auto"/>
          <w:sz w:val="24"/>
          <w:szCs w:val="24"/>
          <w:highlight w:val="none"/>
          <w:lang w:eastAsia="zh-CN"/>
        </w:rPr>
        <w:t>承包人</w:t>
      </w:r>
      <w:r>
        <w:rPr>
          <w:rStyle w:val="100"/>
          <w:rFonts w:hint="eastAsia" w:ascii="仿宋" w:hAnsi="仿宋" w:eastAsia="仿宋" w:cs="仿宋"/>
          <w:color w:val="auto"/>
          <w:sz w:val="24"/>
          <w:szCs w:val="24"/>
          <w:highlight w:val="none"/>
        </w:rPr>
        <w:t>应按发包人要求配合完成项目相关的方案或设计调整、现场踏勘、会议交流等工作。</w:t>
      </w:r>
    </w:p>
    <w:p w14:paraId="451E638F">
      <w:pPr>
        <w:pStyle w:val="95"/>
        <w:spacing w:line="360" w:lineRule="auto"/>
        <w:ind w:firstLine="480" w:firstLineChars="200"/>
        <w:jc w:val="left"/>
        <w:rPr>
          <w:rStyle w:val="100"/>
          <w:rFonts w:hint="eastAsia" w:ascii="仿宋" w:hAnsi="仿宋" w:eastAsia="仿宋" w:cs="仿宋"/>
          <w:color w:val="auto"/>
          <w:sz w:val="24"/>
          <w:szCs w:val="24"/>
          <w:highlight w:val="none"/>
        </w:rPr>
      </w:pPr>
      <w:r>
        <w:rPr>
          <w:rStyle w:val="100"/>
          <w:rFonts w:hint="eastAsia" w:ascii="仿宋" w:hAnsi="仿宋" w:eastAsia="仿宋" w:cs="仿宋"/>
          <w:color w:val="auto"/>
          <w:sz w:val="24"/>
          <w:szCs w:val="24"/>
          <w:highlight w:val="none"/>
          <w:lang w:val="en-US" w:eastAsia="zh-CN"/>
        </w:rPr>
        <w:t>6.1</w:t>
      </w:r>
      <w:r>
        <w:rPr>
          <w:rStyle w:val="100"/>
          <w:rFonts w:hint="eastAsia" w:ascii="仿宋" w:hAnsi="仿宋" w:cs="仿宋"/>
          <w:color w:val="auto"/>
          <w:sz w:val="24"/>
          <w:szCs w:val="24"/>
          <w:highlight w:val="none"/>
          <w:lang w:val="en-US" w:eastAsia="zh-CN"/>
        </w:rPr>
        <w:t>1</w:t>
      </w:r>
      <w:r>
        <w:rPr>
          <w:rStyle w:val="100"/>
          <w:rFonts w:hint="eastAsia" w:ascii="仿宋" w:hAnsi="仿宋" w:eastAsia="仿宋" w:cs="仿宋"/>
          <w:color w:val="auto"/>
          <w:sz w:val="24"/>
          <w:szCs w:val="24"/>
          <w:highlight w:val="none"/>
        </w:rPr>
        <w:t>在施工过程中，如有设计变更，</w:t>
      </w:r>
      <w:r>
        <w:rPr>
          <w:rStyle w:val="100"/>
          <w:rFonts w:hint="eastAsia" w:ascii="仿宋" w:hAnsi="仿宋" w:eastAsia="仿宋" w:cs="仿宋"/>
          <w:color w:val="auto"/>
          <w:sz w:val="24"/>
          <w:szCs w:val="24"/>
          <w:highlight w:val="none"/>
          <w:lang w:eastAsia="zh-CN"/>
        </w:rPr>
        <w:t>承包人</w:t>
      </w:r>
      <w:r>
        <w:rPr>
          <w:rStyle w:val="100"/>
          <w:rFonts w:hint="eastAsia" w:ascii="仿宋" w:hAnsi="仿宋" w:eastAsia="仿宋" w:cs="仿宋"/>
          <w:color w:val="auto"/>
          <w:sz w:val="24"/>
          <w:szCs w:val="24"/>
          <w:highlight w:val="none"/>
        </w:rPr>
        <w:t>在征得发包人书面同意后才能发出施工图或设计变更通知。</w:t>
      </w:r>
    </w:p>
    <w:p w14:paraId="39DE32A7">
      <w:pPr>
        <w:pStyle w:val="95"/>
        <w:spacing w:line="360" w:lineRule="auto"/>
        <w:ind w:firstLine="480" w:firstLineChars="200"/>
        <w:jc w:val="left"/>
        <w:rPr>
          <w:rStyle w:val="100"/>
          <w:rFonts w:hint="eastAsia" w:ascii="仿宋" w:hAnsi="仿宋" w:eastAsia="仿宋" w:cs="仿宋"/>
          <w:color w:val="auto"/>
          <w:sz w:val="24"/>
          <w:szCs w:val="24"/>
          <w:highlight w:val="none"/>
        </w:rPr>
      </w:pPr>
      <w:r>
        <w:rPr>
          <w:rStyle w:val="100"/>
          <w:rFonts w:hint="eastAsia" w:ascii="仿宋" w:hAnsi="仿宋" w:eastAsia="仿宋" w:cs="仿宋"/>
          <w:color w:val="auto"/>
          <w:sz w:val="24"/>
          <w:szCs w:val="24"/>
          <w:highlight w:val="none"/>
          <w:lang w:val="en-US" w:eastAsia="zh-CN"/>
        </w:rPr>
        <w:t>6.1</w:t>
      </w:r>
      <w:r>
        <w:rPr>
          <w:rStyle w:val="100"/>
          <w:rFonts w:hint="eastAsia" w:ascii="仿宋" w:hAnsi="仿宋" w:cs="仿宋"/>
          <w:color w:val="auto"/>
          <w:sz w:val="24"/>
          <w:szCs w:val="24"/>
          <w:highlight w:val="none"/>
          <w:lang w:val="en-US" w:eastAsia="zh-CN"/>
        </w:rPr>
        <w:t>2</w:t>
      </w:r>
      <w:r>
        <w:rPr>
          <w:rStyle w:val="100"/>
          <w:rFonts w:hint="eastAsia" w:ascii="仿宋" w:hAnsi="仿宋" w:eastAsia="仿宋" w:cs="仿宋"/>
          <w:color w:val="auto"/>
          <w:sz w:val="24"/>
          <w:szCs w:val="24"/>
          <w:highlight w:val="none"/>
          <w:lang w:eastAsia="zh-CN"/>
        </w:rPr>
        <w:t>承包人</w:t>
      </w:r>
      <w:r>
        <w:rPr>
          <w:rStyle w:val="100"/>
          <w:rFonts w:hint="eastAsia" w:ascii="仿宋" w:hAnsi="仿宋" w:eastAsia="仿宋" w:cs="仿宋"/>
          <w:color w:val="auto"/>
          <w:sz w:val="24"/>
          <w:szCs w:val="24"/>
          <w:highlight w:val="none"/>
        </w:rPr>
        <w:t>交付设计文件后，按规定参加设计审查，并根据审查意见进行调整补充，直至审批通过为止。工程开始实施后，</w:t>
      </w:r>
      <w:r>
        <w:rPr>
          <w:rStyle w:val="100"/>
          <w:rFonts w:hint="eastAsia" w:ascii="仿宋" w:hAnsi="仿宋" w:eastAsia="仿宋" w:cs="仿宋"/>
          <w:color w:val="auto"/>
          <w:sz w:val="24"/>
          <w:szCs w:val="24"/>
          <w:highlight w:val="none"/>
          <w:lang w:eastAsia="zh-CN"/>
        </w:rPr>
        <w:t>承包人</w:t>
      </w:r>
      <w:r>
        <w:rPr>
          <w:rStyle w:val="100"/>
          <w:rFonts w:hint="eastAsia" w:ascii="仿宋" w:hAnsi="仿宋" w:eastAsia="仿宋" w:cs="仿宋"/>
          <w:color w:val="auto"/>
          <w:sz w:val="24"/>
          <w:szCs w:val="24"/>
          <w:highlight w:val="none"/>
        </w:rPr>
        <w:t>除按合同规定交付施工图纸外，还应负责向发包人和承包人、监理人进行设计交底、过程服务，解决施工过程中的有关设计问题，负责设计变更，派出现场代表参加隐蔽工程验收、工程竣工验收等相关工作。</w:t>
      </w:r>
    </w:p>
    <w:p w14:paraId="1C49F202">
      <w:pPr>
        <w:pStyle w:val="95"/>
        <w:spacing w:line="360" w:lineRule="auto"/>
        <w:ind w:firstLine="480" w:firstLineChars="200"/>
        <w:jc w:val="left"/>
        <w:rPr>
          <w:rStyle w:val="100"/>
          <w:rFonts w:hint="eastAsia" w:ascii="仿宋" w:hAnsi="仿宋" w:eastAsia="仿宋" w:cs="仿宋"/>
          <w:color w:val="auto"/>
          <w:sz w:val="24"/>
          <w:szCs w:val="24"/>
          <w:highlight w:val="none"/>
        </w:rPr>
      </w:pPr>
      <w:r>
        <w:rPr>
          <w:rStyle w:val="100"/>
          <w:rFonts w:hint="eastAsia" w:ascii="仿宋" w:hAnsi="仿宋" w:eastAsia="仿宋" w:cs="仿宋"/>
          <w:color w:val="auto"/>
          <w:sz w:val="24"/>
          <w:szCs w:val="24"/>
          <w:highlight w:val="none"/>
          <w:lang w:val="en-US" w:eastAsia="zh-CN"/>
        </w:rPr>
        <w:t>6.1</w:t>
      </w:r>
      <w:r>
        <w:rPr>
          <w:rStyle w:val="100"/>
          <w:rFonts w:hint="eastAsia" w:ascii="仿宋" w:hAnsi="仿宋" w:cs="仿宋"/>
          <w:color w:val="auto"/>
          <w:sz w:val="24"/>
          <w:szCs w:val="24"/>
          <w:highlight w:val="none"/>
          <w:lang w:val="en-US" w:eastAsia="zh-CN"/>
        </w:rPr>
        <w:t>3</w:t>
      </w:r>
      <w:r>
        <w:rPr>
          <w:rStyle w:val="100"/>
          <w:rFonts w:hint="eastAsia" w:ascii="仿宋" w:hAnsi="仿宋" w:eastAsia="仿宋" w:cs="仿宋"/>
          <w:color w:val="auto"/>
          <w:sz w:val="24"/>
          <w:szCs w:val="24"/>
          <w:highlight w:val="none"/>
          <w:lang w:eastAsia="zh-CN"/>
        </w:rPr>
        <w:t>承包人</w:t>
      </w:r>
      <w:r>
        <w:rPr>
          <w:rStyle w:val="100"/>
          <w:rFonts w:hint="eastAsia" w:ascii="仿宋" w:hAnsi="仿宋" w:eastAsia="仿宋" w:cs="仿宋"/>
          <w:color w:val="auto"/>
          <w:sz w:val="24"/>
          <w:szCs w:val="24"/>
          <w:highlight w:val="none"/>
        </w:rPr>
        <w:t>的设计代表应熟悉本工程的设计，并具有独立处理问题的能力。其职责是参加隐蔽工程验收，解决施工过程中的有关设计问题，负责现场设计变更等。设计代表的人数及人选应能满足工程施工及发包人需要。</w:t>
      </w:r>
      <w:r>
        <w:rPr>
          <w:rStyle w:val="100"/>
          <w:rFonts w:hint="eastAsia" w:ascii="仿宋" w:hAnsi="仿宋" w:eastAsia="仿宋" w:cs="仿宋"/>
          <w:color w:val="auto"/>
          <w:sz w:val="24"/>
          <w:szCs w:val="24"/>
          <w:highlight w:val="none"/>
          <w:lang w:eastAsia="zh-CN"/>
        </w:rPr>
        <w:t>承包人</w:t>
      </w:r>
      <w:r>
        <w:rPr>
          <w:rStyle w:val="100"/>
          <w:rFonts w:hint="eastAsia" w:ascii="仿宋" w:hAnsi="仿宋" w:eastAsia="仿宋" w:cs="仿宋"/>
          <w:color w:val="auto"/>
          <w:sz w:val="24"/>
          <w:szCs w:val="24"/>
          <w:highlight w:val="none"/>
        </w:rPr>
        <w:t>应按发包人要求参加本工程相关会议。</w:t>
      </w:r>
    </w:p>
    <w:p w14:paraId="5BD5F930">
      <w:pPr>
        <w:pStyle w:val="95"/>
        <w:spacing w:line="360" w:lineRule="auto"/>
        <w:ind w:firstLine="480" w:firstLineChars="200"/>
        <w:jc w:val="left"/>
        <w:rPr>
          <w:rStyle w:val="100"/>
          <w:rFonts w:hint="eastAsia" w:ascii="仿宋" w:hAnsi="仿宋" w:eastAsia="仿宋" w:cs="仿宋"/>
          <w:color w:val="auto"/>
          <w:sz w:val="24"/>
          <w:szCs w:val="24"/>
          <w:highlight w:val="none"/>
        </w:rPr>
      </w:pPr>
      <w:r>
        <w:rPr>
          <w:rStyle w:val="100"/>
          <w:rFonts w:hint="eastAsia" w:ascii="仿宋" w:hAnsi="仿宋" w:eastAsia="仿宋" w:cs="仿宋"/>
          <w:color w:val="auto"/>
          <w:sz w:val="24"/>
          <w:szCs w:val="24"/>
          <w:highlight w:val="none"/>
          <w:lang w:val="en-US" w:eastAsia="zh-CN"/>
        </w:rPr>
        <w:t>6.1</w:t>
      </w:r>
      <w:r>
        <w:rPr>
          <w:rStyle w:val="100"/>
          <w:rFonts w:hint="eastAsia" w:ascii="仿宋" w:hAnsi="仿宋" w:cs="仿宋"/>
          <w:color w:val="auto"/>
          <w:sz w:val="24"/>
          <w:szCs w:val="24"/>
          <w:highlight w:val="none"/>
          <w:lang w:val="en-US" w:eastAsia="zh-CN"/>
        </w:rPr>
        <w:t>4</w:t>
      </w:r>
      <w:r>
        <w:rPr>
          <w:rStyle w:val="100"/>
          <w:rFonts w:hint="eastAsia" w:ascii="仿宋" w:hAnsi="仿宋" w:eastAsia="仿宋" w:cs="仿宋"/>
          <w:color w:val="auto"/>
          <w:sz w:val="24"/>
          <w:szCs w:val="24"/>
          <w:highlight w:val="none"/>
          <w:lang w:eastAsia="zh-CN"/>
        </w:rPr>
        <w:t>承包人</w:t>
      </w:r>
      <w:r>
        <w:rPr>
          <w:rStyle w:val="100"/>
          <w:rFonts w:hint="eastAsia" w:ascii="仿宋" w:hAnsi="仿宋" w:eastAsia="仿宋" w:cs="仿宋"/>
          <w:color w:val="auto"/>
          <w:sz w:val="24"/>
          <w:szCs w:val="24"/>
          <w:highlight w:val="none"/>
        </w:rPr>
        <w:t>应按照发包人提出的里程碑时间，研究实现目标的具体技术措施和工程措施，及时提醒发包人为实现目标可能存在的困难和遇到的风险。</w:t>
      </w:r>
    </w:p>
    <w:p w14:paraId="3AC584B3">
      <w:pPr>
        <w:pStyle w:val="95"/>
        <w:spacing w:line="360" w:lineRule="auto"/>
        <w:ind w:firstLine="480" w:firstLineChars="200"/>
        <w:jc w:val="left"/>
        <w:rPr>
          <w:rStyle w:val="100"/>
          <w:rFonts w:hint="eastAsia" w:ascii="仿宋" w:hAnsi="仿宋" w:eastAsia="仿宋" w:cs="仿宋"/>
          <w:color w:val="auto"/>
          <w:sz w:val="24"/>
          <w:szCs w:val="24"/>
          <w:highlight w:val="none"/>
        </w:rPr>
      </w:pPr>
      <w:r>
        <w:rPr>
          <w:rStyle w:val="100"/>
          <w:rFonts w:hint="eastAsia" w:ascii="仿宋" w:hAnsi="仿宋" w:eastAsia="仿宋" w:cs="仿宋"/>
          <w:color w:val="auto"/>
          <w:sz w:val="24"/>
          <w:szCs w:val="24"/>
          <w:highlight w:val="none"/>
          <w:lang w:val="en-US" w:eastAsia="zh-CN"/>
        </w:rPr>
        <w:t>6.1</w:t>
      </w:r>
      <w:r>
        <w:rPr>
          <w:rStyle w:val="100"/>
          <w:rFonts w:hint="eastAsia" w:ascii="仿宋" w:hAnsi="仿宋" w:cs="仿宋"/>
          <w:color w:val="auto"/>
          <w:sz w:val="24"/>
          <w:szCs w:val="24"/>
          <w:highlight w:val="none"/>
          <w:lang w:val="en-US" w:eastAsia="zh-CN"/>
        </w:rPr>
        <w:t>5</w:t>
      </w:r>
      <w:r>
        <w:rPr>
          <w:rStyle w:val="100"/>
          <w:rFonts w:hint="eastAsia" w:ascii="仿宋" w:hAnsi="仿宋" w:eastAsia="仿宋" w:cs="仿宋"/>
          <w:color w:val="auto"/>
          <w:sz w:val="24"/>
          <w:szCs w:val="24"/>
          <w:highlight w:val="none"/>
          <w:lang w:eastAsia="zh-CN"/>
        </w:rPr>
        <w:t>承包人</w:t>
      </w:r>
      <w:r>
        <w:rPr>
          <w:rStyle w:val="100"/>
          <w:rFonts w:hint="eastAsia" w:ascii="仿宋" w:hAnsi="仿宋" w:eastAsia="仿宋" w:cs="仿宋"/>
          <w:color w:val="auto"/>
          <w:sz w:val="24"/>
          <w:szCs w:val="24"/>
          <w:highlight w:val="none"/>
        </w:rPr>
        <w:t>为本合同项目的服务至工程竣工为止。</w:t>
      </w:r>
    </w:p>
    <w:p w14:paraId="46808DD6">
      <w:pPr>
        <w:pStyle w:val="95"/>
        <w:spacing w:line="360" w:lineRule="auto"/>
        <w:ind w:firstLine="480" w:firstLineChars="200"/>
        <w:jc w:val="left"/>
        <w:rPr>
          <w:rStyle w:val="100"/>
          <w:rFonts w:hint="eastAsia" w:ascii="仿宋" w:hAnsi="仿宋" w:eastAsia="仿宋" w:cs="仿宋"/>
          <w:color w:val="auto"/>
          <w:sz w:val="24"/>
          <w:szCs w:val="24"/>
          <w:highlight w:val="none"/>
        </w:rPr>
      </w:pPr>
      <w:r>
        <w:rPr>
          <w:rStyle w:val="100"/>
          <w:rFonts w:hint="eastAsia" w:ascii="仿宋" w:hAnsi="仿宋" w:eastAsia="仿宋" w:cs="仿宋"/>
          <w:color w:val="auto"/>
          <w:sz w:val="24"/>
          <w:szCs w:val="24"/>
          <w:highlight w:val="none"/>
          <w:lang w:val="en-US" w:eastAsia="zh-CN"/>
        </w:rPr>
        <w:t>6.1</w:t>
      </w:r>
      <w:r>
        <w:rPr>
          <w:rStyle w:val="100"/>
          <w:rFonts w:hint="eastAsia" w:ascii="仿宋" w:hAnsi="仿宋" w:cs="仿宋"/>
          <w:color w:val="auto"/>
          <w:sz w:val="24"/>
          <w:szCs w:val="24"/>
          <w:highlight w:val="none"/>
          <w:lang w:val="en-US" w:eastAsia="zh-CN"/>
        </w:rPr>
        <w:t>6</w:t>
      </w:r>
      <w:r>
        <w:rPr>
          <w:rStyle w:val="100"/>
          <w:rFonts w:hint="eastAsia" w:ascii="仿宋" w:hAnsi="仿宋" w:eastAsia="仿宋" w:cs="仿宋"/>
          <w:color w:val="auto"/>
          <w:sz w:val="24"/>
          <w:szCs w:val="24"/>
          <w:highlight w:val="none"/>
        </w:rPr>
        <w:t>每次付款前，</w:t>
      </w:r>
      <w:r>
        <w:rPr>
          <w:rStyle w:val="100"/>
          <w:rFonts w:hint="eastAsia" w:ascii="仿宋" w:hAnsi="仿宋" w:eastAsia="仿宋" w:cs="仿宋"/>
          <w:color w:val="auto"/>
          <w:sz w:val="24"/>
          <w:szCs w:val="24"/>
          <w:highlight w:val="none"/>
          <w:lang w:eastAsia="zh-CN"/>
        </w:rPr>
        <w:t>承包人</w:t>
      </w:r>
      <w:r>
        <w:rPr>
          <w:rStyle w:val="100"/>
          <w:rFonts w:hint="eastAsia" w:ascii="仿宋" w:hAnsi="仿宋" w:eastAsia="仿宋" w:cs="仿宋"/>
          <w:color w:val="auto"/>
          <w:sz w:val="24"/>
          <w:szCs w:val="24"/>
          <w:highlight w:val="none"/>
        </w:rPr>
        <w:t>须出具等额增值税专用发票（税率为</w:t>
      </w:r>
      <w:r>
        <w:rPr>
          <w:rStyle w:val="100"/>
          <w:rFonts w:hint="eastAsia" w:ascii="仿宋" w:hAnsi="仿宋" w:eastAsia="仿宋" w:cs="仿宋"/>
          <w:color w:val="auto"/>
          <w:sz w:val="24"/>
          <w:szCs w:val="24"/>
          <w:highlight w:val="none"/>
          <w:u w:val="single"/>
        </w:rPr>
        <w:t xml:space="preserve">  </w:t>
      </w:r>
      <w:r>
        <w:rPr>
          <w:rStyle w:val="100"/>
          <w:rFonts w:hint="eastAsia" w:ascii="仿宋" w:hAnsi="仿宋" w:eastAsia="仿宋" w:cs="仿宋"/>
          <w:color w:val="auto"/>
          <w:sz w:val="24"/>
          <w:szCs w:val="24"/>
          <w:highlight w:val="none"/>
        </w:rPr>
        <w:t>%，名目为设计费），若</w:t>
      </w:r>
      <w:r>
        <w:rPr>
          <w:rStyle w:val="100"/>
          <w:rFonts w:hint="eastAsia" w:ascii="仿宋" w:hAnsi="仿宋" w:eastAsia="仿宋" w:cs="仿宋"/>
          <w:color w:val="auto"/>
          <w:sz w:val="24"/>
          <w:szCs w:val="24"/>
          <w:highlight w:val="none"/>
          <w:lang w:eastAsia="zh-CN"/>
        </w:rPr>
        <w:t>承包人</w:t>
      </w:r>
      <w:r>
        <w:rPr>
          <w:rStyle w:val="100"/>
          <w:rFonts w:hint="eastAsia" w:ascii="仿宋" w:hAnsi="仿宋" w:eastAsia="仿宋" w:cs="仿宋"/>
          <w:color w:val="auto"/>
          <w:sz w:val="24"/>
          <w:szCs w:val="24"/>
          <w:highlight w:val="none"/>
        </w:rPr>
        <w:t>不及时提供正规且符合要求的发票，发包人可延迟付款。如遇国家税收政策调整，导致税率变化的，税款须由</w:t>
      </w:r>
      <w:r>
        <w:rPr>
          <w:rStyle w:val="100"/>
          <w:rFonts w:hint="eastAsia" w:ascii="仿宋" w:hAnsi="仿宋" w:eastAsia="仿宋" w:cs="仿宋"/>
          <w:color w:val="auto"/>
          <w:sz w:val="24"/>
          <w:szCs w:val="24"/>
          <w:highlight w:val="none"/>
          <w:lang w:eastAsia="zh-CN"/>
        </w:rPr>
        <w:t>承包人</w:t>
      </w:r>
      <w:r>
        <w:rPr>
          <w:rStyle w:val="100"/>
          <w:rFonts w:hint="eastAsia" w:ascii="仿宋" w:hAnsi="仿宋" w:eastAsia="仿宋" w:cs="仿宋"/>
          <w:color w:val="auto"/>
          <w:sz w:val="24"/>
          <w:szCs w:val="24"/>
          <w:highlight w:val="none"/>
        </w:rPr>
        <w:t>承担。</w:t>
      </w:r>
    </w:p>
    <w:p w14:paraId="03D4CF82">
      <w:pPr>
        <w:pStyle w:val="5"/>
        <w:jc w:val="left"/>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7. 设计分包</w:t>
      </w:r>
    </w:p>
    <w:p w14:paraId="162973C4">
      <w:pPr>
        <w:pStyle w:val="95"/>
        <w:spacing w:line="360" w:lineRule="auto"/>
        <w:ind w:firstLine="480" w:firstLineChars="200"/>
        <w:jc w:val="left"/>
        <w:rPr>
          <w:rStyle w:val="100"/>
          <w:rFonts w:hint="eastAsia" w:ascii="仿宋" w:hAnsi="仿宋" w:eastAsia="仿宋" w:cs="仿宋"/>
          <w:color w:val="auto"/>
          <w:sz w:val="24"/>
          <w:szCs w:val="24"/>
          <w:highlight w:val="none"/>
        </w:rPr>
      </w:pPr>
      <w:r>
        <w:rPr>
          <w:rStyle w:val="100"/>
          <w:rFonts w:hint="eastAsia" w:ascii="仿宋" w:hAnsi="仿宋" w:eastAsia="仿宋" w:cs="仿宋"/>
          <w:color w:val="auto"/>
          <w:sz w:val="24"/>
          <w:szCs w:val="24"/>
          <w:highlight w:val="none"/>
          <w:lang w:val="en-US" w:eastAsia="zh-CN"/>
        </w:rPr>
        <w:t>7</w:t>
      </w:r>
      <w:r>
        <w:rPr>
          <w:rStyle w:val="100"/>
          <w:rFonts w:hint="eastAsia" w:ascii="仿宋" w:hAnsi="仿宋" w:eastAsia="仿宋" w:cs="仿宋"/>
          <w:color w:val="auto"/>
          <w:sz w:val="24"/>
          <w:szCs w:val="24"/>
          <w:highlight w:val="none"/>
        </w:rPr>
        <w:t>.1 设计分包的一般约定</w:t>
      </w:r>
    </w:p>
    <w:p w14:paraId="4F4ADFE3">
      <w:pPr>
        <w:pStyle w:val="95"/>
        <w:spacing w:line="360" w:lineRule="auto"/>
        <w:ind w:firstLine="480" w:firstLineChars="200"/>
        <w:jc w:val="left"/>
        <w:rPr>
          <w:rStyle w:val="100"/>
          <w:rFonts w:hint="eastAsia" w:ascii="仿宋" w:hAnsi="仿宋" w:eastAsia="仿宋" w:cs="仿宋"/>
          <w:color w:val="auto"/>
          <w:sz w:val="24"/>
          <w:szCs w:val="24"/>
          <w:highlight w:val="none"/>
        </w:rPr>
      </w:pPr>
      <w:r>
        <w:rPr>
          <w:rStyle w:val="100"/>
          <w:rFonts w:hint="eastAsia" w:ascii="仿宋" w:hAnsi="仿宋" w:eastAsia="仿宋" w:cs="仿宋"/>
          <w:color w:val="auto"/>
          <w:sz w:val="24"/>
          <w:szCs w:val="24"/>
          <w:highlight w:val="none"/>
          <w:lang w:eastAsia="zh-CN"/>
        </w:rPr>
        <w:t>承包人</w:t>
      </w:r>
      <w:r>
        <w:rPr>
          <w:rStyle w:val="100"/>
          <w:rFonts w:hint="eastAsia" w:ascii="仿宋" w:hAnsi="仿宋" w:eastAsia="仿宋" w:cs="仿宋"/>
          <w:color w:val="auto"/>
          <w:sz w:val="24"/>
          <w:szCs w:val="24"/>
          <w:highlight w:val="none"/>
        </w:rPr>
        <w:t>不得将本合同转包。未经发包人书面同意，不得将设计工作分包。</w:t>
      </w:r>
    </w:p>
    <w:p w14:paraId="067BF32E">
      <w:pPr>
        <w:pStyle w:val="95"/>
        <w:spacing w:line="360" w:lineRule="auto"/>
        <w:ind w:firstLine="480" w:firstLineChars="200"/>
        <w:jc w:val="left"/>
        <w:rPr>
          <w:rStyle w:val="100"/>
          <w:rFonts w:hint="eastAsia" w:ascii="仿宋" w:hAnsi="仿宋" w:eastAsia="仿宋" w:cs="仿宋"/>
          <w:color w:val="auto"/>
          <w:sz w:val="24"/>
          <w:szCs w:val="24"/>
          <w:highlight w:val="none"/>
        </w:rPr>
      </w:pPr>
      <w:r>
        <w:rPr>
          <w:rStyle w:val="100"/>
          <w:rFonts w:hint="eastAsia" w:ascii="仿宋" w:hAnsi="仿宋" w:eastAsia="仿宋" w:cs="仿宋"/>
          <w:color w:val="auto"/>
          <w:sz w:val="24"/>
          <w:szCs w:val="24"/>
          <w:highlight w:val="none"/>
        </w:rPr>
        <w:t>禁止设计分包的工程包括：除发包人书面同意允许分包外的一切设计工作 。</w:t>
      </w:r>
    </w:p>
    <w:p w14:paraId="5C2CD020">
      <w:pPr>
        <w:pStyle w:val="95"/>
        <w:spacing w:line="360" w:lineRule="auto"/>
        <w:ind w:firstLine="480" w:firstLineChars="200"/>
        <w:jc w:val="left"/>
        <w:rPr>
          <w:rStyle w:val="100"/>
          <w:rFonts w:hint="eastAsia" w:ascii="仿宋" w:hAnsi="仿宋" w:eastAsia="仿宋" w:cs="仿宋"/>
          <w:color w:val="auto"/>
          <w:sz w:val="24"/>
          <w:szCs w:val="24"/>
          <w:highlight w:val="none"/>
        </w:rPr>
      </w:pPr>
      <w:r>
        <w:rPr>
          <w:rStyle w:val="100"/>
          <w:rFonts w:hint="eastAsia" w:ascii="仿宋" w:hAnsi="仿宋" w:eastAsia="仿宋" w:cs="仿宋"/>
          <w:color w:val="auto"/>
          <w:sz w:val="24"/>
          <w:szCs w:val="24"/>
          <w:highlight w:val="none"/>
          <w:lang w:val="en-US" w:eastAsia="zh-CN"/>
        </w:rPr>
        <w:t>7</w:t>
      </w:r>
      <w:r>
        <w:rPr>
          <w:rStyle w:val="100"/>
          <w:rFonts w:hint="eastAsia" w:ascii="仿宋" w:hAnsi="仿宋" w:eastAsia="仿宋" w:cs="仿宋"/>
          <w:color w:val="auto"/>
          <w:sz w:val="24"/>
          <w:szCs w:val="24"/>
          <w:highlight w:val="none"/>
        </w:rPr>
        <w:t>.2设计分包的确定</w:t>
      </w:r>
    </w:p>
    <w:p w14:paraId="3E39401B">
      <w:pPr>
        <w:pStyle w:val="95"/>
        <w:spacing w:line="360" w:lineRule="auto"/>
        <w:ind w:firstLine="480" w:firstLineChars="200"/>
        <w:jc w:val="left"/>
        <w:rPr>
          <w:rStyle w:val="100"/>
          <w:rFonts w:hint="eastAsia" w:ascii="仿宋" w:hAnsi="仿宋" w:eastAsia="仿宋" w:cs="仿宋"/>
          <w:color w:val="auto"/>
          <w:sz w:val="24"/>
          <w:szCs w:val="24"/>
          <w:highlight w:val="none"/>
        </w:rPr>
      </w:pPr>
      <w:r>
        <w:rPr>
          <w:rStyle w:val="100"/>
          <w:rFonts w:hint="eastAsia" w:ascii="仿宋" w:hAnsi="仿宋" w:eastAsia="仿宋" w:cs="仿宋"/>
          <w:color w:val="auto"/>
          <w:sz w:val="24"/>
          <w:szCs w:val="24"/>
          <w:highlight w:val="none"/>
        </w:rPr>
        <w:t>专业分包需经发包人书面同意。</w:t>
      </w:r>
    </w:p>
    <w:p w14:paraId="355D158A">
      <w:pPr>
        <w:pStyle w:val="95"/>
        <w:spacing w:line="360" w:lineRule="auto"/>
        <w:ind w:firstLine="480" w:firstLineChars="200"/>
        <w:jc w:val="left"/>
        <w:rPr>
          <w:rStyle w:val="100"/>
          <w:rFonts w:hint="eastAsia" w:ascii="仿宋" w:hAnsi="仿宋" w:eastAsia="仿宋" w:cs="仿宋"/>
          <w:color w:val="auto"/>
          <w:sz w:val="24"/>
          <w:szCs w:val="24"/>
          <w:highlight w:val="none"/>
        </w:rPr>
      </w:pPr>
      <w:r>
        <w:rPr>
          <w:rStyle w:val="100"/>
          <w:rFonts w:hint="eastAsia" w:ascii="仿宋" w:hAnsi="仿宋" w:eastAsia="仿宋" w:cs="仿宋"/>
          <w:color w:val="auto"/>
          <w:sz w:val="24"/>
          <w:szCs w:val="24"/>
          <w:highlight w:val="none"/>
          <w:lang w:eastAsia="zh-CN"/>
        </w:rPr>
        <w:t>承包人</w:t>
      </w:r>
      <w:r>
        <w:rPr>
          <w:rStyle w:val="100"/>
          <w:rFonts w:hint="eastAsia" w:ascii="仿宋" w:hAnsi="仿宋" w:eastAsia="仿宋" w:cs="仿宋"/>
          <w:color w:val="auto"/>
          <w:sz w:val="24"/>
          <w:szCs w:val="24"/>
          <w:highlight w:val="none"/>
        </w:rPr>
        <w:t>未经发包人同意擅自对工程设计进行分包的违约责任：发包人有权单方解除合同，</w:t>
      </w:r>
      <w:r>
        <w:rPr>
          <w:rStyle w:val="100"/>
          <w:rFonts w:hint="eastAsia" w:ascii="仿宋" w:hAnsi="仿宋" w:eastAsia="仿宋" w:cs="仿宋"/>
          <w:color w:val="auto"/>
          <w:sz w:val="24"/>
          <w:szCs w:val="24"/>
          <w:highlight w:val="none"/>
          <w:lang w:eastAsia="zh-CN"/>
        </w:rPr>
        <w:t>承包人</w:t>
      </w:r>
      <w:r>
        <w:rPr>
          <w:rStyle w:val="100"/>
          <w:rFonts w:hint="eastAsia" w:ascii="仿宋" w:hAnsi="仿宋" w:eastAsia="仿宋" w:cs="仿宋"/>
          <w:color w:val="auto"/>
          <w:sz w:val="24"/>
          <w:szCs w:val="24"/>
          <w:highlight w:val="none"/>
        </w:rPr>
        <w:t>应退还已收款并支付合同总价10%违约金。</w:t>
      </w:r>
    </w:p>
    <w:p w14:paraId="4F101EC8">
      <w:pPr>
        <w:pStyle w:val="95"/>
        <w:spacing w:line="360" w:lineRule="auto"/>
        <w:ind w:firstLine="480" w:firstLineChars="200"/>
        <w:jc w:val="left"/>
        <w:rPr>
          <w:rStyle w:val="100"/>
          <w:rFonts w:hint="eastAsia" w:ascii="仿宋" w:hAnsi="仿宋" w:eastAsia="仿宋" w:cs="仿宋"/>
          <w:color w:val="auto"/>
          <w:sz w:val="24"/>
          <w:szCs w:val="24"/>
          <w:highlight w:val="none"/>
        </w:rPr>
      </w:pPr>
      <w:r>
        <w:rPr>
          <w:rStyle w:val="100"/>
          <w:rFonts w:hint="eastAsia" w:ascii="仿宋" w:hAnsi="仿宋" w:eastAsia="仿宋" w:cs="仿宋"/>
          <w:color w:val="auto"/>
          <w:sz w:val="24"/>
          <w:szCs w:val="24"/>
          <w:highlight w:val="none"/>
          <w:lang w:val="en-US" w:eastAsia="zh-CN"/>
        </w:rPr>
        <w:t>7</w:t>
      </w:r>
      <w:r>
        <w:rPr>
          <w:rStyle w:val="100"/>
          <w:rFonts w:hint="eastAsia" w:ascii="仿宋" w:hAnsi="仿宋" w:eastAsia="仿宋" w:cs="仿宋"/>
          <w:color w:val="auto"/>
          <w:sz w:val="24"/>
          <w:szCs w:val="24"/>
          <w:highlight w:val="none"/>
        </w:rPr>
        <w:t xml:space="preserve">.3 </w:t>
      </w:r>
      <w:r>
        <w:rPr>
          <w:rStyle w:val="100"/>
          <w:rFonts w:hint="eastAsia" w:ascii="仿宋" w:hAnsi="仿宋" w:eastAsia="仿宋" w:cs="仿宋"/>
          <w:color w:val="auto"/>
          <w:sz w:val="24"/>
          <w:szCs w:val="24"/>
          <w:highlight w:val="none"/>
          <w:lang w:eastAsia="zh-CN"/>
        </w:rPr>
        <w:t>承包人</w:t>
      </w:r>
      <w:r>
        <w:rPr>
          <w:rStyle w:val="100"/>
          <w:rFonts w:hint="eastAsia" w:ascii="仿宋" w:hAnsi="仿宋" w:eastAsia="仿宋" w:cs="仿宋"/>
          <w:color w:val="auto"/>
          <w:sz w:val="24"/>
          <w:szCs w:val="24"/>
          <w:highlight w:val="none"/>
        </w:rPr>
        <w:t>向发包人提交有关分包人资料包括：分包人基本信息、技术服务内容、服务团队、报价、服务承诺等。</w:t>
      </w:r>
    </w:p>
    <w:p w14:paraId="3879BBB8">
      <w:pPr>
        <w:pStyle w:val="95"/>
        <w:spacing w:line="360" w:lineRule="auto"/>
        <w:ind w:firstLine="480" w:firstLineChars="200"/>
        <w:jc w:val="left"/>
        <w:rPr>
          <w:rStyle w:val="100"/>
          <w:rFonts w:hint="eastAsia" w:ascii="仿宋" w:hAnsi="仿宋" w:eastAsia="仿宋" w:cs="仿宋"/>
          <w:color w:val="auto"/>
          <w:sz w:val="24"/>
          <w:szCs w:val="24"/>
          <w:highlight w:val="none"/>
        </w:rPr>
      </w:pPr>
      <w:r>
        <w:rPr>
          <w:rStyle w:val="100"/>
          <w:rFonts w:hint="eastAsia" w:ascii="仿宋" w:hAnsi="仿宋" w:eastAsia="仿宋" w:cs="仿宋"/>
          <w:color w:val="auto"/>
          <w:sz w:val="24"/>
          <w:szCs w:val="24"/>
          <w:highlight w:val="none"/>
          <w:lang w:eastAsia="zh-CN"/>
        </w:rPr>
        <w:t>承包人</w:t>
      </w:r>
      <w:r>
        <w:rPr>
          <w:rStyle w:val="100"/>
          <w:rFonts w:hint="eastAsia" w:ascii="仿宋" w:hAnsi="仿宋" w:eastAsia="仿宋" w:cs="仿宋"/>
          <w:color w:val="auto"/>
          <w:sz w:val="24"/>
          <w:szCs w:val="24"/>
          <w:highlight w:val="none"/>
        </w:rPr>
        <w:t>作为设计总包单位应履行合同中对设计工作的各项要求：总体协调、统筹管理所有参与设计工作的分包单位。组织各分包单位的协同工作、进度计划、成果合稿、技术内审等工作，并对整体设计成果负责；配合项目公司做好与政府部门的技术对接与服务，根据具体要求完成各类技术汇报工作；与项目相关方（包括发包人、施工方、监理方等）做好技术交底与现场技术服务工作。</w:t>
      </w:r>
    </w:p>
    <w:p w14:paraId="31234C40">
      <w:pPr>
        <w:pStyle w:val="95"/>
        <w:spacing w:line="360" w:lineRule="auto"/>
        <w:ind w:firstLine="480" w:firstLineChars="200"/>
        <w:jc w:val="left"/>
        <w:rPr>
          <w:rStyle w:val="100"/>
          <w:rFonts w:hint="eastAsia" w:ascii="仿宋" w:hAnsi="仿宋" w:eastAsia="仿宋" w:cs="仿宋"/>
          <w:color w:val="auto"/>
          <w:sz w:val="24"/>
          <w:szCs w:val="24"/>
          <w:highlight w:val="none"/>
        </w:rPr>
      </w:pPr>
      <w:r>
        <w:rPr>
          <w:rStyle w:val="100"/>
          <w:rFonts w:hint="eastAsia" w:ascii="仿宋" w:hAnsi="仿宋" w:eastAsia="仿宋" w:cs="仿宋"/>
          <w:color w:val="auto"/>
          <w:sz w:val="24"/>
          <w:szCs w:val="24"/>
          <w:highlight w:val="none"/>
          <w:lang w:val="en-US" w:eastAsia="zh-CN"/>
        </w:rPr>
        <w:t>7</w:t>
      </w:r>
      <w:r>
        <w:rPr>
          <w:rStyle w:val="100"/>
          <w:rFonts w:hint="eastAsia" w:ascii="仿宋" w:hAnsi="仿宋" w:eastAsia="仿宋" w:cs="仿宋"/>
          <w:color w:val="auto"/>
          <w:sz w:val="24"/>
          <w:szCs w:val="24"/>
          <w:highlight w:val="none"/>
        </w:rPr>
        <w:t>.4 分包工程设计费支付方式：</w:t>
      </w:r>
    </w:p>
    <w:p w14:paraId="3230F4E3">
      <w:pPr>
        <w:pStyle w:val="95"/>
        <w:spacing w:line="360" w:lineRule="auto"/>
        <w:ind w:firstLine="480" w:firstLineChars="200"/>
        <w:jc w:val="left"/>
        <w:rPr>
          <w:rStyle w:val="100"/>
          <w:rFonts w:hint="eastAsia" w:ascii="仿宋" w:hAnsi="仿宋" w:eastAsia="仿宋" w:cs="仿宋"/>
          <w:color w:val="auto"/>
          <w:sz w:val="24"/>
          <w:szCs w:val="24"/>
          <w:highlight w:val="none"/>
        </w:rPr>
      </w:pPr>
      <w:r>
        <w:rPr>
          <w:rStyle w:val="100"/>
          <w:rFonts w:hint="eastAsia" w:ascii="仿宋" w:hAnsi="仿宋" w:eastAsia="仿宋" w:cs="仿宋"/>
          <w:color w:val="auto"/>
          <w:sz w:val="24"/>
          <w:szCs w:val="24"/>
          <w:highlight w:val="none"/>
        </w:rPr>
        <w:t xml:space="preserve"> 分包工程设计费由</w:t>
      </w:r>
      <w:r>
        <w:rPr>
          <w:rStyle w:val="100"/>
          <w:rFonts w:hint="eastAsia" w:ascii="仿宋" w:hAnsi="仿宋" w:eastAsia="仿宋" w:cs="仿宋"/>
          <w:color w:val="auto"/>
          <w:sz w:val="24"/>
          <w:szCs w:val="24"/>
          <w:highlight w:val="none"/>
          <w:lang w:eastAsia="zh-CN"/>
        </w:rPr>
        <w:t>承包人</w:t>
      </w:r>
      <w:r>
        <w:rPr>
          <w:rStyle w:val="100"/>
          <w:rFonts w:hint="eastAsia" w:ascii="仿宋" w:hAnsi="仿宋" w:eastAsia="仿宋" w:cs="仿宋"/>
          <w:color w:val="auto"/>
          <w:sz w:val="24"/>
          <w:szCs w:val="24"/>
          <w:highlight w:val="none"/>
        </w:rPr>
        <w:t>与分包人结算，发包人不另行付费 。</w:t>
      </w:r>
    </w:p>
    <w:p w14:paraId="5808438E">
      <w:pPr>
        <w:pStyle w:val="5"/>
        <w:jc w:val="left"/>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 xml:space="preserve">8. </w:t>
      </w:r>
      <w:r>
        <w:rPr>
          <w:rFonts w:hint="eastAsia" w:ascii="仿宋" w:hAnsi="仿宋" w:eastAsia="仿宋" w:cs="仿宋"/>
          <w:color w:val="auto"/>
          <w:highlight w:val="none"/>
          <w:lang w:val="zh-TW" w:eastAsia="zh-TW"/>
        </w:rPr>
        <w:t>工程设计要求</w:t>
      </w:r>
    </w:p>
    <w:p w14:paraId="43048D9A">
      <w:pPr>
        <w:pStyle w:val="95"/>
        <w:spacing w:line="360" w:lineRule="auto"/>
        <w:ind w:firstLine="480" w:firstLineChars="200"/>
        <w:jc w:val="left"/>
        <w:rPr>
          <w:rStyle w:val="100"/>
          <w:rFonts w:hint="eastAsia" w:ascii="仿宋" w:hAnsi="仿宋" w:eastAsia="仿宋" w:cs="仿宋"/>
          <w:color w:val="auto"/>
          <w:sz w:val="24"/>
          <w:szCs w:val="24"/>
          <w:highlight w:val="none"/>
        </w:rPr>
      </w:pPr>
      <w:r>
        <w:rPr>
          <w:rStyle w:val="100"/>
          <w:rFonts w:hint="eastAsia" w:ascii="仿宋" w:hAnsi="仿宋" w:eastAsia="仿宋" w:cs="仿宋"/>
          <w:color w:val="auto"/>
          <w:sz w:val="24"/>
          <w:szCs w:val="24"/>
          <w:highlight w:val="none"/>
          <w:lang w:val="en-US" w:eastAsia="zh-CN"/>
        </w:rPr>
        <w:t>8</w:t>
      </w:r>
      <w:r>
        <w:rPr>
          <w:rStyle w:val="100"/>
          <w:rFonts w:hint="eastAsia" w:ascii="仿宋" w:hAnsi="仿宋" w:eastAsia="仿宋" w:cs="仿宋"/>
          <w:color w:val="auto"/>
          <w:sz w:val="24"/>
          <w:szCs w:val="24"/>
          <w:highlight w:val="none"/>
        </w:rPr>
        <w:t xml:space="preserve">.1 </w:t>
      </w:r>
      <w:r>
        <w:rPr>
          <w:rStyle w:val="100"/>
          <w:rFonts w:hint="eastAsia" w:ascii="仿宋" w:hAnsi="仿宋" w:eastAsia="仿宋" w:cs="仿宋"/>
          <w:color w:val="auto"/>
          <w:sz w:val="24"/>
          <w:szCs w:val="24"/>
          <w:highlight w:val="none"/>
          <w:lang w:val="zh-TW" w:eastAsia="zh-TW"/>
        </w:rPr>
        <w:t>工程设计适用的技术标准：</w:t>
      </w:r>
      <w:r>
        <w:rPr>
          <w:rStyle w:val="100"/>
          <w:rFonts w:hint="eastAsia" w:ascii="仿宋" w:hAnsi="仿宋" w:eastAsia="仿宋" w:cs="仿宋"/>
          <w:color w:val="auto"/>
          <w:sz w:val="24"/>
          <w:szCs w:val="24"/>
          <w:highlight w:val="none"/>
          <w:lang w:val="zh-TW" w:eastAsia="zh-CN"/>
        </w:rPr>
        <w:t>承包人</w:t>
      </w:r>
      <w:r>
        <w:rPr>
          <w:rStyle w:val="100"/>
          <w:rFonts w:hint="eastAsia" w:ascii="仿宋" w:hAnsi="仿宋" w:eastAsia="仿宋" w:cs="仿宋"/>
          <w:color w:val="auto"/>
          <w:sz w:val="24"/>
          <w:szCs w:val="24"/>
          <w:highlight w:val="none"/>
          <w:lang w:val="zh-TW" w:eastAsia="zh-TW"/>
        </w:rPr>
        <w:t>完成设计工作所应遵守的法律以及技术标准，均应视为在基准日期适用的版本。基准日期之后，前述版本发生重大变化，或者有新的法律以及技术标准实施的，</w:t>
      </w:r>
      <w:r>
        <w:rPr>
          <w:rStyle w:val="100"/>
          <w:rFonts w:hint="eastAsia" w:ascii="仿宋" w:hAnsi="仿宋" w:eastAsia="仿宋" w:cs="仿宋"/>
          <w:color w:val="auto"/>
          <w:sz w:val="24"/>
          <w:szCs w:val="24"/>
          <w:highlight w:val="none"/>
          <w:lang w:val="zh-TW" w:eastAsia="zh-CN"/>
        </w:rPr>
        <w:t>承包人</w:t>
      </w:r>
      <w:r>
        <w:rPr>
          <w:rStyle w:val="100"/>
          <w:rFonts w:hint="eastAsia" w:ascii="仿宋" w:hAnsi="仿宋" w:eastAsia="仿宋" w:cs="仿宋"/>
          <w:color w:val="auto"/>
          <w:sz w:val="24"/>
          <w:szCs w:val="24"/>
          <w:highlight w:val="none"/>
          <w:lang w:val="zh-TW" w:eastAsia="zh-TW"/>
        </w:rPr>
        <w:t>应就推荐性标准向发包人提出遵守新标准的建议，对强制性的规定或标准应当遵照执行。因发包人采纳</w:t>
      </w:r>
      <w:r>
        <w:rPr>
          <w:rStyle w:val="100"/>
          <w:rFonts w:hint="eastAsia" w:ascii="仿宋" w:hAnsi="仿宋" w:eastAsia="仿宋" w:cs="仿宋"/>
          <w:color w:val="auto"/>
          <w:sz w:val="24"/>
          <w:szCs w:val="24"/>
          <w:highlight w:val="none"/>
          <w:lang w:val="zh-TW" w:eastAsia="zh-CN"/>
        </w:rPr>
        <w:t>承包人</w:t>
      </w:r>
      <w:r>
        <w:rPr>
          <w:rStyle w:val="100"/>
          <w:rFonts w:hint="eastAsia" w:ascii="仿宋" w:hAnsi="仿宋" w:eastAsia="仿宋" w:cs="仿宋"/>
          <w:color w:val="auto"/>
          <w:sz w:val="24"/>
          <w:szCs w:val="24"/>
          <w:highlight w:val="none"/>
          <w:lang w:val="zh-TW" w:eastAsia="zh-TW"/>
        </w:rPr>
        <w:t>的建议或遵守基准日期后新的强制性的规定或标准，导致增加设计费用和（或）设计周期延长的，由发包人承担。</w:t>
      </w:r>
    </w:p>
    <w:p w14:paraId="20B92B22">
      <w:pPr>
        <w:pStyle w:val="95"/>
        <w:spacing w:line="360" w:lineRule="auto"/>
        <w:ind w:firstLine="480" w:firstLineChars="200"/>
        <w:jc w:val="left"/>
        <w:rPr>
          <w:rStyle w:val="100"/>
          <w:rFonts w:hint="eastAsia" w:ascii="仿宋" w:hAnsi="仿宋" w:eastAsia="仿宋" w:cs="仿宋"/>
          <w:color w:val="auto"/>
          <w:sz w:val="24"/>
          <w:szCs w:val="24"/>
          <w:highlight w:val="none"/>
        </w:rPr>
      </w:pPr>
      <w:r>
        <w:rPr>
          <w:rStyle w:val="100"/>
          <w:rFonts w:hint="eastAsia" w:ascii="仿宋" w:hAnsi="仿宋" w:eastAsia="仿宋" w:cs="仿宋"/>
          <w:color w:val="auto"/>
          <w:sz w:val="24"/>
          <w:szCs w:val="24"/>
          <w:highlight w:val="none"/>
          <w:lang w:val="en-US" w:eastAsia="zh-CN"/>
        </w:rPr>
        <w:t>8</w:t>
      </w:r>
      <w:r>
        <w:rPr>
          <w:rStyle w:val="100"/>
          <w:rFonts w:hint="eastAsia" w:ascii="仿宋" w:hAnsi="仿宋" w:eastAsia="仿宋" w:cs="仿宋"/>
          <w:color w:val="auto"/>
          <w:sz w:val="24"/>
          <w:szCs w:val="24"/>
          <w:highlight w:val="none"/>
        </w:rPr>
        <w:t>.2 工程设计保证措施</w:t>
      </w:r>
    </w:p>
    <w:p w14:paraId="11C1635A">
      <w:pPr>
        <w:pStyle w:val="95"/>
        <w:spacing w:line="360" w:lineRule="auto"/>
        <w:jc w:val="left"/>
        <w:rPr>
          <w:rStyle w:val="100"/>
          <w:rFonts w:hint="eastAsia" w:ascii="仿宋" w:hAnsi="仿宋" w:eastAsia="仿宋" w:cs="仿宋"/>
          <w:color w:val="auto"/>
          <w:sz w:val="24"/>
          <w:szCs w:val="24"/>
          <w:highlight w:val="none"/>
        </w:rPr>
      </w:pPr>
      <w:r>
        <w:rPr>
          <w:rStyle w:val="100"/>
          <w:rFonts w:hint="eastAsia" w:ascii="仿宋" w:hAnsi="仿宋" w:eastAsia="仿宋" w:cs="仿宋"/>
          <w:color w:val="auto"/>
          <w:sz w:val="24"/>
          <w:szCs w:val="24"/>
          <w:highlight w:val="none"/>
          <w:lang w:eastAsia="zh-CN"/>
        </w:rPr>
        <w:t>承包人</w:t>
      </w:r>
      <w:r>
        <w:rPr>
          <w:rStyle w:val="100"/>
          <w:rFonts w:hint="eastAsia" w:ascii="仿宋" w:hAnsi="仿宋" w:eastAsia="仿宋" w:cs="仿宋"/>
          <w:color w:val="auto"/>
          <w:sz w:val="24"/>
          <w:szCs w:val="24"/>
          <w:highlight w:val="none"/>
        </w:rPr>
        <w:t>应做好工程设计的质量与技术管理工作，建立健全工程设计质量保证体系，加强工程设计全过程的质量控制，建立完整的设计文件的设计、复核、审核、会签和批准制度，明确各阶段的责任人。</w:t>
      </w:r>
    </w:p>
    <w:p w14:paraId="430D315D">
      <w:pPr>
        <w:pStyle w:val="95"/>
        <w:spacing w:line="360" w:lineRule="auto"/>
        <w:ind w:firstLine="480" w:firstLineChars="200"/>
        <w:jc w:val="left"/>
        <w:rPr>
          <w:rStyle w:val="100"/>
          <w:rFonts w:hint="eastAsia" w:ascii="仿宋" w:hAnsi="仿宋" w:eastAsia="仿宋" w:cs="仿宋"/>
          <w:color w:val="auto"/>
          <w:sz w:val="24"/>
          <w:szCs w:val="24"/>
          <w:highlight w:val="none"/>
        </w:rPr>
      </w:pPr>
      <w:r>
        <w:rPr>
          <w:rStyle w:val="100"/>
          <w:rFonts w:hint="eastAsia" w:ascii="仿宋" w:hAnsi="仿宋" w:eastAsia="仿宋" w:cs="仿宋"/>
          <w:color w:val="auto"/>
          <w:sz w:val="24"/>
          <w:szCs w:val="24"/>
          <w:highlight w:val="none"/>
          <w:lang w:val="en-US" w:eastAsia="zh-CN"/>
        </w:rPr>
        <w:t>8</w:t>
      </w:r>
      <w:r>
        <w:rPr>
          <w:rStyle w:val="100"/>
          <w:rFonts w:hint="eastAsia" w:ascii="仿宋" w:hAnsi="仿宋" w:eastAsia="仿宋" w:cs="仿宋"/>
          <w:color w:val="auto"/>
          <w:sz w:val="24"/>
          <w:szCs w:val="24"/>
          <w:highlight w:val="none"/>
        </w:rPr>
        <w:t xml:space="preserve">.3 </w:t>
      </w:r>
      <w:r>
        <w:rPr>
          <w:rStyle w:val="100"/>
          <w:rFonts w:hint="eastAsia" w:ascii="仿宋" w:hAnsi="仿宋" w:eastAsia="仿宋" w:cs="仿宋"/>
          <w:color w:val="auto"/>
          <w:sz w:val="24"/>
          <w:szCs w:val="24"/>
          <w:highlight w:val="none"/>
          <w:lang w:val="zh-TW" w:eastAsia="zh-TW"/>
        </w:rPr>
        <w:t>工程设计文件的要求</w:t>
      </w:r>
    </w:p>
    <w:p w14:paraId="6C2B8311">
      <w:pPr>
        <w:pStyle w:val="95"/>
        <w:spacing w:line="360" w:lineRule="auto"/>
        <w:ind w:firstLine="480" w:firstLineChars="200"/>
        <w:jc w:val="left"/>
        <w:rPr>
          <w:rStyle w:val="100"/>
          <w:rFonts w:hint="eastAsia" w:ascii="仿宋" w:hAnsi="仿宋" w:eastAsia="仿宋" w:cs="仿宋"/>
          <w:color w:val="auto"/>
          <w:sz w:val="24"/>
          <w:szCs w:val="24"/>
          <w:highlight w:val="none"/>
        </w:rPr>
      </w:pPr>
      <w:r>
        <w:rPr>
          <w:rStyle w:val="100"/>
          <w:rFonts w:hint="eastAsia" w:ascii="仿宋" w:hAnsi="仿宋" w:eastAsia="仿宋" w:cs="仿宋"/>
          <w:color w:val="auto"/>
          <w:sz w:val="24"/>
          <w:szCs w:val="24"/>
          <w:highlight w:val="none"/>
          <w:lang w:val="en-US" w:eastAsia="zh-CN"/>
        </w:rPr>
        <w:t>8</w:t>
      </w:r>
      <w:r>
        <w:rPr>
          <w:rStyle w:val="100"/>
          <w:rFonts w:hint="eastAsia" w:ascii="仿宋" w:hAnsi="仿宋" w:eastAsia="仿宋" w:cs="仿宋"/>
          <w:color w:val="auto"/>
          <w:sz w:val="24"/>
          <w:szCs w:val="24"/>
          <w:highlight w:val="none"/>
        </w:rPr>
        <w:t xml:space="preserve">.3.1 </w:t>
      </w:r>
      <w:r>
        <w:rPr>
          <w:rStyle w:val="100"/>
          <w:rFonts w:hint="eastAsia" w:ascii="仿宋" w:hAnsi="仿宋" w:eastAsia="仿宋" w:cs="仿宋"/>
          <w:color w:val="auto"/>
          <w:sz w:val="24"/>
          <w:szCs w:val="24"/>
          <w:highlight w:val="none"/>
          <w:lang w:val="zh-TW" w:eastAsia="zh-TW"/>
        </w:rPr>
        <w:t>工程设计文件深度规定：</w:t>
      </w:r>
      <w:r>
        <w:rPr>
          <w:rStyle w:val="100"/>
          <w:rFonts w:hint="eastAsia" w:ascii="仿宋" w:hAnsi="仿宋" w:eastAsia="仿宋" w:cs="仿宋"/>
          <w:color w:val="auto"/>
          <w:sz w:val="24"/>
          <w:szCs w:val="24"/>
          <w:highlight w:val="none"/>
          <w:lang w:val="zh-TW" w:eastAsia="zh-CN"/>
        </w:rPr>
        <w:t>承包人</w:t>
      </w:r>
      <w:r>
        <w:rPr>
          <w:rStyle w:val="100"/>
          <w:rFonts w:hint="eastAsia" w:ascii="仿宋" w:hAnsi="仿宋" w:eastAsia="仿宋" w:cs="仿宋"/>
          <w:color w:val="auto"/>
          <w:sz w:val="24"/>
          <w:szCs w:val="24"/>
          <w:highlight w:val="none"/>
          <w:lang w:val="zh-TW" w:eastAsia="zh-TW"/>
        </w:rPr>
        <w:t xml:space="preserve">的设计成果质量应在符合国家规范、标准的基础上符合本合同的约定。 </w:t>
      </w:r>
    </w:p>
    <w:p w14:paraId="5C500B8D">
      <w:pPr>
        <w:pStyle w:val="95"/>
        <w:spacing w:line="360" w:lineRule="auto"/>
        <w:ind w:firstLine="480" w:firstLineChars="200"/>
        <w:jc w:val="left"/>
        <w:rPr>
          <w:rStyle w:val="100"/>
          <w:rFonts w:hint="eastAsia" w:ascii="仿宋" w:hAnsi="仿宋" w:eastAsia="仿宋" w:cs="仿宋"/>
          <w:b/>
          <w:bCs/>
          <w:color w:val="auto"/>
          <w:sz w:val="24"/>
          <w:szCs w:val="24"/>
          <w:highlight w:val="none"/>
          <w:u w:val="single"/>
        </w:rPr>
      </w:pPr>
      <w:r>
        <w:rPr>
          <w:rStyle w:val="100"/>
          <w:rFonts w:hint="eastAsia" w:ascii="仿宋" w:hAnsi="仿宋" w:eastAsia="仿宋" w:cs="仿宋"/>
          <w:color w:val="auto"/>
          <w:sz w:val="24"/>
          <w:szCs w:val="24"/>
          <w:highlight w:val="none"/>
          <w:lang w:val="zh-TW" w:eastAsia="zh-CN"/>
        </w:rPr>
        <w:t>承包人</w:t>
      </w:r>
      <w:r>
        <w:rPr>
          <w:rStyle w:val="100"/>
          <w:rFonts w:hint="eastAsia" w:ascii="仿宋" w:hAnsi="仿宋" w:eastAsia="仿宋" w:cs="仿宋"/>
          <w:color w:val="auto"/>
          <w:sz w:val="24"/>
          <w:szCs w:val="24"/>
          <w:highlight w:val="none"/>
          <w:lang w:val="zh-TW" w:eastAsia="zh-TW"/>
        </w:rPr>
        <w:t>收到发包人提供的工程设计依据文件及设计的基础资料后，应仔细阅读，如发现任何不明晰、错误、失误或缺陷，应在</w:t>
      </w:r>
      <w:r>
        <w:rPr>
          <w:rStyle w:val="100"/>
          <w:rFonts w:hint="eastAsia" w:ascii="仿宋" w:hAnsi="仿宋" w:eastAsia="仿宋" w:cs="仿宋"/>
          <w:color w:val="auto"/>
          <w:sz w:val="24"/>
          <w:szCs w:val="24"/>
          <w:highlight w:val="none"/>
        </w:rPr>
        <w:t>7</w:t>
      </w:r>
      <w:r>
        <w:rPr>
          <w:rStyle w:val="100"/>
          <w:rFonts w:hint="eastAsia" w:ascii="仿宋" w:hAnsi="仿宋" w:eastAsia="仿宋" w:cs="仿宋"/>
          <w:color w:val="auto"/>
          <w:sz w:val="24"/>
          <w:szCs w:val="24"/>
          <w:highlight w:val="none"/>
          <w:lang w:val="zh-TW" w:eastAsia="zh-TW"/>
        </w:rPr>
        <w:t>日内向</w:t>
      </w:r>
      <w:r>
        <w:rPr>
          <w:rStyle w:val="100"/>
          <w:rFonts w:hint="eastAsia" w:ascii="仿宋" w:hAnsi="仿宋" w:eastAsia="仿宋" w:cs="仿宋"/>
          <w:color w:val="auto"/>
          <w:sz w:val="24"/>
          <w:szCs w:val="24"/>
          <w:highlight w:val="none"/>
          <w:lang w:val="zh-TW" w:eastAsia="zh-CN"/>
        </w:rPr>
        <w:t>发包人</w:t>
      </w:r>
      <w:r>
        <w:rPr>
          <w:rStyle w:val="100"/>
          <w:rFonts w:hint="eastAsia" w:ascii="仿宋" w:hAnsi="仿宋" w:eastAsia="仿宋" w:cs="仿宋"/>
          <w:color w:val="auto"/>
          <w:sz w:val="24"/>
          <w:szCs w:val="24"/>
          <w:highlight w:val="none"/>
          <w:lang w:val="zh-TW" w:eastAsia="zh-TW"/>
        </w:rPr>
        <w:t>提出书面意见，并自行负责其对发包人提供资料的理解的准确性。</w:t>
      </w:r>
      <w:r>
        <w:rPr>
          <w:rStyle w:val="100"/>
          <w:rFonts w:hint="eastAsia" w:ascii="仿宋" w:hAnsi="仿宋" w:eastAsia="仿宋" w:cs="仿宋"/>
          <w:color w:val="auto"/>
          <w:sz w:val="24"/>
          <w:szCs w:val="24"/>
          <w:highlight w:val="none"/>
          <w:lang w:val="zh-TW" w:eastAsia="zh-CN"/>
        </w:rPr>
        <w:t>承包人</w:t>
      </w:r>
      <w:r>
        <w:rPr>
          <w:rStyle w:val="100"/>
          <w:rFonts w:hint="eastAsia" w:ascii="仿宋" w:hAnsi="仿宋" w:eastAsia="仿宋" w:cs="仿宋"/>
          <w:color w:val="auto"/>
          <w:sz w:val="24"/>
          <w:szCs w:val="24"/>
          <w:highlight w:val="none"/>
          <w:lang w:val="zh-TW" w:eastAsia="zh-TW"/>
        </w:rPr>
        <w:t>未在规定期限内提出书面意见的，视为发包人提供的工程设计依据文件及设计的基础资料清晰、准确、无误。</w:t>
      </w:r>
      <w:r>
        <w:rPr>
          <w:rStyle w:val="100"/>
          <w:rFonts w:hint="eastAsia" w:ascii="仿宋" w:hAnsi="仿宋" w:eastAsia="仿宋" w:cs="仿宋"/>
          <w:color w:val="auto"/>
          <w:sz w:val="24"/>
          <w:szCs w:val="24"/>
          <w:highlight w:val="none"/>
          <w:lang w:val="zh-TW" w:eastAsia="zh-CN"/>
        </w:rPr>
        <w:t>承包人</w:t>
      </w:r>
      <w:r>
        <w:rPr>
          <w:rStyle w:val="100"/>
          <w:rFonts w:hint="eastAsia" w:ascii="仿宋" w:hAnsi="仿宋" w:eastAsia="仿宋" w:cs="仿宋"/>
          <w:color w:val="auto"/>
          <w:sz w:val="24"/>
          <w:szCs w:val="24"/>
          <w:highlight w:val="none"/>
          <w:lang w:val="zh-TW" w:eastAsia="zh-TW"/>
        </w:rPr>
        <w:t>应负责到有关部门查询与设计有关的既有建筑物及地下管线工程档案，发包人提供行政配合。设计文件需满施工需求及施工图预算要求。</w:t>
      </w:r>
    </w:p>
    <w:p w14:paraId="05D7FB1D">
      <w:pPr>
        <w:pStyle w:val="95"/>
        <w:spacing w:line="360" w:lineRule="auto"/>
        <w:ind w:firstLine="480" w:firstLineChars="200"/>
        <w:jc w:val="left"/>
        <w:rPr>
          <w:rStyle w:val="100"/>
          <w:rFonts w:hint="eastAsia" w:ascii="仿宋" w:hAnsi="仿宋" w:eastAsia="仿宋" w:cs="仿宋"/>
          <w:color w:val="auto"/>
          <w:sz w:val="24"/>
          <w:szCs w:val="24"/>
          <w:highlight w:val="none"/>
        </w:rPr>
      </w:pPr>
      <w:r>
        <w:rPr>
          <w:rStyle w:val="100"/>
          <w:rFonts w:hint="eastAsia" w:ascii="仿宋" w:hAnsi="仿宋" w:eastAsia="仿宋" w:cs="仿宋"/>
          <w:color w:val="auto"/>
          <w:sz w:val="24"/>
          <w:szCs w:val="24"/>
          <w:highlight w:val="none"/>
          <w:lang w:val="en-US" w:eastAsia="zh-CN"/>
        </w:rPr>
        <w:t>8</w:t>
      </w:r>
      <w:r>
        <w:rPr>
          <w:rStyle w:val="100"/>
          <w:rFonts w:hint="eastAsia" w:ascii="仿宋" w:hAnsi="仿宋" w:eastAsia="仿宋" w:cs="仿宋"/>
          <w:color w:val="auto"/>
          <w:sz w:val="24"/>
          <w:szCs w:val="24"/>
          <w:highlight w:val="none"/>
        </w:rPr>
        <w:t xml:space="preserve">.3.2 </w:t>
      </w:r>
      <w:r>
        <w:rPr>
          <w:rStyle w:val="100"/>
          <w:rFonts w:hint="eastAsia" w:ascii="仿宋" w:hAnsi="仿宋" w:eastAsia="仿宋" w:cs="仿宋"/>
          <w:color w:val="auto"/>
          <w:sz w:val="24"/>
          <w:szCs w:val="24"/>
          <w:highlight w:val="none"/>
          <w:lang w:val="zh-TW" w:eastAsia="zh-TW"/>
        </w:rPr>
        <w:t>工程的合理使用寿命年限：</w:t>
      </w:r>
      <w:r>
        <w:rPr>
          <w:rStyle w:val="100"/>
          <w:rFonts w:hint="eastAsia" w:ascii="仿宋" w:hAnsi="仿宋" w:eastAsia="仿宋" w:cs="仿宋"/>
          <w:color w:val="auto"/>
          <w:sz w:val="24"/>
          <w:szCs w:val="24"/>
          <w:highlight w:val="none"/>
          <w:u w:val="single"/>
          <w:lang w:val="zh-TW" w:eastAsia="zh-TW"/>
        </w:rPr>
        <w:t xml:space="preserve">  结构部分</w:t>
      </w:r>
      <w:r>
        <w:rPr>
          <w:rStyle w:val="100"/>
          <w:rFonts w:hint="eastAsia" w:ascii="仿宋" w:hAnsi="仿宋" w:eastAsia="仿宋" w:cs="仿宋"/>
          <w:color w:val="auto"/>
          <w:sz w:val="24"/>
          <w:szCs w:val="24"/>
          <w:highlight w:val="none"/>
          <w:u w:val="single"/>
        </w:rPr>
        <w:t>50</w:t>
      </w:r>
      <w:r>
        <w:rPr>
          <w:rStyle w:val="100"/>
          <w:rFonts w:hint="eastAsia" w:ascii="仿宋" w:hAnsi="仿宋" w:eastAsia="仿宋" w:cs="仿宋"/>
          <w:color w:val="auto"/>
          <w:sz w:val="24"/>
          <w:szCs w:val="24"/>
          <w:highlight w:val="none"/>
          <w:u w:val="single"/>
          <w:lang w:val="zh-TW" w:eastAsia="zh-TW"/>
        </w:rPr>
        <w:t xml:space="preserve">年 </w:t>
      </w:r>
      <w:r>
        <w:rPr>
          <w:rStyle w:val="100"/>
          <w:rFonts w:hint="eastAsia" w:ascii="仿宋" w:hAnsi="仿宋" w:eastAsia="仿宋" w:cs="仿宋"/>
          <w:color w:val="auto"/>
          <w:sz w:val="24"/>
          <w:szCs w:val="24"/>
          <w:highlight w:val="none"/>
          <w:lang w:val="zh-TW" w:eastAsia="zh-TW"/>
        </w:rPr>
        <w:t xml:space="preserve">。 </w:t>
      </w:r>
    </w:p>
    <w:p w14:paraId="345A75FA">
      <w:pPr>
        <w:pStyle w:val="99"/>
        <w:framePr w:wrap="auto" w:vAnchor="margin" w:hAnchor="text" w:yAlign="inline"/>
        <w:spacing w:before="0" w:after="0" w:line="360" w:lineRule="auto"/>
        <w:ind w:firstLine="482" w:firstLineChars="200"/>
        <w:jc w:val="left"/>
        <w:outlineLvl w:val="2"/>
        <w:rPr>
          <w:rStyle w:val="100"/>
          <w:rFonts w:hint="eastAsia" w:ascii="仿宋" w:hAnsi="仿宋" w:eastAsia="仿宋" w:cs="仿宋"/>
          <w:b/>
          <w:bCs/>
          <w:color w:val="auto"/>
          <w:sz w:val="24"/>
          <w:szCs w:val="24"/>
          <w:highlight w:val="none"/>
          <w:lang w:val="en-US" w:eastAsia="zh-CN"/>
        </w:rPr>
      </w:pPr>
      <w:r>
        <w:rPr>
          <w:rStyle w:val="100"/>
          <w:rFonts w:hint="eastAsia" w:ascii="仿宋" w:hAnsi="仿宋" w:eastAsia="仿宋" w:cs="仿宋"/>
          <w:b/>
          <w:bCs/>
          <w:color w:val="auto"/>
          <w:sz w:val="24"/>
          <w:szCs w:val="24"/>
          <w:highlight w:val="none"/>
          <w:lang w:val="en-US" w:eastAsia="zh-CN"/>
        </w:rPr>
        <w:t>9</w:t>
      </w:r>
      <w:r>
        <w:rPr>
          <w:rStyle w:val="100"/>
          <w:rFonts w:hint="eastAsia" w:ascii="仿宋" w:hAnsi="仿宋" w:eastAsia="仿宋" w:cs="仿宋"/>
          <w:b/>
          <w:bCs/>
          <w:color w:val="auto"/>
          <w:sz w:val="24"/>
          <w:szCs w:val="24"/>
          <w:highlight w:val="none"/>
        </w:rPr>
        <w:t>. 工程设计文件交付</w:t>
      </w:r>
      <w:r>
        <w:rPr>
          <w:rStyle w:val="100"/>
          <w:rFonts w:hint="eastAsia" w:ascii="仿宋" w:hAnsi="仿宋" w:eastAsia="仿宋" w:cs="仿宋"/>
          <w:b/>
          <w:bCs/>
          <w:color w:val="auto"/>
          <w:sz w:val="24"/>
          <w:szCs w:val="24"/>
          <w:highlight w:val="none"/>
          <w:lang w:val="en-US" w:eastAsia="zh-CN"/>
        </w:rPr>
        <w:t>与审查</w:t>
      </w:r>
    </w:p>
    <w:p w14:paraId="201EEFD0">
      <w:pPr>
        <w:pStyle w:val="95"/>
        <w:spacing w:line="360" w:lineRule="auto"/>
        <w:ind w:firstLine="480" w:firstLineChars="200"/>
        <w:jc w:val="left"/>
        <w:rPr>
          <w:rStyle w:val="100"/>
          <w:rFonts w:hint="eastAsia" w:ascii="仿宋" w:hAnsi="仿宋" w:eastAsia="仿宋" w:cs="仿宋"/>
          <w:color w:val="auto"/>
          <w:sz w:val="24"/>
          <w:szCs w:val="24"/>
          <w:highlight w:val="none"/>
        </w:rPr>
      </w:pPr>
      <w:r>
        <w:rPr>
          <w:rStyle w:val="100"/>
          <w:rFonts w:hint="eastAsia" w:ascii="仿宋" w:hAnsi="仿宋" w:eastAsia="仿宋" w:cs="仿宋"/>
          <w:color w:val="auto"/>
          <w:sz w:val="24"/>
          <w:szCs w:val="24"/>
          <w:highlight w:val="none"/>
          <w:lang w:val="en-US" w:eastAsia="zh-CN"/>
        </w:rPr>
        <w:t>9.1</w:t>
      </w:r>
      <w:r>
        <w:rPr>
          <w:rStyle w:val="100"/>
          <w:rFonts w:hint="eastAsia" w:ascii="仿宋" w:hAnsi="仿宋" w:eastAsia="仿宋" w:cs="仿宋"/>
          <w:color w:val="auto"/>
          <w:sz w:val="24"/>
          <w:szCs w:val="24"/>
          <w:highlight w:val="none"/>
        </w:rPr>
        <w:t>发包人要求</w:t>
      </w:r>
      <w:r>
        <w:rPr>
          <w:rStyle w:val="100"/>
          <w:rFonts w:hint="eastAsia" w:ascii="仿宋" w:hAnsi="仿宋" w:eastAsia="仿宋" w:cs="仿宋"/>
          <w:color w:val="auto"/>
          <w:sz w:val="24"/>
          <w:szCs w:val="24"/>
          <w:highlight w:val="none"/>
          <w:lang w:eastAsia="zh-CN"/>
        </w:rPr>
        <w:t>承包人</w:t>
      </w:r>
      <w:r>
        <w:rPr>
          <w:rStyle w:val="100"/>
          <w:rFonts w:hint="eastAsia" w:ascii="仿宋" w:hAnsi="仿宋" w:eastAsia="仿宋" w:cs="仿宋"/>
          <w:color w:val="auto"/>
          <w:sz w:val="24"/>
          <w:szCs w:val="24"/>
          <w:highlight w:val="none"/>
        </w:rPr>
        <w:t>提交电子版设计文件的具体形式为：</w:t>
      </w:r>
    </w:p>
    <w:p w14:paraId="5DE2CCB6">
      <w:pPr>
        <w:pStyle w:val="95"/>
        <w:spacing w:line="360" w:lineRule="auto"/>
        <w:ind w:firstLine="480" w:firstLineChars="200"/>
        <w:jc w:val="left"/>
        <w:rPr>
          <w:rStyle w:val="100"/>
          <w:rFonts w:hint="eastAsia" w:ascii="仿宋" w:hAnsi="仿宋" w:eastAsia="仿宋" w:cs="仿宋"/>
          <w:color w:val="auto"/>
          <w:sz w:val="24"/>
          <w:szCs w:val="24"/>
          <w:highlight w:val="none"/>
        </w:rPr>
      </w:pPr>
      <w:r>
        <w:rPr>
          <w:rStyle w:val="100"/>
          <w:rFonts w:hint="eastAsia" w:ascii="仿宋" w:hAnsi="仿宋" w:eastAsia="仿宋" w:cs="仿宋"/>
          <w:color w:val="auto"/>
          <w:sz w:val="24"/>
          <w:szCs w:val="24"/>
          <w:highlight w:val="none"/>
        </w:rPr>
        <w:t>工程设计图纸为AutoCAD软件绘制的DWG格式，文本为Microsoft Office Word编制的可编辑DOC格式，其它文件以通用可编辑版本为宜，发包人可根据具体需要另行提出要求，</w:t>
      </w:r>
      <w:r>
        <w:rPr>
          <w:rStyle w:val="100"/>
          <w:rFonts w:hint="eastAsia" w:ascii="仿宋" w:hAnsi="仿宋" w:eastAsia="仿宋" w:cs="仿宋"/>
          <w:color w:val="auto"/>
          <w:sz w:val="24"/>
          <w:szCs w:val="24"/>
          <w:highlight w:val="none"/>
          <w:lang w:eastAsia="zh-CN"/>
        </w:rPr>
        <w:t>承包人</w:t>
      </w:r>
      <w:r>
        <w:rPr>
          <w:rStyle w:val="100"/>
          <w:rFonts w:hint="eastAsia" w:ascii="仿宋" w:hAnsi="仿宋" w:eastAsia="仿宋" w:cs="仿宋"/>
          <w:color w:val="auto"/>
          <w:sz w:val="24"/>
          <w:szCs w:val="24"/>
          <w:highlight w:val="none"/>
        </w:rPr>
        <w:t>应满足。</w:t>
      </w:r>
    </w:p>
    <w:p w14:paraId="60D44D43">
      <w:pPr>
        <w:bidi w:val="0"/>
        <w:jc w:val="left"/>
        <w:rPr>
          <w:rFonts w:hint="eastAsia" w:ascii="仿宋" w:hAnsi="仿宋" w:eastAsia="仿宋" w:cs="仿宋"/>
          <w:color w:val="auto"/>
          <w:highlight w:val="none"/>
        </w:rPr>
      </w:pPr>
      <w:r>
        <w:rPr>
          <w:rFonts w:hint="eastAsia" w:ascii="仿宋" w:hAnsi="仿宋" w:eastAsia="仿宋" w:cs="仿宋"/>
          <w:color w:val="auto"/>
          <w:highlight w:val="none"/>
          <w:lang w:val="en-US" w:eastAsia="zh-CN"/>
        </w:rPr>
        <w:t>9.2</w:t>
      </w:r>
      <w:r>
        <w:rPr>
          <w:rFonts w:hint="eastAsia" w:ascii="仿宋" w:hAnsi="仿宋" w:eastAsia="仿宋" w:cs="仿宋"/>
          <w:color w:val="auto"/>
          <w:highlight w:val="none"/>
        </w:rPr>
        <w:t>工程设计文件审查</w:t>
      </w:r>
    </w:p>
    <w:p w14:paraId="4BA4F9CD">
      <w:pPr>
        <w:pStyle w:val="95"/>
        <w:spacing w:line="360" w:lineRule="auto"/>
        <w:ind w:firstLine="480" w:firstLineChars="200"/>
        <w:jc w:val="left"/>
        <w:rPr>
          <w:rStyle w:val="100"/>
          <w:rFonts w:hint="eastAsia" w:ascii="仿宋" w:hAnsi="仿宋" w:eastAsia="仿宋" w:cs="仿宋"/>
          <w:color w:val="auto"/>
          <w:sz w:val="24"/>
          <w:szCs w:val="24"/>
          <w:highlight w:val="none"/>
        </w:rPr>
      </w:pPr>
      <w:r>
        <w:rPr>
          <w:rStyle w:val="100"/>
          <w:rFonts w:hint="eastAsia" w:ascii="仿宋" w:hAnsi="仿宋" w:eastAsia="仿宋" w:cs="仿宋"/>
          <w:color w:val="auto"/>
          <w:sz w:val="24"/>
          <w:szCs w:val="24"/>
          <w:highlight w:val="none"/>
        </w:rPr>
        <w:t>发包人对</w:t>
      </w:r>
      <w:r>
        <w:rPr>
          <w:rStyle w:val="100"/>
          <w:rFonts w:hint="eastAsia" w:ascii="仿宋" w:hAnsi="仿宋" w:eastAsia="仿宋" w:cs="仿宋"/>
          <w:color w:val="auto"/>
          <w:sz w:val="24"/>
          <w:szCs w:val="24"/>
          <w:highlight w:val="none"/>
          <w:lang w:eastAsia="zh-CN"/>
        </w:rPr>
        <w:t>承包人</w:t>
      </w:r>
      <w:r>
        <w:rPr>
          <w:rStyle w:val="100"/>
          <w:rFonts w:hint="eastAsia" w:ascii="仿宋" w:hAnsi="仿宋" w:eastAsia="仿宋" w:cs="仿宋"/>
          <w:color w:val="auto"/>
          <w:sz w:val="24"/>
          <w:szCs w:val="24"/>
          <w:highlight w:val="none"/>
        </w:rPr>
        <w:t>的设计文件审查期限不超过</w:t>
      </w:r>
      <w:r>
        <w:rPr>
          <w:rStyle w:val="100"/>
          <w:rFonts w:hint="eastAsia" w:ascii="仿宋" w:hAnsi="仿宋" w:eastAsia="仿宋" w:cs="仿宋"/>
          <w:color w:val="auto"/>
          <w:sz w:val="24"/>
          <w:szCs w:val="24"/>
          <w:highlight w:val="none"/>
          <w:u w:val="single"/>
        </w:rPr>
        <w:t xml:space="preserve">     </w:t>
      </w:r>
      <w:r>
        <w:rPr>
          <w:rStyle w:val="100"/>
          <w:rFonts w:hint="eastAsia" w:ascii="仿宋" w:hAnsi="仿宋" w:eastAsia="仿宋" w:cs="仿宋"/>
          <w:color w:val="auto"/>
          <w:sz w:val="24"/>
          <w:szCs w:val="24"/>
          <w:highlight w:val="none"/>
        </w:rPr>
        <w:t>天。审核期届满且发包人未提出异议，视为</w:t>
      </w:r>
      <w:r>
        <w:rPr>
          <w:rStyle w:val="100"/>
          <w:rFonts w:hint="eastAsia" w:ascii="仿宋" w:hAnsi="仿宋" w:eastAsia="仿宋" w:cs="仿宋"/>
          <w:color w:val="auto"/>
          <w:sz w:val="24"/>
          <w:szCs w:val="24"/>
          <w:highlight w:val="none"/>
          <w:lang w:eastAsia="zh-CN"/>
        </w:rPr>
        <w:t>承包人</w:t>
      </w:r>
      <w:r>
        <w:rPr>
          <w:rStyle w:val="100"/>
          <w:rFonts w:hint="eastAsia" w:ascii="仿宋" w:hAnsi="仿宋" w:eastAsia="仿宋" w:cs="仿宋"/>
          <w:color w:val="auto"/>
          <w:sz w:val="24"/>
          <w:szCs w:val="24"/>
          <w:highlight w:val="none"/>
        </w:rPr>
        <w:t>成果已符合合同约定。</w:t>
      </w:r>
    </w:p>
    <w:p w14:paraId="13100DFC">
      <w:pPr>
        <w:pStyle w:val="95"/>
        <w:spacing w:line="360" w:lineRule="auto"/>
        <w:ind w:firstLine="480" w:firstLineChars="200"/>
        <w:jc w:val="left"/>
        <w:rPr>
          <w:rStyle w:val="100"/>
          <w:rFonts w:hint="eastAsia" w:ascii="仿宋" w:hAnsi="仿宋" w:eastAsia="仿宋" w:cs="仿宋"/>
          <w:color w:val="auto"/>
          <w:kern w:val="0"/>
          <w:sz w:val="24"/>
          <w:szCs w:val="24"/>
          <w:highlight w:val="none"/>
          <w:lang w:val="zh-TW" w:eastAsia="zh-TW"/>
        </w:rPr>
      </w:pPr>
      <w:r>
        <w:rPr>
          <w:rStyle w:val="100"/>
          <w:rFonts w:hint="eastAsia" w:ascii="仿宋" w:hAnsi="仿宋" w:eastAsia="仿宋" w:cs="仿宋"/>
          <w:color w:val="auto"/>
          <w:sz w:val="24"/>
          <w:szCs w:val="24"/>
          <w:highlight w:val="none"/>
        </w:rPr>
        <w:t>发包人应在审查同意</w:t>
      </w:r>
      <w:r>
        <w:rPr>
          <w:rStyle w:val="100"/>
          <w:rFonts w:hint="eastAsia" w:ascii="仿宋" w:hAnsi="仿宋" w:eastAsia="仿宋" w:cs="仿宋"/>
          <w:color w:val="auto"/>
          <w:sz w:val="24"/>
          <w:szCs w:val="24"/>
          <w:highlight w:val="none"/>
          <w:lang w:eastAsia="zh-CN"/>
        </w:rPr>
        <w:t>承包人</w:t>
      </w:r>
      <w:r>
        <w:rPr>
          <w:rStyle w:val="100"/>
          <w:rFonts w:hint="eastAsia" w:ascii="仿宋" w:hAnsi="仿宋" w:eastAsia="仿宋" w:cs="仿宋"/>
          <w:color w:val="auto"/>
          <w:sz w:val="24"/>
          <w:szCs w:val="24"/>
          <w:highlight w:val="none"/>
        </w:rPr>
        <w:t>的工程设计文件后在</w:t>
      </w:r>
      <w:r>
        <w:rPr>
          <w:rStyle w:val="100"/>
          <w:rFonts w:hint="eastAsia" w:ascii="仿宋" w:hAnsi="仿宋" w:eastAsia="仿宋" w:cs="仿宋"/>
          <w:color w:val="auto"/>
          <w:sz w:val="24"/>
          <w:szCs w:val="24"/>
          <w:highlight w:val="none"/>
          <w:u w:val="single"/>
        </w:rPr>
        <w:t xml:space="preserve">    </w:t>
      </w:r>
      <w:r>
        <w:rPr>
          <w:rStyle w:val="100"/>
          <w:rFonts w:hint="eastAsia" w:ascii="仿宋" w:hAnsi="仿宋" w:eastAsia="仿宋" w:cs="仿宋"/>
          <w:color w:val="auto"/>
          <w:sz w:val="24"/>
          <w:szCs w:val="24"/>
          <w:highlight w:val="none"/>
        </w:rPr>
        <w:t>天内，向政府有关部门报送工程设计文件。</w:t>
      </w:r>
    </w:p>
    <w:p w14:paraId="69F52E39">
      <w:pPr>
        <w:pStyle w:val="99"/>
        <w:framePr w:wrap="auto" w:vAnchor="margin" w:hAnchor="text" w:yAlign="inline"/>
        <w:spacing w:before="0" w:after="0" w:line="360" w:lineRule="auto"/>
        <w:ind w:firstLine="482" w:firstLineChars="200"/>
        <w:jc w:val="left"/>
        <w:outlineLvl w:val="2"/>
        <w:rPr>
          <w:rStyle w:val="100"/>
          <w:rFonts w:hint="eastAsia" w:ascii="仿宋" w:hAnsi="仿宋" w:eastAsia="仿宋" w:cs="仿宋"/>
          <w:b/>
          <w:bCs/>
          <w:color w:val="auto"/>
          <w:sz w:val="24"/>
          <w:szCs w:val="24"/>
          <w:highlight w:val="none"/>
        </w:rPr>
      </w:pPr>
      <w:r>
        <w:rPr>
          <w:rStyle w:val="100"/>
          <w:rFonts w:hint="eastAsia" w:ascii="仿宋" w:hAnsi="仿宋" w:eastAsia="仿宋" w:cs="仿宋"/>
          <w:b/>
          <w:bCs/>
          <w:color w:val="auto"/>
          <w:sz w:val="24"/>
          <w:szCs w:val="24"/>
          <w:highlight w:val="none"/>
          <w:lang w:val="en-US" w:eastAsia="zh-CN"/>
        </w:rPr>
        <w:t>10</w:t>
      </w:r>
      <w:r>
        <w:rPr>
          <w:rStyle w:val="100"/>
          <w:rFonts w:hint="eastAsia" w:ascii="仿宋" w:hAnsi="仿宋" w:eastAsia="仿宋" w:cs="仿宋"/>
          <w:b/>
          <w:bCs/>
          <w:color w:val="auto"/>
          <w:sz w:val="24"/>
          <w:szCs w:val="24"/>
          <w:highlight w:val="none"/>
        </w:rPr>
        <w:t>. 施工现场配合服务</w:t>
      </w:r>
    </w:p>
    <w:p w14:paraId="7DFB2AF4">
      <w:pPr>
        <w:pStyle w:val="95"/>
        <w:spacing w:line="360" w:lineRule="auto"/>
        <w:ind w:firstLine="480" w:firstLineChars="200"/>
        <w:jc w:val="left"/>
        <w:rPr>
          <w:rStyle w:val="100"/>
          <w:rFonts w:hint="eastAsia" w:ascii="仿宋" w:hAnsi="仿宋" w:eastAsia="仿宋" w:cs="仿宋"/>
          <w:color w:val="auto"/>
          <w:sz w:val="24"/>
          <w:szCs w:val="24"/>
          <w:highlight w:val="none"/>
        </w:rPr>
      </w:pPr>
      <w:r>
        <w:rPr>
          <w:rStyle w:val="100"/>
          <w:rFonts w:hint="eastAsia" w:ascii="仿宋" w:hAnsi="仿宋" w:eastAsia="仿宋" w:cs="仿宋"/>
          <w:color w:val="auto"/>
          <w:sz w:val="24"/>
          <w:szCs w:val="24"/>
          <w:highlight w:val="none"/>
          <w:lang w:val="en-US" w:eastAsia="zh-CN"/>
        </w:rPr>
        <w:t>10</w:t>
      </w:r>
      <w:r>
        <w:rPr>
          <w:rStyle w:val="100"/>
          <w:rFonts w:hint="eastAsia" w:ascii="仿宋" w:hAnsi="仿宋" w:eastAsia="仿宋" w:cs="仿宋"/>
          <w:color w:val="auto"/>
          <w:sz w:val="24"/>
          <w:szCs w:val="24"/>
          <w:highlight w:val="none"/>
        </w:rPr>
        <w:t>.1 发包人为</w:t>
      </w:r>
      <w:r>
        <w:rPr>
          <w:rStyle w:val="100"/>
          <w:rFonts w:hint="eastAsia" w:ascii="仿宋" w:hAnsi="仿宋" w:eastAsia="仿宋" w:cs="仿宋"/>
          <w:color w:val="auto"/>
          <w:sz w:val="24"/>
          <w:szCs w:val="24"/>
          <w:highlight w:val="none"/>
          <w:lang w:eastAsia="zh-CN"/>
        </w:rPr>
        <w:t>承包人</w:t>
      </w:r>
      <w:r>
        <w:rPr>
          <w:rStyle w:val="100"/>
          <w:rFonts w:hint="eastAsia" w:ascii="仿宋" w:hAnsi="仿宋" w:eastAsia="仿宋" w:cs="仿宋"/>
          <w:color w:val="auto"/>
          <w:sz w:val="24"/>
          <w:szCs w:val="24"/>
          <w:highlight w:val="none"/>
        </w:rPr>
        <w:t>派赴现场的工作人员提供便利条件的内容包括：</w:t>
      </w:r>
      <w:r>
        <w:rPr>
          <w:rStyle w:val="100"/>
          <w:rFonts w:hint="eastAsia" w:ascii="仿宋" w:hAnsi="仿宋" w:eastAsia="仿宋" w:cs="仿宋"/>
          <w:color w:val="auto"/>
          <w:sz w:val="24"/>
          <w:szCs w:val="24"/>
          <w:highlight w:val="none"/>
          <w:u w:val="single"/>
          <w:lang w:eastAsia="zh-CN"/>
        </w:rPr>
        <w:t>承包人</w:t>
      </w:r>
      <w:r>
        <w:rPr>
          <w:rStyle w:val="100"/>
          <w:rFonts w:hint="eastAsia" w:ascii="仿宋" w:hAnsi="仿宋" w:eastAsia="仿宋" w:cs="仿宋"/>
          <w:color w:val="auto"/>
          <w:sz w:val="24"/>
          <w:szCs w:val="24"/>
          <w:highlight w:val="none"/>
          <w:u w:val="single"/>
        </w:rPr>
        <w:t>自行解决，其费包含在设计费中。</w:t>
      </w:r>
    </w:p>
    <w:p w14:paraId="27ABC236">
      <w:pPr>
        <w:pStyle w:val="95"/>
        <w:spacing w:line="360" w:lineRule="auto"/>
        <w:ind w:firstLine="480" w:firstLineChars="200"/>
        <w:jc w:val="left"/>
        <w:rPr>
          <w:rStyle w:val="100"/>
          <w:rFonts w:hint="eastAsia" w:ascii="仿宋" w:hAnsi="仿宋" w:eastAsia="仿宋" w:cs="仿宋"/>
          <w:color w:val="auto"/>
          <w:sz w:val="24"/>
          <w:szCs w:val="24"/>
          <w:highlight w:val="none"/>
        </w:rPr>
      </w:pPr>
      <w:r>
        <w:rPr>
          <w:rStyle w:val="100"/>
          <w:rFonts w:hint="eastAsia" w:ascii="仿宋" w:hAnsi="仿宋" w:eastAsia="仿宋" w:cs="仿宋"/>
          <w:color w:val="auto"/>
          <w:sz w:val="24"/>
          <w:szCs w:val="24"/>
          <w:highlight w:val="none"/>
          <w:lang w:val="en-US" w:eastAsia="zh-CN"/>
        </w:rPr>
        <w:t>10</w:t>
      </w:r>
      <w:r>
        <w:rPr>
          <w:rStyle w:val="100"/>
          <w:rFonts w:hint="eastAsia" w:ascii="仿宋" w:hAnsi="仿宋" w:eastAsia="仿宋" w:cs="仿宋"/>
          <w:color w:val="auto"/>
          <w:sz w:val="24"/>
          <w:szCs w:val="24"/>
          <w:highlight w:val="none"/>
        </w:rPr>
        <w:t>.2 设计单位应当在交付施工图设计文件并经审查合格后至工程竣工验收合格时间内提供施工现场配合服务，在此期间本项目专业负责人：</w:t>
      </w:r>
      <w:r>
        <w:rPr>
          <w:rStyle w:val="100"/>
          <w:rFonts w:hint="eastAsia" w:ascii="仿宋" w:hAnsi="仿宋" w:cs="仿宋"/>
          <w:color w:val="auto"/>
          <w:sz w:val="24"/>
          <w:szCs w:val="24"/>
          <w:highlight w:val="none"/>
          <w:lang w:eastAsia="zh-CN"/>
        </w:rPr>
        <w:t>☑</w:t>
      </w:r>
      <w:r>
        <w:rPr>
          <w:rStyle w:val="100"/>
          <w:rFonts w:hint="eastAsia" w:ascii="仿宋" w:hAnsi="仿宋" w:eastAsia="仿宋" w:cs="仿宋"/>
          <w:color w:val="auto"/>
          <w:sz w:val="24"/>
          <w:szCs w:val="24"/>
          <w:highlight w:val="none"/>
        </w:rPr>
        <w:t xml:space="preserve">须驻现场  </w:t>
      </w:r>
      <w:r>
        <w:rPr>
          <w:rStyle w:val="100"/>
          <w:rFonts w:hint="eastAsia" w:ascii="仿宋" w:hAnsi="仿宋" w:cs="仿宋"/>
          <w:color w:val="auto"/>
          <w:sz w:val="24"/>
          <w:szCs w:val="24"/>
          <w:highlight w:val="none"/>
          <w:lang w:eastAsia="zh-CN"/>
        </w:rPr>
        <w:t>□</w:t>
      </w:r>
      <w:r>
        <w:rPr>
          <w:rStyle w:val="100"/>
          <w:rFonts w:hint="eastAsia" w:ascii="仿宋" w:hAnsi="仿宋" w:eastAsia="仿宋" w:cs="仿宋"/>
          <w:color w:val="auto"/>
          <w:sz w:val="24"/>
          <w:szCs w:val="24"/>
          <w:highlight w:val="none"/>
        </w:rPr>
        <w:t>可不驻现场。 （主要专业包括：给排水、水利、环境、结构、设备等）</w:t>
      </w:r>
    </w:p>
    <w:p w14:paraId="0B623637">
      <w:pPr>
        <w:pStyle w:val="99"/>
        <w:framePr w:wrap="auto" w:vAnchor="margin" w:hAnchor="text" w:yAlign="inline"/>
        <w:spacing w:before="0" w:after="0" w:line="360" w:lineRule="auto"/>
        <w:ind w:firstLine="482" w:firstLineChars="200"/>
        <w:jc w:val="left"/>
        <w:outlineLvl w:val="2"/>
        <w:rPr>
          <w:rStyle w:val="100"/>
          <w:rFonts w:hint="eastAsia" w:ascii="仿宋" w:hAnsi="仿宋" w:eastAsia="仿宋" w:cs="仿宋"/>
          <w:b/>
          <w:bCs/>
          <w:color w:val="auto"/>
          <w:sz w:val="24"/>
          <w:szCs w:val="24"/>
          <w:highlight w:val="none"/>
        </w:rPr>
      </w:pPr>
      <w:r>
        <w:rPr>
          <w:rStyle w:val="100"/>
          <w:rFonts w:hint="eastAsia" w:ascii="仿宋" w:hAnsi="仿宋" w:eastAsia="仿宋" w:cs="仿宋"/>
          <w:b/>
          <w:bCs/>
          <w:color w:val="auto"/>
          <w:sz w:val="24"/>
          <w:szCs w:val="24"/>
          <w:highlight w:val="none"/>
        </w:rPr>
        <w:t xml:space="preserve">11. </w:t>
      </w:r>
      <w:r>
        <w:rPr>
          <w:rStyle w:val="100"/>
          <w:rFonts w:hint="eastAsia" w:ascii="仿宋" w:hAnsi="仿宋" w:eastAsia="仿宋" w:cs="仿宋"/>
          <w:b/>
          <w:bCs/>
          <w:color w:val="auto"/>
          <w:sz w:val="24"/>
          <w:szCs w:val="24"/>
          <w:highlight w:val="none"/>
          <w:lang w:eastAsia="zh-TW"/>
        </w:rPr>
        <w:t>工程设计变更与索赔</w:t>
      </w:r>
    </w:p>
    <w:p w14:paraId="51C6A1F6">
      <w:pPr>
        <w:pStyle w:val="95"/>
        <w:spacing w:line="360" w:lineRule="auto"/>
        <w:ind w:firstLine="480" w:firstLineChars="200"/>
        <w:jc w:val="left"/>
        <w:rPr>
          <w:rStyle w:val="100"/>
          <w:rFonts w:hint="eastAsia" w:ascii="仿宋" w:hAnsi="仿宋" w:eastAsia="仿宋" w:cs="仿宋"/>
          <w:color w:val="auto"/>
          <w:sz w:val="24"/>
          <w:szCs w:val="24"/>
          <w:highlight w:val="none"/>
        </w:rPr>
      </w:pPr>
      <w:r>
        <w:rPr>
          <w:rStyle w:val="100"/>
          <w:rFonts w:hint="eastAsia" w:ascii="仿宋" w:hAnsi="仿宋" w:eastAsia="仿宋" w:cs="仿宋"/>
          <w:color w:val="auto"/>
          <w:sz w:val="24"/>
          <w:szCs w:val="24"/>
          <w:highlight w:val="none"/>
        </w:rPr>
        <w:t xml:space="preserve">11.1 </w:t>
      </w:r>
      <w:r>
        <w:rPr>
          <w:rStyle w:val="100"/>
          <w:rFonts w:hint="eastAsia" w:ascii="仿宋" w:hAnsi="仿宋" w:eastAsia="仿宋" w:cs="仿宋"/>
          <w:color w:val="auto"/>
          <w:sz w:val="24"/>
          <w:szCs w:val="24"/>
          <w:highlight w:val="none"/>
          <w:lang w:eastAsia="zh-CN"/>
        </w:rPr>
        <w:t>承包人</w:t>
      </w:r>
      <w:r>
        <w:rPr>
          <w:rStyle w:val="100"/>
          <w:rFonts w:hint="eastAsia" w:ascii="仿宋" w:hAnsi="仿宋" w:eastAsia="仿宋" w:cs="仿宋"/>
          <w:color w:val="auto"/>
          <w:sz w:val="24"/>
          <w:szCs w:val="24"/>
          <w:highlight w:val="none"/>
        </w:rPr>
        <w:t>应于认为有理由提出增加合同价款或延长设计周期的要求事项发生后</w:t>
      </w:r>
      <w:r>
        <w:rPr>
          <w:rStyle w:val="100"/>
          <w:rFonts w:hint="eastAsia" w:ascii="仿宋" w:hAnsi="仿宋" w:eastAsia="仿宋" w:cs="仿宋"/>
          <w:color w:val="auto"/>
          <w:sz w:val="24"/>
          <w:szCs w:val="24"/>
          <w:highlight w:val="none"/>
          <w:u w:val="single"/>
        </w:rPr>
        <w:t xml:space="preserve">   </w:t>
      </w:r>
      <w:r>
        <w:rPr>
          <w:rStyle w:val="100"/>
          <w:rFonts w:hint="eastAsia" w:ascii="仿宋" w:hAnsi="仿宋" w:eastAsia="仿宋" w:cs="仿宋"/>
          <w:color w:val="auto"/>
          <w:sz w:val="24"/>
          <w:szCs w:val="24"/>
          <w:highlight w:val="none"/>
        </w:rPr>
        <w:t>天内书面通知发包人。</w:t>
      </w:r>
    </w:p>
    <w:p w14:paraId="4C404D3B">
      <w:pPr>
        <w:pStyle w:val="95"/>
        <w:spacing w:line="360" w:lineRule="auto"/>
        <w:ind w:firstLine="480" w:firstLineChars="200"/>
        <w:jc w:val="left"/>
        <w:rPr>
          <w:rStyle w:val="100"/>
          <w:rFonts w:hint="eastAsia" w:ascii="仿宋" w:hAnsi="仿宋" w:eastAsia="仿宋" w:cs="仿宋"/>
          <w:color w:val="auto"/>
          <w:sz w:val="24"/>
          <w:szCs w:val="24"/>
          <w:highlight w:val="none"/>
        </w:rPr>
      </w:pPr>
      <w:r>
        <w:rPr>
          <w:rStyle w:val="100"/>
          <w:rFonts w:hint="eastAsia" w:ascii="仿宋" w:hAnsi="仿宋" w:eastAsia="仿宋" w:cs="仿宋"/>
          <w:color w:val="auto"/>
          <w:sz w:val="24"/>
          <w:szCs w:val="24"/>
          <w:highlight w:val="none"/>
        </w:rPr>
        <w:t xml:space="preserve">11.2 </w:t>
      </w:r>
      <w:r>
        <w:rPr>
          <w:rStyle w:val="100"/>
          <w:rFonts w:hint="eastAsia" w:ascii="仿宋" w:hAnsi="仿宋" w:eastAsia="仿宋" w:cs="仿宋"/>
          <w:color w:val="auto"/>
          <w:sz w:val="24"/>
          <w:szCs w:val="24"/>
          <w:highlight w:val="none"/>
          <w:lang w:eastAsia="zh-CN"/>
        </w:rPr>
        <w:t>承包人</w:t>
      </w:r>
      <w:r>
        <w:rPr>
          <w:rStyle w:val="100"/>
          <w:rFonts w:hint="eastAsia" w:ascii="仿宋" w:hAnsi="仿宋" w:eastAsia="仿宋" w:cs="仿宋"/>
          <w:color w:val="auto"/>
          <w:sz w:val="24"/>
          <w:szCs w:val="24"/>
          <w:highlight w:val="none"/>
        </w:rPr>
        <w:t>应在该事项发生后</w:t>
      </w:r>
      <w:r>
        <w:rPr>
          <w:rStyle w:val="100"/>
          <w:rFonts w:hint="eastAsia" w:ascii="仿宋" w:hAnsi="仿宋" w:eastAsia="仿宋" w:cs="仿宋"/>
          <w:color w:val="auto"/>
          <w:sz w:val="24"/>
          <w:szCs w:val="24"/>
          <w:highlight w:val="none"/>
          <w:u w:val="single"/>
        </w:rPr>
        <w:t xml:space="preserve">    </w:t>
      </w:r>
      <w:r>
        <w:rPr>
          <w:rStyle w:val="100"/>
          <w:rFonts w:hint="eastAsia" w:ascii="仿宋" w:hAnsi="仿宋" w:eastAsia="仿宋" w:cs="仿宋"/>
          <w:color w:val="auto"/>
          <w:sz w:val="24"/>
          <w:szCs w:val="24"/>
          <w:highlight w:val="none"/>
        </w:rPr>
        <w:t>天内向发包人提供证明</w:t>
      </w:r>
      <w:r>
        <w:rPr>
          <w:rStyle w:val="100"/>
          <w:rFonts w:hint="eastAsia" w:ascii="仿宋" w:hAnsi="仿宋" w:eastAsia="仿宋" w:cs="仿宋"/>
          <w:color w:val="auto"/>
          <w:sz w:val="24"/>
          <w:szCs w:val="24"/>
          <w:highlight w:val="none"/>
          <w:lang w:eastAsia="zh-CN"/>
        </w:rPr>
        <w:t>承包人</w:t>
      </w:r>
      <w:r>
        <w:rPr>
          <w:rStyle w:val="100"/>
          <w:rFonts w:hint="eastAsia" w:ascii="仿宋" w:hAnsi="仿宋" w:eastAsia="仿宋" w:cs="仿宋"/>
          <w:color w:val="auto"/>
          <w:sz w:val="24"/>
          <w:szCs w:val="24"/>
          <w:highlight w:val="none"/>
        </w:rPr>
        <w:t>要求的书面声明。</w:t>
      </w:r>
    </w:p>
    <w:p w14:paraId="59DFBBBB">
      <w:pPr>
        <w:pStyle w:val="95"/>
        <w:spacing w:line="360" w:lineRule="auto"/>
        <w:ind w:firstLine="480" w:firstLineChars="200"/>
        <w:jc w:val="left"/>
        <w:rPr>
          <w:rStyle w:val="100"/>
          <w:rFonts w:hint="eastAsia" w:ascii="仿宋" w:hAnsi="仿宋" w:eastAsia="仿宋" w:cs="仿宋"/>
          <w:color w:val="auto"/>
          <w:sz w:val="24"/>
          <w:szCs w:val="24"/>
          <w:highlight w:val="none"/>
        </w:rPr>
      </w:pPr>
      <w:r>
        <w:rPr>
          <w:rStyle w:val="100"/>
          <w:rFonts w:hint="eastAsia" w:ascii="仿宋" w:hAnsi="仿宋" w:eastAsia="仿宋" w:cs="仿宋"/>
          <w:color w:val="auto"/>
          <w:sz w:val="24"/>
          <w:szCs w:val="24"/>
          <w:highlight w:val="none"/>
        </w:rPr>
        <w:t>11.3 发包人应在接到</w:t>
      </w:r>
      <w:r>
        <w:rPr>
          <w:rStyle w:val="100"/>
          <w:rFonts w:hint="eastAsia" w:ascii="仿宋" w:hAnsi="仿宋" w:eastAsia="仿宋" w:cs="仿宋"/>
          <w:color w:val="auto"/>
          <w:sz w:val="24"/>
          <w:szCs w:val="24"/>
          <w:highlight w:val="none"/>
          <w:lang w:eastAsia="zh-CN"/>
        </w:rPr>
        <w:t>承包人</w:t>
      </w:r>
      <w:r>
        <w:rPr>
          <w:rStyle w:val="100"/>
          <w:rFonts w:hint="eastAsia" w:ascii="仿宋" w:hAnsi="仿宋" w:eastAsia="仿宋" w:cs="仿宋"/>
          <w:color w:val="auto"/>
          <w:sz w:val="24"/>
          <w:szCs w:val="24"/>
          <w:highlight w:val="none"/>
        </w:rPr>
        <w:t>书面声明后的</w:t>
      </w:r>
      <w:r>
        <w:rPr>
          <w:rStyle w:val="100"/>
          <w:rFonts w:hint="eastAsia" w:ascii="仿宋" w:hAnsi="仿宋" w:eastAsia="仿宋" w:cs="仿宋"/>
          <w:color w:val="auto"/>
          <w:sz w:val="24"/>
          <w:szCs w:val="24"/>
          <w:highlight w:val="none"/>
          <w:u w:val="single"/>
        </w:rPr>
        <w:t xml:space="preserve">    </w:t>
      </w:r>
      <w:r>
        <w:rPr>
          <w:rStyle w:val="100"/>
          <w:rFonts w:hint="eastAsia" w:ascii="仿宋" w:hAnsi="仿宋" w:eastAsia="仿宋" w:cs="仿宋"/>
          <w:color w:val="auto"/>
          <w:sz w:val="24"/>
          <w:szCs w:val="24"/>
          <w:highlight w:val="none"/>
        </w:rPr>
        <w:t>天内，予以书面答复。</w:t>
      </w:r>
    </w:p>
    <w:p w14:paraId="7731D2F7">
      <w:pPr>
        <w:pStyle w:val="95"/>
        <w:spacing w:line="360" w:lineRule="auto"/>
        <w:ind w:firstLine="480" w:firstLineChars="200"/>
        <w:jc w:val="left"/>
        <w:rPr>
          <w:rStyle w:val="100"/>
          <w:rFonts w:hint="eastAsia" w:ascii="仿宋" w:hAnsi="仿宋" w:eastAsia="仿宋" w:cs="仿宋"/>
          <w:color w:val="auto"/>
          <w:sz w:val="24"/>
          <w:szCs w:val="24"/>
          <w:highlight w:val="none"/>
        </w:rPr>
      </w:pPr>
      <w:r>
        <w:rPr>
          <w:rStyle w:val="100"/>
          <w:rFonts w:hint="eastAsia" w:ascii="仿宋" w:hAnsi="仿宋" w:eastAsia="仿宋" w:cs="仿宋"/>
          <w:color w:val="auto"/>
          <w:sz w:val="24"/>
          <w:szCs w:val="24"/>
          <w:highlight w:val="none"/>
        </w:rPr>
        <w:t>11.4 双方另行协商并书面确认的情况除外。</w:t>
      </w:r>
    </w:p>
    <w:p w14:paraId="4D774C5C">
      <w:pPr>
        <w:pStyle w:val="99"/>
        <w:framePr w:wrap="auto" w:vAnchor="margin" w:hAnchor="text" w:yAlign="inline"/>
        <w:spacing w:before="0" w:after="0" w:line="360" w:lineRule="auto"/>
        <w:ind w:firstLine="482" w:firstLineChars="200"/>
        <w:jc w:val="left"/>
        <w:outlineLvl w:val="2"/>
        <w:rPr>
          <w:rStyle w:val="100"/>
          <w:rFonts w:hint="eastAsia" w:ascii="仿宋" w:hAnsi="仿宋" w:eastAsia="仿宋" w:cs="仿宋"/>
          <w:b/>
          <w:bCs/>
          <w:color w:val="auto"/>
          <w:sz w:val="24"/>
          <w:szCs w:val="24"/>
          <w:highlight w:val="none"/>
        </w:rPr>
      </w:pPr>
      <w:r>
        <w:rPr>
          <w:rStyle w:val="100"/>
          <w:rFonts w:hint="eastAsia" w:ascii="仿宋" w:hAnsi="仿宋" w:eastAsia="仿宋" w:cs="仿宋"/>
          <w:b/>
          <w:bCs/>
          <w:color w:val="auto"/>
          <w:sz w:val="24"/>
          <w:szCs w:val="24"/>
          <w:highlight w:val="none"/>
        </w:rPr>
        <w:t xml:space="preserve">12. </w:t>
      </w:r>
      <w:r>
        <w:rPr>
          <w:rStyle w:val="100"/>
          <w:rFonts w:hint="eastAsia" w:ascii="仿宋" w:hAnsi="仿宋" w:eastAsia="仿宋" w:cs="仿宋"/>
          <w:b/>
          <w:bCs/>
          <w:color w:val="auto"/>
          <w:sz w:val="24"/>
          <w:szCs w:val="24"/>
          <w:highlight w:val="none"/>
          <w:lang w:val="zh-TW" w:eastAsia="zh-TW"/>
        </w:rPr>
        <w:t>专业责任与保险</w:t>
      </w:r>
    </w:p>
    <w:p w14:paraId="74B93E5C">
      <w:pPr>
        <w:pStyle w:val="95"/>
        <w:spacing w:line="360" w:lineRule="auto"/>
        <w:ind w:firstLine="480" w:firstLineChars="200"/>
        <w:jc w:val="left"/>
        <w:rPr>
          <w:rStyle w:val="100"/>
          <w:rFonts w:hint="eastAsia" w:ascii="仿宋" w:hAnsi="仿宋" w:eastAsia="仿宋" w:cs="仿宋"/>
          <w:color w:val="auto"/>
          <w:sz w:val="24"/>
          <w:szCs w:val="24"/>
          <w:highlight w:val="none"/>
        </w:rPr>
      </w:pPr>
      <w:r>
        <w:rPr>
          <w:rStyle w:val="100"/>
          <w:rFonts w:hint="eastAsia" w:ascii="仿宋" w:hAnsi="仿宋" w:eastAsia="仿宋" w:cs="仿宋"/>
          <w:color w:val="auto"/>
          <w:sz w:val="24"/>
          <w:szCs w:val="24"/>
          <w:highlight w:val="none"/>
          <w:lang w:val="zh-TW"/>
        </w:rPr>
        <w:t>12.1</w:t>
      </w:r>
      <w:r>
        <w:rPr>
          <w:rStyle w:val="100"/>
          <w:rFonts w:hint="eastAsia" w:ascii="仿宋" w:hAnsi="仿宋" w:eastAsia="仿宋" w:cs="仿宋"/>
          <w:color w:val="auto"/>
          <w:sz w:val="24"/>
          <w:szCs w:val="24"/>
          <w:highlight w:val="none"/>
          <w:lang w:val="zh-TW" w:eastAsia="zh-CN"/>
        </w:rPr>
        <w:t>承包人</w:t>
      </w:r>
      <w:r>
        <w:rPr>
          <w:rStyle w:val="100"/>
          <w:rFonts w:hint="eastAsia" w:ascii="仿宋" w:hAnsi="仿宋" w:eastAsia="仿宋" w:cs="仿宋"/>
          <w:color w:val="auto"/>
          <w:sz w:val="24"/>
          <w:szCs w:val="24"/>
          <w:highlight w:val="none"/>
          <w:u w:val="single"/>
          <w:lang w:val="zh-TW" w:eastAsia="zh-TW"/>
        </w:rPr>
        <w:t xml:space="preserve"> </w:t>
      </w:r>
      <w:r>
        <w:rPr>
          <w:rStyle w:val="100"/>
          <w:rFonts w:hint="eastAsia" w:ascii="仿宋" w:hAnsi="仿宋" w:eastAsia="仿宋" w:cs="仿宋"/>
          <w:color w:val="auto"/>
          <w:sz w:val="24"/>
          <w:szCs w:val="24"/>
          <w:highlight w:val="none"/>
          <w:u w:val="single"/>
          <w:lang w:val="zh-TW"/>
        </w:rPr>
        <w:t xml:space="preserve"> 不需</w:t>
      </w:r>
      <w:r>
        <w:rPr>
          <w:rStyle w:val="100"/>
          <w:rFonts w:hint="eastAsia" w:ascii="仿宋" w:hAnsi="仿宋" w:eastAsia="仿宋" w:cs="仿宋"/>
          <w:color w:val="auto"/>
          <w:sz w:val="24"/>
          <w:szCs w:val="24"/>
          <w:highlight w:val="none"/>
          <w:u w:val="single"/>
        </w:rPr>
        <w:t xml:space="preserve"> </w:t>
      </w:r>
      <w:r>
        <w:rPr>
          <w:rStyle w:val="100"/>
          <w:rFonts w:hint="eastAsia" w:ascii="仿宋" w:hAnsi="仿宋" w:eastAsia="仿宋" w:cs="仿宋"/>
          <w:color w:val="auto"/>
          <w:sz w:val="24"/>
          <w:szCs w:val="24"/>
          <w:highlight w:val="none"/>
          <w:u w:val="single"/>
          <w:lang w:val="zh-TW" w:eastAsia="zh-TW"/>
        </w:rPr>
        <w:t xml:space="preserve"> </w:t>
      </w:r>
      <w:r>
        <w:rPr>
          <w:rStyle w:val="100"/>
          <w:rFonts w:hint="eastAsia" w:ascii="仿宋" w:hAnsi="仿宋" w:eastAsia="仿宋" w:cs="仿宋"/>
          <w:color w:val="auto"/>
          <w:sz w:val="24"/>
          <w:szCs w:val="24"/>
          <w:highlight w:val="none"/>
          <w:lang w:val="zh-TW" w:eastAsia="zh-TW"/>
        </w:rPr>
        <w:t>有发包人认可的工程设计责任保险。</w:t>
      </w:r>
    </w:p>
    <w:p w14:paraId="019A4091">
      <w:pPr>
        <w:pStyle w:val="99"/>
        <w:framePr w:wrap="auto" w:vAnchor="margin" w:hAnchor="text" w:yAlign="inline"/>
        <w:spacing w:before="0" w:after="0" w:line="360" w:lineRule="auto"/>
        <w:ind w:firstLine="482" w:firstLineChars="200"/>
        <w:jc w:val="left"/>
        <w:outlineLvl w:val="2"/>
        <w:rPr>
          <w:rStyle w:val="100"/>
          <w:rFonts w:hint="eastAsia" w:ascii="仿宋" w:hAnsi="仿宋" w:eastAsia="仿宋" w:cs="仿宋"/>
          <w:b/>
          <w:bCs/>
          <w:color w:val="auto"/>
          <w:sz w:val="24"/>
          <w:szCs w:val="24"/>
          <w:highlight w:val="none"/>
        </w:rPr>
      </w:pPr>
      <w:r>
        <w:rPr>
          <w:rStyle w:val="100"/>
          <w:rFonts w:hint="eastAsia" w:ascii="仿宋" w:hAnsi="仿宋" w:eastAsia="仿宋" w:cs="仿宋"/>
          <w:b/>
          <w:bCs/>
          <w:color w:val="auto"/>
          <w:sz w:val="24"/>
          <w:szCs w:val="24"/>
          <w:highlight w:val="none"/>
        </w:rPr>
        <w:t xml:space="preserve">13. </w:t>
      </w:r>
      <w:r>
        <w:rPr>
          <w:rStyle w:val="100"/>
          <w:rFonts w:hint="eastAsia" w:ascii="仿宋" w:hAnsi="仿宋" w:eastAsia="仿宋" w:cs="仿宋"/>
          <w:b/>
          <w:bCs/>
          <w:color w:val="auto"/>
          <w:sz w:val="24"/>
          <w:szCs w:val="24"/>
          <w:highlight w:val="none"/>
          <w:lang w:val="zh-TW" w:eastAsia="zh-TW"/>
        </w:rPr>
        <w:t>知识产权</w:t>
      </w:r>
    </w:p>
    <w:p w14:paraId="15ABB8F2">
      <w:pPr>
        <w:pStyle w:val="95"/>
        <w:spacing w:line="360" w:lineRule="auto"/>
        <w:ind w:firstLine="480" w:firstLineChars="200"/>
        <w:jc w:val="left"/>
        <w:rPr>
          <w:rStyle w:val="100"/>
          <w:rFonts w:hint="eastAsia" w:ascii="仿宋" w:hAnsi="仿宋" w:eastAsia="仿宋" w:cs="仿宋"/>
          <w:color w:val="auto"/>
          <w:sz w:val="24"/>
          <w:szCs w:val="24"/>
          <w:highlight w:val="none"/>
          <w:u w:val="single"/>
        </w:rPr>
      </w:pPr>
      <w:r>
        <w:rPr>
          <w:rStyle w:val="100"/>
          <w:rFonts w:hint="eastAsia" w:ascii="仿宋" w:hAnsi="仿宋" w:eastAsia="仿宋" w:cs="仿宋"/>
          <w:color w:val="auto"/>
          <w:sz w:val="24"/>
          <w:szCs w:val="24"/>
          <w:highlight w:val="none"/>
          <w:lang w:val="zh-TW"/>
        </w:rPr>
        <w:t xml:space="preserve">13.1 </w:t>
      </w:r>
      <w:r>
        <w:rPr>
          <w:rStyle w:val="100"/>
          <w:rFonts w:hint="eastAsia" w:ascii="仿宋" w:hAnsi="仿宋" w:eastAsia="仿宋" w:cs="仿宋"/>
          <w:color w:val="auto"/>
          <w:sz w:val="24"/>
          <w:szCs w:val="24"/>
          <w:highlight w:val="none"/>
          <w:lang w:val="zh-TW" w:eastAsia="zh-TW"/>
        </w:rPr>
        <w:t>关于发包人提供给</w:t>
      </w:r>
      <w:r>
        <w:rPr>
          <w:rStyle w:val="100"/>
          <w:rFonts w:hint="eastAsia" w:ascii="仿宋" w:hAnsi="仿宋" w:eastAsia="仿宋" w:cs="仿宋"/>
          <w:color w:val="auto"/>
          <w:sz w:val="24"/>
          <w:szCs w:val="24"/>
          <w:highlight w:val="none"/>
          <w:lang w:val="zh-TW" w:eastAsia="zh-CN"/>
        </w:rPr>
        <w:t>承包人</w:t>
      </w:r>
      <w:r>
        <w:rPr>
          <w:rStyle w:val="100"/>
          <w:rFonts w:hint="eastAsia" w:ascii="仿宋" w:hAnsi="仿宋" w:eastAsia="仿宋" w:cs="仿宋"/>
          <w:color w:val="auto"/>
          <w:sz w:val="24"/>
          <w:szCs w:val="24"/>
          <w:highlight w:val="none"/>
          <w:lang w:val="zh-TW" w:eastAsia="zh-TW"/>
        </w:rPr>
        <w:t>的图纸、发包人为实施工程自行编制或委托编制的技术规格以及反映发包人关于合同要求或其他类似性质的文件的著作权的归属：</w:t>
      </w:r>
      <w:r>
        <w:rPr>
          <w:rStyle w:val="100"/>
          <w:rFonts w:hint="eastAsia" w:ascii="仿宋" w:hAnsi="仿宋" w:eastAsia="仿宋" w:cs="仿宋"/>
          <w:color w:val="auto"/>
          <w:sz w:val="24"/>
          <w:szCs w:val="24"/>
          <w:highlight w:val="none"/>
          <w:u w:val="single"/>
          <w:lang w:val="zh-TW"/>
        </w:rPr>
        <w:t xml:space="preserve"> </w:t>
      </w:r>
      <w:r>
        <w:rPr>
          <w:rStyle w:val="100"/>
          <w:rFonts w:hint="eastAsia" w:ascii="仿宋" w:hAnsi="仿宋" w:eastAsia="仿宋" w:cs="仿宋"/>
          <w:color w:val="auto"/>
          <w:sz w:val="24"/>
          <w:szCs w:val="24"/>
          <w:highlight w:val="none"/>
          <w:u w:val="single"/>
          <w:lang w:val="zh-TW" w:eastAsia="zh-TW"/>
        </w:rPr>
        <w:t xml:space="preserve">归发包人所有   </w:t>
      </w:r>
      <w:r>
        <w:rPr>
          <w:rStyle w:val="100"/>
          <w:rFonts w:hint="eastAsia" w:ascii="仿宋" w:hAnsi="仿宋" w:eastAsia="仿宋" w:cs="仿宋"/>
          <w:color w:val="auto"/>
          <w:sz w:val="24"/>
          <w:szCs w:val="24"/>
          <w:highlight w:val="none"/>
          <w:lang w:val="zh-TW" w:eastAsia="zh-TW"/>
        </w:rPr>
        <w:t>。</w:t>
      </w:r>
    </w:p>
    <w:p w14:paraId="77E2CD37">
      <w:pPr>
        <w:pStyle w:val="95"/>
        <w:spacing w:line="360" w:lineRule="auto"/>
        <w:ind w:firstLine="480" w:firstLineChars="200"/>
        <w:jc w:val="left"/>
        <w:rPr>
          <w:rStyle w:val="100"/>
          <w:rFonts w:hint="eastAsia" w:ascii="仿宋" w:hAnsi="仿宋" w:eastAsia="仿宋" w:cs="仿宋"/>
          <w:color w:val="auto"/>
          <w:sz w:val="24"/>
          <w:szCs w:val="24"/>
          <w:highlight w:val="none"/>
          <w:u w:val="single"/>
          <w:lang w:val="zh-TW" w:eastAsia="zh-TW"/>
        </w:rPr>
      </w:pPr>
      <w:r>
        <w:rPr>
          <w:rStyle w:val="100"/>
          <w:rFonts w:hint="eastAsia" w:ascii="仿宋" w:hAnsi="仿宋" w:eastAsia="仿宋" w:cs="仿宋"/>
          <w:color w:val="auto"/>
          <w:sz w:val="24"/>
          <w:szCs w:val="24"/>
          <w:highlight w:val="none"/>
          <w:lang w:val="zh-TW" w:eastAsia="zh-TW"/>
        </w:rPr>
        <w:t>关于发包人提供的上述文件的使用限制的要求：</w:t>
      </w:r>
      <w:r>
        <w:rPr>
          <w:rStyle w:val="100"/>
          <w:rFonts w:hint="eastAsia" w:ascii="仿宋" w:hAnsi="仿宋" w:eastAsia="仿宋" w:cs="仿宋"/>
          <w:color w:val="auto"/>
          <w:sz w:val="24"/>
          <w:szCs w:val="24"/>
          <w:highlight w:val="none"/>
          <w:u w:val="single"/>
          <w:lang w:val="zh-TW"/>
        </w:rPr>
        <w:t xml:space="preserve"> </w:t>
      </w:r>
      <w:r>
        <w:rPr>
          <w:rStyle w:val="100"/>
          <w:rFonts w:hint="eastAsia" w:ascii="仿宋" w:hAnsi="仿宋" w:eastAsia="仿宋" w:cs="仿宋"/>
          <w:color w:val="auto"/>
          <w:sz w:val="24"/>
          <w:szCs w:val="24"/>
          <w:highlight w:val="none"/>
          <w:u w:val="single"/>
          <w:lang w:val="zh-TW" w:eastAsia="zh-TW"/>
        </w:rPr>
        <w:t xml:space="preserve">按通用条款执行 </w:t>
      </w:r>
      <w:r>
        <w:rPr>
          <w:rStyle w:val="100"/>
          <w:rFonts w:hint="eastAsia" w:ascii="仿宋" w:hAnsi="仿宋" w:eastAsia="仿宋" w:cs="仿宋"/>
          <w:color w:val="auto"/>
          <w:sz w:val="24"/>
          <w:szCs w:val="24"/>
          <w:highlight w:val="none"/>
          <w:lang w:val="zh-TW" w:eastAsia="zh-TW"/>
        </w:rPr>
        <w:t>。</w:t>
      </w:r>
    </w:p>
    <w:p w14:paraId="52E7B040">
      <w:pPr>
        <w:pStyle w:val="95"/>
        <w:spacing w:line="360" w:lineRule="auto"/>
        <w:ind w:firstLine="480" w:firstLineChars="200"/>
        <w:jc w:val="left"/>
        <w:rPr>
          <w:rStyle w:val="100"/>
          <w:rFonts w:hint="eastAsia" w:ascii="仿宋" w:hAnsi="仿宋" w:eastAsia="仿宋" w:cs="仿宋"/>
          <w:color w:val="auto"/>
          <w:sz w:val="24"/>
          <w:szCs w:val="24"/>
          <w:highlight w:val="none"/>
          <w:lang w:val="zh-TW" w:eastAsia="zh-TW"/>
        </w:rPr>
      </w:pPr>
      <w:r>
        <w:rPr>
          <w:rStyle w:val="100"/>
          <w:rFonts w:hint="eastAsia" w:ascii="仿宋" w:hAnsi="仿宋" w:eastAsia="仿宋" w:cs="仿宋"/>
          <w:color w:val="auto"/>
          <w:sz w:val="24"/>
          <w:szCs w:val="24"/>
          <w:highlight w:val="none"/>
          <w:lang w:val="zh-TW"/>
        </w:rPr>
        <w:t xml:space="preserve">13.2 </w:t>
      </w:r>
      <w:r>
        <w:rPr>
          <w:rStyle w:val="100"/>
          <w:rFonts w:hint="eastAsia" w:ascii="仿宋" w:hAnsi="仿宋" w:eastAsia="仿宋" w:cs="仿宋"/>
          <w:color w:val="auto"/>
          <w:sz w:val="24"/>
          <w:szCs w:val="24"/>
          <w:highlight w:val="none"/>
          <w:lang w:val="zh-TW" w:eastAsia="zh-TW"/>
        </w:rPr>
        <w:t>关于</w:t>
      </w:r>
      <w:r>
        <w:rPr>
          <w:rStyle w:val="100"/>
          <w:rFonts w:hint="eastAsia" w:ascii="仿宋" w:hAnsi="仿宋" w:eastAsia="仿宋" w:cs="仿宋"/>
          <w:color w:val="auto"/>
          <w:sz w:val="24"/>
          <w:szCs w:val="24"/>
          <w:highlight w:val="none"/>
          <w:lang w:val="zh-TW" w:eastAsia="zh-CN"/>
        </w:rPr>
        <w:t>承包人</w:t>
      </w:r>
      <w:r>
        <w:rPr>
          <w:rStyle w:val="100"/>
          <w:rFonts w:hint="eastAsia" w:ascii="仿宋" w:hAnsi="仿宋" w:eastAsia="仿宋" w:cs="仿宋"/>
          <w:color w:val="auto"/>
          <w:sz w:val="24"/>
          <w:szCs w:val="24"/>
          <w:highlight w:val="none"/>
          <w:lang w:val="zh-TW" w:eastAsia="zh-TW"/>
        </w:rPr>
        <w:t>为实施工程所编制文件的著作权的归属：</w:t>
      </w:r>
      <w:r>
        <w:rPr>
          <w:rStyle w:val="100"/>
          <w:rFonts w:hint="eastAsia" w:ascii="仿宋" w:hAnsi="仿宋" w:eastAsia="仿宋" w:cs="仿宋"/>
          <w:color w:val="auto"/>
          <w:sz w:val="24"/>
          <w:szCs w:val="24"/>
          <w:highlight w:val="none"/>
          <w:u w:val="single"/>
          <w:lang w:val="zh-TW" w:eastAsia="zh-TW"/>
        </w:rPr>
        <w:t xml:space="preserve"> 按通用条款执行。</w:t>
      </w:r>
    </w:p>
    <w:p w14:paraId="1D6173D3">
      <w:pPr>
        <w:pStyle w:val="95"/>
        <w:spacing w:line="360" w:lineRule="auto"/>
        <w:ind w:firstLine="480" w:firstLineChars="200"/>
        <w:jc w:val="left"/>
        <w:rPr>
          <w:rStyle w:val="100"/>
          <w:rFonts w:hint="eastAsia" w:ascii="仿宋" w:hAnsi="仿宋" w:eastAsia="仿宋" w:cs="仿宋"/>
          <w:color w:val="auto"/>
          <w:sz w:val="24"/>
          <w:szCs w:val="24"/>
          <w:highlight w:val="none"/>
          <w:lang w:val="zh-TW" w:eastAsia="zh-TW"/>
        </w:rPr>
      </w:pPr>
      <w:r>
        <w:rPr>
          <w:rStyle w:val="100"/>
          <w:rFonts w:hint="eastAsia" w:ascii="仿宋" w:hAnsi="仿宋" w:eastAsia="仿宋" w:cs="仿宋"/>
          <w:color w:val="auto"/>
          <w:sz w:val="24"/>
          <w:szCs w:val="24"/>
          <w:highlight w:val="none"/>
          <w:lang w:val="zh-TW"/>
        </w:rPr>
        <w:t xml:space="preserve">13.3 </w:t>
      </w:r>
      <w:r>
        <w:rPr>
          <w:rStyle w:val="100"/>
          <w:rFonts w:hint="eastAsia" w:ascii="仿宋" w:hAnsi="仿宋" w:eastAsia="仿宋" w:cs="仿宋"/>
          <w:color w:val="auto"/>
          <w:sz w:val="24"/>
          <w:szCs w:val="24"/>
          <w:highlight w:val="none"/>
          <w:lang w:val="zh-TW" w:eastAsia="zh-TW"/>
        </w:rPr>
        <w:t>关于</w:t>
      </w:r>
      <w:r>
        <w:rPr>
          <w:rStyle w:val="100"/>
          <w:rFonts w:hint="eastAsia" w:ascii="仿宋" w:hAnsi="仿宋" w:eastAsia="仿宋" w:cs="仿宋"/>
          <w:color w:val="auto"/>
          <w:sz w:val="24"/>
          <w:szCs w:val="24"/>
          <w:highlight w:val="none"/>
          <w:lang w:val="zh-TW" w:eastAsia="zh-CN"/>
        </w:rPr>
        <w:t>承包人</w:t>
      </w:r>
      <w:r>
        <w:rPr>
          <w:rStyle w:val="100"/>
          <w:rFonts w:hint="eastAsia" w:ascii="仿宋" w:hAnsi="仿宋" w:eastAsia="仿宋" w:cs="仿宋"/>
          <w:color w:val="auto"/>
          <w:sz w:val="24"/>
          <w:szCs w:val="24"/>
          <w:highlight w:val="none"/>
          <w:lang w:val="zh-TW" w:eastAsia="zh-TW"/>
        </w:rPr>
        <w:t>提供的上述文件的使用限制的要求：</w:t>
      </w:r>
      <w:r>
        <w:rPr>
          <w:rStyle w:val="100"/>
          <w:rFonts w:hint="eastAsia" w:ascii="仿宋" w:hAnsi="仿宋" w:eastAsia="仿宋" w:cs="仿宋"/>
          <w:color w:val="auto"/>
          <w:sz w:val="24"/>
          <w:szCs w:val="24"/>
          <w:highlight w:val="none"/>
          <w:u w:val="single"/>
          <w:lang w:val="zh-TW"/>
        </w:rPr>
        <w:t xml:space="preserve"> </w:t>
      </w:r>
      <w:r>
        <w:rPr>
          <w:rStyle w:val="100"/>
          <w:rFonts w:hint="eastAsia" w:ascii="仿宋" w:hAnsi="仿宋" w:eastAsia="仿宋" w:cs="仿宋"/>
          <w:color w:val="auto"/>
          <w:sz w:val="24"/>
          <w:szCs w:val="24"/>
          <w:highlight w:val="none"/>
          <w:u w:val="single"/>
          <w:lang w:val="zh-TW" w:eastAsia="zh-TW"/>
        </w:rPr>
        <w:t xml:space="preserve">按通用条款执行 </w:t>
      </w:r>
      <w:r>
        <w:rPr>
          <w:rStyle w:val="100"/>
          <w:rFonts w:hint="eastAsia" w:ascii="仿宋" w:hAnsi="仿宋" w:eastAsia="仿宋" w:cs="仿宋"/>
          <w:color w:val="auto"/>
          <w:sz w:val="24"/>
          <w:szCs w:val="24"/>
          <w:highlight w:val="none"/>
          <w:lang w:val="zh-TW" w:eastAsia="zh-TW"/>
        </w:rPr>
        <w:t>。</w:t>
      </w:r>
    </w:p>
    <w:p w14:paraId="3EA520B2">
      <w:pPr>
        <w:pStyle w:val="95"/>
        <w:spacing w:line="360" w:lineRule="auto"/>
        <w:ind w:firstLine="480" w:firstLineChars="200"/>
        <w:jc w:val="left"/>
        <w:rPr>
          <w:rStyle w:val="100"/>
          <w:rFonts w:hint="eastAsia" w:ascii="仿宋" w:hAnsi="仿宋" w:eastAsia="仿宋" w:cs="仿宋"/>
          <w:color w:val="auto"/>
          <w:sz w:val="24"/>
          <w:szCs w:val="24"/>
          <w:highlight w:val="none"/>
        </w:rPr>
      </w:pPr>
      <w:r>
        <w:rPr>
          <w:rStyle w:val="100"/>
          <w:rFonts w:hint="eastAsia" w:ascii="仿宋" w:hAnsi="仿宋" w:eastAsia="仿宋" w:cs="仿宋"/>
          <w:color w:val="auto"/>
          <w:sz w:val="24"/>
          <w:szCs w:val="24"/>
          <w:highlight w:val="none"/>
        </w:rPr>
        <w:t xml:space="preserve">13.4 </w:t>
      </w:r>
      <w:r>
        <w:rPr>
          <w:rStyle w:val="100"/>
          <w:rFonts w:hint="eastAsia" w:ascii="仿宋" w:hAnsi="仿宋" w:eastAsia="仿宋" w:cs="仿宋"/>
          <w:color w:val="auto"/>
          <w:sz w:val="24"/>
          <w:szCs w:val="24"/>
          <w:highlight w:val="none"/>
          <w:lang w:val="zh-TW" w:eastAsia="zh-CN"/>
        </w:rPr>
        <w:t>承包人</w:t>
      </w:r>
      <w:r>
        <w:rPr>
          <w:rStyle w:val="100"/>
          <w:rFonts w:hint="eastAsia" w:ascii="仿宋" w:hAnsi="仿宋" w:eastAsia="仿宋" w:cs="仿宋"/>
          <w:color w:val="auto"/>
          <w:sz w:val="24"/>
          <w:szCs w:val="24"/>
          <w:highlight w:val="none"/>
          <w:lang w:val="zh-TW" w:eastAsia="zh-TW"/>
        </w:rPr>
        <w:t>在设计过程中所采用的专利、专有技术的使用费的承担方式：</w:t>
      </w:r>
      <w:r>
        <w:rPr>
          <w:rStyle w:val="100"/>
          <w:rFonts w:hint="eastAsia" w:ascii="仿宋" w:hAnsi="仿宋" w:eastAsia="仿宋" w:cs="仿宋"/>
          <w:color w:val="auto"/>
          <w:sz w:val="24"/>
          <w:szCs w:val="24"/>
          <w:highlight w:val="none"/>
          <w:u w:val="single"/>
          <w:lang w:val="zh-TW" w:eastAsia="zh-TW"/>
        </w:rPr>
        <w:t xml:space="preserve">按通用条款执行 </w:t>
      </w:r>
      <w:r>
        <w:rPr>
          <w:rStyle w:val="100"/>
          <w:rFonts w:hint="eastAsia" w:ascii="仿宋" w:hAnsi="仿宋" w:eastAsia="仿宋" w:cs="仿宋"/>
          <w:color w:val="auto"/>
          <w:kern w:val="0"/>
          <w:sz w:val="24"/>
          <w:szCs w:val="24"/>
          <w:highlight w:val="none"/>
          <w:lang w:val="zh-TW" w:eastAsia="zh-TW"/>
        </w:rPr>
        <w:t>。</w:t>
      </w:r>
    </w:p>
    <w:p w14:paraId="5FE42B99">
      <w:pPr>
        <w:pStyle w:val="99"/>
        <w:framePr w:wrap="auto" w:vAnchor="margin" w:hAnchor="text" w:yAlign="inline"/>
        <w:spacing w:before="0" w:after="0" w:line="360" w:lineRule="auto"/>
        <w:ind w:firstLine="482" w:firstLineChars="200"/>
        <w:jc w:val="left"/>
        <w:outlineLvl w:val="2"/>
        <w:rPr>
          <w:rStyle w:val="100"/>
          <w:rFonts w:hint="eastAsia" w:ascii="仿宋" w:hAnsi="仿宋" w:eastAsia="仿宋" w:cs="仿宋"/>
          <w:b/>
          <w:bCs/>
          <w:color w:val="auto"/>
          <w:sz w:val="24"/>
          <w:szCs w:val="24"/>
          <w:highlight w:val="none"/>
        </w:rPr>
      </w:pPr>
      <w:r>
        <w:rPr>
          <w:rStyle w:val="100"/>
          <w:rFonts w:hint="eastAsia" w:ascii="仿宋" w:hAnsi="仿宋" w:eastAsia="仿宋" w:cs="仿宋"/>
          <w:b/>
          <w:bCs/>
          <w:color w:val="auto"/>
          <w:sz w:val="24"/>
          <w:szCs w:val="24"/>
          <w:highlight w:val="none"/>
        </w:rPr>
        <w:t xml:space="preserve">14. </w:t>
      </w:r>
      <w:r>
        <w:rPr>
          <w:rStyle w:val="100"/>
          <w:rFonts w:hint="eastAsia" w:ascii="仿宋" w:hAnsi="仿宋" w:eastAsia="仿宋" w:cs="仿宋"/>
          <w:b/>
          <w:bCs/>
          <w:color w:val="auto"/>
          <w:sz w:val="24"/>
          <w:szCs w:val="24"/>
          <w:highlight w:val="none"/>
          <w:lang w:val="zh-TW" w:eastAsia="zh-TW"/>
        </w:rPr>
        <w:t>违约责任</w:t>
      </w:r>
    </w:p>
    <w:p w14:paraId="4F696BBE">
      <w:pPr>
        <w:pStyle w:val="95"/>
        <w:spacing w:line="360" w:lineRule="auto"/>
        <w:ind w:firstLine="480" w:firstLineChars="200"/>
        <w:jc w:val="left"/>
        <w:rPr>
          <w:rStyle w:val="100"/>
          <w:rFonts w:hint="eastAsia" w:ascii="仿宋" w:hAnsi="仿宋" w:eastAsia="仿宋" w:cs="仿宋"/>
          <w:color w:val="auto"/>
          <w:sz w:val="24"/>
          <w:szCs w:val="24"/>
          <w:highlight w:val="none"/>
        </w:rPr>
      </w:pPr>
      <w:r>
        <w:rPr>
          <w:rStyle w:val="100"/>
          <w:rFonts w:hint="eastAsia" w:ascii="仿宋" w:hAnsi="仿宋" w:eastAsia="仿宋" w:cs="仿宋"/>
          <w:color w:val="auto"/>
          <w:sz w:val="24"/>
          <w:szCs w:val="24"/>
          <w:highlight w:val="none"/>
        </w:rPr>
        <w:t>14.1 发包人违约责任</w:t>
      </w:r>
    </w:p>
    <w:p w14:paraId="1A5725BA">
      <w:pPr>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14.1.1 发包人支付</w:t>
      </w:r>
      <w:r>
        <w:rPr>
          <w:rFonts w:hint="eastAsia" w:ascii="仿宋" w:hAnsi="仿宋" w:eastAsia="仿宋" w:cs="仿宋"/>
          <w:color w:val="auto"/>
          <w:sz w:val="24"/>
          <w:szCs w:val="24"/>
          <w:highlight w:val="none"/>
          <w:lang w:eastAsia="zh-CN"/>
        </w:rPr>
        <w:t>承包人</w:t>
      </w:r>
      <w:r>
        <w:rPr>
          <w:rFonts w:hint="eastAsia" w:ascii="仿宋" w:hAnsi="仿宋" w:eastAsia="仿宋" w:cs="仿宋"/>
          <w:color w:val="auto"/>
          <w:sz w:val="24"/>
          <w:szCs w:val="24"/>
          <w:highlight w:val="none"/>
        </w:rPr>
        <w:t>违约金：</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w:t>
      </w:r>
    </w:p>
    <w:p w14:paraId="1C4F11E9">
      <w:pPr>
        <w:spacing w:line="360" w:lineRule="auto"/>
        <w:ind w:firstLine="480" w:firstLineChars="200"/>
        <w:jc w:val="left"/>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rPr>
        <w:t>14.1.2 发包人逾期支付设计费的违约金：</w:t>
      </w:r>
      <w:r>
        <w:rPr>
          <w:rFonts w:hint="eastAsia" w:ascii="仿宋" w:hAnsi="仿宋" w:eastAsia="仿宋" w:cs="仿宋"/>
          <w:color w:val="auto"/>
          <w:sz w:val="24"/>
          <w:szCs w:val="24"/>
          <w:highlight w:val="none"/>
          <w:u w:val="single"/>
        </w:rPr>
        <w:t xml:space="preserve">                 。</w:t>
      </w:r>
    </w:p>
    <w:p w14:paraId="206EDA1C">
      <w:pPr>
        <w:pStyle w:val="95"/>
        <w:spacing w:line="360" w:lineRule="auto"/>
        <w:ind w:firstLine="480" w:firstLineChars="200"/>
        <w:jc w:val="left"/>
        <w:rPr>
          <w:rStyle w:val="100"/>
          <w:rFonts w:hint="eastAsia" w:ascii="仿宋" w:hAnsi="仿宋" w:eastAsia="仿宋" w:cs="仿宋"/>
          <w:color w:val="auto"/>
          <w:sz w:val="24"/>
          <w:szCs w:val="24"/>
          <w:highlight w:val="none"/>
        </w:rPr>
      </w:pPr>
      <w:r>
        <w:rPr>
          <w:rStyle w:val="100"/>
          <w:rFonts w:hint="eastAsia" w:ascii="仿宋" w:hAnsi="仿宋" w:eastAsia="仿宋" w:cs="仿宋"/>
          <w:color w:val="auto"/>
          <w:sz w:val="24"/>
          <w:szCs w:val="24"/>
          <w:highlight w:val="none"/>
        </w:rPr>
        <w:t xml:space="preserve">14.2 </w:t>
      </w:r>
      <w:r>
        <w:rPr>
          <w:rStyle w:val="100"/>
          <w:rFonts w:hint="eastAsia" w:ascii="仿宋" w:hAnsi="仿宋" w:eastAsia="仿宋" w:cs="仿宋"/>
          <w:color w:val="auto"/>
          <w:sz w:val="24"/>
          <w:szCs w:val="24"/>
          <w:highlight w:val="none"/>
          <w:lang w:eastAsia="zh-CN"/>
        </w:rPr>
        <w:t>承包人</w:t>
      </w:r>
      <w:r>
        <w:rPr>
          <w:rStyle w:val="100"/>
          <w:rFonts w:hint="eastAsia" w:ascii="仿宋" w:hAnsi="仿宋" w:eastAsia="仿宋" w:cs="仿宋"/>
          <w:color w:val="auto"/>
          <w:sz w:val="24"/>
          <w:szCs w:val="24"/>
          <w:highlight w:val="none"/>
        </w:rPr>
        <w:t>违约责任</w:t>
      </w:r>
    </w:p>
    <w:p w14:paraId="57B21C11">
      <w:pPr>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14.2.1 </w:t>
      </w:r>
      <w:r>
        <w:rPr>
          <w:rFonts w:hint="eastAsia" w:ascii="仿宋" w:hAnsi="仿宋" w:eastAsia="仿宋" w:cs="仿宋"/>
          <w:color w:val="auto"/>
          <w:sz w:val="24"/>
          <w:szCs w:val="24"/>
          <w:highlight w:val="none"/>
          <w:lang w:eastAsia="zh-CN"/>
        </w:rPr>
        <w:t>承包人</w:t>
      </w:r>
      <w:r>
        <w:rPr>
          <w:rFonts w:hint="eastAsia" w:ascii="仿宋" w:hAnsi="仿宋" w:eastAsia="仿宋" w:cs="仿宋"/>
          <w:color w:val="auto"/>
          <w:sz w:val="24"/>
          <w:szCs w:val="24"/>
          <w:highlight w:val="none"/>
        </w:rPr>
        <w:t>支付发包人的违约金：</w:t>
      </w:r>
    </w:p>
    <w:p w14:paraId="66EBA558">
      <w:pPr>
        <w:spacing w:line="360" w:lineRule="auto"/>
        <w:ind w:firstLine="480" w:firstLineChars="200"/>
        <w:jc w:val="left"/>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u w:val="single"/>
        </w:rPr>
        <w:t xml:space="preserve">                                                     。</w:t>
      </w:r>
    </w:p>
    <w:p w14:paraId="793313C1">
      <w:pPr>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14.2.2</w:t>
      </w:r>
      <w:r>
        <w:rPr>
          <w:rFonts w:hint="eastAsia" w:ascii="仿宋" w:hAnsi="仿宋" w:eastAsia="仿宋" w:cs="仿宋"/>
          <w:color w:val="auto"/>
          <w:sz w:val="24"/>
          <w:szCs w:val="24"/>
          <w:highlight w:val="none"/>
          <w:lang w:eastAsia="zh-CN"/>
        </w:rPr>
        <w:t>承包人</w:t>
      </w:r>
      <w:r>
        <w:rPr>
          <w:rFonts w:hint="eastAsia" w:ascii="仿宋" w:hAnsi="仿宋" w:eastAsia="仿宋" w:cs="仿宋"/>
          <w:color w:val="auto"/>
          <w:sz w:val="24"/>
          <w:szCs w:val="24"/>
          <w:highlight w:val="none"/>
        </w:rPr>
        <w:t>逾期交付工程设计文件的违约金：</w:t>
      </w:r>
    </w:p>
    <w:p w14:paraId="3789DDCE">
      <w:pPr>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承包人</w:t>
      </w:r>
      <w:r>
        <w:rPr>
          <w:rFonts w:hint="eastAsia" w:ascii="仿宋" w:hAnsi="仿宋" w:eastAsia="仿宋" w:cs="仿宋"/>
          <w:color w:val="auto"/>
          <w:sz w:val="24"/>
          <w:szCs w:val="24"/>
          <w:highlight w:val="none"/>
        </w:rPr>
        <w:t>逾期交付设计文件，从逾期之日起每日向发包人支付设计费总额0.2%。逾期超过20日，发包人有权单方解除合同，</w:t>
      </w:r>
      <w:r>
        <w:rPr>
          <w:rFonts w:hint="eastAsia" w:ascii="仿宋" w:hAnsi="仿宋" w:eastAsia="仿宋" w:cs="仿宋"/>
          <w:color w:val="auto"/>
          <w:sz w:val="24"/>
          <w:szCs w:val="24"/>
          <w:highlight w:val="none"/>
          <w:lang w:eastAsia="zh-CN"/>
        </w:rPr>
        <w:t>承包人</w:t>
      </w:r>
      <w:r>
        <w:rPr>
          <w:rFonts w:hint="eastAsia" w:ascii="仿宋" w:hAnsi="仿宋" w:eastAsia="仿宋" w:cs="仿宋"/>
          <w:color w:val="auto"/>
          <w:sz w:val="24"/>
          <w:szCs w:val="24"/>
          <w:highlight w:val="none"/>
        </w:rPr>
        <w:t>除返还发包人已支付的设计费外，还应按设计费总额的20％向发包人支付违约金。</w:t>
      </w:r>
    </w:p>
    <w:p w14:paraId="3F0F0A11">
      <w:pPr>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承包人</w:t>
      </w:r>
      <w:r>
        <w:rPr>
          <w:rFonts w:hint="eastAsia" w:ascii="仿宋" w:hAnsi="仿宋" w:eastAsia="仿宋" w:cs="仿宋"/>
          <w:color w:val="auto"/>
          <w:sz w:val="24"/>
          <w:szCs w:val="24"/>
          <w:highlight w:val="none"/>
        </w:rPr>
        <w:t>逾期交付工程设计文件的违约金的上限：最高不超过设计费总额。</w:t>
      </w:r>
    </w:p>
    <w:p w14:paraId="3F020D09">
      <w:pPr>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14.2.3 </w:t>
      </w:r>
      <w:r>
        <w:rPr>
          <w:rFonts w:hint="eastAsia" w:ascii="仿宋" w:hAnsi="仿宋" w:eastAsia="仿宋" w:cs="仿宋"/>
          <w:color w:val="auto"/>
          <w:sz w:val="24"/>
          <w:szCs w:val="24"/>
          <w:highlight w:val="none"/>
          <w:lang w:eastAsia="zh-CN"/>
        </w:rPr>
        <w:t>承包人</w:t>
      </w:r>
      <w:r>
        <w:rPr>
          <w:rFonts w:hint="eastAsia" w:ascii="仿宋" w:hAnsi="仿宋" w:eastAsia="仿宋" w:cs="仿宋"/>
          <w:color w:val="auto"/>
          <w:sz w:val="24"/>
          <w:szCs w:val="24"/>
          <w:highlight w:val="none"/>
        </w:rPr>
        <w:t>设计文件不合格的损失赔偿金的上限：</w:t>
      </w:r>
    </w:p>
    <w:p w14:paraId="4CBAEA76">
      <w:pPr>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如因</w:t>
      </w:r>
      <w:r>
        <w:rPr>
          <w:rFonts w:hint="eastAsia" w:ascii="仿宋" w:hAnsi="仿宋" w:eastAsia="仿宋" w:cs="仿宋"/>
          <w:color w:val="auto"/>
          <w:sz w:val="24"/>
          <w:szCs w:val="24"/>
          <w:highlight w:val="none"/>
          <w:lang w:eastAsia="zh-CN"/>
        </w:rPr>
        <w:t>承包人</w:t>
      </w:r>
      <w:r>
        <w:rPr>
          <w:rFonts w:hint="eastAsia" w:ascii="仿宋" w:hAnsi="仿宋" w:eastAsia="仿宋" w:cs="仿宋"/>
          <w:color w:val="auto"/>
          <w:sz w:val="24"/>
          <w:szCs w:val="24"/>
          <w:highlight w:val="none"/>
        </w:rPr>
        <w:t>原因导致工程投资超出本合同约定限额，发包人可按超出部分的10%向</w:t>
      </w:r>
      <w:r>
        <w:rPr>
          <w:rFonts w:hint="eastAsia" w:ascii="仿宋" w:hAnsi="仿宋" w:eastAsia="仿宋" w:cs="仿宋"/>
          <w:color w:val="auto"/>
          <w:sz w:val="24"/>
          <w:szCs w:val="24"/>
          <w:highlight w:val="none"/>
          <w:lang w:eastAsia="zh-CN"/>
        </w:rPr>
        <w:t>承包人</w:t>
      </w:r>
      <w:r>
        <w:rPr>
          <w:rFonts w:hint="eastAsia" w:ascii="仿宋" w:hAnsi="仿宋" w:eastAsia="仿宋" w:cs="仿宋"/>
          <w:color w:val="auto"/>
          <w:sz w:val="24"/>
          <w:szCs w:val="24"/>
          <w:highlight w:val="none"/>
        </w:rPr>
        <w:t>收取违约金，最高不超过设计费总额。同时</w:t>
      </w:r>
      <w:r>
        <w:rPr>
          <w:rFonts w:hint="eastAsia" w:ascii="仿宋" w:hAnsi="仿宋" w:eastAsia="仿宋" w:cs="仿宋"/>
          <w:color w:val="auto"/>
          <w:sz w:val="24"/>
          <w:szCs w:val="24"/>
          <w:highlight w:val="none"/>
          <w:lang w:eastAsia="zh-CN"/>
        </w:rPr>
        <w:t>承包人</w:t>
      </w:r>
      <w:r>
        <w:rPr>
          <w:rFonts w:hint="eastAsia" w:ascii="仿宋" w:hAnsi="仿宋" w:eastAsia="仿宋" w:cs="仿宋"/>
          <w:color w:val="auto"/>
          <w:sz w:val="24"/>
          <w:szCs w:val="24"/>
          <w:highlight w:val="none"/>
        </w:rPr>
        <w:t>还需按要求修改设计文件。</w:t>
      </w:r>
    </w:p>
    <w:p w14:paraId="39C182B1">
      <w:pPr>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14.2.4 </w:t>
      </w:r>
      <w:r>
        <w:rPr>
          <w:rFonts w:hint="eastAsia" w:ascii="仿宋" w:hAnsi="仿宋" w:eastAsia="仿宋" w:cs="仿宋"/>
          <w:color w:val="auto"/>
          <w:sz w:val="24"/>
          <w:szCs w:val="24"/>
          <w:highlight w:val="none"/>
          <w:lang w:eastAsia="zh-CN"/>
        </w:rPr>
        <w:t>承包人</w:t>
      </w:r>
      <w:r>
        <w:rPr>
          <w:rFonts w:hint="eastAsia" w:ascii="仿宋" w:hAnsi="仿宋" w:eastAsia="仿宋" w:cs="仿宋"/>
          <w:color w:val="auto"/>
          <w:sz w:val="24"/>
          <w:szCs w:val="24"/>
          <w:highlight w:val="none"/>
        </w:rPr>
        <w:t>未经发包人同意擅自对工程设计进行分包的违约责任：未经发包人书面同意并加盖公章，</w:t>
      </w:r>
      <w:r>
        <w:rPr>
          <w:rFonts w:hint="eastAsia" w:ascii="仿宋" w:hAnsi="仿宋" w:eastAsia="仿宋" w:cs="仿宋"/>
          <w:color w:val="auto"/>
          <w:sz w:val="24"/>
          <w:szCs w:val="24"/>
          <w:highlight w:val="none"/>
          <w:lang w:eastAsia="zh-CN"/>
        </w:rPr>
        <w:t>承包人</w:t>
      </w:r>
      <w:r>
        <w:rPr>
          <w:rFonts w:hint="eastAsia" w:ascii="仿宋" w:hAnsi="仿宋" w:eastAsia="仿宋" w:cs="仿宋"/>
          <w:color w:val="auto"/>
          <w:sz w:val="24"/>
          <w:szCs w:val="24"/>
          <w:highlight w:val="none"/>
        </w:rPr>
        <w:t>不得分包，否则发包人可暂停支付设计费，并通知</w:t>
      </w:r>
      <w:r>
        <w:rPr>
          <w:rFonts w:hint="eastAsia" w:ascii="仿宋" w:hAnsi="仿宋" w:eastAsia="仿宋" w:cs="仿宋"/>
          <w:color w:val="auto"/>
          <w:sz w:val="24"/>
          <w:szCs w:val="24"/>
          <w:highlight w:val="none"/>
          <w:lang w:eastAsia="zh-CN"/>
        </w:rPr>
        <w:t>承包人</w:t>
      </w:r>
      <w:r>
        <w:rPr>
          <w:rFonts w:hint="eastAsia" w:ascii="仿宋" w:hAnsi="仿宋" w:eastAsia="仿宋" w:cs="仿宋"/>
          <w:color w:val="auto"/>
          <w:sz w:val="24"/>
          <w:szCs w:val="24"/>
          <w:highlight w:val="none"/>
        </w:rPr>
        <w:t>暂停设计，责令其整改，由此造成的增加费用和设计工期延误由</w:t>
      </w:r>
      <w:r>
        <w:rPr>
          <w:rFonts w:hint="eastAsia" w:ascii="仿宋" w:hAnsi="仿宋" w:eastAsia="仿宋" w:cs="仿宋"/>
          <w:color w:val="auto"/>
          <w:sz w:val="24"/>
          <w:szCs w:val="24"/>
          <w:highlight w:val="none"/>
          <w:lang w:eastAsia="zh-CN"/>
        </w:rPr>
        <w:t>承包人</w:t>
      </w:r>
      <w:r>
        <w:rPr>
          <w:rFonts w:hint="eastAsia" w:ascii="仿宋" w:hAnsi="仿宋" w:eastAsia="仿宋" w:cs="仿宋"/>
          <w:color w:val="auto"/>
          <w:sz w:val="24"/>
          <w:szCs w:val="24"/>
          <w:highlight w:val="none"/>
        </w:rPr>
        <w:t>承担；发包人还可单方解除本合同，解除合同后</w:t>
      </w:r>
      <w:r>
        <w:rPr>
          <w:rFonts w:hint="eastAsia" w:ascii="仿宋" w:hAnsi="仿宋" w:eastAsia="仿宋" w:cs="仿宋"/>
          <w:color w:val="auto"/>
          <w:sz w:val="24"/>
          <w:szCs w:val="24"/>
          <w:highlight w:val="none"/>
          <w:lang w:eastAsia="zh-CN"/>
        </w:rPr>
        <w:t>承包人</w:t>
      </w:r>
      <w:r>
        <w:rPr>
          <w:rFonts w:hint="eastAsia" w:ascii="仿宋" w:hAnsi="仿宋" w:eastAsia="仿宋" w:cs="仿宋"/>
          <w:color w:val="auto"/>
          <w:sz w:val="24"/>
          <w:szCs w:val="24"/>
          <w:highlight w:val="none"/>
        </w:rPr>
        <w:t>应将其已完成的设计文件提交发包人，</w:t>
      </w:r>
      <w:r>
        <w:rPr>
          <w:rFonts w:hint="eastAsia" w:ascii="仿宋" w:hAnsi="仿宋" w:eastAsia="仿宋" w:cs="仿宋"/>
          <w:color w:val="auto"/>
          <w:sz w:val="24"/>
          <w:szCs w:val="24"/>
          <w:highlight w:val="none"/>
          <w:lang w:eastAsia="zh-CN"/>
        </w:rPr>
        <w:t>承包人</w:t>
      </w:r>
      <w:r>
        <w:rPr>
          <w:rFonts w:hint="eastAsia" w:ascii="仿宋" w:hAnsi="仿宋" w:eastAsia="仿宋" w:cs="仿宋"/>
          <w:color w:val="auto"/>
          <w:sz w:val="24"/>
          <w:szCs w:val="24"/>
          <w:highlight w:val="none"/>
        </w:rPr>
        <w:t>应退还已收款并支付合同总价10%违约金。</w:t>
      </w:r>
    </w:p>
    <w:p w14:paraId="4FBF8143">
      <w:pPr>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14.2.5</w:t>
      </w:r>
      <w:r>
        <w:rPr>
          <w:rFonts w:hint="eastAsia" w:ascii="仿宋" w:hAnsi="仿宋" w:eastAsia="仿宋" w:cs="仿宋"/>
          <w:color w:val="auto"/>
          <w:sz w:val="24"/>
          <w:szCs w:val="24"/>
          <w:highlight w:val="none"/>
          <w:lang w:eastAsia="zh-CN"/>
        </w:rPr>
        <w:t>承包人</w:t>
      </w:r>
      <w:r>
        <w:rPr>
          <w:rFonts w:hint="eastAsia" w:ascii="仿宋" w:hAnsi="仿宋" w:eastAsia="仿宋" w:cs="仿宋"/>
          <w:color w:val="auto"/>
          <w:sz w:val="24"/>
          <w:szCs w:val="24"/>
          <w:highlight w:val="none"/>
        </w:rPr>
        <w:t>不得超越合同约定，以发包人名义从事其他活动，否则发包人有权单方面解除本合同，</w:t>
      </w:r>
      <w:r>
        <w:rPr>
          <w:rFonts w:hint="eastAsia" w:ascii="仿宋" w:hAnsi="仿宋" w:eastAsia="仿宋" w:cs="仿宋"/>
          <w:color w:val="auto"/>
          <w:sz w:val="24"/>
          <w:szCs w:val="24"/>
          <w:highlight w:val="none"/>
          <w:lang w:eastAsia="zh-CN"/>
        </w:rPr>
        <w:t>承包人</w:t>
      </w:r>
      <w:r>
        <w:rPr>
          <w:rFonts w:hint="eastAsia" w:ascii="仿宋" w:hAnsi="仿宋" w:eastAsia="仿宋" w:cs="仿宋"/>
          <w:color w:val="auto"/>
          <w:sz w:val="24"/>
          <w:szCs w:val="24"/>
          <w:highlight w:val="none"/>
        </w:rPr>
        <w:t>应按合同总价款的15%向发包人支付违约金，同时还应当赔偿发包人因此遭受的其他损失。</w:t>
      </w:r>
    </w:p>
    <w:p w14:paraId="00CED3B1">
      <w:pPr>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14.2.6未经发包人书面同意并加盖公章，</w:t>
      </w:r>
      <w:r>
        <w:rPr>
          <w:rFonts w:hint="eastAsia" w:ascii="仿宋" w:hAnsi="仿宋" w:eastAsia="仿宋" w:cs="仿宋"/>
          <w:color w:val="auto"/>
          <w:sz w:val="24"/>
          <w:szCs w:val="24"/>
          <w:highlight w:val="none"/>
          <w:lang w:eastAsia="zh-CN"/>
        </w:rPr>
        <w:t>承包人</w:t>
      </w:r>
      <w:r>
        <w:rPr>
          <w:rFonts w:hint="eastAsia" w:ascii="仿宋" w:hAnsi="仿宋" w:eastAsia="仿宋" w:cs="仿宋"/>
          <w:color w:val="auto"/>
          <w:sz w:val="24"/>
          <w:szCs w:val="24"/>
          <w:highlight w:val="none"/>
        </w:rPr>
        <w:t>擅自使用或允许第三方使用本工程的设计成果的，发包人有权单方面解除本合同，</w:t>
      </w:r>
      <w:r>
        <w:rPr>
          <w:rFonts w:hint="eastAsia" w:ascii="仿宋" w:hAnsi="仿宋" w:eastAsia="仿宋" w:cs="仿宋"/>
          <w:color w:val="auto"/>
          <w:sz w:val="24"/>
          <w:szCs w:val="24"/>
          <w:highlight w:val="none"/>
          <w:lang w:eastAsia="zh-CN"/>
        </w:rPr>
        <w:t>承包人</w:t>
      </w:r>
      <w:r>
        <w:rPr>
          <w:rFonts w:hint="eastAsia" w:ascii="仿宋" w:hAnsi="仿宋" w:eastAsia="仿宋" w:cs="仿宋"/>
          <w:color w:val="auto"/>
          <w:sz w:val="24"/>
          <w:szCs w:val="24"/>
          <w:highlight w:val="none"/>
        </w:rPr>
        <w:t>应按照合同总价款的15%支付违约金。</w:t>
      </w:r>
    </w:p>
    <w:p w14:paraId="199BD371">
      <w:pPr>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14.2.7</w:t>
      </w:r>
      <w:r>
        <w:rPr>
          <w:rFonts w:hint="eastAsia" w:ascii="仿宋" w:hAnsi="仿宋" w:eastAsia="仿宋" w:cs="仿宋"/>
          <w:color w:val="auto"/>
          <w:sz w:val="24"/>
          <w:szCs w:val="24"/>
          <w:highlight w:val="none"/>
          <w:lang w:eastAsia="zh-CN"/>
        </w:rPr>
        <w:t>承包人</w:t>
      </w:r>
      <w:r>
        <w:rPr>
          <w:rFonts w:hint="eastAsia" w:ascii="仿宋" w:hAnsi="仿宋" w:eastAsia="仿宋" w:cs="仿宋"/>
          <w:color w:val="auto"/>
          <w:sz w:val="24"/>
          <w:szCs w:val="24"/>
          <w:highlight w:val="none"/>
        </w:rPr>
        <w:t>提供的设计成果不得侵犯任何第三方的合法权益。若发包方因使用</w:t>
      </w:r>
      <w:r>
        <w:rPr>
          <w:rFonts w:hint="eastAsia" w:ascii="仿宋" w:hAnsi="仿宋" w:eastAsia="仿宋" w:cs="仿宋"/>
          <w:color w:val="auto"/>
          <w:sz w:val="24"/>
          <w:szCs w:val="24"/>
          <w:highlight w:val="none"/>
          <w:lang w:eastAsia="zh-CN"/>
        </w:rPr>
        <w:t>承包人</w:t>
      </w:r>
      <w:r>
        <w:rPr>
          <w:rFonts w:hint="eastAsia" w:ascii="仿宋" w:hAnsi="仿宋" w:eastAsia="仿宋" w:cs="仿宋"/>
          <w:color w:val="auto"/>
          <w:sz w:val="24"/>
          <w:szCs w:val="24"/>
          <w:highlight w:val="none"/>
        </w:rPr>
        <w:t>提供的设计成果遭到第三方提出的索赔和诉讼，发包方有权单方面解除本合同并由</w:t>
      </w:r>
      <w:r>
        <w:rPr>
          <w:rFonts w:hint="eastAsia" w:ascii="仿宋" w:hAnsi="仿宋" w:eastAsia="仿宋" w:cs="仿宋"/>
          <w:color w:val="auto"/>
          <w:sz w:val="24"/>
          <w:szCs w:val="24"/>
          <w:highlight w:val="none"/>
          <w:lang w:eastAsia="zh-CN"/>
        </w:rPr>
        <w:t>承包人</w:t>
      </w:r>
      <w:r>
        <w:rPr>
          <w:rFonts w:hint="eastAsia" w:ascii="仿宋" w:hAnsi="仿宋" w:eastAsia="仿宋" w:cs="仿宋"/>
          <w:color w:val="auto"/>
          <w:sz w:val="24"/>
          <w:szCs w:val="24"/>
          <w:highlight w:val="none"/>
        </w:rPr>
        <w:t>承担该索赔并对给发包人造成的损失给予全部赔偿包括但不限于直接经济损失、预期收益、诉讼费、公证费、律师费、差旅费、赔偿费用等。</w:t>
      </w:r>
    </w:p>
    <w:p w14:paraId="0A0B5AFD">
      <w:pPr>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14.2.8</w:t>
      </w:r>
      <w:r>
        <w:rPr>
          <w:rFonts w:hint="eastAsia" w:ascii="仿宋" w:hAnsi="仿宋" w:eastAsia="仿宋" w:cs="仿宋"/>
          <w:color w:val="auto"/>
          <w:sz w:val="24"/>
          <w:szCs w:val="24"/>
          <w:highlight w:val="none"/>
          <w:lang w:eastAsia="zh-CN"/>
        </w:rPr>
        <w:t>承包人</w:t>
      </w:r>
      <w:r>
        <w:rPr>
          <w:rFonts w:hint="eastAsia" w:ascii="仿宋" w:hAnsi="仿宋" w:eastAsia="仿宋" w:cs="仿宋"/>
          <w:color w:val="auto"/>
          <w:sz w:val="24"/>
          <w:szCs w:val="24"/>
          <w:highlight w:val="none"/>
        </w:rPr>
        <w:t>违反本合同中的保密条款的，发包方有权单方面解除本合同，</w:t>
      </w:r>
      <w:r>
        <w:rPr>
          <w:rFonts w:hint="eastAsia" w:ascii="仿宋" w:hAnsi="仿宋" w:eastAsia="仿宋" w:cs="仿宋"/>
          <w:color w:val="auto"/>
          <w:sz w:val="24"/>
          <w:szCs w:val="24"/>
          <w:highlight w:val="none"/>
          <w:lang w:eastAsia="zh-CN"/>
        </w:rPr>
        <w:t>承包人</w:t>
      </w:r>
      <w:r>
        <w:rPr>
          <w:rFonts w:hint="eastAsia" w:ascii="仿宋" w:hAnsi="仿宋" w:eastAsia="仿宋" w:cs="仿宋"/>
          <w:color w:val="auto"/>
          <w:sz w:val="24"/>
          <w:szCs w:val="24"/>
          <w:highlight w:val="none"/>
        </w:rPr>
        <w:t>应按照本合同总价款的15%支付违约金。</w:t>
      </w:r>
    </w:p>
    <w:p w14:paraId="70AE5F15">
      <w:pPr>
        <w:spacing w:line="360" w:lineRule="auto"/>
        <w:ind w:firstLine="480" w:firstLineChars="200"/>
        <w:jc w:val="left"/>
        <w:rPr>
          <w:rStyle w:val="100"/>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14.2.9 本合同约定的违约金可从发包人应付设计费中直接扣除。</w:t>
      </w:r>
    </w:p>
    <w:p w14:paraId="4A3A4824">
      <w:pPr>
        <w:pStyle w:val="99"/>
        <w:framePr w:wrap="auto" w:vAnchor="margin" w:hAnchor="text" w:yAlign="inline"/>
        <w:spacing w:before="0" w:after="0" w:line="360" w:lineRule="auto"/>
        <w:ind w:firstLine="482" w:firstLineChars="200"/>
        <w:jc w:val="left"/>
        <w:outlineLvl w:val="2"/>
        <w:rPr>
          <w:rStyle w:val="100"/>
          <w:rFonts w:hint="eastAsia" w:ascii="仿宋" w:hAnsi="仿宋" w:eastAsia="仿宋" w:cs="仿宋"/>
          <w:b/>
          <w:bCs/>
          <w:color w:val="auto"/>
          <w:sz w:val="24"/>
          <w:szCs w:val="24"/>
          <w:highlight w:val="none"/>
        </w:rPr>
      </w:pPr>
      <w:r>
        <w:rPr>
          <w:rStyle w:val="100"/>
          <w:rFonts w:hint="eastAsia" w:ascii="仿宋" w:hAnsi="仿宋" w:eastAsia="仿宋" w:cs="仿宋"/>
          <w:b/>
          <w:bCs/>
          <w:color w:val="auto"/>
          <w:sz w:val="24"/>
          <w:szCs w:val="24"/>
          <w:highlight w:val="none"/>
        </w:rPr>
        <w:t>1</w:t>
      </w:r>
      <w:r>
        <w:rPr>
          <w:rStyle w:val="100"/>
          <w:rFonts w:hint="eastAsia" w:ascii="仿宋" w:hAnsi="仿宋" w:eastAsia="仿宋" w:cs="仿宋"/>
          <w:b/>
          <w:bCs/>
          <w:color w:val="auto"/>
          <w:sz w:val="24"/>
          <w:szCs w:val="24"/>
          <w:highlight w:val="none"/>
          <w:lang w:val="en-US" w:eastAsia="zh-CN"/>
        </w:rPr>
        <w:t>5</w:t>
      </w:r>
      <w:r>
        <w:rPr>
          <w:rStyle w:val="100"/>
          <w:rFonts w:hint="eastAsia" w:ascii="仿宋" w:hAnsi="仿宋" w:eastAsia="仿宋" w:cs="仿宋"/>
          <w:b/>
          <w:bCs/>
          <w:color w:val="auto"/>
          <w:sz w:val="24"/>
          <w:szCs w:val="24"/>
          <w:highlight w:val="none"/>
        </w:rPr>
        <w:t xml:space="preserve">. </w:t>
      </w:r>
      <w:r>
        <w:rPr>
          <w:rStyle w:val="100"/>
          <w:rFonts w:hint="eastAsia" w:ascii="仿宋" w:hAnsi="仿宋" w:eastAsia="仿宋" w:cs="仿宋"/>
          <w:b/>
          <w:bCs/>
          <w:color w:val="auto"/>
          <w:sz w:val="24"/>
          <w:szCs w:val="24"/>
          <w:highlight w:val="none"/>
          <w:lang w:val="zh-TW" w:eastAsia="zh-TW"/>
        </w:rPr>
        <w:t>合同解除</w:t>
      </w:r>
      <w:r>
        <w:rPr>
          <w:rStyle w:val="100"/>
          <w:rFonts w:hint="eastAsia" w:ascii="仿宋" w:hAnsi="仿宋" w:eastAsia="仿宋" w:cs="仿宋"/>
          <w:b/>
          <w:bCs/>
          <w:color w:val="auto"/>
          <w:sz w:val="24"/>
          <w:szCs w:val="24"/>
          <w:highlight w:val="none"/>
        </w:rPr>
        <w:t xml:space="preserve"> </w:t>
      </w:r>
    </w:p>
    <w:p w14:paraId="38EE7A8D">
      <w:pPr>
        <w:pStyle w:val="95"/>
        <w:spacing w:line="360" w:lineRule="auto"/>
        <w:ind w:firstLine="480" w:firstLineChars="200"/>
        <w:jc w:val="left"/>
        <w:rPr>
          <w:rStyle w:val="100"/>
          <w:rFonts w:hint="eastAsia" w:ascii="仿宋" w:hAnsi="仿宋" w:eastAsia="仿宋" w:cs="仿宋"/>
          <w:color w:val="auto"/>
          <w:kern w:val="0"/>
          <w:sz w:val="24"/>
          <w:szCs w:val="24"/>
          <w:highlight w:val="none"/>
        </w:rPr>
      </w:pPr>
      <w:r>
        <w:rPr>
          <w:rStyle w:val="100"/>
          <w:rFonts w:hint="eastAsia" w:ascii="仿宋" w:hAnsi="仿宋" w:eastAsia="仿宋" w:cs="仿宋"/>
          <w:color w:val="auto"/>
          <w:kern w:val="0"/>
          <w:sz w:val="24"/>
          <w:szCs w:val="24"/>
          <w:highlight w:val="none"/>
        </w:rPr>
        <w:t>1</w:t>
      </w:r>
      <w:r>
        <w:rPr>
          <w:rStyle w:val="100"/>
          <w:rFonts w:hint="eastAsia" w:ascii="仿宋" w:hAnsi="仿宋" w:eastAsia="仿宋" w:cs="仿宋"/>
          <w:color w:val="auto"/>
          <w:kern w:val="0"/>
          <w:sz w:val="24"/>
          <w:szCs w:val="24"/>
          <w:highlight w:val="none"/>
          <w:lang w:val="en-US" w:eastAsia="zh-CN"/>
        </w:rPr>
        <w:t>5</w:t>
      </w:r>
      <w:r>
        <w:rPr>
          <w:rStyle w:val="100"/>
          <w:rFonts w:hint="eastAsia" w:ascii="仿宋" w:hAnsi="仿宋" w:eastAsia="仿宋" w:cs="仿宋"/>
          <w:color w:val="auto"/>
          <w:kern w:val="0"/>
          <w:sz w:val="24"/>
          <w:szCs w:val="24"/>
          <w:highlight w:val="none"/>
        </w:rPr>
        <w:t>.1</w:t>
      </w:r>
      <w:r>
        <w:rPr>
          <w:rStyle w:val="100"/>
          <w:rFonts w:hint="eastAsia" w:ascii="仿宋" w:hAnsi="仿宋" w:eastAsia="仿宋" w:cs="仿宋"/>
          <w:color w:val="auto"/>
          <w:sz w:val="24"/>
          <w:szCs w:val="24"/>
          <w:highlight w:val="none"/>
          <w:lang w:val="zh-TW" w:eastAsia="zh-TW"/>
        </w:rPr>
        <w:t>有下列情形之一的，可以解除合同：</w:t>
      </w:r>
    </w:p>
    <w:p w14:paraId="2FE03529">
      <w:pPr>
        <w:pStyle w:val="95"/>
        <w:spacing w:line="360" w:lineRule="auto"/>
        <w:ind w:firstLine="480" w:firstLineChars="200"/>
        <w:jc w:val="left"/>
        <w:rPr>
          <w:rStyle w:val="100"/>
          <w:rFonts w:hint="eastAsia" w:ascii="仿宋" w:hAnsi="仿宋" w:eastAsia="仿宋" w:cs="仿宋"/>
          <w:color w:val="auto"/>
          <w:kern w:val="0"/>
          <w:sz w:val="24"/>
          <w:szCs w:val="24"/>
          <w:highlight w:val="none"/>
        </w:rPr>
      </w:pPr>
      <w:r>
        <w:rPr>
          <w:rStyle w:val="100"/>
          <w:rFonts w:hint="eastAsia" w:ascii="仿宋" w:hAnsi="仿宋" w:eastAsia="仿宋" w:cs="仿宋"/>
          <w:color w:val="auto"/>
          <w:kern w:val="0"/>
          <w:sz w:val="24"/>
          <w:szCs w:val="24"/>
          <w:highlight w:val="none"/>
        </w:rPr>
        <w:t>（1）</w:t>
      </w:r>
      <w:r>
        <w:rPr>
          <w:rStyle w:val="100"/>
          <w:rFonts w:hint="eastAsia" w:ascii="仿宋" w:hAnsi="仿宋" w:eastAsia="仿宋" w:cs="仿宋"/>
          <w:color w:val="auto"/>
          <w:kern w:val="0"/>
          <w:sz w:val="24"/>
          <w:szCs w:val="24"/>
          <w:highlight w:val="none"/>
          <w:lang w:eastAsia="zh-CN"/>
        </w:rPr>
        <w:t>承包人</w:t>
      </w:r>
      <w:r>
        <w:rPr>
          <w:rStyle w:val="100"/>
          <w:rFonts w:hint="eastAsia" w:ascii="仿宋" w:hAnsi="仿宋" w:eastAsia="仿宋" w:cs="仿宋"/>
          <w:color w:val="auto"/>
          <w:kern w:val="0"/>
          <w:sz w:val="24"/>
          <w:szCs w:val="24"/>
          <w:highlight w:val="none"/>
        </w:rPr>
        <w:t>设计成果不满足合同约定，发包人提出整改后，</w:t>
      </w:r>
      <w:r>
        <w:rPr>
          <w:rStyle w:val="100"/>
          <w:rFonts w:hint="eastAsia" w:ascii="仿宋" w:hAnsi="仿宋" w:eastAsia="仿宋" w:cs="仿宋"/>
          <w:color w:val="auto"/>
          <w:kern w:val="0"/>
          <w:sz w:val="24"/>
          <w:szCs w:val="24"/>
          <w:highlight w:val="none"/>
          <w:lang w:eastAsia="zh-CN"/>
        </w:rPr>
        <w:t>承包人</w:t>
      </w:r>
      <w:r>
        <w:rPr>
          <w:rStyle w:val="100"/>
          <w:rFonts w:hint="eastAsia" w:ascii="仿宋" w:hAnsi="仿宋" w:eastAsia="仿宋" w:cs="仿宋"/>
          <w:color w:val="auto"/>
          <w:kern w:val="0"/>
          <w:sz w:val="24"/>
          <w:szCs w:val="24"/>
          <w:highlight w:val="none"/>
        </w:rPr>
        <w:t>提交的成果依然不合格的；</w:t>
      </w:r>
    </w:p>
    <w:p w14:paraId="476439BD">
      <w:pPr>
        <w:pStyle w:val="95"/>
        <w:spacing w:line="360" w:lineRule="auto"/>
        <w:ind w:firstLine="480" w:firstLineChars="200"/>
        <w:jc w:val="left"/>
        <w:rPr>
          <w:rStyle w:val="100"/>
          <w:rFonts w:hint="eastAsia" w:ascii="仿宋" w:hAnsi="仿宋" w:eastAsia="仿宋" w:cs="仿宋"/>
          <w:color w:val="auto"/>
          <w:kern w:val="0"/>
          <w:sz w:val="24"/>
          <w:szCs w:val="24"/>
          <w:highlight w:val="none"/>
        </w:rPr>
      </w:pPr>
      <w:r>
        <w:rPr>
          <w:rStyle w:val="100"/>
          <w:rFonts w:hint="eastAsia" w:ascii="仿宋" w:hAnsi="仿宋" w:eastAsia="仿宋" w:cs="仿宋"/>
          <w:color w:val="auto"/>
          <w:kern w:val="0"/>
          <w:sz w:val="24"/>
          <w:szCs w:val="24"/>
          <w:highlight w:val="none"/>
        </w:rPr>
        <w:t>（2）未经发包人书面同意，</w:t>
      </w:r>
      <w:r>
        <w:rPr>
          <w:rStyle w:val="100"/>
          <w:rFonts w:hint="eastAsia" w:ascii="仿宋" w:hAnsi="仿宋" w:eastAsia="仿宋" w:cs="仿宋"/>
          <w:color w:val="auto"/>
          <w:kern w:val="0"/>
          <w:sz w:val="24"/>
          <w:szCs w:val="24"/>
          <w:highlight w:val="none"/>
          <w:lang w:eastAsia="zh-CN"/>
        </w:rPr>
        <w:t>承包人</w:t>
      </w:r>
      <w:r>
        <w:rPr>
          <w:rStyle w:val="100"/>
          <w:rFonts w:hint="eastAsia" w:ascii="仿宋" w:hAnsi="仿宋" w:eastAsia="仿宋" w:cs="仿宋"/>
          <w:color w:val="auto"/>
          <w:kern w:val="0"/>
          <w:sz w:val="24"/>
          <w:szCs w:val="24"/>
          <w:highlight w:val="none"/>
        </w:rPr>
        <w:t>延误期限超过15天的；</w:t>
      </w:r>
    </w:p>
    <w:p w14:paraId="6B07EB50">
      <w:pPr>
        <w:pStyle w:val="95"/>
        <w:spacing w:line="360" w:lineRule="auto"/>
        <w:ind w:firstLine="480" w:firstLineChars="200"/>
        <w:jc w:val="left"/>
        <w:rPr>
          <w:rStyle w:val="100"/>
          <w:rFonts w:hint="eastAsia" w:ascii="仿宋" w:hAnsi="仿宋" w:eastAsia="仿宋" w:cs="仿宋"/>
          <w:color w:val="auto"/>
          <w:kern w:val="0"/>
          <w:sz w:val="24"/>
          <w:szCs w:val="24"/>
          <w:highlight w:val="none"/>
        </w:rPr>
      </w:pPr>
      <w:r>
        <w:rPr>
          <w:rStyle w:val="100"/>
          <w:rFonts w:hint="eastAsia" w:ascii="仿宋" w:hAnsi="仿宋" w:eastAsia="仿宋" w:cs="仿宋"/>
          <w:color w:val="auto"/>
          <w:kern w:val="0"/>
          <w:sz w:val="24"/>
          <w:szCs w:val="24"/>
          <w:highlight w:val="none"/>
        </w:rPr>
        <w:t>（3）未经发包人书面同意，</w:t>
      </w:r>
      <w:r>
        <w:rPr>
          <w:rStyle w:val="100"/>
          <w:rFonts w:hint="eastAsia" w:ascii="仿宋" w:hAnsi="仿宋" w:eastAsia="仿宋" w:cs="仿宋"/>
          <w:color w:val="auto"/>
          <w:kern w:val="0"/>
          <w:sz w:val="24"/>
          <w:szCs w:val="24"/>
          <w:highlight w:val="none"/>
          <w:lang w:eastAsia="zh-CN"/>
        </w:rPr>
        <w:t>承包人</w:t>
      </w:r>
      <w:r>
        <w:rPr>
          <w:rStyle w:val="100"/>
          <w:rFonts w:hint="eastAsia" w:ascii="仿宋" w:hAnsi="仿宋" w:eastAsia="仿宋" w:cs="仿宋"/>
          <w:color w:val="auto"/>
          <w:kern w:val="0"/>
          <w:sz w:val="24"/>
          <w:szCs w:val="24"/>
          <w:highlight w:val="none"/>
        </w:rPr>
        <w:t>将本设计任务转包、分包或部分转包给任意第三方的；</w:t>
      </w:r>
    </w:p>
    <w:p w14:paraId="29DB4C3B">
      <w:pPr>
        <w:pStyle w:val="95"/>
        <w:spacing w:line="360" w:lineRule="auto"/>
        <w:ind w:firstLine="480" w:firstLineChars="200"/>
        <w:jc w:val="left"/>
        <w:rPr>
          <w:rStyle w:val="100"/>
          <w:rFonts w:hint="eastAsia" w:ascii="仿宋" w:hAnsi="仿宋" w:eastAsia="仿宋" w:cs="仿宋"/>
          <w:color w:val="auto"/>
          <w:kern w:val="0"/>
          <w:sz w:val="24"/>
          <w:szCs w:val="24"/>
          <w:highlight w:val="none"/>
        </w:rPr>
      </w:pPr>
      <w:r>
        <w:rPr>
          <w:rStyle w:val="100"/>
          <w:rFonts w:hint="eastAsia" w:ascii="仿宋" w:hAnsi="仿宋" w:eastAsia="仿宋" w:cs="仿宋"/>
          <w:color w:val="auto"/>
          <w:kern w:val="0"/>
          <w:sz w:val="24"/>
          <w:szCs w:val="24"/>
          <w:highlight w:val="none"/>
        </w:rPr>
        <w:t>（4）</w:t>
      </w:r>
      <w:r>
        <w:rPr>
          <w:rStyle w:val="100"/>
          <w:rFonts w:hint="eastAsia" w:ascii="仿宋" w:hAnsi="仿宋" w:eastAsia="仿宋" w:cs="仿宋"/>
          <w:color w:val="auto"/>
          <w:kern w:val="0"/>
          <w:sz w:val="24"/>
          <w:szCs w:val="24"/>
          <w:highlight w:val="none"/>
          <w:lang w:eastAsia="zh-CN"/>
        </w:rPr>
        <w:t>承包人</w:t>
      </w:r>
      <w:r>
        <w:rPr>
          <w:rStyle w:val="100"/>
          <w:rFonts w:hint="eastAsia" w:ascii="仿宋" w:hAnsi="仿宋" w:eastAsia="仿宋" w:cs="仿宋"/>
          <w:color w:val="auto"/>
          <w:kern w:val="0"/>
          <w:sz w:val="24"/>
          <w:szCs w:val="24"/>
          <w:highlight w:val="none"/>
        </w:rPr>
        <w:t>超越“合同”约定，以发包人名义从事其他活动的；</w:t>
      </w:r>
    </w:p>
    <w:p w14:paraId="5D084A20">
      <w:pPr>
        <w:pStyle w:val="95"/>
        <w:spacing w:line="360" w:lineRule="auto"/>
        <w:ind w:firstLine="480" w:firstLineChars="200"/>
        <w:jc w:val="left"/>
        <w:rPr>
          <w:rStyle w:val="100"/>
          <w:rFonts w:hint="eastAsia" w:ascii="仿宋" w:hAnsi="仿宋" w:eastAsia="仿宋" w:cs="仿宋"/>
          <w:color w:val="auto"/>
          <w:kern w:val="0"/>
          <w:sz w:val="24"/>
          <w:szCs w:val="24"/>
          <w:highlight w:val="none"/>
        </w:rPr>
      </w:pPr>
      <w:r>
        <w:rPr>
          <w:rStyle w:val="100"/>
          <w:rFonts w:hint="eastAsia" w:ascii="仿宋" w:hAnsi="仿宋" w:eastAsia="仿宋" w:cs="仿宋"/>
          <w:color w:val="auto"/>
          <w:kern w:val="0"/>
          <w:sz w:val="24"/>
          <w:szCs w:val="24"/>
          <w:highlight w:val="none"/>
        </w:rPr>
        <w:t>（5）未经发包人书面同意，</w:t>
      </w:r>
      <w:r>
        <w:rPr>
          <w:rStyle w:val="100"/>
          <w:rFonts w:hint="eastAsia" w:ascii="仿宋" w:hAnsi="仿宋" w:eastAsia="仿宋" w:cs="仿宋"/>
          <w:color w:val="auto"/>
          <w:kern w:val="0"/>
          <w:sz w:val="24"/>
          <w:szCs w:val="24"/>
          <w:highlight w:val="none"/>
          <w:lang w:eastAsia="zh-CN"/>
        </w:rPr>
        <w:t>承包人</w:t>
      </w:r>
      <w:r>
        <w:rPr>
          <w:rStyle w:val="100"/>
          <w:rFonts w:hint="eastAsia" w:ascii="仿宋" w:hAnsi="仿宋" w:eastAsia="仿宋" w:cs="仿宋"/>
          <w:color w:val="auto"/>
          <w:kern w:val="0"/>
          <w:sz w:val="24"/>
          <w:szCs w:val="24"/>
          <w:highlight w:val="none"/>
        </w:rPr>
        <w:t>私自更换项目负责人的；</w:t>
      </w:r>
    </w:p>
    <w:p w14:paraId="22108D89">
      <w:pPr>
        <w:pStyle w:val="95"/>
        <w:spacing w:line="360" w:lineRule="auto"/>
        <w:ind w:firstLine="480" w:firstLineChars="200"/>
        <w:jc w:val="left"/>
        <w:rPr>
          <w:rStyle w:val="100"/>
          <w:rFonts w:hint="eastAsia" w:ascii="仿宋" w:hAnsi="仿宋" w:eastAsia="仿宋" w:cs="仿宋"/>
          <w:color w:val="auto"/>
          <w:kern w:val="0"/>
          <w:sz w:val="24"/>
          <w:szCs w:val="24"/>
          <w:highlight w:val="none"/>
        </w:rPr>
      </w:pPr>
      <w:r>
        <w:rPr>
          <w:rStyle w:val="100"/>
          <w:rFonts w:hint="eastAsia" w:ascii="仿宋" w:hAnsi="仿宋" w:eastAsia="仿宋" w:cs="仿宋"/>
          <w:color w:val="auto"/>
          <w:kern w:val="0"/>
          <w:sz w:val="24"/>
          <w:szCs w:val="24"/>
          <w:highlight w:val="none"/>
        </w:rPr>
        <w:t>（6）未经发包人书面同意，</w:t>
      </w:r>
      <w:r>
        <w:rPr>
          <w:rStyle w:val="100"/>
          <w:rFonts w:hint="eastAsia" w:ascii="仿宋" w:hAnsi="仿宋" w:eastAsia="仿宋" w:cs="仿宋"/>
          <w:color w:val="auto"/>
          <w:kern w:val="0"/>
          <w:sz w:val="24"/>
          <w:szCs w:val="24"/>
          <w:highlight w:val="none"/>
          <w:lang w:eastAsia="zh-CN"/>
        </w:rPr>
        <w:t>承包人</w:t>
      </w:r>
      <w:r>
        <w:rPr>
          <w:rStyle w:val="100"/>
          <w:rFonts w:hint="eastAsia" w:ascii="仿宋" w:hAnsi="仿宋" w:eastAsia="仿宋" w:cs="仿宋"/>
          <w:color w:val="auto"/>
          <w:kern w:val="0"/>
          <w:sz w:val="24"/>
          <w:szCs w:val="24"/>
          <w:highlight w:val="none"/>
        </w:rPr>
        <w:t>擅自使用或允许第三方使用本工程的设计成果的；</w:t>
      </w:r>
    </w:p>
    <w:p w14:paraId="7012876D">
      <w:pPr>
        <w:pStyle w:val="95"/>
        <w:spacing w:line="360" w:lineRule="auto"/>
        <w:ind w:firstLine="480" w:firstLineChars="200"/>
        <w:jc w:val="left"/>
        <w:rPr>
          <w:rStyle w:val="100"/>
          <w:rFonts w:hint="eastAsia" w:ascii="仿宋" w:hAnsi="仿宋" w:eastAsia="仿宋" w:cs="仿宋"/>
          <w:color w:val="auto"/>
          <w:kern w:val="0"/>
          <w:sz w:val="24"/>
          <w:szCs w:val="24"/>
          <w:highlight w:val="none"/>
        </w:rPr>
      </w:pPr>
      <w:r>
        <w:rPr>
          <w:rStyle w:val="100"/>
          <w:rFonts w:hint="eastAsia" w:ascii="仿宋" w:hAnsi="仿宋" w:eastAsia="仿宋" w:cs="仿宋"/>
          <w:color w:val="auto"/>
          <w:kern w:val="0"/>
          <w:sz w:val="24"/>
          <w:szCs w:val="24"/>
          <w:highlight w:val="none"/>
        </w:rPr>
        <w:t>（7）</w:t>
      </w:r>
      <w:r>
        <w:rPr>
          <w:rStyle w:val="100"/>
          <w:rFonts w:hint="eastAsia" w:ascii="仿宋" w:hAnsi="仿宋" w:eastAsia="仿宋" w:cs="仿宋"/>
          <w:color w:val="auto"/>
          <w:kern w:val="0"/>
          <w:sz w:val="24"/>
          <w:szCs w:val="24"/>
          <w:highlight w:val="none"/>
          <w:lang w:eastAsia="zh-CN"/>
        </w:rPr>
        <w:t>承包人</w:t>
      </w:r>
      <w:r>
        <w:rPr>
          <w:rStyle w:val="100"/>
          <w:rFonts w:hint="eastAsia" w:ascii="仿宋" w:hAnsi="仿宋" w:eastAsia="仿宋" w:cs="仿宋"/>
          <w:color w:val="auto"/>
          <w:kern w:val="0"/>
          <w:sz w:val="24"/>
          <w:szCs w:val="24"/>
          <w:highlight w:val="none"/>
        </w:rPr>
        <w:t>提供的设计成果侵犯任何第三方的合法权益的，包括但不限于知识产权；</w:t>
      </w:r>
    </w:p>
    <w:p w14:paraId="11E24574">
      <w:pPr>
        <w:pStyle w:val="95"/>
        <w:spacing w:line="360" w:lineRule="auto"/>
        <w:ind w:firstLine="480" w:firstLineChars="200"/>
        <w:jc w:val="left"/>
        <w:rPr>
          <w:rStyle w:val="100"/>
          <w:rFonts w:hint="eastAsia" w:ascii="仿宋" w:hAnsi="仿宋" w:eastAsia="仿宋" w:cs="仿宋"/>
          <w:color w:val="auto"/>
          <w:kern w:val="0"/>
          <w:sz w:val="24"/>
          <w:szCs w:val="24"/>
          <w:highlight w:val="none"/>
        </w:rPr>
      </w:pPr>
      <w:r>
        <w:rPr>
          <w:rStyle w:val="100"/>
          <w:rFonts w:hint="eastAsia" w:ascii="仿宋" w:hAnsi="仿宋" w:eastAsia="仿宋" w:cs="仿宋"/>
          <w:color w:val="auto"/>
          <w:kern w:val="0"/>
          <w:sz w:val="24"/>
          <w:szCs w:val="24"/>
          <w:highlight w:val="none"/>
        </w:rPr>
        <w:t>（8）</w:t>
      </w:r>
      <w:r>
        <w:rPr>
          <w:rStyle w:val="100"/>
          <w:rFonts w:hint="eastAsia" w:ascii="仿宋" w:hAnsi="仿宋" w:eastAsia="仿宋" w:cs="仿宋"/>
          <w:color w:val="auto"/>
          <w:kern w:val="0"/>
          <w:sz w:val="24"/>
          <w:szCs w:val="24"/>
          <w:highlight w:val="none"/>
          <w:lang w:eastAsia="zh-CN"/>
        </w:rPr>
        <w:t>承包人</w:t>
      </w:r>
      <w:r>
        <w:rPr>
          <w:rStyle w:val="100"/>
          <w:rFonts w:hint="eastAsia" w:ascii="仿宋" w:hAnsi="仿宋" w:eastAsia="仿宋" w:cs="仿宋"/>
          <w:color w:val="auto"/>
          <w:kern w:val="0"/>
          <w:sz w:val="24"/>
          <w:szCs w:val="24"/>
          <w:highlight w:val="none"/>
        </w:rPr>
        <w:t>违反本合同中的保密条款的；</w:t>
      </w:r>
    </w:p>
    <w:p w14:paraId="308F3980">
      <w:pPr>
        <w:pStyle w:val="95"/>
        <w:spacing w:line="360" w:lineRule="auto"/>
        <w:ind w:firstLine="480" w:firstLineChars="200"/>
        <w:jc w:val="left"/>
        <w:rPr>
          <w:rStyle w:val="100"/>
          <w:rFonts w:hint="eastAsia" w:ascii="仿宋" w:hAnsi="仿宋" w:eastAsia="仿宋" w:cs="仿宋"/>
          <w:color w:val="auto"/>
          <w:kern w:val="0"/>
          <w:sz w:val="24"/>
          <w:szCs w:val="24"/>
          <w:highlight w:val="none"/>
        </w:rPr>
      </w:pPr>
      <w:r>
        <w:rPr>
          <w:rStyle w:val="100"/>
          <w:rFonts w:hint="eastAsia" w:ascii="仿宋" w:hAnsi="仿宋" w:eastAsia="仿宋" w:cs="仿宋"/>
          <w:color w:val="auto"/>
          <w:kern w:val="0"/>
          <w:sz w:val="24"/>
          <w:szCs w:val="24"/>
          <w:highlight w:val="none"/>
        </w:rPr>
        <w:t>（9）因</w:t>
      </w:r>
      <w:r>
        <w:rPr>
          <w:rStyle w:val="100"/>
          <w:rFonts w:hint="eastAsia" w:ascii="仿宋" w:hAnsi="仿宋" w:eastAsia="仿宋" w:cs="仿宋"/>
          <w:color w:val="auto"/>
          <w:kern w:val="0"/>
          <w:sz w:val="24"/>
          <w:szCs w:val="24"/>
          <w:highlight w:val="none"/>
          <w:lang w:eastAsia="zh-CN"/>
        </w:rPr>
        <w:t>承包人</w:t>
      </w:r>
      <w:r>
        <w:rPr>
          <w:rStyle w:val="100"/>
          <w:rFonts w:hint="eastAsia" w:ascii="仿宋" w:hAnsi="仿宋" w:eastAsia="仿宋" w:cs="仿宋"/>
          <w:color w:val="auto"/>
          <w:kern w:val="0"/>
          <w:sz w:val="24"/>
          <w:szCs w:val="24"/>
          <w:highlight w:val="none"/>
        </w:rPr>
        <w:t>原因解除合同的，</w:t>
      </w:r>
      <w:r>
        <w:rPr>
          <w:rStyle w:val="100"/>
          <w:rFonts w:hint="eastAsia" w:ascii="仿宋" w:hAnsi="仿宋" w:eastAsia="仿宋" w:cs="仿宋"/>
          <w:color w:val="auto"/>
          <w:kern w:val="0"/>
          <w:sz w:val="24"/>
          <w:szCs w:val="24"/>
          <w:highlight w:val="none"/>
          <w:lang w:eastAsia="zh-CN"/>
        </w:rPr>
        <w:t>承包人</w:t>
      </w:r>
      <w:r>
        <w:rPr>
          <w:rStyle w:val="100"/>
          <w:rFonts w:hint="eastAsia" w:ascii="仿宋" w:hAnsi="仿宋" w:eastAsia="仿宋" w:cs="仿宋"/>
          <w:color w:val="auto"/>
          <w:kern w:val="0"/>
          <w:sz w:val="24"/>
          <w:szCs w:val="24"/>
          <w:highlight w:val="none"/>
        </w:rPr>
        <w:t>应承担由此给发包人带来的全部经济损失，并承担双倍预付款的违约金。</w:t>
      </w:r>
    </w:p>
    <w:p w14:paraId="45A440BF">
      <w:pPr>
        <w:pStyle w:val="96"/>
        <w:jc w:val="left"/>
        <w:rPr>
          <w:rFonts w:hint="eastAsia" w:ascii="仿宋" w:hAnsi="仿宋" w:eastAsia="仿宋" w:cs="仿宋"/>
          <w:color w:val="auto"/>
          <w:highlight w:val="none"/>
        </w:rPr>
      </w:pPr>
    </w:p>
    <w:p w14:paraId="4476CA53">
      <w:pPr>
        <w:pStyle w:val="3"/>
        <w:jc w:val="left"/>
        <w:outlineLvl w:val="9"/>
        <w:rPr>
          <w:rFonts w:hint="eastAsia" w:ascii="仿宋" w:hAnsi="仿宋" w:eastAsia="仿宋" w:cs="仿宋"/>
          <w:color w:val="auto"/>
          <w:highlight w:val="none"/>
        </w:rPr>
      </w:pPr>
    </w:p>
    <w:p w14:paraId="0748FADB">
      <w:pPr>
        <w:jc w:val="left"/>
        <w:rPr>
          <w:rFonts w:hint="eastAsia" w:ascii="仿宋" w:hAnsi="仿宋" w:eastAsia="仿宋" w:cs="仿宋"/>
          <w:color w:val="auto"/>
          <w:highlight w:val="none"/>
        </w:rPr>
      </w:pPr>
    </w:p>
    <w:p w14:paraId="34C01FE8">
      <w:pPr>
        <w:pStyle w:val="2"/>
        <w:jc w:val="left"/>
        <w:rPr>
          <w:rFonts w:hint="eastAsia" w:ascii="仿宋" w:hAnsi="仿宋" w:eastAsia="仿宋" w:cs="仿宋"/>
          <w:color w:val="auto"/>
          <w:highlight w:val="none"/>
        </w:rPr>
      </w:pPr>
    </w:p>
    <w:p w14:paraId="7D4EE20A">
      <w:pPr>
        <w:widowControl/>
        <w:spacing w:line="600" w:lineRule="auto"/>
        <w:ind w:left="6573" w:leftChars="450" w:hanging="5493" w:hangingChars="2289"/>
        <w:jc w:val="left"/>
        <w:rPr>
          <w:rFonts w:hint="eastAsia" w:ascii="仿宋" w:hAnsi="仿宋" w:eastAsia="仿宋" w:cs="仿宋"/>
          <w:color w:val="auto"/>
          <w:highlight w:val="none"/>
        </w:rPr>
      </w:pPr>
      <w:r>
        <w:rPr>
          <w:rFonts w:hint="eastAsia" w:ascii="仿宋" w:hAnsi="仿宋" w:eastAsia="仿宋" w:cs="仿宋"/>
          <w:color w:val="auto"/>
          <w:highlight w:val="none"/>
        </w:rPr>
        <w:t xml:space="preserve">发包人：                               承包人：                      </w:t>
      </w:r>
    </w:p>
    <w:p w14:paraId="5C8985AE">
      <w:pPr>
        <w:widowControl/>
        <w:spacing w:line="600" w:lineRule="auto"/>
        <w:ind w:firstLine="960" w:firstLineChars="400"/>
        <w:jc w:val="left"/>
        <w:rPr>
          <w:rFonts w:hint="eastAsia" w:ascii="仿宋" w:hAnsi="仿宋" w:eastAsia="仿宋" w:cs="仿宋"/>
          <w:color w:val="auto"/>
          <w:highlight w:val="none"/>
        </w:rPr>
      </w:pPr>
      <w:r>
        <w:rPr>
          <w:rFonts w:hint="eastAsia" w:ascii="仿宋" w:hAnsi="仿宋" w:eastAsia="仿宋" w:cs="仿宋"/>
          <w:color w:val="auto"/>
          <w:highlight w:val="none"/>
        </w:rPr>
        <w:t>（盖章）                               （联合体设计方单位）：（盖章）</w:t>
      </w:r>
    </w:p>
    <w:p w14:paraId="394C4239">
      <w:pPr>
        <w:widowControl/>
        <w:spacing w:line="600" w:lineRule="auto"/>
        <w:ind w:firstLine="1080" w:firstLineChars="450"/>
        <w:jc w:val="left"/>
        <w:rPr>
          <w:rFonts w:hint="eastAsia" w:ascii="仿宋" w:hAnsi="仿宋" w:eastAsia="仿宋" w:cs="仿宋"/>
          <w:color w:val="auto"/>
          <w:highlight w:val="none"/>
        </w:rPr>
      </w:pPr>
      <w:r>
        <w:rPr>
          <w:rFonts w:hint="eastAsia" w:ascii="仿宋" w:hAnsi="仿宋" w:eastAsia="仿宋" w:cs="仿宋"/>
          <w:color w:val="auto"/>
          <w:highlight w:val="none"/>
        </w:rPr>
        <w:t xml:space="preserve">统一社会信用代码：                     统一社会信用代码：            </w:t>
      </w:r>
    </w:p>
    <w:p w14:paraId="540771F7">
      <w:pPr>
        <w:widowControl/>
        <w:spacing w:line="600" w:lineRule="auto"/>
        <w:ind w:firstLine="1080" w:firstLineChars="450"/>
        <w:jc w:val="left"/>
        <w:rPr>
          <w:rFonts w:hint="eastAsia" w:ascii="仿宋" w:hAnsi="仿宋" w:eastAsia="仿宋" w:cs="仿宋"/>
          <w:color w:val="auto"/>
          <w:highlight w:val="none"/>
        </w:rPr>
      </w:pPr>
      <w:r>
        <w:rPr>
          <w:rFonts w:hint="eastAsia" w:ascii="仿宋" w:hAnsi="仿宋" w:eastAsia="仿宋" w:cs="仿宋"/>
          <w:color w:val="auto"/>
          <w:highlight w:val="none"/>
        </w:rPr>
        <w:t xml:space="preserve">地      址：                           地      址：              </w:t>
      </w:r>
    </w:p>
    <w:p w14:paraId="2C3F07CA">
      <w:pPr>
        <w:widowControl/>
        <w:spacing w:line="600" w:lineRule="auto"/>
        <w:ind w:firstLine="1080" w:firstLineChars="450"/>
        <w:jc w:val="left"/>
        <w:rPr>
          <w:rFonts w:hint="eastAsia" w:ascii="仿宋" w:hAnsi="仿宋" w:eastAsia="仿宋" w:cs="仿宋"/>
          <w:color w:val="auto"/>
          <w:highlight w:val="none"/>
        </w:rPr>
      </w:pPr>
      <w:r>
        <w:rPr>
          <w:rFonts w:hint="eastAsia" w:ascii="仿宋" w:hAnsi="仿宋" w:eastAsia="仿宋" w:cs="仿宋"/>
          <w:color w:val="auto"/>
          <w:highlight w:val="none"/>
        </w:rPr>
        <w:t>法定代表人：                           法定代表人：</w:t>
      </w:r>
    </w:p>
    <w:p w14:paraId="237E22E5">
      <w:pPr>
        <w:widowControl/>
        <w:spacing w:line="600" w:lineRule="auto"/>
        <w:ind w:firstLine="1080" w:firstLineChars="450"/>
        <w:jc w:val="left"/>
        <w:rPr>
          <w:rFonts w:hint="eastAsia" w:ascii="仿宋" w:hAnsi="仿宋" w:eastAsia="仿宋" w:cs="仿宋"/>
          <w:color w:val="auto"/>
          <w:highlight w:val="none"/>
        </w:rPr>
      </w:pPr>
      <w:r>
        <w:rPr>
          <w:rFonts w:hint="eastAsia" w:ascii="仿宋" w:hAnsi="仿宋" w:eastAsia="仿宋" w:cs="仿宋"/>
          <w:color w:val="auto"/>
          <w:highlight w:val="none"/>
        </w:rPr>
        <w:t>委托代理人：                           委托代理人：</w:t>
      </w:r>
    </w:p>
    <w:p w14:paraId="0786E98E">
      <w:pPr>
        <w:widowControl/>
        <w:spacing w:line="600" w:lineRule="auto"/>
        <w:ind w:firstLine="1080" w:firstLineChars="450"/>
        <w:jc w:val="left"/>
        <w:rPr>
          <w:rFonts w:hint="eastAsia" w:ascii="仿宋" w:hAnsi="仿宋" w:eastAsia="仿宋" w:cs="仿宋"/>
          <w:color w:val="auto"/>
          <w:highlight w:val="none"/>
        </w:rPr>
      </w:pPr>
      <w:r>
        <w:rPr>
          <w:rFonts w:hint="eastAsia" w:ascii="仿宋" w:hAnsi="仿宋" w:eastAsia="仿宋" w:cs="仿宋"/>
          <w:color w:val="auto"/>
          <w:highlight w:val="none"/>
        </w:rPr>
        <w:t xml:space="preserve">电    话：                             电    话：              </w:t>
      </w:r>
    </w:p>
    <w:p w14:paraId="0B155860">
      <w:pPr>
        <w:widowControl/>
        <w:spacing w:line="600" w:lineRule="auto"/>
        <w:ind w:firstLine="1080" w:firstLineChars="450"/>
        <w:jc w:val="left"/>
        <w:rPr>
          <w:rFonts w:hint="eastAsia" w:ascii="仿宋" w:hAnsi="仿宋" w:eastAsia="仿宋" w:cs="仿宋"/>
          <w:color w:val="auto"/>
          <w:highlight w:val="none"/>
        </w:rPr>
      </w:pPr>
      <w:r>
        <w:rPr>
          <w:rFonts w:hint="eastAsia" w:ascii="仿宋" w:hAnsi="仿宋" w:eastAsia="仿宋" w:cs="仿宋"/>
          <w:color w:val="auto"/>
          <w:highlight w:val="none"/>
        </w:rPr>
        <w:t xml:space="preserve">传    真：                             传    真：                 </w:t>
      </w:r>
    </w:p>
    <w:p w14:paraId="65169B3B">
      <w:pPr>
        <w:widowControl/>
        <w:spacing w:line="600" w:lineRule="auto"/>
        <w:ind w:firstLine="1080" w:firstLineChars="450"/>
        <w:jc w:val="left"/>
        <w:rPr>
          <w:rFonts w:hint="eastAsia" w:ascii="仿宋" w:hAnsi="仿宋" w:eastAsia="仿宋" w:cs="仿宋"/>
          <w:color w:val="auto"/>
          <w:sz w:val="22"/>
          <w:szCs w:val="22"/>
          <w:highlight w:val="none"/>
        </w:rPr>
      </w:pPr>
      <w:r>
        <w:rPr>
          <w:rFonts w:hint="eastAsia" w:ascii="仿宋" w:hAnsi="仿宋" w:eastAsia="仿宋" w:cs="仿宋"/>
          <w:color w:val="auto"/>
          <w:highlight w:val="none"/>
        </w:rPr>
        <w:t>开户银行：                             开户银行：</w:t>
      </w:r>
    </w:p>
    <w:p w14:paraId="2D70AD57">
      <w:pPr>
        <w:widowControl/>
        <w:spacing w:line="600" w:lineRule="auto"/>
        <w:ind w:firstLine="1080" w:firstLineChars="450"/>
        <w:jc w:val="left"/>
        <w:rPr>
          <w:rFonts w:hint="eastAsia" w:ascii="仿宋" w:hAnsi="仿宋" w:eastAsia="仿宋" w:cs="仿宋"/>
          <w:color w:val="auto"/>
          <w:highlight w:val="none"/>
        </w:rPr>
      </w:pPr>
      <w:r>
        <w:rPr>
          <w:rFonts w:hint="eastAsia" w:ascii="仿宋" w:hAnsi="仿宋" w:eastAsia="仿宋" w:cs="仿宋"/>
          <w:color w:val="auto"/>
          <w:highlight w:val="none"/>
        </w:rPr>
        <w:t>帐    号：                             帐    号：</w:t>
      </w:r>
    </w:p>
    <w:p w14:paraId="7B120E78">
      <w:pPr>
        <w:widowControl/>
        <w:spacing w:line="600" w:lineRule="auto"/>
        <w:ind w:firstLine="1080" w:firstLineChars="450"/>
        <w:jc w:val="left"/>
        <w:rPr>
          <w:rFonts w:hint="eastAsia" w:ascii="仿宋" w:hAnsi="仿宋" w:eastAsia="仿宋" w:cs="仿宋"/>
          <w:color w:val="auto"/>
          <w:highlight w:val="none"/>
        </w:rPr>
      </w:pPr>
      <w:r>
        <w:rPr>
          <w:rFonts w:hint="eastAsia" w:ascii="仿宋" w:hAnsi="仿宋" w:eastAsia="仿宋" w:cs="仿宋"/>
          <w:color w:val="auto"/>
          <w:highlight w:val="none"/>
        </w:rPr>
        <w:t>邮政编码：                             邮政编码：</w:t>
      </w:r>
    </w:p>
    <w:p w14:paraId="11321479">
      <w:pPr>
        <w:ind w:firstLine="960" w:firstLineChars="400"/>
        <w:jc w:val="left"/>
        <w:rPr>
          <w:rFonts w:hint="eastAsia" w:ascii="仿宋" w:hAnsi="仿宋" w:eastAsia="仿宋" w:cs="仿宋"/>
          <w:color w:val="auto"/>
          <w:highlight w:val="none"/>
        </w:rPr>
      </w:pPr>
      <w:r>
        <w:rPr>
          <w:rFonts w:hint="eastAsia" w:ascii="仿宋" w:hAnsi="仿宋" w:eastAsia="仿宋" w:cs="仿宋"/>
          <w:color w:val="auto"/>
          <w:highlight w:val="none"/>
        </w:rPr>
        <w:t>电子邮箱：                             电子邮箱：</w:t>
      </w:r>
    </w:p>
    <w:p w14:paraId="643473DD">
      <w:pPr>
        <w:pStyle w:val="2"/>
        <w:jc w:val="left"/>
        <w:rPr>
          <w:rFonts w:hint="eastAsia" w:ascii="仿宋" w:hAnsi="仿宋" w:eastAsia="仿宋" w:cs="仿宋"/>
          <w:color w:val="auto"/>
          <w:highlight w:val="none"/>
        </w:rPr>
      </w:pPr>
    </w:p>
    <w:p w14:paraId="73B15815">
      <w:pPr>
        <w:rPr>
          <w:rFonts w:hint="eastAsia" w:ascii="仿宋" w:hAnsi="仿宋" w:eastAsia="仿宋" w:cs="仿宋"/>
          <w:color w:val="auto"/>
          <w:highlight w:val="none"/>
          <w:lang w:val="en-US" w:eastAsia="zh-CN"/>
        </w:rPr>
      </w:pPr>
      <w:bookmarkStart w:id="531" w:name="_Toc7325"/>
      <w:r>
        <w:rPr>
          <w:rFonts w:hint="eastAsia" w:ascii="仿宋" w:hAnsi="仿宋" w:eastAsia="仿宋" w:cs="仿宋"/>
          <w:color w:val="auto"/>
          <w:highlight w:val="none"/>
        </w:rPr>
        <w:t>二</w:t>
      </w:r>
      <w:r>
        <w:rPr>
          <w:rFonts w:hint="eastAsia" w:ascii="仿宋" w:hAnsi="仿宋" w:eastAsia="仿宋" w:cs="仿宋"/>
          <w:color w:val="auto"/>
          <w:highlight w:val="none"/>
          <w:lang w:eastAsia="zh-CN"/>
        </w:rPr>
        <w:t>、</w:t>
      </w:r>
      <w:r>
        <w:rPr>
          <w:rFonts w:hint="eastAsia" w:ascii="仿宋" w:hAnsi="仿宋" w:eastAsia="仿宋" w:cs="仿宋"/>
          <w:color w:val="auto"/>
          <w:highlight w:val="none"/>
        </w:rPr>
        <w:t>工程施工专</w:t>
      </w:r>
      <w:r>
        <w:rPr>
          <w:rFonts w:hint="eastAsia" w:ascii="仿宋" w:hAnsi="仿宋" w:eastAsia="仿宋" w:cs="仿宋"/>
          <w:color w:val="auto"/>
          <w:highlight w:val="none"/>
          <w:lang w:val="en-US" w:eastAsia="zh-CN"/>
        </w:rPr>
        <w:t>用合同条款</w:t>
      </w:r>
      <w:bookmarkEnd w:id="531"/>
    </w:p>
    <w:p w14:paraId="3ED46B37">
      <w:pPr>
        <w:bidi w:val="0"/>
        <w:jc w:val="left"/>
        <w:rPr>
          <w:rFonts w:hint="eastAsia" w:ascii="仿宋" w:hAnsi="仿宋" w:eastAsia="仿宋" w:cs="仿宋"/>
          <w:color w:val="auto"/>
          <w:highlight w:val="none"/>
        </w:rPr>
      </w:pPr>
      <w:bookmarkStart w:id="532" w:name="_Toc296503025"/>
      <w:bookmarkStart w:id="533" w:name="_Toc296890982"/>
    </w:p>
    <w:bookmarkEnd w:id="532"/>
    <w:bookmarkEnd w:id="533"/>
    <w:p w14:paraId="15D95485">
      <w:pPr>
        <w:numPr>
          <w:ilvl w:val="-1"/>
          <w:numId w:val="0"/>
        </w:numPr>
        <w:jc w:val="left"/>
        <w:rPr>
          <w:rFonts w:hint="eastAsia" w:ascii="仿宋" w:hAnsi="仿宋" w:eastAsia="仿宋" w:cs="仿宋"/>
          <w:color w:val="auto"/>
          <w:highlight w:val="none"/>
        </w:rPr>
      </w:pPr>
      <w:bookmarkStart w:id="534" w:name="_Toc351203481"/>
      <w:r>
        <w:rPr>
          <w:rFonts w:hint="eastAsia" w:ascii="仿宋" w:hAnsi="仿宋" w:eastAsia="仿宋" w:cs="仿宋"/>
          <w:color w:val="auto"/>
          <w:highlight w:val="none"/>
        </w:rPr>
        <w:t>（本工程</w:t>
      </w:r>
      <w:r>
        <w:rPr>
          <w:rFonts w:hint="eastAsia" w:ascii="仿宋" w:hAnsi="仿宋" w:eastAsia="仿宋" w:cs="仿宋"/>
          <w:color w:val="auto"/>
          <w:highlight w:val="none"/>
          <w:lang w:val="en-US" w:eastAsia="zh-CN"/>
        </w:rPr>
        <w:t>施工</w:t>
      </w:r>
      <w:r>
        <w:rPr>
          <w:rFonts w:hint="eastAsia" w:ascii="仿宋" w:hAnsi="仿宋" w:eastAsia="仿宋" w:cs="仿宋"/>
          <w:color w:val="auto"/>
          <w:highlight w:val="none"/>
        </w:rPr>
        <w:t>专用条款中的承包人均指本项目</w:t>
      </w:r>
      <w:r>
        <w:rPr>
          <w:rFonts w:hint="eastAsia" w:ascii="仿宋" w:hAnsi="仿宋" w:eastAsia="仿宋" w:cs="仿宋"/>
          <w:color w:val="auto"/>
          <w:highlight w:val="none"/>
          <w:lang w:val="en-US" w:eastAsia="zh-CN"/>
        </w:rPr>
        <w:t>施工</w:t>
      </w:r>
      <w:r>
        <w:rPr>
          <w:rFonts w:hint="eastAsia" w:ascii="仿宋" w:hAnsi="仿宋" w:eastAsia="仿宋" w:cs="仿宋"/>
          <w:color w:val="auto"/>
          <w:highlight w:val="none"/>
        </w:rPr>
        <w:t>单位）</w:t>
      </w:r>
    </w:p>
    <w:p w14:paraId="617934B1">
      <w:pPr>
        <w:bidi w:val="0"/>
        <w:jc w:val="left"/>
        <w:rPr>
          <w:rFonts w:hint="eastAsia" w:ascii="仿宋" w:hAnsi="仿宋" w:eastAsia="仿宋" w:cs="仿宋"/>
          <w:color w:val="auto"/>
          <w:highlight w:val="none"/>
          <w:lang w:val="en-US" w:eastAsia="zh-CN"/>
        </w:rPr>
      </w:pPr>
    </w:p>
    <w:p w14:paraId="22E9EBFD">
      <w:pPr>
        <w:pStyle w:val="5"/>
        <w:bidi w:val="0"/>
        <w:jc w:val="left"/>
        <w:rPr>
          <w:rFonts w:hint="eastAsia" w:ascii="仿宋" w:hAnsi="仿宋" w:eastAsia="仿宋" w:cs="仿宋"/>
          <w:color w:val="auto"/>
          <w:highlight w:val="none"/>
        </w:rPr>
      </w:pPr>
      <w:r>
        <w:rPr>
          <w:rFonts w:hint="eastAsia" w:ascii="仿宋" w:hAnsi="仿宋" w:eastAsia="仿宋" w:cs="仿宋"/>
          <w:color w:val="auto"/>
          <w:highlight w:val="none"/>
          <w:lang w:val="en-US" w:eastAsia="zh-CN"/>
        </w:rPr>
        <w:t>1、</w:t>
      </w:r>
      <w:bookmarkEnd w:id="534"/>
      <w:r>
        <w:rPr>
          <w:rFonts w:hint="eastAsia" w:ascii="仿宋" w:hAnsi="仿宋" w:eastAsia="仿宋" w:cs="仿宋"/>
          <w:color w:val="auto"/>
          <w:highlight w:val="none"/>
        </w:rPr>
        <w:t>工程承包范围</w:t>
      </w:r>
    </w:p>
    <w:p w14:paraId="6097411E">
      <w:pPr>
        <w:spacing w:line="360" w:lineRule="auto"/>
        <w:ind w:firstLine="480" w:firstLineChars="200"/>
        <w:jc w:val="left"/>
        <w:rPr>
          <w:rFonts w:hint="eastAsia" w:ascii="仿宋" w:hAnsi="仿宋" w:cs="仿宋"/>
          <w:color w:val="auto"/>
          <w:sz w:val="24"/>
          <w:szCs w:val="24"/>
          <w:highlight w:val="none"/>
          <w:u w:val="single"/>
          <w:lang w:val="en-US" w:eastAsia="zh-CN"/>
        </w:rPr>
      </w:pPr>
      <w:r>
        <w:rPr>
          <w:rFonts w:hint="eastAsia" w:ascii="仿宋" w:hAnsi="仿宋" w:cs="仿宋"/>
          <w:color w:val="auto"/>
          <w:sz w:val="24"/>
          <w:szCs w:val="24"/>
          <w:highlight w:val="none"/>
          <w:u w:val="single"/>
          <w:lang w:val="en-US" w:eastAsia="zh-CN"/>
        </w:rPr>
        <w:t>1.1工程规模：项目占地面积13600m，总建筑面积约4106.88m。建设内容包括:细格栅、调节池、SBR池、臭氧接触池、消毒池、综合处理间、臭氧发生间、综合楼等。该项目远期规划规模15000立方米/天，近期建设规模为8000立方米/天的污水处理厂。该项目年综合能源消费量为369.99tce(当量值)/909.17tce(等价值)，且年电力消费量为301.05万KW.H。</w:t>
      </w:r>
    </w:p>
    <w:p w14:paraId="0866002D">
      <w:pPr>
        <w:spacing w:line="360" w:lineRule="auto"/>
        <w:ind w:firstLine="480" w:firstLineChars="200"/>
        <w:jc w:val="left"/>
        <w:rPr>
          <w:rFonts w:hint="eastAsia" w:ascii="仿宋" w:hAnsi="仿宋" w:eastAsia="仿宋" w:cs="仿宋"/>
          <w:color w:val="auto"/>
          <w:sz w:val="24"/>
          <w:szCs w:val="24"/>
          <w:highlight w:val="none"/>
          <w:u w:val="single"/>
        </w:rPr>
      </w:pPr>
      <w:r>
        <w:rPr>
          <w:rFonts w:hint="eastAsia" w:ascii="仿宋" w:hAnsi="仿宋" w:cs="仿宋"/>
          <w:color w:val="auto"/>
          <w:sz w:val="24"/>
          <w:szCs w:val="24"/>
          <w:highlight w:val="none"/>
          <w:u w:val="single"/>
          <w:lang w:val="en-US" w:eastAsia="zh-CN"/>
        </w:rPr>
        <w:t>1.2工程承包范围：</w:t>
      </w:r>
      <w:r>
        <w:rPr>
          <w:rFonts w:hint="eastAsia" w:ascii="仿宋" w:hAnsi="仿宋" w:eastAsia="仿宋" w:cs="仿宋"/>
          <w:color w:val="auto"/>
          <w:sz w:val="24"/>
          <w:szCs w:val="24"/>
          <w:highlight w:val="none"/>
          <w:u w:val="single"/>
        </w:rPr>
        <w:t>本项目设计范围内所有工程内容的施工（包人工、包材料设备、包安装、包质量、包工期、包安全、包文明施工、包竣工验收通过、包保修、包移交、包结算、包资料整理、包施工承包管理和现场整体组织、包专业协调及配合等），具体包括但不限于以下事项：</w:t>
      </w:r>
    </w:p>
    <w:p w14:paraId="04D8F87D">
      <w:pPr>
        <w:spacing w:line="360" w:lineRule="auto"/>
        <w:ind w:firstLine="480" w:firstLineChars="200"/>
        <w:jc w:val="left"/>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u w:val="single"/>
        </w:rPr>
        <w:t>1）协助发包人办理工程前期的报建、报批工作；</w:t>
      </w:r>
    </w:p>
    <w:p w14:paraId="79DF074D">
      <w:pPr>
        <w:spacing w:line="360" w:lineRule="auto"/>
        <w:ind w:firstLine="480" w:firstLineChars="200"/>
        <w:jc w:val="left"/>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u w:val="single"/>
        </w:rPr>
        <w:t xml:space="preserve">2）根据发包人要求，负责施工，负责设备保管、安装及调试； </w:t>
      </w:r>
    </w:p>
    <w:p w14:paraId="2AF9BE71">
      <w:pPr>
        <w:spacing w:line="360" w:lineRule="auto"/>
        <w:ind w:firstLine="480" w:firstLineChars="200"/>
        <w:jc w:val="left"/>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u w:val="single"/>
        </w:rPr>
        <w:t>3）负责项目施工全过程工程建设管理，直至工程竣工验收备案、项目移交的工程总承包，配合业主办理结算审计等工作，完成本项目保修期内的缺陷修复和保修工作等。</w:t>
      </w:r>
    </w:p>
    <w:p w14:paraId="4A0BC872">
      <w:pPr>
        <w:pStyle w:val="5"/>
        <w:bidi w:val="0"/>
        <w:jc w:val="left"/>
        <w:rPr>
          <w:rFonts w:hint="eastAsia" w:ascii="仿宋" w:hAnsi="仿宋" w:eastAsia="仿宋" w:cs="仿宋"/>
          <w:color w:val="auto"/>
          <w:highlight w:val="none"/>
        </w:rPr>
      </w:pPr>
      <w:bookmarkStart w:id="535" w:name="_Toc351203482"/>
      <w:r>
        <w:rPr>
          <w:rFonts w:hint="eastAsia" w:ascii="仿宋" w:hAnsi="仿宋" w:eastAsia="仿宋" w:cs="仿宋"/>
          <w:color w:val="auto"/>
          <w:highlight w:val="none"/>
          <w:lang w:val="en-US" w:eastAsia="zh-CN"/>
        </w:rPr>
        <w:t>2、</w:t>
      </w:r>
      <w:r>
        <w:rPr>
          <w:rFonts w:hint="eastAsia" w:ascii="仿宋" w:hAnsi="仿宋" w:eastAsia="仿宋" w:cs="仿宋"/>
          <w:color w:val="auto"/>
          <w:highlight w:val="none"/>
        </w:rPr>
        <w:t>合同工期</w:t>
      </w:r>
      <w:bookmarkEnd w:id="535"/>
    </w:p>
    <w:p w14:paraId="41159D9F">
      <w:pPr>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计划开工日期： </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年</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 xml:space="preserve">月 </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日。</w:t>
      </w:r>
    </w:p>
    <w:p w14:paraId="754CBF4A">
      <w:pPr>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计划竣工日期： </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 xml:space="preserve"> 年</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 xml:space="preserve"> 月 </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日。</w:t>
      </w:r>
    </w:p>
    <w:p w14:paraId="1C53749E">
      <w:pPr>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工期总日历天数：</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 xml:space="preserve"> 天。工期总日历天数与根据前述计划开竣工日期计算的工期天数不一致的，以工期总日历天数为准。</w:t>
      </w:r>
    </w:p>
    <w:p w14:paraId="2F1BC303">
      <w:pPr>
        <w:pStyle w:val="5"/>
        <w:bidi w:val="0"/>
        <w:jc w:val="left"/>
        <w:rPr>
          <w:rFonts w:hint="eastAsia" w:ascii="仿宋" w:hAnsi="仿宋" w:eastAsia="仿宋" w:cs="仿宋"/>
          <w:color w:val="auto"/>
          <w:highlight w:val="none"/>
        </w:rPr>
      </w:pPr>
      <w:bookmarkStart w:id="536" w:name="_Toc351203484"/>
      <w:r>
        <w:rPr>
          <w:rFonts w:hint="eastAsia" w:ascii="仿宋" w:hAnsi="仿宋" w:eastAsia="仿宋" w:cs="仿宋"/>
          <w:color w:val="auto"/>
          <w:highlight w:val="none"/>
          <w:lang w:val="en-US" w:eastAsia="zh-CN"/>
        </w:rPr>
        <w:t>3</w:t>
      </w:r>
      <w:r>
        <w:rPr>
          <w:rFonts w:hint="eastAsia" w:ascii="仿宋" w:hAnsi="仿宋" w:eastAsia="仿宋" w:cs="仿宋"/>
          <w:color w:val="auto"/>
          <w:highlight w:val="none"/>
        </w:rPr>
        <w:t>、签约合同价与合同价格形式</w:t>
      </w:r>
      <w:bookmarkEnd w:id="536"/>
      <w:r>
        <w:rPr>
          <w:rFonts w:hint="eastAsia" w:ascii="仿宋" w:hAnsi="仿宋" w:eastAsia="仿宋" w:cs="仿宋"/>
          <w:color w:val="auto"/>
          <w:highlight w:val="none"/>
        </w:rPr>
        <w:tab/>
      </w:r>
    </w:p>
    <w:p w14:paraId="57150B20">
      <w:pPr>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rPr>
        <w:t>1签约合同价为：</w:t>
      </w:r>
    </w:p>
    <w:p w14:paraId="5D58BDF0">
      <w:pPr>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人民币（大写）</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元)；</w:t>
      </w:r>
    </w:p>
    <w:p w14:paraId="307B8EEF">
      <w:pPr>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其中：</w:t>
      </w:r>
    </w:p>
    <w:p w14:paraId="0F272C23">
      <w:pPr>
        <w:spacing w:line="360" w:lineRule="auto"/>
        <w:ind w:firstLine="960" w:firstLineChars="4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（1）安全文明施工费：</w:t>
      </w:r>
    </w:p>
    <w:p w14:paraId="6CD4EEDD">
      <w:pPr>
        <w:spacing w:line="360" w:lineRule="auto"/>
        <w:ind w:firstLine="960" w:firstLineChars="4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人民币（大写）</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元)；</w:t>
      </w:r>
    </w:p>
    <w:p w14:paraId="3FDC7E4F">
      <w:pPr>
        <w:spacing w:line="360" w:lineRule="auto"/>
        <w:ind w:firstLine="960" w:firstLineChars="4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（2）材料和工程设备暂估价金额：</w:t>
      </w:r>
    </w:p>
    <w:p w14:paraId="08E67771">
      <w:pPr>
        <w:spacing w:line="360" w:lineRule="auto"/>
        <w:ind w:firstLine="960" w:firstLineChars="4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人民币（大写）</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元)；</w:t>
      </w:r>
    </w:p>
    <w:p w14:paraId="0C80DC42">
      <w:pPr>
        <w:spacing w:line="360" w:lineRule="auto"/>
        <w:ind w:firstLine="960" w:firstLineChars="4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（3）专业工程暂估价金额：</w:t>
      </w:r>
    </w:p>
    <w:p w14:paraId="468E77EA">
      <w:pPr>
        <w:spacing w:line="360" w:lineRule="auto"/>
        <w:ind w:firstLine="960" w:firstLineChars="4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人民币（大写）</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元)；</w:t>
      </w:r>
    </w:p>
    <w:p w14:paraId="629B1EBA">
      <w:pPr>
        <w:spacing w:line="360" w:lineRule="auto"/>
        <w:ind w:firstLine="960" w:firstLineChars="4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（4）暂列金额：</w:t>
      </w:r>
    </w:p>
    <w:p w14:paraId="73F6B3C9">
      <w:pPr>
        <w:spacing w:line="360" w:lineRule="auto"/>
        <w:ind w:firstLine="960" w:firstLineChars="4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人民币（大写）</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元)。</w:t>
      </w:r>
    </w:p>
    <w:p w14:paraId="5A5C2DA3">
      <w:pPr>
        <w:bidi w:val="0"/>
        <w:jc w:val="left"/>
        <w:rPr>
          <w:rFonts w:hint="eastAsia" w:ascii="仿宋" w:hAnsi="仿宋" w:eastAsia="仿宋" w:cs="仿宋"/>
          <w:color w:val="auto"/>
          <w:highlight w:val="none"/>
        </w:rPr>
      </w:pPr>
      <w:r>
        <w:rPr>
          <w:rFonts w:hint="eastAsia" w:ascii="仿宋" w:hAnsi="仿宋" w:eastAsia="仿宋" w:cs="仿宋"/>
          <w:color w:val="auto"/>
          <w:highlight w:val="none"/>
          <w:lang w:val="en-US" w:eastAsia="zh-CN"/>
        </w:rPr>
        <w:t>3.</w:t>
      </w:r>
      <w:r>
        <w:rPr>
          <w:rFonts w:hint="eastAsia" w:ascii="仿宋" w:hAnsi="仿宋" w:eastAsia="仿宋" w:cs="仿宋"/>
          <w:color w:val="auto"/>
          <w:highlight w:val="none"/>
        </w:rPr>
        <w:t>2合同价格形式：</w:t>
      </w:r>
      <w:r>
        <w:rPr>
          <w:rFonts w:hint="eastAsia" w:ascii="仿宋" w:hAnsi="仿宋" w:cs="仿宋"/>
          <w:color w:val="auto"/>
          <w:highlight w:val="none"/>
          <w:lang w:val="en-US" w:eastAsia="zh-CN"/>
        </w:rPr>
        <w:t>固定</w:t>
      </w:r>
      <w:r>
        <w:rPr>
          <w:rFonts w:hint="eastAsia" w:ascii="仿宋" w:hAnsi="仿宋" w:eastAsia="仿宋" w:cs="仿宋"/>
          <w:color w:val="auto"/>
          <w:highlight w:val="none"/>
        </w:rPr>
        <w:t>单价合同，工程量按实计量。</w:t>
      </w:r>
    </w:p>
    <w:p w14:paraId="1D4FBDBA">
      <w:pPr>
        <w:numPr>
          <w:ilvl w:val="255"/>
          <w:numId w:val="0"/>
        </w:numPr>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（1）工程定额执行标准：本项目预算、结算均执行《2017 辽宁省市政工程定额》、《2017 辽宁省房屋建筑与装饰工程定额》、《2017 辽宁省，通用安装工程定额》（如有新定额出台，则按照新定额执行）。定额取费按</w:t>
      </w:r>
      <w:r>
        <w:rPr>
          <w:rFonts w:hint="eastAsia" w:ascii="仿宋" w:hAnsi="仿宋" w:eastAsia="仿宋" w:cs="仿宋"/>
          <w:color w:val="auto"/>
          <w:sz w:val="24"/>
          <w:szCs w:val="24"/>
          <w:highlight w:val="none"/>
          <w:u w:val="single"/>
        </w:rPr>
        <w:t xml:space="preserve">          。</w:t>
      </w:r>
    </w:p>
    <w:p w14:paraId="172E578C">
      <w:pPr>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（2）因图纸变更或新增工程（含隐蔽工程）而增加的工程量，以签证方式确认，且由监理人、发包人代表现场签字确认，计价依据合同约定的取费标准执行。</w:t>
      </w:r>
    </w:p>
    <w:p w14:paraId="6E0446C6">
      <w:pPr>
        <w:spacing w:line="360" w:lineRule="auto"/>
        <w:ind w:firstLine="480" w:firstLineChars="200"/>
        <w:jc w:val="left"/>
        <w:rPr>
          <w:rFonts w:hint="eastAsia" w:ascii="仿宋" w:hAnsi="仿宋" w:eastAsia="仿宋" w:cs="仿宋"/>
          <w:bCs/>
          <w:color w:val="auto"/>
          <w:sz w:val="24"/>
          <w:szCs w:val="24"/>
          <w:highlight w:val="none"/>
        </w:rPr>
      </w:pPr>
      <w:r>
        <w:rPr>
          <w:rFonts w:hint="eastAsia" w:ascii="仿宋" w:hAnsi="仿宋" w:eastAsia="仿宋" w:cs="仿宋"/>
          <w:color w:val="auto"/>
          <w:sz w:val="24"/>
          <w:szCs w:val="24"/>
          <w:highlight w:val="none"/>
        </w:rPr>
        <w:t>（3）工程量按实计量，最终结算价按合同约定的计价方式核定。</w:t>
      </w:r>
    </w:p>
    <w:p w14:paraId="45C06F0C">
      <w:pPr>
        <w:pStyle w:val="5"/>
        <w:bidi w:val="0"/>
        <w:jc w:val="left"/>
        <w:rPr>
          <w:rFonts w:hint="eastAsia" w:ascii="仿宋" w:hAnsi="仿宋" w:eastAsia="仿宋" w:cs="仿宋"/>
          <w:color w:val="auto"/>
          <w:highlight w:val="none"/>
          <w:lang w:val="en-US" w:eastAsia="zh-CN"/>
        </w:rPr>
      </w:pPr>
      <w:bookmarkStart w:id="537" w:name="_Toc18564"/>
      <w:r>
        <w:rPr>
          <w:rFonts w:hint="eastAsia" w:ascii="仿宋" w:hAnsi="仿宋" w:eastAsia="仿宋" w:cs="仿宋"/>
          <w:color w:val="auto"/>
          <w:highlight w:val="none"/>
          <w:lang w:val="en-US" w:eastAsia="zh-CN"/>
        </w:rPr>
        <w:t>4、合同文件的优先顺序</w:t>
      </w:r>
      <w:bookmarkEnd w:id="537"/>
    </w:p>
    <w:p w14:paraId="0270F262">
      <w:pPr>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合同文件组成及优先顺序为：</w:t>
      </w:r>
    </w:p>
    <w:p w14:paraId="420F56F8">
      <w:pPr>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r>
        <w:rPr>
          <w:rFonts w:hint="eastAsia" w:ascii="仿宋" w:hAnsi="仿宋" w:eastAsia="仿宋" w:cs="仿宋"/>
          <w:color w:val="auto"/>
          <w:sz w:val="24"/>
          <w:szCs w:val="24"/>
          <w:highlight w:val="none"/>
          <w:lang w:val="en-US" w:eastAsia="zh-CN"/>
        </w:rPr>
        <w:t>总</w:t>
      </w:r>
      <w:r>
        <w:rPr>
          <w:rFonts w:hint="eastAsia" w:ascii="仿宋" w:hAnsi="仿宋" w:eastAsia="仿宋" w:cs="仿宋"/>
          <w:color w:val="auto"/>
          <w:sz w:val="24"/>
          <w:szCs w:val="24"/>
          <w:highlight w:val="none"/>
        </w:rPr>
        <w:t>合同书及补充协议；</w:t>
      </w:r>
    </w:p>
    <w:p w14:paraId="618838DE">
      <w:pPr>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（2）招标文件及其附件；</w:t>
      </w:r>
    </w:p>
    <w:p w14:paraId="41FA8626">
      <w:pPr>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（3）中标通知书；</w:t>
      </w:r>
    </w:p>
    <w:p w14:paraId="42F9300E">
      <w:pPr>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（4）投标函及投标函附录；</w:t>
      </w:r>
    </w:p>
    <w:p w14:paraId="6CB5512A">
      <w:pPr>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（5）专用合同条款；</w:t>
      </w:r>
    </w:p>
    <w:p w14:paraId="02F7AE6C">
      <w:pPr>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（6）通用合同条款；</w:t>
      </w:r>
    </w:p>
    <w:p w14:paraId="72EB29F1">
      <w:pPr>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（7）国家标准、技术规范；</w:t>
      </w:r>
    </w:p>
    <w:p w14:paraId="42B4F20C">
      <w:pPr>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（8）发包人要求；</w:t>
      </w:r>
    </w:p>
    <w:p w14:paraId="32B68BB4">
      <w:pPr>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（9）设计方案及图纸；</w:t>
      </w:r>
    </w:p>
    <w:p w14:paraId="201A4DF6">
      <w:pPr>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（10）其他合同文件。</w:t>
      </w:r>
    </w:p>
    <w:p w14:paraId="2C2D9A7B">
      <w:pPr>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图纸与国家标准、技术规范和发包人要求之间有矛盾或者不一致的，以其中要求较严格的标准为准。专用合同条款中没有约定的但在“发包人要求”中有约定的内容，具有与专用合同条款的同等的优先解释顺序，但其中与通用合同条款和专用合同条款约定内容有抵触的，对合同双方不具合同约束力。</w:t>
      </w:r>
    </w:p>
    <w:p w14:paraId="6C8C186E">
      <w:pPr>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合同双方在合同订立和履行过程中签订的补充协议亦构成合同文件的组成部分，其解释顺序视其内容与其他合同文件的相互关系而定，但是任何补充或者修改性质的协议均不能与上述合同文件内容有实质性的不一致，否则为无效补充和修改，对合同双方不具合同约束力。</w:t>
      </w:r>
    </w:p>
    <w:p w14:paraId="55921332">
      <w:pPr>
        <w:pStyle w:val="5"/>
        <w:bidi w:val="0"/>
        <w:jc w:val="left"/>
        <w:rPr>
          <w:rFonts w:hint="eastAsia" w:ascii="仿宋" w:hAnsi="仿宋" w:eastAsia="仿宋" w:cs="仿宋"/>
          <w:b/>
          <w:bCs/>
          <w:color w:val="auto"/>
          <w:highlight w:val="none"/>
          <w:lang w:val="en-US" w:eastAsia="zh-CN"/>
        </w:rPr>
      </w:pPr>
      <w:bookmarkStart w:id="538" w:name="_Toc7769"/>
      <w:r>
        <w:rPr>
          <w:rFonts w:hint="eastAsia" w:ascii="仿宋" w:hAnsi="仿宋" w:eastAsia="仿宋" w:cs="仿宋"/>
          <w:b/>
          <w:bCs/>
          <w:color w:val="auto"/>
          <w:highlight w:val="none"/>
          <w:lang w:val="en-US" w:eastAsia="zh-CN"/>
        </w:rPr>
        <w:t>5、</w:t>
      </w:r>
      <w:bookmarkEnd w:id="538"/>
      <w:r>
        <w:rPr>
          <w:rFonts w:hint="eastAsia" w:ascii="仿宋" w:hAnsi="仿宋" w:eastAsia="仿宋" w:cs="仿宋"/>
          <w:b/>
          <w:bCs/>
          <w:color w:val="auto"/>
          <w:highlight w:val="none"/>
          <w:lang w:val="en-US" w:eastAsia="zh-CN"/>
        </w:rPr>
        <w:t>一般约定</w:t>
      </w:r>
      <w:r>
        <w:rPr>
          <w:rFonts w:hint="eastAsia" w:ascii="仿宋" w:hAnsi="仿宋" w:eastAsia="仿宋" w:cs="仿宋"/>
          <w:b/>
          <w:bCs/>
          <w:color w:val="auto"/>
          <w:highlight w:val="none"/>
          <w:lang w:val="en-US" w:eastAsia="zh-CN"/>
        </w:rPr>
        <w:tab/>
      </w:r>
    </w:p>
    <w:p w14:paraId="5FF739E8">
      <w:pPr>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rPr>
        <w:t>1 图纸的提供</w:t>
      </w:r>
    </w:p>
    <w:p w14:paraId="2A7563D5">
      <w:pPr>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发包人向承包人提供图纸的期限：</w:t>
      </w:r>
      <w:r>
        <w:rPr>
          <w:rFonts w:hint="eastAsia" w:ascii="仿宋" w:hAnsi="仿宋" w:eastAsia="仿宋" w:cs="仿宋"/>
          <w:color w:val="auto"/>
          <w:sz w:val="24"/>
          <w:szCs w:val="24"/>
          <w:highlight w:val="none"/>
          <w:u w:val="single"/>
        </w:rPr>
        <w:t>在中标后15天内提供；</w:t>
      </w:r>
    </w:p>
    <w:p w14:paraId="7483A117">
      <w:pPr>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发包人向承包人提供图纸的数量：</w:t>
      </w:r>
      <w:r>
        <w:rPr>
          <w:rFonts w:hint="eastAsia" w:ascii="仿宋" w:hAnsi="仿宋" w:eastAsia="仿宋" w:cs="仿宋"/>
          <w:color w:val="auto"/>
          <w:sz w:val="24"/>
          <w:szCs w:val="24"/>
          <w:highlight w:val="none"/>
          <w:u w:val="single"/>
        </w:rPr>
        <w:t xml:space="preserve">   8套  </w:t>
      </w:r>
      <w:r>
        <w:rPr>
          <w:rFonts w:hint="eastAsia" w:ascii="仿宋" w:hAnsi="仿宋" w:eastAsia="仿宋" w:cs="仿宋"/>
          <w:color w:val="auto"/>
          <w:sz w:val="24"/>
          <w:szCs w:val="24"/>
          <w:highlight w:val="none"/>
        </w:rPr>
        <w:t>；</w:t>
      </w:r>
    </w:p>
    <w:p w14:paraId="78C7F0D4">
      <w:pPr>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发包人向承包人提供图纸的内容： </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 xml:space="preserve"> 。</w:t>
      </w:r>
    </w:p>
    <w:p w14:paraId="296EF06D">
      <w:pPr>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发包人文件的提供期限、名称、数量和形式</w:t>
      </w:r>
      <w:r>
        <w:rPr>
          <w:rFonts w:hint="eastAsia" w:ascii="仿宋" w:hAnsi="仿宋" w:eastAsia="仿宋" w:cs="仿宋"/>
          <w:color w:val="auto"/>
          <w:sz w:val="24"/>
          <w:szCs w:val="24"/>
          <w:highlight w:val="none"/>
          <w:u w:val="single"/>
        </w:rPr>
        <w:t>：提供施工场地内的工程地质图纸和报告、水文以及地下障碍物图纸等施工场地有关资料 ，在中标后30天内提供1份 ，其它文件根据承包人施工需求提供</w:t>
      </w:r>
      <w:r>
        <w:rPr>
          <w:rFonts w:hint="eastAsia" w:ascii="仿宋" w:hAnsi="仿宋" w:eastAsia="仿宋" w:cs="仿宋"/>
          <w:color w:val="auto"/>
          <w:sz w:val="24"/>
          <w:szCs w:val="24"/>
          <w:highlight w:val="none"/>
        </w:rPr>
        <w:t>。</w:t>
      </w:r>
    </w:p>
    <w:p w14:paraId="200A3F5F">
      <w:pPr>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5.2</w:t>
      </w:r>
      <w:r>
        <w:rPr>
          <w:rFonts w:hint="eastAsia" w:ascii="仿宋" w:hAnsi="仿宋" w:eastAsia="仿宋" w:cs="仿宋"/>
          <w:color w:val="auto"/>
          <w:sz w:val="24"/>
          <w:szCs w:val="24"/>
          <w:highlight w:val="none"/>
        </w:rPr>
        <w:t>承包人文件</w:t>
      </w:r>
    </w:p>
    <w:p w14:paraId="442DD4B6">
      <w:pPr>
        <w:spacing w:line="360" w:lineRule="auto"/>
        <w:ind w:firstLine="480" w:firstLineChars="200"/>
        <w:jc w:val="left"/>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rPr>
        <w:t>需要由承包人提供的文件，包括</w:t>
      </w:r>
      <w:r>
        <w:rPr>
          <w:rFonts w:hint="eastAsia" w:ascii="仿宋" w:hAnsi="仿宋" w:eastAsia="仿宋" w:cs="仿宋"/>
          <w:color w:val="auto"/>
          <w:sz w:val="24"/>
          <w:szCs w:val="24"/>
          <w:highlight w:val="none"/>
          <w:u w:val="single"/>
        </w:rPr>
        <w:t>：施工进度计划、施工组织设计文件、专项安全措施方案、工程款资金申报计划等；其它文件按发包人及监理人的具体要求提供；</w:t>
      </w:r>
    </w:p>
    <w:p w14:paraId="2D46229C">
      <w:pPr>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承包人提供的文件的期限为：</w:t>
      </w:r>
      <w:r>
        <w:rPr>
          <w:rFonts w:hint="eastAsia" w:ascii="仿宋" w:hAnsi="仿宋" w:eastAsia="仿宋" w:cs="仿宋"/>
          <w:color w:val="auto"/>
          <w:sz w:val="24"/>
          <w:szCs w:val="24"/>
          <w:highlight w:val="none"/>
          <w:u w:val="single"/>
        </w:rPr>
        <w:t>按发包人及监理人要求的时间提供。</w:t>
      </w:r>
    </w:p>
    <w:p w14:paraId="76AA8200">
      <w:pPr>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承包人提供的文件的数量为：</w:t>
      </w:r>
      <w:r>
        <w:rPr>
          <w:rFonts w:hint="eastAsia" w:ascii="仿宋" w:hAnsi="仿宋" w:eastAsia="仿宋" w:cs="仿宋"/>
          <w:color w:val="auto"/>
          <w:sz w:val="24"/>
          <w:szCs w:val="24"/>
          <w:highlight w:val="none"/>
          <w:u w:val="single"/>
        </w:rPr>
        <w:t>按要求提供</w:t>
      </w:r>
      <w:r>
        <w:rPr>
          <w:rFonts w:hint="eastAsia" w:ascii="仿宋" w:hAnsi="仿宋" w:eastAsia="仿宋" w:cs="仿宋"/>
          <w:color w:val="auto"/>
          <w:sz w:val="24"/>
          <w:szCs w:val="24"/>
          <w:highlight w:val="none"/>
        </w:rPr>
        <w:t>；</w:t>
      </w:r>
    </w:p>
    <w:p w14:paraId="064A3736">
      <w:pPr>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承包人提供的文件的形式为： </w:t>
      </w:r>
      <w:r>
        <w:rPr>
          <w:rFonts w:hint="eastAsia" w:ascii="仿宋" w:hAnsi="仿宋" w:eastAsia="仿宋" w:cs="仿宋"/>
          <w:color w:val="auto"/>
          <w:sz w:val="24"/>
          <w:szCs w:val="24"/>
          <w:highlight w:val="none"/>
          <w:u w:val="single"/>
        </w:rPr>
        <w:t>纸质版</w:t>
      </w:r>
      <w:r>
        <w:rPr>
          <w:rFonts w:hint="eastAsia" w:ascii="仿宋" w:hAnsi="仿宋" w:eastAsia="仿宋" w:cs="仿宋"/>
          <w:color w:val="auto"/>
          <w:sz w:val="24"/>
          <w:szCs w:val="24"/>
          <w:highlight w:val="none"/>
        </w:rPr>
        <w:t>；</w:t>
      </w:r>
    </w:p>
    <w:p w14:paraId="6834B3CF">
      <w:pPr>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发包人审批承包人文件的期限：</w:t>
      </w:r>
      <w:r>
        <w:rPr>
          <w:rFonts w:hint="eastAsia" w:ascii="仿宋" w:hAnsi="仿宋" w:eastAsia="仿宋" w:cs="仿宋"/>
          <w:color w:val="auto"/>
          <w:sz w:val="24"/>
          <w:szCs w:val="24"/>
          <w:highlight w:val="none"/>
          <w:u w:val="single"/>
        </w:rPr>
        <w:t>在收到文件后10天内完成审批</w:t>
      </w:r>
      <w:r>
        <w:rPr>
          <w:rFonts w:hint="eastAsia" w:ascii="仿宋" w:hAnsi="仿宋" w:eastAsia="仿宋" w:cs="仿宋"/>
          <w:color w:val="auto"/>
          <w:sz w:val="24"/>
          <w:szCs w:val="24"/>
          <w:highlight w:val="none"/>
        </w:rPr>
        <w:t>。</w:t>
      </w:r>
    </w:p>
    <w:p w14:paraId="5B036898">
      <w:pPr>
        <w:spacing w:line="360" w:lineRule="auto"/>
        <w:ind w:firstLine="480" w:firstLineChars="200"/>
        <w:jc w:val="left"/>
        <w:rPr>
          <w:rFonts w:hint="eastAsia" w:ascii="仿宋" w:hAnsi="仿宋" w:eastAsia="仿宋" w:cs="仿宋"/>
          <w:color w:val="auto"/>
          <w:sz w:val="24"/>
          <w:szCs w:val="24"/>
          <w:highlight w:val="none"/>
          <w:lang w:val="en-US" w:eastAsia="zh-CN"/>
        </w:rPr>
      </w:pPr>
      <w:bookmarkStart w:id="539" w:name="_Toc18958"/>
      <w:r>
        <w:rPr>
          <w:rFonts w:hint="eastAsia" w:ascii="仿宋" w:hAnsi="仿宋" w:eastAsia="仿宋" w:cs="仿宋"/>
          <w:color w:val="auto"/>
          <w:sz w:val="24"/>
          <w:szCs w:val="24"/>
          <w:highlight w:val="none"/>
          <w:lang w:val="en-US" w:eastAsia="zh-CN"/>
        </w:rPr>
        <w:t>5.3联络</w:t>
      </w:r>
      <w:bookmarkEnd w:id="539"/>
    </w:p>
    <w:p w14:paraId="2CD06A42">
      <w:pPr>
        <w:spacing w:line="360" w:lineRule="auto"/>
        <w:ind w:firstLine="480" w:firstLineChars="200"/>
        <w:jc w:val="left"/>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lang w:val="en-US" w:eastAsia="zh-CN"/>
        </w:rPr>
        <w:t>5.3</w:t>
      </w:r>
      <w:r>
        <w:rPr>
          <w:rFonts w:hint="eastAsia" w:ascii="仿宋" w:hAnsi="仿宋" w:eastAsia="仿宋" w:cs="仿宋"/>
          <w:color w:val="auto"/>
          <w:kern w:val="0"/>
          <w:sz w:val="24"/>
          <w:szCs w:val="24"/>
          <w:highlight w:val="none"/>
        </w:rPr>
        <w:t xml:space="preserve">.1发包人和承包人应当在 </w:t>
      </w:r>
      <w:r>
        <w:rPr>
          <w:rFonts w:hint="eastAsia" w:ascii="仿宋" w:hAnsi="仿宋" w:eastAsia="仿宋" w:cs="仿宋"/>
          <w:color w:val="auto"/>
          <w:sz w:val="24"/>
          <w:szCs w:val="24"/>
          <w:highlight w:val="none"/>
          <w:u w:val="single"/>
        </w:rPr>
        <w:t xml:space="preserve"> 7</w:t>
      </w:r>
      <w:r>
        <w:rPr>
          <w:rFonts w:hint="eastAsia" w:ascii="仿宋" w:hAnsi="仿宋" w:eastAsia="仿宋" w:cs="仿宋"/>
          <w:color w:val="auto"/>
          <w:kern w:val="0"/>
          <w:sz w:val="24"/>
          <w:szCs w:val="24"/>
          <w:highlight w:val="none"/>
        </w:rPr>
        <w:t>天内将与合同有关的通知、批准、证明、证书、指示、指令、要求、请求、同意、意见、确定和决定等书面函件送达对方当事人。</w:t>
      </w:r>
    </w:p>
    <w:p w14:paraId="5289340D">
      <w:pPr>
        <w:spacing w:line="360" w:lineRule="auto"/>
        <w:ind w:firstLine="480" w:firstLineChars="200"/>
        <w:jc w:val="left"/>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lang w:val="en-US" w:eastAsia="zh-CN"/>
        </w:rPr>
        <w:t>5.3</w:t>
      </w:r>
      <w:r>
        <w:rPr>
          <w:rFonts w:hint="eastAsia" w:ascii="仿宋" w:hAnsi="仿宋" w:eastAsia="仿宋" w:cs="仿宋"/>
          <w:color w:val="auto"/>
          <w:kern w:val="0"/>
          <w:sz w:val="24"/>
          <w:szCs w:val="24"/>
          <w:highlight w:val="none"/>
        </w:rPr>
        <w:t>.2 发包人接收文件的地点：</w:t>
      </w:r>
      <w:r>
        <w:rPr>
          <w:rFonts w:hint="eastAsia"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rPr>
        <w:t xml:space="preserve"> ；</w:t>
      </w:r>
    </w:p>
    <w:p w14:paraId="749EBAE6">
      <w:pPr>
        <w:spacing w:line="360" w:lineRule="auto"/>
        <w:ind w:firstLine="480" w:firstLineChars="200"/>
        <w:jc w:val="left"/>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发包人指定的接收人为：</w:t>
      </w:r>
      <w:r>
        <w:rPr>
          <w:rFonts w:hint="eastAsia"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rPr>
        <w:t>。</w:t>
      </w:r>
    </w:p>
    <w:p w14:paraId="08750424">
      <w:pPr>
        <w:spacing w:line="360" w:lineRule="auto"/>
        <w:ind w:firstLine="480" w:firstLineChars="200"/>
        <w:jc w:val="left"/>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承包人接收文件的地点：</w:t>
      </w:r>
      <w:r>
        <w:rPr>
          <w:rFonts w:hint="eastAsia"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rPr>
        <w:t>；</w:t>
      </w:r>
    </w:p>
    <w:p w14:paraId="0C2C92DA">
      <w:pPr>
        <w:spacing w:line="360" w:lineRule="auto"/>
        <w:ind w:firstLine="480" w:firstLineChars="200"/>
        <w:jc w:val="left"/>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承包人指定的接收人为：</w:t>
      </w:r>
      <w:r>
        <w:rPr>
          <w:rFonts w:hint="eastAsia"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rPr>
        <w:t>。</w:t>
      </w:r>
    </w:p>
    <w:p w14:paraId="250A6A65">
      <w:pPr>
        <w:spacing w:line="360" w:lineRule="auto"/>
        <w:ind w:firstLine="480" w:firstLineChars="200"/>
        <w:jc w:val="left"/>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监理人接收文件的地点：</w:t>
      </w:r>
      <w:r>
        <w:rPr>
          <w:rFonts w:hint="eastAsia"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rPr>
        <w:t>；</w:t>
      </w:r>
    </w:p>
    <w:p w14:paraId="1BA07D2F">
      <w:pPr>
        <w:spacing w:line="360" w:lineRule="auto"/>
        <w:ind w:firstLine="480" w:firstLineChars="200"/>
        <w:jc w:val="left"/>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监理人指定的接收人为：</w:t>
      </w:r>
      <w:r>
        <w:rPr>
          <w:rFonts w:hint="eastAsia"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rPr>
        <w:t>。</w:t>
      </w:r>
    </w:p>
    <w:p w14:paraId="76EF3B67">
      <w:pPr>
        <w:bidi w:val="0"/>
        <w:jc w:val="left"/>
        <w:rPr>
          <w:rFonts w:hint="eastAsia" w:ascii="仿宋" w:hAnsi="仿宋" w:eastAsia="仿宋" w:cs="仿宋"/>
          <w:color w:val="auto"/>
          <w:highlight w:val="none"/>
          <w:lang w:val="en-US" w:eastAsia="zh-CN"/>
        </w:rPr>
      </w:pPr>
      <w:bookmarkStart w:id="540" w:name="_Toc29318"/>
      <w:r>
        <w:rPr>
          <w:rFonts w:hint="eastAsia" w:ascii="仿宋" w:hAnsi="仿宋" w:eastAsia="仿宋" w:cs="仿宋"/>
          <w:color w:val="auto"/>
          <w:highlight w:val="none"/>
          <w:lang w:val="en-US" w:eastAsia="zh-CN"/>
        </w:rPr>
        <w:t>5.4交通运输</w:t>
      </w:r>
      <w:bookmarkEnd w:id="540"/>
    </w:p>
    <w:p w14:paraId="52C6DB9F">
      <w:pPr>
        <w:bidi w:val="0"/>
        <w:jc w:val="left"/>
        <w:rPr>
          <w:rFonts w:hint="eastAsia" w:ascii="仿宋" w:hAnsi="仿宋" w:eastAsia="仿宋" w:cs="仿宋"/>
          <w:color w:val="auto"/>
          <w:highlight w:val="none"/>
        </w:rPr>
      </w:pPr>
      <w:bookmarkStart w:id="541" w:name="_Toc7369"/>
      <w:r>
        <w:rPr>
          <w:rFonts w:hint="eastAsia" w:ascii="仿宋" w:hAnsi="仿宋" w:eastAsia="仿宋" w:cs="仿宋"/>
          <w:color w:val="auto"/>
          <w:highlight w:val="none"/>
          <w:lang w:val="en-US" w:eastAsia="zh-CN"/>
        </w:rPr>
        <w:t>5.4</w:t>
      </w:r>
      <w:r>
        <w:rPr>
          <w:rFonts w:hint="eastAsia" w:ascii="仿宋" w:hAnsi="仿宋" w:eastAsia="仿宋" w:cs="仿宋"/>
          <w:color w:val="auto"/>
          <w:highlight w:val="none"/>
        </w:rPr>
        <w:t>.1 出入现场的权利</w:t>
      </w:r>
      <w:bookmarkEnd w:id="541"/>
    </w:p>
    <w:p w14:paraId="31E450AF">
      <w:pPr>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关于出入现场的权利的约定： </w:t>
      </w:r>
      <w:r>
        <w:rPr>
          <w:rFonts w:hint="eastAsia" w:ascii="仿宋" w:hAnsi="仿宋" w:eastAsia="仿宋" w:cs="仿宋"/>
          <w:color w:val="auto"/>
          <w:sz w:val="24"/>
          <w:szCs w:val="24"/>
          <w:highlight w:val="none"/>
          <w:u w:val="single"/>
        </w:rPr>
        <w:t>“三通一平”的路通以及场地平整由</w:t>
      </w:r>
      <w:r>
        <w:rPr>
          <w:rFonts w:hint="eastAsia" w:ascii="仿宋" w:hAnsi="仿宋" w:cs="仿宋"/>
          <w:color w:val="auto"/>
          <w:sz w:val="24"/>
          <w:szCs w:val="24"/>
          <w:highlight w:val="none"/>
          <w:u w:val="single"/>
          <w:lang w:val="en-US" w:eastAsia="zh-CN"/>
        </w:rPr>
        <w:t>承包</w:t>
      </w:r>
      <w:r>
        <w:rPr>
          <w:rFonts w:hint="eastAsia" w:ascii="仿宋" w:hAnsi="仿宋" w:eastAsia="仿宋" w:cs="仿宋"/>
          <w:color w:val="auto"/>
          <w:sz w:val="24"/>
          <w:szCs w:val="24"/>
          <w:highlight w:val="none"/>
          <w:u w:val="single"/>
        </w:rPr>
        <w:t>方完成，</w:t>
      </w:r>
      <w:r>
        <w:rPr>
          <w:rFonts w:hint="eastAsia" w:ascii="仿宋" w:hAnsi="仿宋" w:cs="仿宋"/>
          <w:color w:val="auto"/>
          <w:sz w:val="24"/>
          <w:szCs w:val="24"/>
          <w:highlight w:val="none"/>
          <w:u w:val="single"/>
          <w:lang w:val="en-US" w:eastAsia="zh-CN"/>
        </w:rPr>
        <w:t>并承包方负责</w:t>
      </w:r>
      <w:r>
        <w:rPr>
          <w:rFonts w:hint="eastAsia" w:ascii="仿宋" w:hAnsi="仿宋" w:eastAsia="仿宋" w:cs="仿宋"/>
          <w:color w:val="auto"/>
          <w:sz w:val="24"/>
          <w:szCs w:val="24"/>
          <w:highlight w:val="none"/>
          <w:u w:val="single"/>
        </w:rPr>
        <w:t>取得出入施工现场所需的批准手续</w:t>
      </w:r>
      <w:r>
        <w:rPr>
          <w:rFonts w:hint="eastAsia" w:ascii="仿宋" w:hAnsi="仿宋" w:cs="仿宋"/>
          <w:color w:val="auto"/>
          <w:sz w:val="24"/>
          <w:szCs w:val="24"/>
          <w:highlight w:val="none"/>
          <w:u w:val="single"/>
          <w:lang w:val="en-US" w:eastAsia="zh-CN"/>
        </w:rPr>
        <w:t>等</w:t>
      </w:r>
      <w:r>
        <w:rPr>
          <w:rFonts w:hint="eastAsia" w:ascii="仿宋" w:hAnsi="仿宋" w:eastAsia="仿宋" w:cs="仿宋"/>
          <w:color w:val="auto"/>
          <w:sz w:val="24"/>
          <w:szCs w:val="24"/>
          <w:highlight w:val="none"/>
        </w:rPr>
        <w:t>。</w:t>
      </w:r>
    </w:p>
    <w:p w14:paraId="1EF80EF6">
      <w:pPr>
        <w:bidi w:val="0"/>
        <w:jc w:val="left"/>
        <w:rPr>
          <w:rFonts w:hint="eastAsia" w:ascii="仿宋" w:hAnsi="仿宋" w:eastAsia="仿宋" w:cs="仿宋"/>
          <w:color w:val="auto"/>
          <w:szCs w:val="24"/>
          <w:highlight w:val="none"/>
        </w:rPr>
      </w:pPr>
      <w:bookmarkStart w:id="542" w:name="_Toc32686"/>
      <w:r>
        <w:rPr>
          <w:rFonts w:hint="eastAsia" w:ascii="仿宋" w:hAnsi="仿宋" w:eastAsia="仿宋" w:cs="仿宋"/>
          <w:color w:val="auto"/>
          <w:highlight w:val="none"/>
          <w:lang w:val="en-US" w:eastAsia="zh-CN"/>
        </w:rPr>
        <w:t>5.4.2</w:t>
      </w:r>
      <w:r>
        <w:rPr>
          <w:rFonts w:hint="eastAsia" w:ascii="仿宋" w:hAnsi="仿宋" w:eastAsia="仿宋" w:cs="仿宋"/>
          <w:color w:val="auto"/>
          <w:highlight w:val="none"/>
        </w:rPr>
        <w:t xml:space="preserve"> 场内交通</w:t>
      </w:r>
      <w:bookmarkEnd w:id="542"/>
    </w:p>
    <w:p w14:paraId="2D62AE7D">
      <w:pPr>
        <w:spacing w:line="360" w:lineRule="auto"/>
        <w:ind w:firstLine="480" w:firstLineChars="200"/>
        <w:jc w:val="left"/>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关于场外交通和场内交通的边界的约定：</w:t>
      </w:r>
      <w:r>
        <w:rPr>
          <w:rFonts w:hint="eastAsia" w:ascii="仿宋" w:hAnsi="仿宋" w:eastAsia="仿宋" w:cs="仿宋"/>
          <w:color w:val="auto"/>
          <w:kern w:val="0"/>
          <w:sz w:val="24"/>
          <w:szCs w:val="24"/>
          <w:highlight w:val="none"/>
          <w:u w:val="single"/>
        </w:rPr>
        <w:t xml:space="preserve"> </w:t>
      </w:r>
      <w:r>
        <w:rPr>
          <w:rFonts w:hint="eastAsia" w:ascii="仿宋" w:hAnsi="仿宋" w:eastAsia="仿宋" w:cs="仿宋"/>
          <w:color w:val="auto"/>
          <w:sz w:val="24"/>
          <w:szCs w:val="24"/>
          <w:highlight w:val="none"/>
          <w:u w:val="single"/>
        </w:rPr>
        <w:t xml:space="preserve">以永久红线为界，红线范围内属于场内交通，红线范围外属于场外交通  </w:t>
      </w:r>
      <w:r>
        <w:rPr>
          <w:rFonts w:hint="eastAsia" w:ascii="仿宋" w:hAnsi="仿宋" w:eastAsia="仿宋" w:cs="仿宋"/>
          <w:color w:val="auto"/>
          <w:kern w:val="0"/>
          <w:sz w:val="24"/>
          <w:szCs w:val="24"/>
          <w:highlight w:val="none"/>
          <w:u w:val="single"/>
        </w:rPr>
        <w:t xml:space="preserve"> </w:t>
      </w:r>
      <w:r>
        <w:rPr>
          <w:rFonts w:hint="eastAsia" w:ascii="仿宋" w:hAnsi="仿宋" w:eastAsia="仿宋" w:cs="仿宋"/>
          <w:color w:val="auto"/>
          <w:sz w:val="24"/>
          <w:szCs w:val="24"/>
          <w:highlight w:val="none"/>
        </w:rPr>
        <w:t>。</w:t>
      </w:r>
    </w:p>
    <w:p w14:paraId="3DCCB0F3">
      <w:pPr>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关于发包人向承包人免费提供满足工程施工需要的场内道路和交通设施的约定：</w:t>
      </w:r>
      <w:r>
        <w:rPr>
          <w:rFonts w:hint="eastAsia" w:ascii="仿宋" w:hAnsi="仿宋" w:eastAsia="仿宋" w:cs="仿宋"/>
          <w:color w:val="auto"/>
          <w:sz w:val="24"/>
          <w:szCs w:val="24"/>
          <w:highlight w:val="none"/>
          <w:u w:val="single"/>
        </w:rPr>
        <w:t xml:space="preserve">          /      </w:t>
      </w:r>
      <w:r>
        <w:rPr>
          <w:rFonts w:hint="eastAsia" w:ascii="仿宋" w:hAnsi="仿宋" w:eastAsia="仿宋" w:cs="仿宋"/>
          <w:color w:val="auto"/>
          <w:sz w:val="24"/>
          <w:szCs w:val="24"/>
          <w:highlight w:val="none"/>
        </w:rPr>
        <w:t xml:space="preserve"> 。  </w:t>
      </w:r>
    </w:p>
    <w:p w14:paraId="70AD3550">
      <w:pPr>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5.4.3</w:t>
      </w:r>
      <w:r>
        <w:rPr>
          <w:rFonts w:hint="eastAsia" w:ascii="仿宋" w:hAnsi="仿宋" w:eastAsia="仿宋" w:cs="仿宋"/>
          <w:color w:val="auto"/>
          <w:sz w:val="24"/>
          <w:szCs w:val="24"/>
          <w:highlight w:val="none"/>
        </w:rPr>
        <w:t>超大件和超重件的运输</w:t>
      </w:r>
    </w:p>
    <w:p w14:paraId="3FE33280">
      <w:pPr>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运输超大件或超重件所需的道路和桥梁临时加固改造费用和其他有关费用由</w:t>
      </w:r>
      <w:r>
        <w:rPr>
          <w:rFonts w:hint="eastAsia" w:ascii="仿宋" w:hAnsi="仿宋" w:eastAsia="仿宋" w:cs="仿宋"/>
          <w:color w:val="auto"/>
          <w:sz w:val="24"/>
          <w:szCs w:val="24"/>
          <w:highlight w:val="none"/>
          <w:u w:val="single"/>
        </w:rPr>
        <w:t xml:space="preserve">  承包人</w:t>
      </w:r>
      <w:r>
        <w:rPr>
          <w:rFonts w:hint="eastAsia" w:ascii="仿宋" w:hAnsi="仿宋" w:eastAsia="仿宋" w:cs="仿宋"/>
          <w:color w:val="auto"/>
          <w:sz w:val="24"/>
          <w:szCs w:val="24"/>
          <w:highlight w:val="none"/>
        </w:rPr>
        <w:t xml:space="preserve"> 承担（费用在预算中单列）。</w:t>
      </w:r>
    </w:p>
    <w:p w14:paraId="0A153CD5">
      <w:pPr>
        <w:bidi w:val="0"/>
        <w:jc w:val="left"/>
        <w:rPr>
          <w:rFonts w:hint="eastAsia" w:ascii="仿宋" w:hAnsi="仿宋" w:eastAsia="仿宋" w:cs="仿宋"/>
          <w:color w:val="auto"/>
          <w:highlight w:val="none"/>
          <w:lang w:val="en-US" w:eastAsia="zh-CN"/>
        </w:rPr>
      </w:pPr>
      <w:bookmarkStart w:id="543" w:name="_Toc3044"/>
      <w:r>
        <w:rPr>
          <w:rFonts w:hint="eastAsia" w:ascii="仿宋" w:hAnsi="仿宋" w:eastAsia="仿宋" w:cs="仿宋"/>
          <w:color w:val="auto"/>
          <w:highlight w:val="none"/>
          <w:lang w:val="en-US" w:eastAsia="zh-CN"/>
        </w:rPr>
        <w:t>5.5知识产权</w:t>
      </w:r>
      <w:bookmarkEnd w:id="543"/>
    </w:p>
    <w:p w14:paraId="6BCB732B">
      <w:pPr>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5.5</w:t>
      </w:r>
      <w:r>
        <w:rPr>
          <w:rFonts w:hint="eastAsia" w:ascii="仿宋" w:hAnsi="仿宋" w:eastAsia="仿宋" w:cs="仿宋"/>
          <w:color w:val="auto"/>
          <w:sz w:val="24"/>
          <w:szCs w:val="24"/>
          <w:highlight w:val="none"/>
        </w:rPr>
        <w:t>.1关于发包人提供给承包人的图纸、发包人为实施工程自行编制或委托编制的技术规范以及反映发包人关于合同要求或其他类似性质的文件的著作权的归属：</w:t>
      </w:r>
      <w:r>
        <w:rPr>
          <w:rFonts w:hint="eastAsia" w:ascii="仿宋" w:hAnsi="仿宋" w:eastAsia="仿宋" w:cs="仿宋"/>
          <w:color w:val="auto"/>
          <w:sz w:val="24"/>
          <w:szCs w:val="24"/>
          <w:highlight w:val="none"/>
          <w:u w:val="single"/>
        </w:rPr>
        <w:t xml:space="preserve">与本工程有关的知识产权均归发包人所有  </w:t>
      </w:r>
      <w:r>
        <w:rPr>
          <w:rFonts w:hint="eastAsia" w:ascii="仿宋" w:hAnsi="仿宋" w:eastAsia="仿宋" w:cs="仿宋"/>
          <w:color w:val="auto"/>
          <w:sz w:val="24"/>
          <w:szCs w:val="24"/>
          <w:highlight w:val="none"/>
        </w:rPr>
        <w:t>。</w:t>
      </w:r>
    </w:p>
    <w:p w14:paraId="775C0BC2">
      <w:pPr>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5.5</w:t>
      </w:r>
      <w:r>
        <w:rPr>
          <w:rFonts w:hint="eastAsia" w:ascii="仿宋" w:hAnsi="仿宋" w:eastAsia="仿宋" w:cs="仿宋"/>
          <w:color w:val="auto"/>
          <w:sz w:val="24"/>
          <w:szCs w:val="24"/>
          <w:highlight w:val="none"/>
        </w:rPr>
        <w:t>.2 关于承包人为实施工程所编制文件的著作权的归属：</w:t>
      </w:r>
      <w:r>
        <w:rPr>
          <w:rFonts w:hint="eastAsia" w:ascii="仿宋" w:hAnsi="仿宋" w:eastAsia="仿宋" w:cs="仿宋"/>
          <w:color w:val="auto"/>
          <w:sz w:val="24"/>
          <w:szCs w:val="24"/>
          <w:highlight w:val="none"/>
          <w:u w:val="single"/>
        </w:rPr>
        <w:t xml:space="preserve"> 与本工程有关的知识产权均归承包人所有  </w:t>
      </w:r>
      <w:r>
        <w:rPr>
          <w:rFonts w:hint="eastAsia" w:ascii="仿宋" w:hAnsi="仿宋" w:eastAsia="仿宋" w:cs="仿宋"/>
          <w:color w:val="auto"/>
          <w:sz w:val="24"/>
          <w:szCs w:val="24"/>
          <w:highlight w:val="none"/>
        </w:rPr>
        <w:t>。</w:t>
      </w:r>
    </w:p>
    <w:p w14:paraId="60A83E24">
      <w:pPr>
        <w:pStyle w:val="5"/>
        <w:bidi w:val="0"/>
        <w:jc w:val="left"/>
        <w:rPr>
          <w:rFonts w:hint="eastAsia" w:ascii="仿宋" w:hAnsi="仿宋" w:eastAsia="仿宋" w:cs="仿宋"/>
          <w:color w:val="auto"/>
          <w:highlight w:val="none"/>
        </w:rPr>
      </w:pPr>
      <w:bookmarkStart w:id="544" w:name="_Toc351203634"/>
      <w:bookmarkStart w:id="545" w:name="_Toc296347156"/>
      <w:bookmarkStart w:id="546" w:name="_Toc297120457"/>
      <w:bookmarkStart w:id="547" w:name="_Toc296944496"/>
      <w:bookmarkStart w:id="548" w:name="_Toc296890985"/>
      <w:bookmarkStart w:id="549" w:name="_Toc296346658"/>
      <w:bookmarkStart w:id="550" w:name="_Toc296891197"/>
      <w:bookmarkStart w:id="551" w:name="_Toc296503157"/>
      <w:bookmarkStart w:id="552" w:name="_Toc297048343"/>
      <w:bookmarkStart w:id="553" w:name="_Toc292559867"/>
      <w:bookmarkStart w:id="554" w:name="_Toc292559362"/>
      <w:r>
        <w:rPr>
          <w:rFonts w:hint="eastAsia" w:ascii="仿宋" w:hAnsi="仿宋" w:eastAsia="仿宋" w:cs="仿宋"/>
          <w:color w:val="auto"/>
          <w:highlight w:val="none"/>
          <w:lang w:val="en-US" w:eastAsia="zh-CN"/>
        </w:rPr>
        <w:t>6、</w:t>
      </w:r>
      <w:r>
        <w:rPr>
          <w:rFonts w:hint="eastAsia" w:ascii="仿宋" w:hAnsi="仿宋" w:eastAsia="仿宋" w:cs="仿宋"/>
          <w:color w:val="auto"/>
          <w:highlight w:val="none"/>
        </w:rPr>
        <w:t>发包人</w:t>
      </w:r>
      <w:bookmarkEnd w:id="544"/>
    </w:p>
    <w:bookmarkEnd w:id="545"/>
    <w:bookmarkEnd w:id="546"/>
    <w:bookmarkEnd w:id="547"/>
    <w:bookmarkEnd w:id="548"/>
    <w:bookmarkEnd w:id="549"/>
    <w:bookmarkEnd w:id="550"/>
    <w:bookmarkEnd w:id="551"/>
    <w:bookmarkEnd w:id="552"/>
    <w:bookmarkEnd w:id="553"/>
    <w:bookmarkEnd w:id="554"/>
    <w:p w14:paraId="3164E25D">
      <w:pPr>
        <w:bidi w:val="0"/>
        <w:jc w:val="left"/>
        <w:rPr>
          <w:rFonts w:hint="eastAsia" w:ascii="仿宋" w:hAnsi="仿宋" w:eastAsia="仿宋" w:cs="仿宋"/>
          <w:color w:val="auto"/>
          <w:highlight w:val="none"/>
        </w:rPr>
      </w:pPr>
      <w:bookmarkStart w:id="555" w:name="_Toc31422"/>
      <w:r>
        <w:rPr>
          <w:rFonts w:hint="eastAsia" w:ascii="仿宋" w:hAnsi="仿宋" w:eastAsia="仿宋" w:cs="仿宋"/>
          <w:color w:val="auto"/>
          <w:highlight w:val="none"/>
          <w:lang w:val="en-US" w:eastAsia="zh-CN"/>
        </w:rPr>
        <w:t>6.1</w:t>
      </w:r>
      <w:r>
        <w:rPr>
          <w:rFonts w:hint="eastAsia" w:ascii="仿宋" w:hAnsi="仿宋" w:eastAsia="仿宋" w:cs="仿宋"/>
          <w:color w:val="auto"/>
          <w:highlight w:val="none"/>
        </w:rPr>
        <w:t>发包人代表</w:t>
      </w:r>
      <w:bookmarkEnd w:id="555"/>
    </w:p>
    <w:p w14:paraId="064CEA39">
      <w:pPr>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发包人代表：</w:t>
      </w:r>
    </w:p>
    <w:p w14:paraId="4FC2376A">
      <w:pPr>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姓    名：</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w:t>
      </w:r>
    </w:p>
    <w:p w14:paraId="68D4CBE0">
      <w:pPr>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身份证号：</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w:t>
      </w:r>
    </w:p>
    <w:p w14:paraId="469E3F92">
      <w:pPr>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职    务：</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w:t>
      </w:r>
    </w:p>
    <w:p w14:paraId="3FF98CCB">
      <w:pPr>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联系电话：</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w:t>
      </w:r>
    </w:p>
    <w:p w14:paraId="639B2FE5">
      <w:pPr>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电子信箱：</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w:t>
      </w:r>
    </w:p>
    <w:p w14:paraId="53895076">
      <w:pPr>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通信地址：</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w:t>
      </w:r>
    </w:p>
    <w:p w14:paraId="55E0AAC3">
      <w:pPr>
        <w:spacing w:line="360" w:lineRule="auto"/>
        <w:ind w:firstLine="480" w:firstLineChars="200"/>
        <w:jc w:val="left"/>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lang w:val="en-US" w:eastAsia="zh-CN"/>
        </w:rPr>
        <w:t>6.2</w:t>
      </w:r>
      <w:r>
        <w:rPr>
          <w:rFonts w:hint="eastAsia" w:ascii="仿宋" w:hAnsi="仿宋" w:eastAsia="仿宋" w:cs="仿宋"/>
          <w:color w:val="auto"/>
          <w:sz w:val="24"/>
          <w:szCs w:val="24"/>
          <w:highlight w:val="none"/>
        </w:rPr>
        <w:t xml:space="preserve">发包人对发包人代表的授权范围如下：        </w:t>
      </w:r>
    </w:p>
    <w:p w14:paraId="2703EA43">
      <w:pPr>
        <w:spacing w:line="360" w:lineRule="auto"/>
        <w:ind w:firstLine="480" w:firstLineChars="200"/>
        <w:jc w:val="left"/>
        <w:rPr>
          <w:rFonts w:hint="eastAsia" w:ascii="仿宋" w:hAnsi="仿宋" w:eastAsia="仿宋" w:cs="仿宋"/>
          <w:b/>
          <w:color w:val="auto"/>
          <w:sz w:val="24"/>
          <w:szCs w:val="24"/>
          <w:highlight w:val="none"/>
        </w:rPr>
      </w:pP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w:t>
      </w:r>
    </w:p>
    <w:p w14:paraId="64CCC21F">
      <w:pPr>
        <w:pStyle w:val="5"/>
        <w:bidi w:val="0"/>
        <w:jc w:val="left"/>
        <w:rPr>
          <w:rFonts w:hint="eastAsia" w:ascii="仿宋" w:hAnsi="仿宋" w:eastAsia="仿宋" w:cs="仿宋"/>
          <w:color w:val="auto"/>
          <w:highlight w:val="none"/>
        </w:rPr>
      </w:pPr>
      <w:bookmarkStart w:id="556" w:name="_Toc7471"/>
      <w:r>
        <w:rPr>
          <w:rFonts w:hint="eastAsia" w:ascii="仿宋" w:hAnsi="仿宋" w:eastAsia="仿宋" w:cs="仿宋"/>
          <w:color w:val="auto"/>
          <w:highlight w:val="none"/>
          <w:lang w:val="en-US" w:eastAsia="zh-CN"/>
        </w:rPr>
        <w:t>7、</w:t>
      </w:r>
      <w:r>
        <w:rPr>
          <w:rFonts w:hint="eastAsia" w:ascii="仿宋" w:hAnsi="仿宋" w:eastAsia="仿宋" w:cs="仿宋"/>
          <w:color w:val="auto"/>
          <w:highlight w:val="none"/>
        </w:rPr>
        <w:t>承包人</w:t>
      </w:r>
    </w:p>
    <w:p w14:paraId="3344AEAD">
      <w:pPr>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7</w:t>
      </w:r>
      <w:r>
        <w:rPr>
          <w:rFonts w:hint="eastAsia" w:ascii="仿宋" w:hAnsi="仿宋" w:eastAsia="仿宋" w:cs="仿宋"/>
          <w:color w:val="auto"/>
          <w:sz w:val="24"/>
          <w:szCs w:val="24"/>
          <w:highlight w:val="none"/>
        </w:rPr>
        <w:t>.1 承包人的一般义务</w:t>
      </w:r>
    </w:p>
    <w:p w14:paraId="30683CB3">
      <w:pPr>
        <w:spacing w:line="360" w:lineRule="auto"/>
        <w:ind w:firstLine="480" w:firstLineChars="200"/>
        <w:jc w:val="left"/>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rPr>
        <w:t>承包人提交的竣工资料的内容：</w:t>
      </w:r>
      <w:r>
        <w:rPr>
          <w:rFonts w:hint="eastAsia" w:ascii="仿宋" w:hAnsi="仿宋" w:eastAsia="仿宋" w:cs="仿宋"/>
          <w:color w:val="auto"/>
          <w:sz w:val="24"/>
          <w:szCs w:val="24"/>
          <w:highlight w:val="none"/>
          <w:u w:val="single"/>
        </w:rPr>
        <w:t>工程施工技术资料、工程质量保证资料、工程检验评定资料、竣工图及其他建设行政主管部门及档案管理机构规定及发包人规定的相关要求编制施工文件和竣工图表</w:t>
      </w:r>
      <w:r>
        <w:rPr>
          <w:rFonts w:hint="eastAsia" w:ascii="仿宋" w:hAnsi="仿宋" w:cs="仿宋"/>
          <w:color w:val="auto"/>
          <w:sz w:val="24"/>
          <w:szCs w:val="24"/>
          <w:highlight w:val="none"/>
          <w:u w:val="single"/>
          <w:lang w:val="en-US" w:eastAsia="zh-CN"/>
        </w:rPr>
        <w:t>等相关材料</w:t>
      </w:r>
      <w:r>
        <w:rPr>
          <w:rFonts w:hint="eastAsia" w:ascii="仿宋" w:hAnsi="仿宋" w:eastAsia="仿宋" w:cs="仿宋"/>
          <w:color w:val="auto"/>
          <w:sz w:val="24"/>
          <w:szCs w:val="24"/>
          <w:highlight w:val="none"/>
          <w:u w:val="single"/>
        </w:rPr>
        <w:t xml:space="preserve"> 。</w:t>
      </w:r>
    </w:p>
    <w:p w14:paraId="0D02B687">
      <w:pPr>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承包人需要提交的竣工资料套数：</w:t>
      </w:r>
      <w:r>
        <w:rPr>
          <w:rFonts w:hint="eastAsia" w:ascii="仿宋" w:hAnsi="仿宋" w:eastAsia="仿宋" w:cs="仿宋"/>
          <w:color w:val="auto"/>
          <w:sz w:val="24"/>
          <w:szCs w:val="24"/>
          <w:highlight w:val="none"/>
          <w:u w:val="single"/>
        </w:rPr>
        <w:t xml:space="preserve">       10套       </w:t>
      </w:r>
      <w:r>
        <w:rPr>
          <w:rFonts w:hint="eastAsia" w:ascii="仿宋" w:hAnsi="仿宋" w:eastAsia="仿宋" w:cs="仿宋"/>
          <w:color w:val="auto"/>
          <w:sz w:val="24"/>
          <w:szCs w:val="24"/>
          <w:highlight w:val="none"/>
        </w:rPr>
        <w:t>。</w:t>
      </w:r>
    </w:p>
    <w:p w14:paraId="1CE388D1">
      <w:pPr>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承包人提交的竣工资料的费用承担：</w:t>
      </w:r>
      <w:r>
        <w:rPr>
          <w:rFonts w:hint="eastAsia" w:ascii="仿宋" w:hAnsi="仿宋" w:eastAsia="仿宋" w:cs="仿宋"/>
          <w:color w:val="auto"/>
          <w:sz w:val="24"/>
          <w:szCs w:val="24"/>
          <w:highlight w:val="none"/>
          <w:u w:val="single"/>
        </w:rPr>
        <w:t xml:space="preserve">    由承包人承担      </w:t>
      </w:r>
      <w:r>
        <w:rPr>
          <w:rFonts w:hint="eastAsia" w:ascii="仿宋" w:hAnsi="仿宋" w:eastAsia="仿宋" w:cs="仿宋"/>
          <w:color w:val="auto"/>
          <w:sz w:val="24"/>
          <w:szCs w:val="24"/>
          <w:highlight w:val="none"/>
        </w:rPr>
        <w:t>。</w:t>
      </w:r>
    </w:p>
    <w:p w14:paraId="4CB32108">
      <w:pPr>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承包人提交的竣工资料移交时间：</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w:t>
      </w:r>
    </w:p>
    <w:p w14:paraId="1BBD7FAD">
      <w:pPr>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承包人提交的竣工资料形式要求：</w:t>
      </w:r>
      <w:r>
        <w:rPr>
          <w:rFonts w:hint="eastAsia" w:ascii="仿宋" w:hAnsi="仿宋" w:eastAsia="仿宋" w:cs="仿宋"/>
          <w:color w:val="auto"/>
          <w:sz w:val="24"/>
          <w:szCs w:val="24"/>
          <w:highlight w:val="none"/>
          <w:u w:val="single"/>
        </w:rPr>
        <w:t xml:space="preserve">     纸质版和电子版    </w:t>
      </w:r>
      <w:r>
        <w:rPr>
          <w:rFonts w:hint="eastAsia" w:ascii="仿宋" w:hAnsi="仿宋" w:eastAsia="仿宋" w:cs="仿宋"/>
          <w:color w:val="auto"/>
          <w:sz w:val="24"/>
          <w:szCs w:val="24"/>
          <w:highlight w:val="none"/>
        </w:rPr>
        <w:t>。</w:t>
      </w:r>
    </w:p>
    <w:p w14:paraId="3620356C">
      <w:pPr>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7</w:t>
      </w:r>
      <w:r>
        <w:rPr>
          <w:rFonts w:hint="eastAsia" w:ascii="仿宋" w:hAnsi="仿宋" w:eastAsia="仿宋" w:cs="仿宋"/>
          <w:color w:val="auto"/>
          <w:sz w:val="24"/>
          <w:szCs w:val="24"/>
          <w:highlight w:val="none"/>
        </w:rPr>
        <w:t>.2 项目经理</w:t>
      </w:r>
    </w:p>
    <w:p w14:paraId="69E61B51">
      <w:pPr>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7.2.1</w:t>
      </w:r>
      <w:r>
        <w:rPr>
          <w:rFonts w:hint="eastAsia" w:ascii="仿宋" w:hAnsi="仿宋" w:eastAsia="仿宋" w:cs="仿宋"/>
          <w:color w:val="auto"/>
          <w:sz w:val="24"/>
          <w:szCs w:val="24"/>
          <w:highlight w:val="none"/>
        </w:rPr>
        <w:t>项目经理：</w:t>
      </w:r>
    </w:p>
    <w:p w14:paraId="46C398CD">
      <w:pPr>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姓    名：</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w:t>
      </w:r>
    </w:p>
    <w:p w14:paraId="1EEE7FEE">
      <w:pPr>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身份证号：</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w:t>
      </w:r>
    </w:p>
    <w:p w14:paraId="6B8F290A">
      <w:pPr>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建造师执业资格等级：</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w:t>
      </w:r>
    </w:p>
    <w:p w14:paraId="42FEE5D8">
      <w:pPr>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建造师注册证书号：</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w:t>
      </w:r>
    </w:p>
    <w:p w14:paraId="539ABD8A">
      <w:pPr>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建造师执业印章号：</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w:t>
      </w:r>
    </w:p>
    <w:p w14:paraId="73FE0A04">
      <w:pPr>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安全生产考核合格证书号：</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w:t>
      </w:r>
    </w:p>
    <w:p w14:paraId="5FC2D500">
      <w:pPr>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联系电话：</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w:t>
      </w:r>
    </w:p>
    <w:p w14:paraId="6F858453">
      <w:pPr>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电子信箱：</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w:t>
      </w:r>
    </w:p>
    <w:p w14:paraId="53C495CA">
      <w:pPr>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通信地址：</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w:t>
      </w:r>
    </w:p>
    <w:p w14:paraId="52EF82D1">
      <w:pPr>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承包人对项目经理的授权范围如下：</w:t>
      </w:r>
      <w:r>
        <w:rPr>
          <w:rFonts w:hint="eastAsia" w:ascii="仿宋" w:hAnsi="仿宋" w:eastAsia="仿宋" w:cs="仿宋"/>
          <w:color w:val="auto"/>
          <w:kern w:val="0"/>
          <w:sz w:val="24"/>
          <w:szCs w:val="24"/>
          <w:highlight w:val="none"/>
          <w:u w:val="single"/>
        </w:rPr>
        <w:t>合同签订、组建项目管理班子及指挥工程项目建设的生产经营活动。</w:t>
      </w:r>
    </w:p>
    <w:p w14:paraId="309E97FB">
      <w:pPr>
        <w:spacing w:line="360" w:lineRule="auto"/>
        <w:ind w:firstLine="480" w:firstLineChars="200"/>
        <w:jc w:val="left"/>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关于项目经理每月在施工现场的时间要求：</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kern w:val="0"/>
          <w:sz w:val="24"/>
          <w:szCs w:val="24"/>
          <w:highlight w:val="none"/>
          <w:u w:val="single"/>
        </w:rPr>
        <w:t xml:space="preserve"> 项目经理每月在施工现场的时间不得少于 20 个工作日 </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w:t>
      </w:r>
    </w:p>
    <w:p w14:paraId="1A276BFB">
      <w:pPr>
        <w:spacing w:line="360" w:lineRule="auto"/>
        <w:ind w:firstLine="480" w:firstLineChars="200"/>
        <w:jc w:val="left"/>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承包人未提交劳动合同，以及没有为项目经理缴纳社会保险证明的违约责任：</w:t>
      </w:r>
      <w:r>
        <w:rPr>
          <w:rFonts w:hint="eastAsia" w:ascii="仿宋" w:hAnsi="仿宋" w:eastAsia="仿宋" w:cs="仿宋"/>
          <w:color w:val="auto"/>
          <w:kern w:val="0"/>
          <w:sz w:val="24"/>
          <w:szCs w:val="24"/>
          <w:highlight w:val="none"/>
          <w:u w:val="single"/>
        </w:rPr>
        <w:t xml:space="preserve"> 罚款1万元，并要求承包人按时整改。</w:t>
      </w:r>
    </w:p>
    <w:p w14:paraId="68FB89BF">
      <w:pPr>
        <w:spacing w:line="360" w:lineRule="auto"/>
        <w:ind w:firstLine="480" w:firstLineChars="200"/>
        <w:jc w:val="left"/>
        <w:rPr>
          <w:rFonts w:hint="eastAsia" w:ascii="仿宋" w:hAnsi="仿宋" w:eastAsia="仿宋" w:cs="仿宋"/>
          <w:color w:val="auto"/>
          <w:sz w:val="24"/>
          <w:szCs w:val="24"/>
          <w:highlight w:val="none"/>
          <w:u w:val="single"/>
        </w:rPr>
      </w:pPr>
      <w:r>
        <w:rPr>
          <w:rFonts w:hint="eastAsia" w:ascii="仿宋" w:hAnsi="仿宋" w:eastAsia="仿宋" w:cs="仿宋"/>
          <w:color w:val="auto"/>
          <w:kern w:val="0"/>
          <w:sz w:val="24"/>
          <w:szCs w:val="24"/>
          <w:highlight w:val="none"/>
        </w:rPr>
        <w:t>项目经理未经批准，擅自离开施工现场的违约责任：</w:t>
      </w:r>
      <w:r>
        <w:rPr>
          <w:rFonts w:hint="eastAsia" w:ascii="仿宋" w:hAnsi="仿宋" w:eastAsia="仿宋" w:cs="仿宋"/>
          <w:color w:val="auto"/>
          <w:kern w:val="0"/>
          <w:sz w:val="24"/>
          <w:szCs w:val="24"/>
          <w:highlight w:val="none"/>
          <w:u w:val="single"/>
        </w:rPr>
        <w:t xml:space="preserve">  每发生一起罚款2000元，从进度款中扣除  </w:t>
      </w:r>
      <w:r>
        <w:rPr>
          <w:rFonts w:hint="eastAsia" w:ascii="仿宋" w:hAnsi="仿宋" w:eastAsia="仿宋" w:cs="仿宋"/>
          <w:color w:val="auto"/>
          <w:sz w:val="24"/>
          <w:szCs w:val="24"/>
          <w:highlight w:val="none"/>
        </w:rPr>
        <w:t>。</w:t>
      </w:r>
    </w:p>
    <w:p w14:paraId="51B1BF6D">
      <w:pPr>
        <w:pStyle w:val="94"/>
        <w:spacing w:line="360" w:lineRule="auto"/>
        <w:ind w:firstLine="48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7.2.2</w:t>
      </w:r>
      <w:r>
        <w:rPr>
          <w:rFonts w:hint="eastAsia" w:ascii="仿宋" w:hAnsi="仿宋" w:eastAsia="仿宋" w:cs="仿宋"/>
          <w:color w:val="auto"/>
          <w:sz w:val="24"/>
          <w:szCs w:val="24"/>
          <w:highlight w:val="none"/>
        </w:rPr>
        <w:t xml:space="preserve"> 承包人擅自更换项目经理的违约责任：</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kern w:val="0"/>
          <w:sz w:val="24"/>
          <w:szCs w:val="24"/>
          <w:highlight w:val="none"/>
          <w:u w:val="single"/>
        </w:rPr>
        <w:t xml:space="preserve"> 罚款1万元 ，从进度款中扣除 </w:t>
      </w:r>
      <w:r>
        <w:rPr>
          <w:rFonts w:hint="eastAsia" w:ascii="仿宋" w:hAnsi="仿宋" w:eastAsia="仿宋" w:cs="仿宋"/>
          <w:color w:val="auto"/>
          <w:sz w:val="24"/>
          <w:szCs w:val="24"/>
          <w:highlight w:val="none"/>
        </w:rPr>
        <w:t>。</w:t>
      </w:r>
      <w:r>
        <w:rPr>
          <w:rFonts w:hint="eastAsia" w:ascii="仿宋" w:hAnsi="仿宋" w:eastAsia="仿宋" w:cs="仿宋"/>
          <w:color w:val="auto"/>
          <w:kern w:val="0"/>
          <w:sz w:val="24"/>
          <w:szCs w:val="24"/>
          <w:highlight w:val="none"/>
          <w:u w:val="single"/>
        </w:rPr>
        <w:t>经监理人和发包人同意，承包人可更换项目经理，其替换人员在资格、资历、能力等方面均不得低于项目经理。</w:t>
      </w:r>
    </w:p>
    <w:p w14:paraId="14F0AC11">
      <w:pPr>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7.2.3</w:t>
      </w:r>
      <w:r>
        <w:rPr>
          <w:rFonts w:hint="eastAsia" w:ascii="仿宋" w:hAnsi="仿宋" w:eastAsia="仿宋" w:cs="仿宋"/>
          <w:color w:val="auto"/>
          <w:sz w:val="24"/>
          <w:szCs w:val="24"/>
          <w:highlight w:val="none"/>
        </w:rPr>
        <w:t xml:space="preserve"> 承包人无正当理由拒绝更换项目经理的违约责任：</w:t>
      </w:r>
      <w:r>
        <w:rPr>
          <w:rFonts w:hint="eastAsia" w:ascii="仿宋" w:hAnsi="仿宋" w:eastAsia="仿宋" w:cs="仿宋"/>
          <w:color w:val="auto"/>
          <w:kern w:val="0"/>
          <w:sz w:val="24"/>
          <w:szCs w:val="24"/>
          <w:highlight w:val="none"/>
          <w:u w:val="single"/>
        </w:rPr>
        <w:t xml:space="preserve"> 罚款1万元 ，从进度款中扣除 </w:t>
      </w:r>
      <w:r>
        <w:rPr>
          <w:rFonts w:hint="eastAsia" w:ascii="仿宋" w:hAnsi="仿宋" w:eastAsia="仿宋" w:cs="仿宋"/>
          <w:color w:val="auto"/>
          <w:sz w:val="24"/>
          <w:szCs w:val="24"/>
          <w:highlight w:val="none"/>
        </w:rPr>
        <w:t>。</w:t>
      </w:r>
    </w:p>
    <w:p w14:paraId="607D6937">
      <w:pPr>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7</w:t>
      </w:r>
      <w:r>
        <w:rPr>
          <w:rFonts w:hint="eastAsia" w:ascii="仿宋" w:hAnsi="仿宋" w:eastAsia="仿宋" w:cs="仿宋"/>
          <w:color w:val="auto"/>
          <w:sz w:val="24"/>
          <w:szCs w:val="24"/>
          <w:highlight w:val="none"/>
        </w:rPr>
        <w:t>.3 承包人人员</w:t>
      </w:r>
    </w:p>
    <w:p w14:paraId="75F28A5B">
      <w:pPr>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7</w:t>
      </w:r>
      <w:r>
        <w:rPr>
          <w:rFonts w:hint="eastAsia" w:ascii="仿宋" w:hAnsi="仿宋" w:eastAsia="仿宋" w:cs="仿宋"/>
          <w:color w:val="auto"/>
          <w:sz w:val="24"/>
          <w:szCs w:val="24"/>
          <w:highlight w:val="none"/>
        </w:rPr>
        <w:t>.3.1 承包人提交项目管理机构及施工现场管理人员安排报告的期限：</w:t>
      </w:r>
      <w:r>
        <w:rPr>
          <w:rFonts w:hint="eastAsia" w:ascii="仿宋" w:hAnsi="仿宋" w:eastAsia="仿宋" w:cs="仿宋"/>
          <w:color w:val="auto"/>
          <w:kern w:val="0"/>
          <w:sz w:val="24"/>
          <w:szCs w:val="24"/>
          <w:highlight w:val="none"/>
          <w:u w:val="single"/>
        </w:rPr>
        <w:t>进场一个月内提供</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w:t>
      </w:r>
    </w:p>
    <w:p w14:paraId="13A87C2E">
      <w:pPr>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7.3.2</w:t>
      </w:r>
      <w:r>
        <w:rPr>
          <w:rFonts w:hint="eastAsia" w:ascii="仿宋" w:hAnsi="仿宋" w:eastAsia="仿宋" w:cs="仿宋"/>
          <w:color w:val="auto"/>
          <w:sz w:val="24"/>
          <w:szCs w:val="24"/>
          <w:highlight w:val="none"/>
        </w:rPr>
        <w:t xml:space="preserve"> 承包人无正当理由拒绝撤换主要施工管理人员的违约责任：</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kern w:val="0"/>
          <w:sz w:val="24"/>
          <w:szCs w:val="24"/>
          <w:highlight w:val="none"/>
          <w:u w:val="single"/>
        </w:rPr>
        <w:t xml:space="preserve">罚款1万元 ，从进度款中扣除 </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w:t>
      </w:r>
    </w:p>
    <w:p w14:paraId="5411FA67">
      <w:pPr>
        <w:pStyle w:val="94"/>
        <w:spacing w:line="360" w:lineRule="auto"/>
        <w:ind w:firstLine="48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7.3.3</w:t>
      </w:r>
      <w:r>
        <w:rPr>
          <w:rFonts w:hint="eastAsia" w:ascii="仿宋" w:hAnsi="仿宋" w:eastAsia="仿宋" w:cs="仿宋"/>
          <w:color w:val="auto"/>
          <w:sz w:val="24"/>
          <w:szCs w:val="24"/>
          <w:highlight w:val="none"/>
        </w:rPr>
        <w:t xml:space="preserve"> 承包人主要施工管理人员离开施工现场的批准要求：</w:t>
      </w:r>
      <w:r>
        <w:rPr>
          <w:rFonts w:hint="eastAsia" w:ascii="仿宋" w:hAnsi="仿宋" w:eastAsia="仿宋" w:cs="仿宋"/>
          <w:color w:val="auto"/>
          <w:kern w:val="0"/>
          <w:sz w:val="24"/>
          <w:szCs w:val="24"/>
          <w:highlight w:val="none"/>
          <w:u w:val="single"/>
        </w:rPr>
        <w:t>由总监理工程师批准后，方可离开</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w:t>
      </w:r>
    </w:p>
    <w:p w14:paraId="2021F507">
      <w:pPr>
        <w:pStyle w:val="94"/>
        <w:spacing w:line="360" w:lineRule="auto"/>
        <w:ind w:firstLine="48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7.3.4</w:t>
      </w:r>
      <w:r>
        <w:rPr>
          <w:rFonts w:hint="eastAsia" w:ascii="仿宋" w:hAnsi="仿宋" w:eastAsia="仿宋" w:cs="仿宋"/>
          <w:color w:val="auto"/>
          <w:sz w:val="24"/>
          <w:szCs w:val="24"/>
          <w:highlight w:val="none"/>
        </w:rPr>
        <w:t>承包人擅自更换主要施工管理人员的违约责任：</w:t>
      </w:r>
      <w:r>
        <w:rPr>
          <w:rFonts w:hint="eastAsia" w:ascii="仿宋" w:hAnsi="仿宋" w:eastAsia="仿宋" w:cs="仿宋"/>
          <w:color w:val="auto"/>
          <w:kern w:val="0"/>
          <w:sz w:val="24"/>
          <w:szCs w:val="24"/>
          <w:highlight w:val="none"/>
          <w:u w:val="single"/>
        </w:rPr>
        <w:t xml:space="preserve">  罚款1万元 ，从进度款中扣除 。经监理人和发包人同意，承包人可更换其他现场管理人员，其替换人员在资格、资历、能力等方面均不得低于原管理人员。</w:t>
      </w:r>
    </w:p>
    <w:p w14:paraId="010B1083">
      <w:pPr>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承包人主要施工管理人员擅自离开施工现场的违约责任</w:t>
      </w:r>
      <w:r>
        <w:rPr>
          <w:rFonts w:hint="eastAsia" w:ascii="仿宋" w:hAnsi="仿宋" w:eastAsia="仿宋" w:cs="仿宋"/>
          <w:color w:val="auto"/>
          <w:kern w:val="0"/>
          <w:sz w:val="24"/>
          <w:szCs w:val="24"/>
          <w:highlight w:val="none"/>
          <w:u w:val="single"/>
        </w:rPr>
        <w:t>： 每发生一起罚款1000元，从进度款中扣除</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w:t>
      </w:r>
    </w:p>
    <w:p w14:paraId="6B3426BB">
      <w:pPr>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7.4</w:t>
      </w:r>
      <w:bookmarkStart w:id="557" w:name="_Toc297216151"/>
      <w:bookmarkStart w:id="558" w:name="_Toc296890987"/>
      <w:bookmarkStart w:id="559" w:name="_Toc312677988"/>
      <w:bookmarkStart w:id="560" w:name="_Toc300934945"/>
      <w:bookmarkStart w:id="561" w:name="_Toc292559364"/>
      <w:bookmarkStart w:id="562" w:name="_Toc303539102"/>
      <w:bookmarkStart w:id="563" w:name="_Toc296347158"/>
      <w:bookmarkStart w:id="564" w:name="_Toc296346660"/>
      <w:bookmarkStart w:id="565" w:name="_Toc304295523"/>
      <w:bookmarkStart w:id="566" w:name="_Toc297123492"/>
      <w:bookmarkStart w:id="567" w:name="_Toc296944498"/>
      <w:bookmarkStart w:id="568" w:name="_Toc297120459"/>
      <w:bookmarkStart w:id="569" w:name="_Toc296503159"/>
      <w:bookmarkStart w:id="570" w:name="_Toc297048345"/>
      <w:bookmarkStart w:id="571" w:name="_Toc292559869"/>
      <w:bookmarkStart w:id="572" w:name="_Toc296891199"/>
      <w:r>
        <w:rPr>
          <w:rFonts w:hint="eastAsia" w:ascii="仿宋" w:hAnsi="仿宋" w:eastAsia="仿宋" w:cs="仿宋"/>
          <w:color w:val="auto"/>
          <w:sz w:val="24"/>
          <w:szCs w:val="24"/>
          <w:highlight w:val="none"/>
        </w:rPr>
        <w:t>分包</w:t>
      </w:r>
    </w:p>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p w14:paraId="51B66AA8">
      <w:pPr>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7.4</w:t>
      </w:r>
      <w:r>
        <w:rPr>
          <w:rFonts w:hint="eastAsia" w:ascii="仿宋" w:hAnsi="仿宋" w:eastAsia="仿宋" w:cs="仿宋"/>
          <w:color w:val="auto"/>
          <w:sz w:val="24"/>
          <w:szCs w:val="24"/>
          <w:highlight w:val="none"/>
        </w:rPr>
        <w:t>.1 分包的一般约定</w:t>
      </w:r>
    </w:p>
    <w:p w14:paraId="24339E40">
      <w:pPr>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禁止分包的工程包括：</w:t>
      </w:r>
      <w:r>
        <w:rPr>
          <w:rFonts w:hint="eastAsia" w:ascii="仿宋" w:hAnsi="仿宋" w:eastAsia="仿宋" w:cs="仿宋"/>
          <w:color w:val="auto"/>
          <w:kern w:val="0"/>
          <w:sz w:val="24"/>
          <w:szCs w:val="24"/>
          <w:highlight w:val="none"/>
          <w:u w:val="single"/>
          <w:lang w:val="en-US" w:eastAsia="zh-CN"/>
        </w:rPr>
        <w:t xml:space="preserve">                          </w:t>
      </w:r>
      <w:r>
        <w:rPr>
          <w:rFonts w:hint="eastAsia" w:ascii="仿宋" w:hAnsi="仿宋" w:eastAsia="仿宋" w:cs="仿宋"/>
          <w:color w:val="auto"/>
          <w:kern w:val="0"/>
          <w:sz w:val="24"/>
          <w:szCs w:val="24"/>
          <w:highlight w:val="none"/>
          <w:u w:val="single"/>
        </w:rPr>
        <w:t xml:space="preserve"> </w:t>
      </w:r>
      <w:r>
        <w:rPr>
          <w:rFonts w:hint="eastAsia" w:ascii="仿宋" w:hAnsi="仿宋" w:eastAsia="仿宋" w:cs="仿宋"/>
          <w:color w:val="auto"/>
          <w:sz w:val="24"/>
          <w:szCs w:val="24"/>
          <w:highlight w:val="none"/>
        </w:rPr>
        <w:t>。</w:t>
      </w:r>
    </w:p>
    <w:p w14:paraId="2FB31A8A">
      <w:pPr>
        <w:spacing w:line="360" w:lineRule="auto"/>
        <w:ind w:firstLine="480" w:firstLineChars="200"/>
        <w:jc w:val="left"/>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rPr>
        <w:t xml:space="preserve">主体结构、关键性工作的范围： </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w:t>
      </w:r>
      <w:bookmarkStart w:id="573" w:name="_Toc300934947"/>
      <w:bookmarkStart w:id="574" w:name="_Toc296347160"/>
      <w:bookmarkStart w:id="575" w:name="_Toc297120461"/>
      <w:bookmarkStart w:id="576" w:name="_Toc296891201"/>
      <w:bookmarkStart w:id="577" w:name="_Toc296890989"/>
      <w:bookmarkStart w:id="578" w:name="_Toc297048347"/>
      <w:bookmarkStart w:id="579" w:name="_Toc297123494"/>
      <w:bookmarkStart w:id="580" w:name="_Toc303539104"/>
      <w:bookmarkStart w:id="581" w:name="_Toc296346662"/>
      <w:bookmarkStart w:id="582" w:name="_Toc297216153"/>
      <w:bookmarkStart w:id="583" w:name="_Toc304295525"/>
      <w:bookmarkStart w:id="584" w:name="_Toc296503161"/>
      <w:bookmarkStart w:id="585" w:name="_Toc296944500"/>
    </w:p>
    <w:bookmarkEnd w:id="573"/>
    <w:bookmarkEnd w:id="574"/>
    <w:bookmarkEnd w:id="575"/>
    <w:bookmarkEnd w:id="576"/>
    <w:bookmarkEnd w:id="577"/>
    <w:bookmarkEnd w:id="578"/>
    <w:bookmarkEnd w:id="579"/>
    <w:bookmarkEnd w:id="580"/>
    <w:bookmarkEnd w:id="581"/>
    <w:bookmarkEnd w:id="582"/>
    <w:bookmarkEnd w:id="583"/>
    <w:bookmarkEnd w:id="584"/>
    <w:bookmarkEnd w:id="585"/>
    <w:p w14:paraId="1DA815FF">
      <w:pPr>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7.4</w:t>
      </w:r>
      <w:r>
        <w:rPr>
          <w:rFonts w:hint="eastAsia" w:ascii="仿宋" w:hAnsi="仿宋" w:eastAsia="仿宋" w:cs="仿宋"/>
          <w:color w:val="auto"/>
          <w:sz w:val="24"/>
          <w:szCs w:val="24"/>
          <w:highlight w:val="none"/>
        </w:rPr>
        <w:t>.2分包的确定</w:t>
      </w:r>
    </w:p>
    <w:p w14:paraId="12599D02">
      <w:pPr>
        <w:spacing w:line="360" w:lineRule="auto"/>
        <w:ind w:firstLine="480" w:firstLineChars="200"/>
        <w:jc w:val="left"/>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rPr>
        <w:t>允许分包的专业工程包括：</w:t>
      </w:r>
      <w:r>
        <w:rPr>
          <w:rFonts w:hint="eastAsia" w:ascii="仿宋" w:hAnsi="仿宋" w:eastAsia="仿宋" w:cs="仿宋"/>
          <w:color w:val="auto"/>
          <w:kern w:val="0"/>
          <w:sz w:val="24"/>
          <w:szCs w:val="24"/>
          <w:highlight w:val="none"/>
          <w:u w:val="single"/>
        </w:rPr>
        <w:t>承包人可对非禁止分包的工作事项进行分包，确定分包人</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w:t>
      </w:r>
    </w:p>
    <w:p w14:paraId="77CA8F95">
      <w:pPr>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7.5</w:t>
      </w:r>
      <w:r>
        <w:rPr>
          <w:rFonts w:hint="eastAsia" w:ascii="仿宋" w:hAnsi="仿宋" w:eastAsia="仿宋" w:cs="仿宋"/>
          <w:color w:val="auto"/>
          <w:sz w:val="24"/>
          <w:szCs w:val="24"/>
          <w:highlight w:val="none"/>
        </w:rPr>
        <w:t>工程照管与成品、半成品保护</w:t>
      </w:r>
    </w:p>
    <w:p w14:paraId="139176B3">
      <w:pPr>
        <w:spacing w:line="360" w:lineRule="auto"/>
        <w:ind w:firstLine="480" w:firstLineChars="200"/>
        <w:jc w:val="left"/>
        <w:rPr>
          <w:rFonts w:hint="eastAsia" w:ascii="仿宋" w:hAnsi="仿宋" w:eastAsia="仿宋" w:cs="仿宋"/>
          <w:color w:val="auto"/>
          <w:kern w:val="0"/>
          <w:sz w:val="24"/>
          <w:szCs w:val="24"/>
          <w:highlight w:val="none"/>
          <w:u w:val="single"/>
        </w:rPr>
      </w:pPr>
      <w:r>
        <w:rPr>
          <w:rFonts w:hint="eastAsia" w:ascii="仿宋" w:hAnsi="仿宋" w:eastAsia="仿宋" w:cs="仿宋"/>
          <w:color w:val="auto"/>
          <w:kern w:val="0"/>
          <w:sz w:val="24"/>
          <w:szCs w:val="24"/>
          <w:highlight w:val="none"/>
        </w:rPr>
        <w:t>承包人负责照管工程及工程相关的材料、工程设备的起始时间：</w:t>
      </w:r>
      <w:r>
        <w:rPr>
          <w:rFonts w:hint="eastAsia" w:ascii="仿宋" w:hAnsi="仿宋" w:eastAsia="仿宋" w:cs="仿宋"/>
          <w:color w:val="auto"/>
          <w:kern w:val="0"/>
          <w:sz w:val="24"/>
          <w:szCs w:val="24"/>
          <w:highlight w:val="none"/>
          <w:u w:val="single"/>
        </w:rPr>
        <w:t xml:space="preserve"> 项目开工至竣工验收完成</w:t>
      </w:r>
      <w:r>
        <w:rPr>
          <w:rFonts w:hint="eastAsia" w:ascii="仿宋" w:hAnsi="仿宋" w:eastAsia="仿宋" w:cs="仿宋"/>
          <w:color w:val="auto"/>
          <w:kern w:val="0"/>
          <w:sz w:val="24"/>
          <w:szCs w:val="24"/>
          <w:highlight w:val="none"/>
        </w:rPr>
        <w:t>。</w:t>
      </w:r>
    </w:p>
    <w:p w14:paraId="29EFBE6C">
      <w:pPr>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7.6</w:t>
      </w:r>
      <w:r>
        <w:rPr>
          <w:rFonts w:hint="eastAsia" w:ascii="仿宋" w:hAnsi="仿宋" w:eastAsia="仿宋" w:cs="仿宋"/>
          <w:color w:val="auto"/>
          <w:sz w:val="24"/>
          <w:szCs w:val="24"/>
          <w:highlight w:val="none"/>
        </w:rPr>
        <w:t>履约担保</w:t>
      </w:r>
    </w:p>
    <w:p w14:paraId="459781C7">
      <w:pPr>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承包人是否提供履约担保：</w:t>
      </w:r>
      <w:r>
        <w:rPr>
          <w:rFonts w:hint="eastAsia" w:ascii="仿宋" w:hAnsi="仿宋" w:eastAsia="仿宋" w:cs="仿宋"/>
          <w:color w:val="auto"/>
          <w:sz w:val="24"/>
          <w:szCs w:val="24"/>
          <w:highlight w:val="none"/>
          <w:u w:val="single"/>
        </w:rPr>
        <w:t xml:space="preserve">     是        </w:t>
      </w:r>
      <w:r>
        <w:rPr>
          <w:rFonts w:hint="eastAsia" w:ascii="仿宋" w:hAnsi="仿宋" w:eastAsia="仿宋" w:cs="仿宋"/>
          <w:color w:val="auto"/>
          <w:sz w:val="24"/>
          <w:szCs w:val="24"/>
          <w:highlight w:val="none"/>
        </w:rPr>
        <w:t>。</w:t>
      </w:r>
    </w:p>
    <w:p w14:paraId="15365637">
      <w:pPr>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履约担保形式：电汇或保函。</w:t>
      </w:r>
    </w:p>
    <w:p w14:paraId="0DFDEA97">
      <w:pPr>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施工期履约担保：中标施工费（建安工程费+设备集成供货及服务费）的5%（中标人应在取得中标通知书后，签订合同前提交履约担保，</w:t>
      </w:r>
      <w:r>
        <w:rPr>
          <w:rFonts w:hint="eastAsia" w:ascii="仿宋" w:hAnsi="仿宋" w:cs="仿宋"/>
          <w:color w:val="auto"/>
          <w:sz w:val="24"/>
          <w:szCs w:val="24"/>
          <w:highlight w:val="none"/>
          <w:lang w:eastAsia="zh-CN"/>
        </w:rPr>
        <w:t>承包人应保证其履约担保在运营履约保函开具前有效</w:t>
      </w:r>
      <w:r>
        <w:rPr>
          <w:rFonts w:hint="eastAsia" w:ascii="仿宋" w:hAnsi="仿宋" w:eastAsia="仿宋" w:cs="仿宋"/>
          <w:color w:val="auto"/>
          <w:sz w:val="24"/>
          <w:szCs w:val="24"/>
          <w:highlight w:val="none"/>
        </w:rPr>
        <w:t>。否则招标人有权取消其中标资格。）</w:t>
      </w:r>
    </w:p>
    <w:p w14:paraId="5C3EC3A3">
      <w:pPr>
        <w:pStyle w:val="5"/>
        <w:bidi w:val="0"/>
        <w:jc w:val="left"/>
        <w:rPr>
          <w:rFonts w:hint="eastAsia" w:ascii="仿宋" w:hAnsi="仿宋" w:eastAsia="仿宋" w:cs="仿宋"/>
          <w:color w:val="auto"/>
          <w:highlight w:val="none"/>
        </w:rPr>
      </w:pPr>
      <w:r>
        <w:rPr>
          <w:rFonts w:hint="eastAsia" w:ascii="仿宋" w:hAnsi="仿宋" w:eastAsia="仿宋" w:cs="仿宋"/>
          <w:color w:val="auto"/>
          <w:highlight w:val="none"/>
          <w:lang w:val="en-US" w:eastAsia="zh-CN"/>
        </w:rPr>
        <w:t>8、</w:t>
      </w:r>
      <w:r>
        <w:rPr>
          <w:rFonts w:hint="eastAsia" w:ascii="仿宋" w:hAnsi="仿宋" w:eastAsia="仿宋" w:cs="仿宋"/>
          <w:color w:val="auto"/>
          <w:highlight w:val="none"/>
        </w:rPr>
        <w:t>施工现场、施工条件和基础资料的提供</w:t>
      </w:r>
      <w:bookmarkEnd w:id="556"/>
    </w:p>
    <w:p w14:paraId="6EE42000">
      <w:pPr>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8</w:t>
      </w:r>
      <w:r>
        <w:rPr>
          <w:rFonts w:hint="eastAsia" w:ascii="仿宋" w:hAnsi="仿宋" w:eastAsia="仿宋" w:cs="仿宋"/>
          <w:color w:val="auto"/>
          <w:sz w:val="24"/>
          <w:szCs w:val="24"/>
          <w:highlight w:val="none"/>
        </w:rPr>
        <w:t>.1 提供施工现场</w:t>
      </w:r>
    </w:p>
    <w:p w14:paraId="40AC8D65">
      <w:pPr>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关于发包人移交施工现场的期限要求</w:t>
      </w:r>
      <w:r>
        <w:rPr>
          <w:rFonts w:hint="eastAsia" w:ascii="仿宋" w:hAnsi="仿宋" w:eastAsia="仿宋" w:cs="仿宋"/>
          <w:color w:val="auto"/>
          <w:sz w:val="24"/>
          <w:szCs w:val="24"/>
          <w:highlight w:val="none"/>
          <w:u w:val="single"/>
        </w:rPr>
        <w:t>： 满足</w:t>
      </w:r>
      <w:r>
        <w:rPr>
          <w:rFonts w:hint="eastAsia" w:ascii="仿宋" w:hAnsi="仿宋" w:cs="仿宋"/>
          <w:color w:val="auto"/>
          <w:sz w:val="24"/>
          <w:szCs w:val="24"/>
          <w:highlight w:val="none"/>
          <w:u w:val="single"/>
          <w:lang w:val="en-US" w:eastAsia="zh-CN"/>
        </w:rPr>
        <w:t>本项目施工</w:t>
      </w:r>
      <w:r>
        <w:rPr>
          <w:rFonts w:hint="eastAsia" w:ascii="仿宋" w:hAnsi="仿宋" w:eastAsia="仿宋" w:cs="仿宋"/>
          <w:color w:val="auto"/>
          <w:sz w:val="24"/>
          <w:szCs w:val="24"/>
          <w:highlight w:val="none"/>
          <w:u w:val="single"/>
        </w:rPr>
        <w:t xml:space="preserve">要求，发包人应最迟于开工日期7天前向承包人移交施工现场 </w:t>
      </w:r>
      <w:r>
        <w:rPr>
          <w:rFonts w:hint="eastAsia" w:ascii="仿宋" w:hAnsi="仿宋" w:eastAsia="仿宋" w:cs="仿宋"/>
          <w:color w:val="auto"/>
          <w:sz w:val="24"/>
          <w:szCs w:val="24"/>
          <w:highlight w:val="none"/>
        </w:rPr>
        <w:t>。</w:t>
      </w:r>
    </w:p>
    <w:p w14:paraId="36B93D06">
      <w:pPr>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8</w:t>
      </w:r>
      <w:r>
        <w:rPr>
          <w:rFonts w:hint="eastAsia" w:ascii="仿宋" w:hAnsi="仿宋" w:eastAsia="仿宋" w:cs="仿宋"/>
          <w:color w:val="auto"/>
          <w:sz w:val="24"/>
          <w:szCs w:val="24"/>
          <w:highlight w:val="none"/>
        </w:rPr>
        <w:t>.2 提供施工条件</w:t>
      </w:r>
    </w:p>
    <w:p w14:paraId="7B66E724">
      <w:pPr>
        <w:spacing w:line="360" w:lineRule="auto"/>
        <w:ind w:firstLine="480" w:firstLineChars="200"/>
        <w:jc w:val="left"/>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rPr>
        <w:t>关于发包人应负责提供施工所需要的条件，包括：</w:t>
      </w:r>
      <w:r>
        <w:rPr>
          <w:rFonts w:hint="eastAsia" w:ascii="仿宋" w:hAnsi="仿宋" w:eastAsia="仿宋" w:cs="仿宋"/>
          <w:color w:val="auto"/>
          <w:sz w:val="24"/>
          <w:szCs w:val="24"/>
          <w:highlight w:val="none"/>
          <w:u w:val="single"/>
        </w:rPr>
        <w:t>（1）将施工用水、电力、通讯线路等施工所必需的条件接至施工现场内；</w:t>
      </w:r>
    </w:p>
    <w:p w14:paraId="6284DB9B">
      <w:pPr>
        <w:spacing w:line="360" w:lineRule="auto"/>
        <w:ind w:firstLine="480" w:firstLineChars="200"/>
        <w:jc w:val="left"/>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u w:val="single"/>
        </w:rPr>
        <w:t>（2）协调处理施工现场周围地下管线和邻近建筑物、构筑物、古树名木的保护工作；</w:t>
      </w:r>
    </w:p>
    <w:p w14:paraId="1DE9BB80">
      <w:pPr>
        <w:spacing w:line="360" w:lineRule="auto"/>
        <w:ind w:firstLine="480" w:firstLineChars="200"/>
        <w:jc w:val="left"/>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u w:val="single"/>
        </w:rPr>
        <w:t>（</w:t>
      </w:r>
      <w:r>
        <w:rPr>
          <w:rFonts w:hint="eastAsia" w:ascii="仿宋" w:hAnsi="仿宋" w:cs="仿宋"/>
          <w:color w:val="auto"/>
          <w:sz w:val="24"/>
          <w:szCs w:val="24"/>
          <w:highlight w:val="none"/>
          <w:u w:val="single"/>
          <w:lang w:val="en-US" w:eastAsia="zh-CN"/>
        </w:rPr>
        <w:t>3</w:t>
      </w:r>
      <w:r>
        <w:rPr>
          <w:rFonts w:hint="eastAsia" w:ascii="仿宋" w:hAnsi="仿宋" w:eastAsia="仿宋" w:cs="仿宋"/>
          <w:color w:val="auto"/>
          <w:sz w:val="24"/>
          <w:szCs w:val="24"/>
          <w:highlight w:val="none"/>
          <w:u w:val="single"/>
        </w:rPr>
        <w:t>）应提供的其他设施和条件。</w:t>
      </w:r>
    </w:p>
    <w:p w14:paraId="723681A0">
      <w:pPr>
        <w:pStyle w:val="5"/>
        <w:bidi w:val="0"/>
        <w:jc w:val="left"/>
        <w:rPr>
          <w:rFonts w:hint="eastAsia" w:ascii="仿宋" w:hAnsi="仿宋" w:eastAsia="仿宋" w:cs="仿宋"/>
          <w:color w:val="auto"/>
          <w:highlight w:val="none"/>
        </w:rPr>
      </w:pPr>
      <w:bookmarkStart w:id="586" w:name="_Toc11412"/>
      <w:r>
        <w:rPr>
          <w:rFonts w:hint="eastAsia" w:ascii="仿宋" w:hAnsi="仿宋" w:eastAsia="仿宋" w:cs="仿宋"/>
          <w:color w:val="auto"/>
          <w:highlight w:val="none"/>
          <w:lang w:val="en-US" w:eastAsia="zh-CN"/>
        </w:rPr>
        <w:t>9、</w:t>
      </w:r>
      <w:bookmarkEnd w:id="586"/>
      <w:bookmarkStart w:id="587" w:name="_Toc5701"/>
      <w:r>
        <w:rPr>
          <w:rFonts w:hint="eastAsia" w:ascii="仿宋" w:hAnsi="仿宋" w:eastAsia="仿宋" w:cs="仿宋"/>
          <w:color w:val="auto"/>
          <w:highlight w:val="none"/>
        </w:rPr>
        <w:t>隐蔽工程检查</w:t>
      </w:r>
      <w:bookmarkEnd w:id="587"/>
    </w:p>
    <w:p w14:paraId="3017D84D">
      <w:pPr>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9.1</w:t>
      </w:r>
      <w:r>
        <w:rPr>
          <w:rFonts w:hint="eastAsia" w:ascii="仿宋" w:hAnsi="仿宋" w:eastAsia="仿宋" w:cs="仿宋"/>
          <w:color w:val="auto"/>
          <w:sz w:val="24"/>
          <w:szCs w:val="24"/>
          <w:highlight w:val="none"/>
        </w:rPr>
        <w:t>承包人提前通知监理人隐蔽工程检查的期限的约定：</w:t>
      </w:r>
      <w:r>
        <w:rPr>
          <w:rFonts w:hint="eastAsia" w:ascii="仿宋" w:hAnsi="仿宋" w:eastAsia="仿宋" w:cs="仿宋"/>
          <w:color w:val="auto"/>
          <w:sz w:val="24"/>
          <w:szCs w:val="24"/>
          <w:highlight w:val="none"/>
          <w:u w:val="single"/>
        </w:rPr>
        <w:t xml:space="preserve">共同验收前48小时通知监理人 </w:t>
      </w:r>
      <w:r>
        <w:rPr>
          <w:rFonts w:hint="eastAsia" w:ascii="仿宋" w:hAnsi="仿宋" w:eastAsia="仿宋" w:cs="仿宋"/>
          <w:color w:val="auto"/>
          <w:sz w:val="24"/>
          <w:szCs w:val="24"/>
          <w:highlight w:val="none"/>
        </w:rPr>
        <w:t>。</w:t>
      </w:r>
    </w:p>
    <w:p w14:paraId="1DD1E182">
      <w:pPr>
        <w:spacing w:line="360" w:lineRule="auto"/>
        <w:ind w:left="0" w:leftChars="0" w:firstLine="0" w:firstLineChars="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监理人不能按时进行检查时，应提前</w:t>
      </w:r>
      <w:r>
        <w:rPr>
          <w:rFonts w:hint="eastAsia" w:ascii="仿宋" w:hAnsi="仿宋" w:eastAsia="仿宋" w:cs="仿宋"/>
          <w:color w:val="auto"/>
          <w:sz w:val="24"/>
          <w:szCs w:val="24"/>
          <w:highlight w:val="none"/>
          <w:u w:val="single"/>
        </w:rPr>
        <w:t xml:space="preserve">   24    </w:t>
      </w:r>
      <w:r>
        <w:rPr>
          <w:rFonts w:hint="eastAsia" w:ascii="仿宋" w:hAnsi="仿宋" w:eastAsia="仿宋" w:cs="仿宋"/>
          <w:color w:val="auto"/>
          <w:sz w:val="24"/>
          <w:szCs w:val="24"/>
          <w:highlight w:val="none"/>
        </w:rPr>
        <w:t>小时提交书面延期要求。</w:t>
      </w:r>
    </w:p>
    <w:p w14:paraId="17C50269">
      <w:pPr>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关于延期最长不得超过：</w:t>
      </w:r>
      <w:r>
        <w:rPr>
          <w:rFonts w:hint="eastAsia" w:ascii="仿宋" w:hAnsi="仿宋" w:eastAsia="仿宋" w:cs="仿宋"/>
          <w:color w:val="auto"/>
          <w:sz w:val="24"/>
          <w:szCs w:val="24"/>
          <w:highlight w:val="none"/>
          <w:u w:val="single"/>
        </w:rPr>
        <w:t xml:space="preserve">    24    </w:t>
      </w:r>
      <w:r>
        <w:rPr>
          <w:rFonts w:hint="eastAsia" w:ascii="仿宋" w:hAnsi="仿宋" w:eastAsia="仿宋" w:cs="仿宋"/>
          <w:color w:val="auto"/>
          <w:sz w:val="24"/>
          <w:szCs w:val="24"/>
          <w:highlight w:val="none"/>
        </w:rPr>
        <w:t>小时。</w:t>
      </w:r>
    </w:p>
    <w:p w14:paraId="7BFA22E0">
      <w:pPr>
        <w:pStyle w:val="5"/>
        <w:bidi w:val="0"/>
        <w:jc w:val="left"/>
        <w:rPr>
          <w:rFonts w:hint="eastAsia" w:ascii="仿宋" w:hAnsi="仿宋" w:eastAsia="仿宋" w:cs="仿宋"/>
          <w:b w:val="0"/>
          <w:color w:val="auto"/>
          <w:szCs w:val="24"/>
          <w:highlight w:val="none"/>
        </w:rPr>
      </w:pPr>
      <w:bookmarkStart w:id="588" w:name="_Toc351203638"/>
      <w:r>
        <w:rPr>
          <w:rFonts w:hint="eastAsia" w:ascii="仿宋" w:hAnsi="仿宋" w:eastAsia="仿宋" w:cs="仿宋"/>
          <w:color w:val="auto"/>
          <w:highlight w:val="none"/>
          <w:lang w:val="en-US" w:eastAsia="zh-CN"/>
        </w:rPr>
        <w:t>10、</w:t>
      </w:r>
      <w:r>
        <w:rPr>
          <w:rFonts w:hint="eastAsia" w:ascii="仿宋" w:hAnsi="仿宋" w:eastAsia="仿宋" w:cs="仿宋"/>
          <w:color w:val="auto"/>
          <w:highlight w:val="none"/>
        </w:rPr>
        <w:t>安全文明施工与环境保护</w:t>
      </w:r>
      <w:bookmarkEnd w:id="588"/>
    </w:p>
    <w:p w14:paraId="1B4ADD5F">
      <w:pPr>
        <w:spacing w:line="360" w:lineRule="auto"/>
        <w:ind w:firstLine="480" w:firstLineChars="200"/>
        <w:jc w:val="left"/>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rPr>
        <w:t>关于安全文明施工费支付比例和支付期限的约定</w:t>
      </w:r>
      <w:r>
        <w:rPr>
          <w:rFonts w:hint="eastAsia" w:ascii="仿宋" w:hAnsi="仿宋" w:eastAsia="仿宋" w:cs="仿宋"/>
          <w:color w:val="auto"/>
          <w:sz w:val="24"/>
          <w:szCs w:val="24"/>
          <w:highlight w:val="none"/>
          <w:u w:val="single"/>
        </w:rPr>
        <w:t>：随工程月度进度款同步支付。</w:t>
      </w:r>
    </w:p>
    <w:p w14:paraId="221B4F9E">
      <w:pPr>
        <w:pStyle w:val="5"/>
        <w:bidi w:val="0"/>
        <w:jc w:val="left"/>
        <w:rPr>
          <w:rFonts w:hint="eastAsia" w:ascii="仿宋" w:hAnsi="仿宋" w:eastAsia="仿宋" w:cs="仿宋"/>
          <w:color w:val="auto"/>
          <w:highlight w:val="none"/>
        </w:rPr>
      </w:pPr>
      <w:r>
        <w:rPr>
          <w:rFonts w:hint="eastAsia" w:ascii="仿宋" w:hAnsi="仿宋" w:eastAsia="仿宋" w:cs="仿宋"/>
          <w:color w:val="auto"/>
          <w:highlight w:val="none"/>
          <w:lang w:val="en-US" w:eastAsia="zh-CN"/>
        </w:rPr>
        <w:t>11、</w:t>
      </w:r>
      <w:r>
        <w:rPr>
          <w:rFonts w:hint="eastAsia" w:ascii="仿宋" w:hAnsi="仿宋" w:eastAsia="仿宋" w:cs="仿宋"/>
          <w:color w:val="auto"/>
          <w:highlight w:val="none"/>
        </w:rPr>
        <w:t>工期和进度</w:t>
      </w:r>
    </w:p>
    <w:p w14:paraId="0CCA2C87">
      <w:pPr>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cs="仿宋"/>
          <w:color w:val="auto"/>
          <w:sz w:val="24"/>
          <w:szCs w:val="24"/>
          <w:highlight w:val="none"/>
          <w:lang w:val="en-US" w:eastAsia="zh-CN"/>
        </w:rPr>
        <w:t>11</w:t>
      </w:r>
      <w:r>
        <w:rPr>
          <w:rFonts w:hint="eastAsia" w:ascii="仿宋" w:hAnsi="仿宋" w:eastAsia="仿宋" w:cs="仿宋"/>
          <w:color w:val="auto"/>
          <w:sz w:val="24"/>
          <w:szCs w:val="24"/>
          <w:highlight w:val="none"/>
        </w:rPr>
        <w:t>.1 施工组织设计</w:t>
      </w:r>
    </w:p>
    <w:p w14:paraId="1459B1B0">
      <w:pPr>
        <w:autoSpaceDE w:val="0"/>
        <w:autoSpaceDN w:val="0"/>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rPr>
        <w:t>承包人提交详细施工组织设计的期限的约定：</w:t>
      </w:r>
      <w:r>
        <w:rPr>
          <w:rFonts w:hint="eastAsia" w:ascii="仿宋" w:hAnsi="仿宋" w:eastAsia="仿宋" w:cs="仿宋"/>
          <w:color w:val="auto"/>
          <w:sz w:val="24"/>
          <w:szCs w:val="24"/>
          <w:highlight w:val="none"/>
          <w:u w:val="single"/>
        </w:rPr>
        <w:t xml:space="preserve"> 按发包人及监理人要求时间提供 </w:t>
      </w:r>
      <w:r>
        <w:rPr>
          <w:rFonts w:hint="eastAsia" w:ascii="仿宋" w:hAnsi="仿宋" w:eastAsia="仿宋" w:cs="仿宋"/>
          <w:color w:val="auto"/>
          <w:sz w:val="24"/>
          <w:szCs w:val="24"/>
          <w:highlight w:val="none"/>
        </w:rPr>
        <w:t>。</w:t>
      </w:r>
    </w:p>
    <w:p w14:paraId="5002710C">
      <w:pPr>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发包人和监理人在收到详细的施工组织设计后确认或提出修改意见的期限：</w:t>
      </w:r>
      <w:r>
        <w:rPr>
          <w:rFonts w:hint="eastAsia" w:ascii="仿宋" w:hAnsi="仿宋" w:eastAsia="仿宋" w:cs="仿宋"/>
          <w:color w:val="auto"/>
          <w:sz w:val="24"/>
          <w:szCs w:val="24"/>
          <w:highlight w:val="none"/>
          <w:u w:val="single"/>
        </w:rPr>
        <w:t xml:space="preserve">  收到后7天内  </w:t>
      </w:r>
      <w:r>
        <w:rPr>
          <w:rFonts w:hint="eastAsia" w:ascii="仿宋" w:hAnsi="仿宋" w:eastAsia="仿宋" w:cs="仿宋"/>
          <w:color w:val="auto"/>
          <w:sz w:val="24"/>
          <w:szCs w:val="24"/>
          <w:highlight w:val="none"/>
        </w:rPr>
        <w:t>。</w:t>
      </w:r>
    </w:p>
    <w:p w14:paraId="08B7B779">
      <w:pPr>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cs="仿宋"/>
          <w:color w:val="auto"/>
          <w:sz w:val="24"/>
          <w:szCs w:val="24"/>
          <w:highlight w:val="none"/>
          <w:lang w:val="en-US" w:eastAsia="zh-CN"/>
        </w:rPr>
        <w:t>11</w:t>
      </w:r>
      <w:r>
        <w:rPr>
          <w:rFonts w:hint="eastAsia" w:ascii="仿宋" w:hAnsi="仿宋" w:eastAsia="仿宋" w:cs="仿宋"/>
          <w:color w:val="auto"/>
          <w:sz w:val="24"/>
          <w:szCs w:val="24"/>
          <w:highlight w:val="none"/>
        </w:rPr>
        <w:t>.2 施工进度计划</w:t>
      </w:r>
    </w:p>
    <w:p w14:paraId="0D177AB0">
      <w:pPr>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发包人和监理人在收到修订的施工进度计划后确认或提出修改意见的期限：</w:t>
      </w:r>
      <w:r>
        <w:rPr>
          <w:rFonts w:hint="eastAsia" w:ascii="仿宋" w:hAnsi="仿宋" w:eastAsia="仿宋" w:cs="仿宋"/>
          <w:color w:val="auto"/>
          <w:sz w:val="24"/>
          <w:szCs w:val="24"/>
          <w:highlight w:val="none"/>
          <w:u w:val="single"/>
        </w:rPr>
        <w:t xml:space="preserve">    收到后7天内  </w:t>
      </w:r>
      <w:r>
        <w:rPr>
          <w:rFonts w:hint="eastAsia" w:ascii="仿宋" w:hAnsi="仿宋" w:eastAsia="仿宋" w:cs="仿宋"/>
          <w:color w:val="auto"/>
          <w:sz w:val="24"/>
          <w:szCs w:val="24"/>
          <w:highlight w:val="none"/>
        </w:rPr>
        <w:t>。</w:t>
      </w:r>
    </w:p>
    <w:p w14:paraId="58CA6F27">
      <w:pPr>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cs="仿宋"/>
          <w:color w:val="auto"/>
          <w:sz w:val="24"/>
          <w:szCs w:val="24"/>
          <w:highlight w:val="none"/>
          <w:lang w:val="en-US" w:eastAsia="zh-CN"/>
        </w:rPr>
        <w:t>11</w:t>
      </w:r>
      <w:r>
        <w:rPr>
          <w:rFonts w:hint="eastAsia" w:ascii="仿宋" w:hAnsi="仿宋" w:eastAsia="仿宋" w:cs="仿宋"/>
          <w:color w:val="auto"/>
          <w:sz w:val="24"/>
          <w:szCs w:val="24"/>
          <w:highlight w:val="none"/>
        </w:rPr>
        <w:t>.3 开工</w:t>
      </w:r>
    </w:p>
    <w:p w14:paraId="357534E3">
      <w:pPr>
        <w:spacing w:line="360" w:lineRule="auto"/>
        <w:ind w:firstLine="480" w:firstLineChars="200"/>
        <w:jc w:val="left"/>
        <w:rPr>
          <w:rFonts w:hint="eastAsia" w:ascii="仿宋" w:hAnsi="仿宋" w:eastAsia="仿宋" w:cs="仿宋"/>
          <w:color w:val="auto"/>
          <w:sz w:val="24"/>
          <w:szCs w:val="24"/>
          <w:highlight w:val="none"/>
          <w:u w:val="single"/>
        </w:rPr>
      </w:pPr>
      <w:r>
        <w:rPr>
          <w:rFonts w:hint="eastAsia" w:ascii="仿宋" w:hAnsi="仿宋" w:cs="仿宋"/>
          <w:color w:val="auto"/>
          <w:sz w:val="24"/>
          <w:szCs w:val="24"/>
          <w:highlight w:val="none"/>
          <w:lang w:val="en-US" w:eastAsia="zh-CN"/>
        </w:rPr>
        <w:t>11</w:t>
      </w:r>
      <w:r>
        <w:rPr>
          <w:rFonts w:hint="eastAsia" w:ascii="仿宋" w:hAnsi="仿宋" w:eastAsia="仿宋" w:cs="仿宋"/>
          <w:color w:val="auto"/>
          <w:sz w:val="24"/>
          <w:szCs w:val="24"/>
          <w:highlight w:val="none"/>
          <w:lang w:val="en-US" w:eastAsia="zh-CN"/>
        </w:rPr>
        <w:t>.3.1</w:t>
      </w:r>
      <w:r>
        <w:rPr>
          <w:rFonts w:hint="eastAsia" w:ascii="仿宋" w:hAnsi="仿宋" w:eastAsia="仿宋" w:cs="仿宋"/>
          <w:color w:val="auto"/>
          <w:sz w:val="24"/>
          <w:szCs w:val="24"/>
          <w:highlight w:val="none"/>
        </w:rPr>
        <w:t>关于承包人提交</w:t>
      </w:r>
      <w:r>
        <w:rPr>
          <w:rFonts w:hint="eastAsia" w:ascii="仿宋" w:hAnsi="仿宋" w:eastAsia="仿宋" w:cs="仿宋"/>
          <w:color w:val="auto"/>
          <w:kern w:val="0"/>
          <w:sz w:val="24"/>
          <w:szCs w:val="24"/>
          <w:highlight w:val="none"/>
        </w:rPr>
        <w:t>工程开工报审表的期限：</w:t>
      </w:r>
      <w:r>
        <w:rPr>
          <w:rFonts w:hint="eastAsia" w:ascii="仿宋" w:hAnsi="仿宋" w:eastAsia="仿宋" w:cs="仿宋"/>
          <w:color w:val="auto"/>
          <w:sz w:val="24"/>
          <w:szCs w:val="24"/>
          <w:highlight w:val="none"/>
          <w:u w:val="single"/>
        </w:rPr>
        <w:t xml:space="preserve">  合同签订后、开工前 </w:t>
      </w:r>
      <w:r>
        <w:rPr>
          <w:rFonts w:hint="eastAsia" w:ascii="仿宋" w:hAnsi="仿宋" w:eastAsia="仿宋" w:cs="仿宋"/>
          <w:color w:val="auto"/>
          <w:sz w:val="24"/>
          <w:szCs w:val="24"/>
          <w:highlight w:val="none"/>
        </w:rPr>
        <w:t>。</w:t>
      </w:r>
    </w:p>
    <w:p w14:paraId="4F2FAA0D">
      <w:pPr>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cs="仿宋"/>
          <w:color w:val="auto"/>
          <w:sz w:val="24"/>
          <w:szCs w:val="24"/>
          <w:highlight w:val="none"/>
          <w:lang w:val="en-US" w:eastAsia="zh-CN"/>
        </w:rPr>
        <w:t>11</w:t>
      </w:r>
      <w:r>
        <w:rPr>
          <w:rFonts w:hint="eastAsia" w:ascii="仿宋" w:hAnsi="仿宋" w:eastAsia="仿宋" w:cs="仿宋"/>
          <w:color w:val="auto"/>
          <w:sz w:val="24"/>
          <w:szCs w:val="24"/>
          <w:highlight w:val="none"/>
        </w:rPr>
        <w:t>.3.2开工通知</w:t>
      </w:r>
    </w:p>
    <w:p w14:paraId="729B838B">
      <w:pPr>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因发包人原因造成监理人未能在计划开工日期之日起</w:t>
      </w:r>
      <w:r>
        <w:rPr>
          <w:rFonts w:hint="eastAsia" w:ascii="仿宋" w:hAnsi="仿宋" w:eastAsia="仿宋" w:cs="仿宋"/>
          <w:color w:val="auto"/>
          <w:sz w:val="24"/>
          <w:szCs w:val="24"/>
          <w:highlight w:val="none"/>
          <w:u w:val="single"/>
        </w:rPr>
        <w:t xml:space="preserve">  30  </w:t>
      </w:r>
      <w:r>
        <w:rPr>
          <w:rFonts w:hint="eastAsia" w:ascii="仿宋" w:hAnsi="仿宋" w:eastAsia="仿宋" w:cs="仿宋"/>
          <w:color w:val="auto"/>
          <w:sz w:val="24"/>
          <w:szCs w:val="24"/>
          <w:highlight w:val="none"/>
        </w:rPr>
        <w:t>天内发出开工通知的，承包人有权提出价格调整要求，或者解除合同。</w:t>
      </w:r>
    </w:p>
    <w:p w14:paraId="53126EFF">
      <w:pPr>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cs="仿宋"/>
          <w:color w:val="auto"/>
          <w:sz w:val="24"/>
          <w:szCs w:val="24"/>
          <w:highlight w:val="none"/>
          <w:lang w:val="en-US" w:eastAsia="zh-CN"/>
        </w:rPr>
        <w:t>11</w:t>
      </w:r>
      <w:r>
        <w:rPr>
          <w:rFonts w:hint="eastAsia" w:ascii="仿宋" w:hAnsi="仿宋" w:eastAsia="仿宋" w:cs="仿宋"/>
          <w:color w:val="auto"/>
          <w:sz w:val="24"/>
          <w:szCs w:val="24"/>
          <w:highlight w:val="none"/>
        </w:rPr>
        <w:t>.4 测量放线</w:t>
      </w:r>
    </w:p>
    <w:p w14:paraId="0538FE16">
      <w:pPr>
        <w:spacing w:line="360" w:lineRule="auto"/>
        <w:ind w:firstLine="480" w:firstLineChars="200"/>
        <w:jc w:val="left"/>
        <w:rPr>
          <w:rFonts w:hint="eastAsia" w:ascii="仿宋" w:hAnsi="仿宋" w:eastAsia="仿宋" w:cs="仿宋"/>
          <w:color w:val="auto"/>
          <w:sz w:val="24"/>
          <w:szCs w:val="24"/>
          <w:highlight w:val="none"/>
          <w:u w:val="single"/>
        </w:rPr>
      </w:pPr>
      <w:r>
        <w:rPr>
          <w:rFonts w:hint="eastAsia" w:ascii="仿宋" w:hAnsi="仿宋" w:cs="仿宋"/>
          <w:color w:val="auto"/>
          <w:sz w:val="24"/>
          <w:szCs w:val="24"/>
          <w:highlight w:val="none"/>
          <w:lang w:val="en-US" w:eastAsia="zh-CN"/>
        </w:rPr>
        <w:t>11</w:t>
      </w:r>
      <w:r>
        <w:rPr>
          <w:rFonts w:hint="eastAsia" w:ascii="仿宋" w:hAnsi="仿宋" w:eastAsia="仿宋" w:cs="仿宋"/>
          <w:color w:val="auto"/>
          <w:sz w:val="24"/>
          <w:szCs w:val="24"/>
          <w:highlight w:val="none"/>
        </w:rPr>
        <w:t>.4.1发包人通过监理人向承包人提供测量基准点、基准线和水准点及其书面资料的期限</w:t>
      </w:r>
      <w:r>
        <w:rPr>
          <w:rFonts w:hint="eastAsia" w:ascii="仿宋" w:hAnsi="仿宋" w:eastAsia="仿宋" w:cs="仿宋"/>
          <w:color w:val="auto"/>
          <w:sz w:val="24"/>
          <w:szCs w:val="24"/>
          <w:highlight w:val="none"/>
          <w:u w:val="single"/>
        </w:rPr>
        <w:t xml:space="preserve">：中标后15天内告知  </w:t>
      </w:r>
      <w:r>
        <w:rPr>
          <w:rFonts w:hint="eastAsia" w:ascii="仿宋" w:hAnsi="仿宋" w:eastAsia="仿宋" w:cs="仿宋"/>
          <w:color w:val="auto"/>
          <w:sz w:val="24"/>
          <w:szCs w:val="24"/>
          <w:highlight w:val="none"/>
        </w:rPr>
        <w:t>。</w:t>
      </w:r>
    </w:p>
    <w:p w14:paraId="76785679">
      <w:pPr>
        <w:spacing w:line="360" w:lineRule="auto"/>
        <w:ind w:firstLine="480" w:firstLineChars="200"/>
        <w:jc w:val="left"/>
        <w:rPr>
          <w:rFonts w:hint="eastAsia" w:ascii="仿宋" w:hAnsi="仿宋" w:eastAsia="仿宋" w:cs="仿宋"/>
          <w:color w:val="auto"/>
          <w:sz w:val="24"/>
          <w:szCs w:val="24"/>
          <w:highlight w:val="none"/>
        </w:rPr>
      </w:pPr>
      <w:bookmarkStart w:id="589" w:name="_Toc297216175"/>
      <w:bookmarkStart w:id="590" w:name="_Toc304295546"/>
      <w:bookmarkStart w:id="591" w:name="_Toc312678010"/>
      <w:bookmarkStart w:id="592" w:name="_Toc312677484"/>
      <w:bookmarkStart w:id="593" w:name="_Toc300934968"/>
      <w:bookmarkStart w:id="594" w:name="_Toc303539125"/>
      <w:bookmarkStart w:id="595" w:name="_Toc297123516"/>
      <w:r>
        <w:rPr>
          <w:rFonts w:hint="eastAsia" w:ascii="仿宋" w:hAnsi="仿宋" w:cs="仿宋"/>
          <w:color w:val="auto"/>
          <w:sz w:val="24"/>
          <w:szCs w:val="24"/>
          <w:highlight w:val="none"/>
          <w:lang w:val="en-US" w:eastAsia="zh-CN"/>
        </w:rPr>
        <w:t>11</w:t>
      </w:r>
      <w:r>
        <w:rPr>
          <w:rFonts w:hint="eastAsia" w:ascii="仿宋" w:hAnsi="仿宋" w:eastAsia="仿宋" w:cs="仿宋"/>
          <w:color w:val="auto"/>
          <w:sz w:val="24"/>
          <w:szCs w:val="24"/>
          <w:highlight w:val="none"/>
        </w:rPr>
        <w:t>.5 工期延误</w:t>
      </w:r>
    </w:p>
    <w:bookmarkEnd w:id="589"/>
    <w:bookmarkEnd w:id="590"/>
    <w:bookmarkEnd w:id="591"/>
    <w:bookmarkEnd w:id="592"/>
    <w:bookmarkEnd w:id="593"/>
    <w:bookmarkEnd w:id="594"/>
    <w:bookmarkEnd w:id="595"/>
    <w:p w14:paraId="019A60EA">
      <w:pPr>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cs="仿宋"/>
          <w:color w:val="auto"/>
          <w:sz w:val="24"/>
          <w:szCs w:val="24"/>
          <w:highlight w:val="none"/>
          <w:lang w:val="en-US" w:eastAsia="zh-CN"/>
        </w:rPr>
        <w:t>11</w:t>
      </w:r>
      <w:r>
        <w:rPr>
          <w:rFonts w:hint="eastAsia" w:ascii="仿宋" w:hAnsi="仿宋" w:eastAsia="仿宋" w:cs="仿宋"/>
          <w:color w:val="auto"/>
          <w:sz w:val="24"/>
          <w:szCs w:val="24"/>
          <w:highlight w:val="none"/>
        </w:rPr>
        <w:t>.5.1 因发包人原因导致工期延误</w:t>
      </w:r>
    </w:p>
    <w:p w14:paraId="1A84955A">
      <w:pPr>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因发包人原因导致工期延误</w:t>
      </w:r>
      <w:r>
        <w:rPr>
          <w:rFonts w:hint="eastAsia" w:ascii="仿宋" w:hAnsi="仿宋" w:cs="仿宋"/>
          <w:color w:val="auto"/>
          <w:sz w:val="24"/>
          <w:szCs w:val="24"/>
          <w:highlight w:val="none"/>
          <w:lang w:val="en-US" w:eastAsia="zh-CN"/>
        </w:rPr>
        <w:t>的，工期顺延</w:t>
      </w:r>
      <w:r>
        <w:rPr>
          <w:rFonts w:hint="eastAsia" w:ascii="仿宋" w:hAnsi="仿宋" w:eastAsia="仿宋" w:cs="仿宋"/>
          <w:color w:val="auto"/>
          <w:sz w:val="24"/>
          <w:szCs w:val="24"/>
          <w:highlight w:val="none"/>
        </w:rPr>
        <w:t>。</w:t>
      </w:r>
    </w:p>
    <w:p w14:paraId="6B6254D7">
      <w:pPr>
        <w:spacing w:line="360" w:lineRule="auto"/>
        <w:ind w:firstLine="480" w:firstLineChars="200"/>
        <w:jc w:val="left"/>
        <w:rPr>
          <w:rFonts w:hint="eastAsia" w:ascii="仿宋" w:hAnsi="仿宋" w:eastAsia="仿宋" w:cs="仿宋"/>
          <w:color w:val="auto"/>
          <w:sz w:val="24"/>
          <w:szCs w:val="24"/>
          <w:highlight w:val="none"/>
        </w:rPr>
      </w:pPr>
      <w:bookmarkStart w:id="596" w:name="_Toc312677486"/>
      <w:bookmarkStart w:id="597" w:name="_Toc318581169"/>
      <w:bookmarkStart w:id="598" w:name="_Toc312678012"/>
      <w:r>
        <w:rPr>
          <w:rFonts w:hint="eastAsia" w:ascii="仿宋" w:hAnsi="仿宋" w:cs="仿宋"/>
          <w:color w:val="auto"/>
          <w:sz w:val="24"/>
          <w:szCs w:val="24"/>
          <w:highlight w:val="none"/>
          <w:lang w:val="en-US" w:eastAsia="zh-CN"/>
        </w:rPr>
        <w:t>11</w:t>
      </w:r>
      <w:r>
        <w:rPr>
          <w:rFonts w:hint="eastAsia" w:ascii="仿宋" w:hAnsi="仿宋" w:eastAsia="仿宋" w:cs="仿宋"/>
          <w:color w:val="auto"/>
          <w:sz w:val="24"/>
          <w:szCs w:val="24"/>
          <w:highlight w:val="none"/>
        </w:rPr>
        <w:t>.5.2 因承包人原因导致工期延误</w:t>
      </w:r>
    </w:p>
    <w:bookmarkEnd w:id="596"/>
    <w:bookmarkEnd w:id="597"/>
    <w:bookmarkEnd w:id="598"/>
    <w:p w14:paraId="365DBBD2">
      <w:pPr>
        <w:spacing w:line="360" w:lineRule="auto"/>
        <w:ind w:firstLine="480" w:firstLineChars="200"/>
        <w:jc w:val="left"/>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rPr>
        <w:t>因承包人原因造成工期延误，逾期竣工违约金的计算方法为：</w:t>
      </w:r>
    </w:p>
    <w:p w14:paraId="44FB4553">
      <w:pPr>
        <w:spacing w:line="360" w:lineRule="auto"/>
        <w:ind w:firstLine="480" w:firstLineChars="200"/>
        <w:jc w:val="left"/>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u w:val="single"/>
        </w:rPr>
        <w:t xml:space="preserve">  每延期一天罚款1000元/天。</w:t>
      </w:r>
    </w:p>
    <w:p w14:paraId="769F596A">
      <w:pPr>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因承包人原因造成工期延误，逾期竣工违约金的上限：</w:t>
      </w:r>
      <w:r>
        <w:rPr>
          <w:rFonts w:hint="eastAsia" w:ascii="仿宋" w:hAnsi="仿宋" w:eastAsia="仿宋" w:cs="仿宋"/>
          <w:color w:val="auto"/>
          <w:sz w:val="24"/>
          <w:szCs w:val="24"/>
          <w:highlight w:val="none"/>
          <w:u w:val="single"/>
        </w:rPr>
        <w:t xml:space="preserve"> 累计最高不超过</w:t>
      </w:r>
      <w:r>
        <w:rPr>
          <w:rFonts w:hint="eastAsia" w:ascii="仿宋" w:hAnsi="仿宋" w:cs="仿宋"/>
          <w:color w:val="auto"/>
          <w:szCs w:val="24"/>
          <w:highlight w:val="none"/>
          <w:u w:val="single"/>
          <w:lang w:val="en-US" w:eastAsia="zh-CN"/>
        </w:rPr>
        <w:t>施工工程费</w:t>
      </w:r>
      <w:r>
        <w:rPr>
          <w:rFonts w:hint="eastAsia" w:ascii="仿宋" w:hAnsi="仿宋" w:eastAsia="仿宋" w:cs="仿宋"/>
          <w:color w:val="auto"/>
          <w:sz w:val="24"/>
          <w:szCs w:val="24"/>
          <w:highlight w:val="none"/>
          <w:u w:val="single"/>
        </w:rPr>
        <w:t xml:space="preserve">的0.5% </w:t>
      </w:r>
      <w:r>
        <w:rPr>
          <w:rFonts w:hint="eastAsia" w:ascii="仿宋" w:hAnsi="仿宋" w:eastAsia="仿宋" w:cs="仿宋"/>
          <w:color w:val="auto"/>
          <w:sz w:val="24"/>
          <w:szCs w:val="24"/>
          <w:highlight w:val="none"/>
        </w:rPr>
        <w:t>。</w:t>
      </w:r>
    </w:p>
    <w:p w14:paraId="487ABE2C">
      <w:pPr>
        <w:spacing w:line="360" w:lineRule="auto"/>
        <w:ind w:firstLine="480" w:firstLineChars="200"/>
        <w:jc w:val="left"/>
        <w:rPr>
          <w:rFonts w:hint="eastAsia" w:ascii="仿宋" w:hAnsi="仿宋" w:eastAsia="仿宋" w:cs="仿宋"/>
          <w:color w:val="auto"/>
          <w:sz w:val="24"/>
          <w:szCs w:val="24"/>
          <w:highlight w:val="none"/>
        </w:rPr>
      </w:pPr>
      <w:bookmarkStart w:id="599" w:name="_Toc297123519"/>
      <w:bookmarkStart w:id="600" w:name="_Toc300934971"/>
      <w:bookmarkStart w:id="601" w:name="_Toc297216178"/>
      <w:bookmarkStart w:id="602" w:name="_Toc303539128"/>
      <w:bookmarkStart w:id="603" w:name="_Toc304295549"/>
      <w:bookmarkStart w:id="604" w:name="_Toc312678015"/>
      <w:r>
        <w:rPr>
          <w:rFonts w:hint="eastAsia" w:ascii="仿宋" w:hAnsi="仿宋" w:cs="仿宋"/>
          <w:color w:val="auto"/>
          <w:sz w:val="24"/>
          <w:szCs w:val="24"/>
          <w:highlight w:val="none"/>
          <w:lang w:val="en-US" w:eastAsia="zh-CN"/>
        </w:rPr>
        <w:t>11</w:t>
      </w:r>
      <w:r>
        <w:rPr>
          <w:rFonts w:hint="eastAsia" w:ascii="仿宋" w:hAnsi="仿宋" w:eastAsia="仿宋" w:cs="仿宋"/>
          <w:color w:val="auto"/>
          <w:sz w:val="24"/>
          <w:szCs w:val="24"/>
          <w:highlight w:val="none"/>
        </w:rPr>
        <w:t xml:space="preserve">.6 </w:t>
      </w:r>
      <w:bookmarkEnd w:id="599"/>
      <w:bookmarkEnd w:id="600"/>
      <w:bookmarkEnd w:id="601"/>
      <w:bookmarkEnd w:id="602"/>
      <w:bookmarkEnd w:id="603"/>
      <w:bookmarkEnd w:id="604"/>
      <w:bookmarkStart w:id="605" w:name="_Toc300934973"/>
      <w:bookmarkStart w:id="606" w:name="_Toc304295551"/>
      <w:bookmarkStart w:id="607" w:name="_Toc297123521"/>
      <w:bookmarkStart w:id="608" w:name="_Toc312678017"/>
      <w:bookmarkStart w:id="609" w:name="_Toc297216180"/>
      <w:bookmarkStart w:id="610" w:name="_Toc303539130"/>
      <w:r>
        <w:rPr>
          <w:rFonts w:hint="eastAsia" w:ascii="仿宋" w:hAnsi="仿宋" w:eastAsia="仿宋" w:cs="仿宋"/>
          <w:color w:val="auto"/>
          <w:sz w:val="24"/>
          <w:szCs w:val="24"/>
          <w:highlight w:val="none"/>
        </w:rPr>
        <w:t>异常恶劣的气候条件</w:t>
      </w:r>
    </w:p>
    <w:bookmarkEnd w:id="605"/>
    <w:bookmarkEnd w:id="606"/>
    <w:bookmarkEnd w:id="607"/>
    <w:bookmarkEnd w:id="608"/>
    <w:bookmarkEnd w:id="609"/>
    <w:bookmarkEnd w:id="610"/>
    <w:p w14:paraId="27DE8935">
      <w:pPr>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发包人和承包人同意以下情形视为异常恶劣的气候条件：</w:t>
      </w:r>
    </w:p>
    <w:p w14:paraId="1F428D53">
      <w:pPr>
        <w:spacing w:line="360" w:lineRule="auto"/>
        <w:ind w:firstLine="480" w:firstLineChars="200"/>
        <w:jc w:val="left"/>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u w:val="single"/>
        </w:rPr>
        <w:t>（1）日降雨量大于50㎜的雨日连续超过3天；</w:t>
      </w:r>
    </w:p>
    <w:p w14:paraId="57345F2D">
      <w:pPr>
        <w:spacing w:line="360" w:lineRule="auto"/>
        <w:ind w:firstLine="480" w:firstLineChars="200"/>
        <w:jc w:val="left"/>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u w:val="single"/>
        </w:rPr>
        <w:t>（2）10级以上台风灾害；</w:t>
      </w:r>
    </w:p>
    <w:p w14:paraId="0F3419C4">
      <w:pPr>
        <w:spacing w:line="360" w:lineRule="auto"/>
        <w:ind w:firstLine="480" w:firstLineChars="200"/>
        <w:jc w:val="left"/>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u w:val="single"/>
        </w:rPr>
        <w:t>（3）连续日最高气温超过38℃的高温大于3天；</w:t>
      </w:r>
    </w:p>
    <w:p w14:paraId="5CCD3491">
      <w:pPr>
        <w:spacing w:line="360" w:lineRule="auto"/>
        <w:ind w:firstLine="480" w:firstLineChars="200"/>
        <w:jc w:val="left"/>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u w:val="single"/>
        </w:rPr>
        <w:t>（4）连续日最低气温低于-30℃的严寒大于3天；</w:t>
      </w:r>
    </w:p>
    <w:p w14:paraId="476679A3">
      <w:pPr>
        <w:spacing w:line="360" w:lineRule="auto"/>
        <w:ind w:firstLine="480" w:firstLineChars="200"/>
        <w:jc w:val="left"/>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u w:val="single"/>
        </w:rPr>
        <w:t>（5）造成工程损坏的冰雹；</w:t>
      </w:r>
    </w:p>
    <w:p w14:paraId="41554FAF">
      <w:pPr>
        <w:spacing w:line="360" w:lineRule="auto"/>
        <w:ind w:firstLine="480" w:firstLineChars="200"/>
        <w:jc w:val="left"/>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u w:val="single"/>
        </w:rPr>
        <w:t>（6）日降雪量大于20mm的下雪日连续超过3天。</w:t>
      </w:r>
    </w:p>
    <w:p w14:paraId="00DED4E1">
      <w:pPr>
        <w:bidi w:val="0"/>
        <w:jc w:val="left"/>
        <w:rPr>
          <w:rFonts w:hint="eastAsia" w:ascii="仿宋" w:hAnsi="仿宋" w:eastAsia="仿宋" w:cs="仿宋"/>
          <w:color w:val="auto"/>
          <w:highlight w:val="none"/>
        </w:rPr>
      </w:pPr>
      <w:bookmarkStart w:id="611" w:name="_Toc4304"/>
      <w:r>
        <w:rPr>
          <w:rFonts w:hint="eastAsia" w:ascii="仿宋" w:hAnsi="仿宋" w:cs="仿宋"/>
          <w:color w:val="auto"/>
          <w:highlight w:val="none"/>
          <w:lang w:val="en-US" w:eastAsia="zh-CN"/>
        </w:rPr>
        <w:t>11</w:t>
      </w:r>
      <w:r>
        <w:rPr>
          <w:rFonts w:hint="eastAsia" w:ascii="仿宋" w:hAnsi="仿宋" w:eastAsia="仿宋" w:cs="仿宋"/>
          <w:color w:val="auto"/>
          <w:highlight w:val="none"/>
        </w:rPr>
        <w:t>.</w:t>
      </w:r>
      <w:r>
        <w:rPr>
          <w:rFonts w:hint="eastAsia" w:ascii="仿宋" w:hAnsi="仿宋" w:eastAsia="仿宋" w:cs="仿宋"/>
          <w:color w:val="auto"/>
          <w:highlight w:val="none"/>
          <w:lang w:val="en-US" w:eastAsia="zh-CN"/>
        </w:rPr>
        <w:t>7</w:t>
      </w:r>
      <w:r>
        <w:rPr>
          <w:rFonts w:hint="eastAsia" w:ascii="仿宋" w:hAnsi="仿宋" w:eastAsia="仿宋" w:cs="仿宋"/>
          <w:color w:val="auto"/>
          <w:highlight w:val="none"/>
        </w:rPr>
        <w:t xml:space="preserve"> 提前竣工的奖励</w:t>
      </w:r>
      <w:bookmarkEnd w:id="611"/>
    </w:p>
    <w:p w14:paraId="7F996937">
      <w:pPr>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提前竣工的奖励：</w:t>
      </w:r>
      <w:r>
        <w:rPr>
          <w:rFonts w:hint="eastAsia" w:ascii="仿宋" w:hAnsi="仿宋" w:eastAsia="仿宋" w:cs="仿宋"/>
          <w:color w:val="auto"/>
          <w:sz w:val="24"/>
          <w:szCs w:val="24"/>
          <w:highlight w:val="none"/>
          <w:u w:val="single"/>
        </w:rPr>
        <w:t>项目提前竣工奖励1000元/天，最高累计奖励合同价款的0.5%，奖励在最后一期进度款中申请。</w:t>
      </w:r>
    </w:p>
    <w:p w14:paraId="3B666D00">
      <w:pPr>
        <w:pStyle w:val="5"/>
        <w:bidi w:val="0"/>
        <w:jc w:val="left"/>
        <w:rPr>
          <w:rFonts w:hint="eastAsia" w:ascii="仿宋" w:hAnsi="仿宋" w:eastAsia="仿宋" w:cs="仿宋"/>
          <w:color w:val="auto"/>
          <w:highlight w:val="none"/>
        </w:rPr>
      </w:pPr>
      <w:bookmarkStart w:id="612" w:name="_Toc351203640"/>
      <w:r>
        <w:rPr>
          <w:rFonts w:hint="eastAsia" w:ascii="仿宋" w:hAnsi="仿宋" w:eastAsia="仿宋" w:cs="仿宋"/>
          <w:color w:val="auto"/>
          <w:highlight w:val="none"/>
          <w:lang w:val="en-US" w:eastAsia="zh-CN"/>
        </w:rPr>
        <w:t>12、</w:t>
      </w:r>
      <w:r>
        <w:rPr>
          <w:rFonts w:hint="eastAsia" w:ascii="仿宋" w:hAnsi="仿宋" w:eastAsia="仿宋" w:cs="仿宋"/>
          <w:color w:val="auto"/>
          <w:highlight w:val="none"/>
        </w:rPr>
        <w:t>材料与设备</w:t>
      </w:r>
      <w:bookmarkEnd w:id="612"/>
    </w:p>
    <w:p w14:paraId="6B45FB89">
      <w:pPr>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12.1本工程所需</w:t>
      </w:r>
      <w:r>
        <w:rPr>
          <w:rFonts w:hint="eastAsia" w:ascii="仿宋" w:hAnsi="仿宋" w:eastAsia="仿宋" w:cs="仿宋"/>
          <w:color w:val="auto"/>
          <w:sz w:val="24"/>
          <w:szCs w:val="24"/>
          <w:highlight w:val="none"/>
        </w:rPr>
        <w:t>的材料设备的保管费用的承担：</w:t>
      </w:r>
      <w:r>
        <w:rPr>
          <w:rFonts w:hint="eastAsia" w:ascii="仿宋" w:hAnsi="仿宋" w:eastAsia="仿宋" w:cs="仿宋"/>
          <w:color w:val="auto"/>
          <w:sz w:val="24"/>
          <w:szCs w:val="24"/>
          <w:highlight w:val="none"/>
          <w:u w:val="single"/>
        </w:rPr>
        <w:t xml:space="preserve"> 承包人承担 </w:t>
      </w:r>
      <w:r>
        <w:rPr>
          <w:rFonts w:hint="eastAsia" w:ascii="仿宋" w:hAnsi="仿宋" w:eastAsia="仿宋" w:cs="仿宋"/>
          <w:color w:val="auto"/>
          <w:sz w:val="24"/>
          <w:szCs w:val="24"/>
          <w:highlight w:val="none"/>
        </w:rPr>
        <w:t>。</w:t>
      </w:r>
    </w:p>
    <w:p w14:paraId="025A923B">
      <w:pPr>
        <w:autoSpaceDE w:val="0"/>
        <w:autoSpaceDN w:val="0"/>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highlight w:val="none"/>
          <w:lang w:val="en-US" w:eastAsia="zh-CN"/>
        </w:rPr>
        <w:t xml:space="preserve">12.2 </w:t>
      </w:r>
      <w:r>
        <w:rPr>
          <w:rFonts w:hint="eastAsia" w:ascii="仿宋" w:hAnsi="仿宋" w:eastAsia="仿宋" w:cs="仿宋"/>
          <w:color w:val="auto"/>
          <w:sz w:val="24"/>
          <w:szCs w:val="24"/>
          <w:highlight w:val="none"/>
        </w:rPr>
        <w:t>关于修建临时设施费用承担的约定：</w:t>
      </w:r>
      <w:r>
        <w:rPr>
          <w:rFonts w:hint="eastAsia" w:ascii="仿宋" w:hAnsi="仿宋" w:eastAsia="仿宋" w:cs="仿宋"/>
          <w:color w:val="auto"/>
          <w:sz w:val="24"/>
          <w:szCs w:val="24"/>
          <w:highlight w:val="none"/>
          <w:u w:val="single"/>
        </w:rPr>
        <w:t xml:space="preserve"> </w:t>
      </w:r>
      <w:r>
        <w:rPr>
          <w:rFonts w:hint="eastAsia" w:ascii="仿宋" w:hAnsi="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u w:val="single"/>
        </w:rPr>
        <w:t>。</w:t>
      </w:r>
    </w:p>
    <w:p w14:paraId="1A2C2F6F">
      <w:pPr>
        <w:pStyle w:val="5"/>
        <w:bidi w:val="0"/>
        <w:jc w:val="left"/>
        <w:rPr>
          <w:rFonts w:hint="eastAsia" w:ascii="仿宋" w:hAnsi="仿宋" w:eastAsia="仿宋" w:cs="仿宋"/>
          <w:color w:val="auto"/>
          <w:highlight w:val="none"/>
        </w:rPr>
      </w:pPr>
      <w:bookmarkStart w:id="613" w:name="_Toc351203642"/>
      <w:r>
        <w:rPr>
          <w:rFonts w:hint="eastAsia" w:ascii="仿宋" w:hAnsi="仿宋" w:eastAsia="仿宋" w:cs="仿宋"/>
          <w:color w:val="auto"/>
          <w:highlight w:val="none"/>
        </w:rPr>
        <w:t>1</w:t>
      </w:r>
      <w:bookmarkStart w:id="614" w:name="_Toc296891021"/>
      <w:bookmarkStart w:id="615" w:name="_Toc303539146"/>
      <w:bookmarkStart w:id="616" w:name="_Toc297048379"/>
      <w:bookmarkStart w:id="617" w:name="_Toc296891233"/>
      <w:bookmarkStart w:id="618" w:name="_Toc304295566"/>
      <w:bookmarkStart w:id="619" w:name="_Toc292559903"/>
      <w:bookmarkStart w:id="620" w:name="_Toc296503193"/>
      <w:bookmarkStart w:id="621" w:name="_Toc297216199"/>
      <w:bookmarkStart w:id="622" w:name="_Toc300934989"/>
      <w:bookmarkStart w:id="623" w:name="_Toc296944532"/>
      <w:bookmarkStart w:id="624" w:name="_Toc292559398"/>
      <w:bookmarkStart w:id="625" w:name="_Toc296347192"/>
      <w:bookmarkStart w:id="626" w:name="_Toc297120493"/>
      <w:bookmarkStart w:id="627" w:name="_Toc297123540"/>
      <w:bookmarkStart w:id="628" w:name="_Toc296346694"/>
      <w:bookmarkStart w:id="629" w:name="_Toc312678025"/>
      <w:bookmarkStart w:id="630" w:name="_Toc312677499"/>
      <w:r>
        <w:rPr>
          <w:rFonts w:hint="eastAsia" w:ascii="仿宋" w:hAnsi="仿宋" w:eastAsia="仿宋" w:cs="仿宋"/>
          <w:color w:val="auto"/>
          <w:highlight w:val="none"/>
          <w:lang w:val="en-US" w:eastAsia="zh-CN"/>
        </w:rPr>
        <w:t>3、</w:t>
      </w:r>
      <w:r>
        <w:rPr>
          <w:rFonts w:hint="eastAsia" w:ascii="仿宋" w:hAnsi="仿宋" w:eastAsia="仿宋" w:cs="仿宋"/>
          <w:color w:val="auto"/>
          <w:highlight w:val="none"/>
        </w:rPr>
        <w:t>变更</w:t>
      </w:r>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p>
    <w:bookmarkEnd w:id="629"/>
    <w:bookmarkEnd w:id="630"/>
    <w:p w14:paraId="59CBC30D">
      <w:pPr>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13.1</w:t>
      </w:r>
      <w:r>
        <w:rPr>
          <w:rFonts w:hint="eastAsia" w:ascii="仿宋" w:hAnsi="仿宋" w:eastAsia="仿宋" w:cs="仿宋"/>
          <w:color w:val="auto"/>
          <w:sz w:val="24"/>
          <w:szCs w:val="24"/>
          <w:highlight w:val="none"/>
        </w:rPr>
        <w:t>变更估价原则</w:t>
      </w:r>
    </w:p>
    <w:p w14:paraId="7906A655">
      <w:pPr>
        <w:spacing w:line="360" w:lineRule="auto"/>
        <w:ind w:firstLine="480" w:firstLineChars="200"/>
        <w:jc w:val="left"/>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rPr>
        <w:t>关于变更估价的约定:</w:t>
      </w:r>
      <w:r>
        <w:rPr>
          <w:rFonts w:hint="eastAsia" w:ascii="仿宋" w:hAnsi="仿宋" w:eastAsia="仿宋" w:cs="仿宋"/>
          <w:color w:val="auto"/>
          <w:sz w:val="24"/>
          <w:szCs w:val="24"/>
          <w:highlight w:val="none"/>
          <w:u w:val="single"/>
        </w:rPr>
        <w:t xml:space="preserve"> 1）合同中已标价工程量清单已有适用于变更工程子目的综合单价，则变更子目单价采用该项综合单价，经监理人和发包人审核确认后生效。2）合同中已标价工程量清单没有适用于变更工程子目的综合单价、但有类似子目的，可在合理范围内参照该类似子目的综合单价，经监理人和发包人审核确认后生效。3）已标价工程量清单没有适用或类似子目的综合单价的，由承包人依据变更工程资料进行组价后，经监理人和发包人审核确认后生效。</w:t>
      </w:r>
    </w:p>
    <w:p w14:paraId="0F27F834">
      <w:pPr>
        <w:spacing w:line="360" w:lineRule="auto"/>
        <w:ind w:firstLine="480" w:firstLineChars="200"/>
        <w:jc w:val="left"/>
        <w:rPr>
          <w:rFonts w:hint="eastAsia" w:ascii="仿宋" w:hAnsi="仿宋" w:eastAsia="仿宋" w:cs="仿宋"/>
          <w:color w:val="auto"/>
          <w:sz w:val="24"/>
          <w:szCs w:val="24"/>
          <w:highlight w:val="none"/>
        </w:rPr>
      </w:pPr>
      <w:bookmarkStart w:id="631" w:name="_Toc296346698"/>
      <w:bookmarkStart w:id="632" w:name="_Toc292559907"/>
      <w:bookmarkStart w:id="633" w:name="_Toc296891237"/>
      <w:bookmarkStart w:id="634" w:name="_Toc297120497"/>
      <w:bookmarkStart w:id="635" w:name="_Toc292559402"/>
      <w:bookmarkStart w:id="636" w:name="_Toc297123544"/>
      <w:bookmarkStart w:id="637" w:name="_Toc296347196"/>
      <w:bookmarkStart w:id="638" w:name="_Toc297216203"/>
      <w:bookmarkStart w:id="639" w:name="_Toc297048383"/>
      <w:bookmarkStart w:id="640" w:name="_Toc296891025"/>
      <w:bookmarkStart w:id="641" w:name="_Toc296503197"/>
      <w:bookmarkStart w:id="642" w:name="_Toc296944536"/>
      <w:bookmarkStart w:id="643" w:name="_Toc300934993"/>
      <w:bookmarkStart w:id="644" w:name="_Toc303539150"/>
      <w:bookmarkStart w:id="645" w:name="_Toc312677503"/>
      <w:bookmarkStart w:id="646" w:name="_Toc312678029"/>
      <w:bookmarkStart w:id="647" w:name="_Toc304295570"/>
      <w:r>
        <w:rPr>
          <w:rFonts w:hint="eastAsia" w:ascii="仿宋" w:hAnsi="仿宋" w:eastAsia="仿宋" w:cs="仿宋"/>
          <w:color w:val="auto"/>
          <w:sz w:val="24"/>
          <w:szCs w:val="24"/>
          <w:highlight w:val="none"/>
          <w:lang w:val="en-US" w:eastAsia="zh-CN"/>
        </w:rPr>
        <w:t>13.2</w:t>
      </w:r>
      <w:r>
        <w:rPr>
          <w:rFonts w:hint="eastAsia" w:ascii="仿宋" w:hAnsi="仿宋" w:eastAsia="仿宋" w:cs="仿宋"/>
          <w:color w:val="auto"/>
          <w:sz w:val="24"/>
          <w:szCs w:val="24"/>
          <w:highlight w:val="none"/>
        </w:rPr>
        <w:t>承</w:t>
      </w:r>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Start w:id="648" w:name="_Toc296891031"/>
      <w:bookmarkStart w:id="649" w:name="_Toc296503203"/>
      <w:bookmarkStart w:id="650" w:name="_Toc296346704"/>
      <w:bookmarkStart w:id="651" w:name="_Toc292559913"/>
      <w:bookmarkStart w:id="652" w:name="_Toc297120503"/>
      <w:bookmarkStart w:id="653" w:name="_Toc296891243"/>
      <w:bookmarkStart w:id="654" w:name="_Toc297216204"/>
      <w:bookmarkStart w:id="655" w:name="_Toc303539151"/>
      <w:bookmarkStart w:id="656" w:name="_Toc297123545"/>
      <w:bookmarkStart w:id="657" w:name="_Toc296944542"/>
      <w:bookmarkStart w:id="658" w:name="_Toc297048389"/>
      <w:bookmarkStart w:id="659" w:name="_Toc300934994"/>
      <w:bookmarkStart w:id="660" w:name="_Toc292559408"/>
      <w:bookmarkStart w:id="661" w:name="_Toc296347202"/>
      <w:r>
        <w:rPr>
          <w:rFonts w:hint="eastAsia" w:ascii="仿宋" w:hAnsi="仿宋" w:eastAsia="仿宋" w:cs="仿宋"/>
          <w:color w:val="auto"/>
          <w:sz w:val="24"/>
          <w:szCs w:val="24"/>
          <w:highlight w:val="none"/>
        </w:rPr>
        <w:t>包人的合理化建议</w:t>
      </w:r>
    </w:p>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p w14:paraId="0B6996F8">
      <w:pPr>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监理人审查承包人合理化建议的期限：</w:t>
      </w:r>
      <w:r>
        <w:rPr>
          <w:rFonts w:hint="eastAsia" w:ascii="仿宋" w:hAnsi="仿宋" w:eastAsia="仿宋" w:cs="仿宋"/>
          <w:color w:val="auto"/>
          <w:sz w:val="24"/>
          <w:szCs w:val="24"/>
          <w:highlight w:val="none"/>
          <w:u w:val="single"/>
        </w:rPr>
        <w:t xml:space="preserve">   7个工作日     </w:t>
      </w:r>
      <w:r>
        <w:rPr>
          <w:rFonts w:hint="eastAsia" w:ascii="仿宋" w:hAnsi="仿宋" w:eastAsia="仿宋" w:cs="仿宋"/>
          <w:color w:val="auto"/>
          <w:sz w:val="24"/>
          <w:szCs w:val="24"/>
          <w:highlight w:val="none"/>
        </w:rPr>
        <w:t>。</w:t>
      </w:r>
    </w:p>
    <w:p w14:paraId="6CD164C9">
      <w:pPr>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发包人审批承包人合理化建议的期限：</w:t>
      </w:r>
      <w:r>
        <w:rPr>
          <w:rFonts w:hint="eastAsia" w:ascii="仿宋" w:hAnsi="仿宋" w:eastAsia="仿宋" w:cs="仿宋"/>
          <w:color w:val="auto"/>
          <w:sz w:val="24"/>
          <w:szCs w:val="24"/>
          <w:highlight w:val="none"/>
          <w:u w:val="single"/>
        </w:rPr>
        <w:t xml:space="preserve">     7个工作日    </w:t>
      </w:r>
      <w:r>
        <w:rPr>
          <w:rFonts w:hint="eastAsia" w:ascii="仿宋" w:hAnsi="仿宋" w:eastAsia="仿宋" w:cs="仿宋"/>
          <w:color w:val="auto"/>
          <w:sz w:val="24"/>
          <w:szCs w:val="24"/>
          <w:highlight w:val="none"/>
        </w:rPr>
        <w:t>。</w:t>
      </w:r>
    </w:p>
    <w:p w14:paraId="206B667A">
      <w:pPr>
        <w:spacing w:line="360" w:lineRule="auto"/>
        <w:ind w:firstLine="480" w:firstLineChars="200"/>
        <w:jc w:val="left"/>
        <w:rPr>
          <w:rFonts w:hint="eastAsia" w:ascii="仿宋" w:hAnsi="仿宋" w:eastAsia="仿宋" w:cs="仿宋"/>
          <w:color w:val="auto"/>
          <w:sz w:val="24"/>
          <w:szCs w:val="24"/>
          <w:highlight w:val="none"/>
        </w:rPr>
      </w:pPr>
      <w:bookmarkStart w:id="662" w:name="_Toc292559404"/>
      <w:bookmarkStart w:id="663" w:name="_Toc297123548"/>
      <w:bookmarkStart w:id="664" w:name="_Toc296891239"/>
      <w:bookmarkStart w:id="665" w:name="_Toc312678033"/>
      <w:bookmarkStart w:id="666" w:name="_Toc296944538"/>
      <w:bookmarkStart w:id="667" w:name="_Toc296346700"/>
      <w:bookmarkStart w:id="668" w:name="_Toc296347198"/>
      <w:bookmarkStart w:id="669" w:name="_Toc292559909"/>
      <w:bookmarkStart w:id="670" w:name="_Toc296891027"/>
      <w:bookmarkStart w:id="671" w:name="_Toc297216207"/>
      <w:bookmarkStart w:id="672" w:name="_Toc304295574"/>
      <w:bookmarkStart w:id="673" w:name="_Toc296503199"/>
      <w:bookmarkStart w:id="674" w:name="_Toc297120499"/>
      <w:bookmarkStart w:id="675" w:name="_Toc303539154"/>
      <w:bookmarkStart w:id="676" w:name="_Toc300934997"/>
      <w:bookmarkStart w:id="677" w:name="_Toc297048385"/>
      <w:bookmarkStart w:id="678" w:name="_Toc28949"/>
      <w:bookmarkStart w:id="679" w:name="_Toc312677507"/>
      <w:r>
        <w:rPr>
          <w:rFonts w:hint="eastAsia" w:ascii="仿宋" w:hAnsi="仿宋" w:eastAsia="仿宋" w:cs="仿宋"/>
          <w:color w:val="auto"/>
          <w:highlight w:val="none"/>
          <w:lang w:val="en-US" w:eastAsia="zh-CN"/>
        </w:rPr>
        <w:t>13.3</w:t>
      </w:r>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r>
        <w:rPr>
          <w:rFonts w:hint="eastAsia" w:ascii="仿宋" w:hAnsi="仿宋" w:eastAsia="仿宋" w:cs="仿宋"/>
          <w:color w:val="auto"/>
          <w:sz w:val="24"/>
          <w:szCs w:val="24"/>
          <w:highlight w:val="none"/>
        </w:rPr>
        <w:t>暂列金额</w:t>
      </w:r>
    </w:p>
    <w:p w14:paraId="5347230C">
      <w:pPr>
        <w:autoSpaceDE w:val="0"/>
        <w:autoSpaceDN w:val="0"/>
        <w:spacing w:line="360" w:lineRule="auto"/>
        <w:ind w:firstLine="480" w:firstLineChars="200"/>
        <w:jc w:val="left"/>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合同当事人关于暂列金额使用的约定：</w:t>
      </w:r>
      <w:r>
        <w:rPr>
          <w:rFonts w:hint="eastAsia" w:ascii="仿宋" w:hAnsi="仿宋" w:eastAsia="仿宋" w:cs="仿宋"/>
          <w:color w:val="auto"/>
          <w:sz w:val="24"/>
          <w:szCs w:val="24"/>
          <w:highlight w:val="none"/>
          <w:u w:val="single"/>
        </w:rPr>
        <w:t xml:space="preserve">       /     </w:t>
      </w:r>
      <w:r>
        <w:rPr>
          <w:rFonts w:hint="eastAsia" w:ascii="仿宋" w:hAnsi="仿宋" w:eastAsia="仿宋" w:cs="仿宋"/>
          <w:color w:val="auto"/>
          <w:kern w:val="0"/>
          <w:sz w:val="24"/>
          <w:szCs w:val="24"/>
          <w:highlight w:val="none"/>
        </w:rPr>
        <w:t>。</w:t>
      </w:r>
    </w:p>
    <w:p w14:paraId="5439AFBE">
      <w:pPr>
        <w:pStyle w:val="5"/>
        <w:bidi w:val="0"/>
        <w:jc w:val="left"/>
        <w:rPr>
          <w:rFonts w:hint="eastAsia" w:ascii="仿宋" w:hAnsi="仿宋" w:eastAsia="仿宋" w:cs="仿宋"/>
          <w:color w:val="auto"/>
          <w:highlight w:val="none"/>
        </w:rPr>
      </w:pPr>
      <w:bookmarkStart w:id="680" w:name="_Toc351203643"/>
      <w:r>
        <w:rPr>
          <w:rFonts w:hint="eastAsia" w:ascii="仿宋" w:hAnsi="仿宋" w:eastAsia="仿宋" w:cs="仿宋"/>
          <w:color w:val="auto"/>
          <w:highlight w:val="none"/>
          <w:lang w:val="en-US" w:eastAsia="zh-CN"/>
        </w:rPr>
        <w:t>14、</w:t>
      </w:r>
      <w:bookmarkEnd w:id="680"/>
      <w:bookmarkStart w:id="681" w:name="_Toc351203644"/>
      <w:bookmarkStart w:id="682" w:name="_Toc303539159"/>
      <w:bookmarkStart w:id="683" w:name="_Toc300935002"/>
      <w:bookmarkStart w:id="684" w:name="_Toc312678040"/>
      <w:bookmarkStart w:id="685" w:name="_Toc304295579"/>
      <w:bookmarkStart w:id="686" w:name="_Toc297216211"/>
      <w:bookmarkStart w:id="687" w:name="_Toc297123552"/>
      <w:r>
        <w:rPr>
          <w:rFonts w:hint="eastAsia" w:ascii="仿宋" w:hAnsi="仿宋" w:eastAsia="仿宋" w:cs="仿宋"/>
          <w:color w:val="auto"/>
          <w:highlight w:val="none"/>
        </w:rPr>
        <w:t>合同价</w:t>
      </w:r>
      <w:r>
        <w:rPr>
          <w:rFonts w:hint="eastAsia" w:ascii="仿宋" w:hAnsi="仿宋" w:eastAsia="仿宋" w:cs="仿宋"/>
          <w:color w:val="auto"/>
          <w:highlight w:val="none"/>
          <w:lang w:val="en-US" w:eastAsia="zh-CN"/>
        </w:rPr>
        <w:t>款</w:t>
      </w:r>
      <w:r>
        <w:rPr>
          <w:rFonts w:hint="eastAsia" w:ascii="仿宋" w:hAnsi="仿宋" w:eastAsia="仿宋" w:cs="仿宋"/>
          <w:color w:val="auto"/>
          <w:highlight w:val="none"/>
        </w:rPr>
        <w:t>支付</w:t>
      </w:r>
      <w:bookmarkEnd w:id="681"/>
    </w:p>
    <w:bookmarkEnd w:id="682"/>
    <w:bookmarkEnd w:id="683"/>
    <w:bookmarkEnd w:id="684"/>
    <w:bookmarkEnd w:id="685"/>
    <w:bookmarkEnd w:id="686"/>
    <w:bookmarkEnd w:id="687"/>
    <w:p w14:paraId="6DCC1A9C">
      <w:pPr>
        <w:spacing w:line="360" w:lineRule="auto"/>
        <w:ind w:firstLine="480" w:firstLineChars="200"/>
        <w:jc w:val="left"/>
        <w:rPr>
          <w:rFonts w:hint="eastAsia" w:ascii="仿宋" w:hAnsi="仿宋" w:eastAsia="仿宋" w:cs="仿宋"/>
          <w:color w:val="auto"/>
          <w:sz w:val="24"/>
          <w:szCs w:val="24"/>
          <w:highlight w:val="none"/>
        </w:rPr>
      </w:pPr>
      <w:bookmarkStart w:id="688" w:name="_Toc297216212"/>
      <w:bookmarkStart w:id="689" w:name="_Toc312678041"/>
      <w:bookmarkStart w:id="690" w:name="_Toc292559411"/>
      <w:bookmarkStart w:id="691" w:name="_Toc303539160"/>
      <w:bookmarkStart w:id="692" w:name="_Toc297120506"/>
      <w:bookmarkStart w:id="693" w:name="_Toc296944545"/>
      <w:bookmarkStart w:id="694" w:name="_Toc296891246"/>
      <w:bookmarkStart w:id="695" w:name="_Toc296891034"/>
      <w:bookmarkStart w:id="696" w:name="_Toc304295580"/>
      <w:bookmarkStart w:id="697" w:name="_Toc296503206"/>
      <w:bookmarkStart w:id="698" w:name="_Toc296347205"/>
      <w:bookmarkStart w:id="699" w:name="_Toc300935003"/>
      <w:bookmarkStart w:id="700" w:name="_Toc296346707"/>
      <w:bookmarkStart w:id="701" w:name="_Toc297048392"/>
      <w:bookmarkStart w:id="702" w:name="_Toc267251461"/>
      <w:bookmarkStart w:id="703" w:name="_Toc292559916"/>
      <w:bookmarkStart w:id="704" w:name="_Toc297123553"/>
      <w:r>
        <w:rPr>
          <w:rFonts w:hint="eastAsia" w:ascii="仿宋" w:hAnsi="仿宋" w:eastAsia="仿宋" w:cs="仿宋"/>
          <w:color w:val="auto"/>
          <w:sz w:val="24"/>
          <w:szCs w:val="24"/>
          <w:highlight w:val="none"/>
        </w:rPr>
        <w:t>1</w:t>
      </w:r>
      <w:r>
        <w:rPr>
          <w:rFonts w:hint="eastAsia" w:ascii="仿宋" w:hAnsi="仿宋" w:eastAsia="仿宋" w:cs="仿宋"/>
          <w:color w:val="auto"/>
          <w:sz w:val="24"/>
          <w:szCs w:val="24"/>
          <w:highlight w:val="none"/>
          <w:lang w:val="en-US" w:eastAsia="zh-CN"/>
        </w:rPr>
        <w:t>4</w:t>
      </w:r>
      <w:r>
        <w:rPr>
          <w:rFonts w:hint="eastAsia" w:ascii="仿宋" w:hAnsi="仿宋" w:eastAsia="仿宋" w:cs="仿宋"/>
          <w:color w:val="auto"/>
          <w:sz w:val="24"/>
          <w:szCs w:val="24"/>
          <w:highlight w:val="none"/>
        </w:rPr>
        <w:t xml:space="preserve">.1 </w:t>
      </w:r>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Start w:id="705" w:name="_Toc297216213"/>
      <w:bookmarkStart w:id="706" w:name="_Toc312678042"/>
      <w:bookmarkStart w:id="707" w:name="_Toc300935004"/>
      <w:bookmarkStart w:id="708" w:name="_Toc303539161"/>
      <w:bookmarkStart w:id="709" w:name="_Toc304295581"/>
      <w:bookmarkStart w:id="710" w:name="_Toc297123554"/>
      <w:r>
        <w:rPr>
          <w:rFonts w:hint="eastAsia" w:ascii="仿宋" w:hAnsi="仿宋" w:eastAsia="仿宋" w:cs="仿宋"/>
          <w:color w:val="auto"/>
          <w:sz w:val="24"/>
          <w:szCs w:val="24"/>
          <w:highlight w:val="none"/>
        </w:rPr>
        <w:t>预付款</w:t>
      </w:r>
    </w:p>
    <w:bookmarkEnd w:id="705"/>
    <w:bookmarkEnd w:id="706"/>
    <w:bookmarkEnd w:id="707"/>
    <w:bookmarkEnd w:id="708"/>
    <w:bookmarkEnd w:id="709"/>
    <w:bookmarkEnd w:id="710"/>
    <w:p w14:paraId="23BC5F4D">
      <w:pPr>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预付款支付比例或金额：</w:t>
      </w:r>
      <w:r>
        <w:rPr>
          <w:rFonts w:hint="eastAsia" w:ascii="仿宋" w:hAnsi="仿宋" w:eastAsia="仿宋" w:cs="仿宋"/>
          <w:color w:val="auto"/>
          <w:sz w:val="24"/>
          <w:szCs w:val="24"/>
          <w:highlight w:val="none"/>
          <w:u w:val="single"/>
        </w:rPr>
        <w:t xml:space="preserve">   </w:t>
      </w:r>
      <w:r>
        <w:rPr>
          <w:rFonts w:hint="eastAsia" w:ascii="仿宋" w:hAnsi="仿宋" w:cs="仿宋"/>
          <w:color w:val="auto"/>
          <w:sz w:val="24"/>
          <w:szCs w:val="24"/>
          <w:highlight w:val="none"/>
          <w:u w:val="single"/>
          <w:lang w:val="en-US" w:eastAsia="zh-CN"/>
        </w:rPr>
        <w:t xml:space="preserve">无 </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w:t>
      </w:r>
    </w:p>
    <w:p w14:paraId="0CA0E10C">
      <w:pPr>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预付款支付期限：</w:t>
      </w:r>
      <w:r>
        <w:rPr>
          <w:rFonts w:hint="eastAsia" w:ascii="仿宋" w:hAnsi="仿宋" w:eastAsia="仿宋" w:cs="仿宋"/>
          <w:color w:val="auto"/>
          <w:sz w:val="24"/>
          <w:szCs w:val="24"/>
          <w:highlight w:val="none"/>
          <w:u w:val="single"/>
        </w:rPr>
        <w:t xml:space="preserve"> </w:t>
      </w:r>
      <w:r>
        <w:rPr>
          <w:rFonts w:hint="eastAsia" w:ascii="仿宋" w:hAnsi="仿宋" w:cs="仿宋"/>
          <w:color w:val="auto"/>
          <w:sz w:val="24"/>
          <w:szCs w:val="24"/>
          <w:highlight w:val="none"/>
          <w:u w:val="single"/>
          <w:lang w:val="en-US" w:eastAsia="zh-CN"/>
        </w:rPr>
        <w:t>/</w:t>
      </w:r>
      <w:r>
        <w:rPr>
          <w:rFonts w:hint="eastAsia" w:ascii="仿宋" w:hAnsi="仿宋" w:eastAsia="仿宋" w:cs="仿宋"/>
          <w:color w:val="auto"/>
          <w:sz w:val="24"/>
          <w:szCs w:val="24"/>
          <w:highlight w:val="none"/>
        </w:rPr>
        <w:t>。</w:t>
      </w:r>
    </w:p>
    <w:p w14:paraId="12E63532">
      <w:pPr>
        <w:spacing w:line="360" w:lineRule="auto"/>
        <w:ind w:firstLine="480" w:firstLineChars="200"/>
        <w:jc w:val="left"/>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rPr>
        <w:t>预付款扣回的方式：</w:t>
      </w:r>
      <w:r>
        <w:rPr>
          <w:rFonts w:hint="eastAsia" w:ascii="仿宋" w:hAnsi="仿宋" w:eastAsia="仿宋" w:cs="仿宋"/>
          <w:color w:val="auto"/>
          <w:sz w:val="24"/>
          <w:szCs w:val="24"/>
          <w:highlight w:val="none"/>
          <w:u w:val="single"/>
        </w:rPr>
        <w:t xml:space="preserve"> </w:t>
      </w:r>
      <w:r>
        <w:rPr>
          <w:rFonts w:hint="eastAsia" w:ascii="仿宋" w:hAnsi="仿宋" w:cs="仿宋"/>
          <w:color w:val="auto"/>
          <w:sz w:val="24"/>
          <w:szCs w:val="24"/>
          <w:highlight w:val="none"/>
          <w:u w:val="single"/>
          <w:lang w:val="en-US" w:eastAsia="zh-CN"/>
        </w:rPr>
        <w:t>/</w:t>
      </w:r>
      <w:r>
        <w:rPr>
          <w:rFonts w:hint="eastAsia" w:ascii="仿宋" w:hAnsi="仿宋" w:eastAsia="仿宋" w:cs="仿宋"/>
          <w:color w:val="auto"/>
          <w:sz w:val="24"/>
          <w:szCs w:val="24"/>
          <w:highlight w:val="none"/>
          <w:u w:val="single"/>
        </w:rPr>
        <w:t>。</w:t>
      </w:r>
    </w:p>
    <w:p w14:paraId="24937C9B">
      <w:pPr>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R=A(C-F1S)/(F2-F1)S</w:t>
      </w:r>
    </w:p>
    <w:p w14:paraId="49201E0D">
      <w:pPr>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式中R——每次进度付款中累计扣回的金额；</w:t>
      </w:r>
    </w:p>
    <w:p w14:paraId="702DA718">
      <w:pPr>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A——工程预付款总金额；</w:t>
      </w:r>
    </w:p>
    <w:p w14:paraId="227043C6">
      <w:pPr>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S——合同价格；</w:t>
      </w:r>
    </w:p>
    <w:p w14:paraId="47E4C6BD">
      <w:pPr>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C——-合同累计完成金额；</w:t>
      </w:r>
    </w:p>
    <w:p w14:paraId="2EA92943">
      <w:pPr>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F1——开始扣款时合同累计完成金额达到签约合同价格的比例；</w:t>
      </w:r>
    </w:p>
    <w:p w14:paraId="2AA0B8B2">
      <w:pPr>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F2——全部扣清时合同累计完成金额达到签约合同价格的比例。</w:t>
      </w:r>
    </w:p>
    <w:p w14:paraId="73B5D44D">
      <w:pPr>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上述合同累计完成金额均指价格调整前未扣保留金的金额。</w:t>
      </w:r>
    </w:p>
    <w:p w14:paraId="099CE711">
      <w:pPr>
        <w:spacing w:line="360" w:lineRule="auto"/>
        <w:ind w:firstLine="480" w:firstLineChars="200"/>
        <w:jc w:val="left"/>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1</w:t>
      </w:r>
      <w:r>
        <w:rPr>
          <w:rFonts w:hint="eastAsia" w:ascii="仿宋" w:hAnsi="仿宋" w:eastAsia="仿宋" w:cs="仿宋"/>
          <w:color w:val="auto"/>
          <w:sz w:val="24"/>
          <w:szCs w:val="24"/>
          <w:highlight w:val="none"/>
          <w:lang w:val="en-US" w:eastAsia="zh-CN"/>
        </w:rPr>
        <w:t>4</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2 进度款</w:t>
      </w:r>
    </w:p>
    <w:p w14:paraId="63593C08">
      <w:pPr>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r>
        <w:rPr>
          <w:rFonts w:hint="eastAsia" w:ascii="仿宋" w:hAnsi="仿宋" w:eastAsia="仿宋" w:cs="仿宋"/>
          <w:color w:val="auto"/>
          <w:sz w:val="24"/>
          <w:szCs w:val="24"/>
          <w:highlight w:val="none"/>
          <w:lang w:val="en-US" w:eastAsia="zh-CN"/>
        </w:rPr>
        <w:t>4</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rPr>
        <w:t>.1 计量原则</w:t>
      </w:r>
    </w:p>
    <w:p w14:paraId="7160FC55">
      <w:pPr>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工程量计算规则</w:t>
      </w:r>
      <w:r>
        <w:rPr>
          <w:rFonts w:hint="eastAsia" w:ascii="仿宋" w:hAnsi="仿宋" w:eastAsia="仿宋" w:cs="仿宋"/>
          <w:color w:val="auto"/>
          <w:sz w:val="24"/>
          <w:szCs w:val="24"/>
          <w:highlight w:val="none"/>
          <w:u w:val="single"/>
        </w:rPr>
        <w:t>：按照合同约定的工程量计算规则、图纸及变更指示等进行计量。工程量计算规则应以相关的国家标准、行业标准等为依据，工程量按实结算。</w:t>
      </w:r>
    </w:p>
    <w:p w14:paraId="690B37FA">
      <w:pPr>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关于计量周期的约定：</w:t>
      </w:r>
      <w:r>
        <w:rPr>
          <w:rFonts w:hint="eastAsia" w:ascii="仿宋" w:hAnsi="仿宋" w:eastAsia="仿宋" w:cs="仿宋"/>
          <w:color w:val="auto"/>
          <w:sz w:val="24"/>
          <w:szCs w:val="24"/>
          <w:highlight w:val="none"/>
          <w:u w:val="single"/>
        </w:rPr>
        <w:t xml:space="preserve">    按月计量     </w:t>
      </w:r>
      <w:r>
        <w:rPr>
          <w:rFonts w:hint="eastAsia" w:ascii="仿宋" w:hAnsi="仿宋" w:eastAsia="仿宋" w:cs="仿宋"/>
          <w:color w:val="auto"/>
          <w:sz w:val="24"/>
          <w:szCs w:val="24"/>
          <w:highlight w:val="none"/>
        </w:rPr>
        <w:t>。</w:t>
      </w:r>
    </w:p>
    <w:p w14:paraId="41B021CC">
      <w:pPr>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关于单价合同计量的约定：</w:t>
      </w:r>
      <w:r>
        <w:rPr>
          <w:rFonts w:hint="eastAsia" w:ascii="仿宋" w:hAnsi="仿宋" w:eastAsia="仿宋" w:cs="仿宋"/>
          <w:color w:val="auto"/>
          <w:sz w:val="24"/>
          <w:szCs w:val="24"/>
          <w:highlight w:val="none"/>
          <w:u w:val="single"/>
        </w:rPr>
        <w:t xml:space="preserve">   工程量按实结算       </w:t>
      </w:r>
      <w:r>
        <w:rPr>
          <w:rFonts w:hint="eastAsia" w:ascii="仿宋" w:hAnsi="仿宋" w:eastAsia="仿宋" w:cs="仿宋"/>
          <w:color w:val="auto"/>
          <w:sz w:val="24"/>
          <w:szCs w:val="24"/>
          <w:highlight w:val="none"/>
        </w:rPr>
        <w:t>。</w:t>
      </w:r>
    </w:p>
    <w:p w14:paraId="228ACCCD">
      <w:pPr>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r>
        <w:rPr>
          <w:rFonts w:hint="eastAsia" w:ascii="仿宋" w:hAnsi="仿宋" w:eastAsia="仿宋" w:cs="仿宋"/>
          <w:color w:val="auto"/>
          <w:sz w:val="24"/>
          <w:szCs w:val="24"/>
          <w:highlight w:val="none"/>
          <w:lang w:val="en-US" w:eastAsia="zh-CN"/>
        </w:rPr>
        <w:t>4</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2.2</w:t>
      </w:r>
      <w:r>
        <w:rPr>
          <w:rFonts w:hint="eastAsia" w:ascii="仿宋" w:hAnsi="仿宋" w:eastAsia="仿宋" w:cs="仿宋"/>
          <w:color w:val="auto"/>
          <w:sz w:val="24"/>
          <w:szCs w:val="24"/>
          <w:highlight w:val="none"/>
        </w:rPr>
        <w:t>工程进度款支付</w:t>
      </w:r>
    </w:p>
    <w:p w14:paraId="5FD4DA47">
      <w:pPr>
        <w:spacing w:line="360" w:lineRule="auto"/>
        <w:ind w:firstLine="480" w:firstLineChars="200"/>
        <w:jc w:val="left"/>
        <w:rPr>
          <w:rFonts w:hint="default" w:ascii="仿宋" w:hAnsi="仿宋" w:eastAsia="仿宋" w:cs="仿宋"/>
          <w:color w:val="auto"/>
          <w:sz w:val="24"/>
          <w:szCs w:val="24"/>
          <w:highlight w:val="none"/>
          <w:lang w:val="en-US" w:eastAsia="zh-CN"/>
        </w:rPr>
      </w:pPr>
      <w:r>
        <w:rPr>
          <w:rFonts w:hint="eastAsia" w:ascii="仿宋" w:hAnsi="仿宋" w:cs="仿宋"/>
          <w:color w:val="auto"/>
          <w:sz w:val="24"/>
          <w:szCs w:val="24"/>
          <w:highlight w:val="none"/>
          <w:lang w:val="en-US" w:eastAsia="zh-CN"/>
        </w:rPr>
        <w:t>按月形象进度付款，支付已完工程的80%工程费，工程竣工验收合格后支付至工程结算价的97%，剩余3%作为质保金，质保期满无质量问题无息返还（质保期两年）。</w:t>
      </w:r>
    </w:p>
    <w:p w14:paraId="36947C54">
      <w:pPr>
        <w:spacing w:line="360" w:lineRule="auto"/>
        <w:ind w:firstLine="480" w:firstLineChars="200"/>
        <w:jc w:val="left"/>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rPr>
        <w:t>关于付款周期的约定：</w:t>
      </w:r>
      <w:r>
        <w:rPr>
          <w:rFonts w:hint="eastAsia" w:ascii="仿宋" w:hAnsi="仿宋" w:eastAsia="仿宋" w:cs="仿宋"/>
          <w:color w:val="auto"/>
          <w:sz w:val="24"/>
          <w:szCs w:val="24"/>
          <w:highlight w:val="none"/>
          <w:u w:val="single"/>
        </w:rPr>
        <w:t xml:space="preserve">  按月支付  </w:t>
      </w:r>
      <w:r>
        <w:rPr>
          <w:rFonts w:hint="eastAsia" w:ascii="仿宋" w:hAnsi="仿宋" w:eastAsia="仿宋" w:cs="仿宋"/>
          <w:color w:val="auto"/>
          <w:sz w:val="24"/>
          <w:szCs w:val="24"/>
          <w:highlight w:val="none"/>
        </w:rPr>
        <w:t>。</w:t>
      </w:r>
    </w:p>
    <w:p w14:paraId="226D5623">
      <w:pPr>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进度付款申请单的提交</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u w:val="single"/>
        </w:rPr>
        <w:t xml:space="preserve">由承包人在每月20日前向监理人申报上月20日至本月19日已完成工程量及工程价款支付申请  </w:t>
      </w:r>
      <w:r>
        <w:rPr>
          <w:rFonts w:hint="eastAsia" w:ascii="仿宋" w:hAnsi="仿宋" w:eastAsia="仿宋" w:cs="仿宋"/>
          <w:color w:val="auto"/>
          <w:sz w:val="24"/>
          <w:szCs w:val="24"/>
          <w:highlight w:val="none"/>
        </w:rPr>
        <w:t>。</w:t>
      </w:r>
    </w:p>
    <w:p w14:paraId="4C2F7C8D">
      <w:pPr>
        <w:spacing w:line="360" w:lineRule="auto"/>
        <w:ind w:firstLine="480" w:firstLineChars="200"/>
        <w:jc w:val="left"/>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进度款审核和支付</w:t>
      </w:r>
      <w:r>
        <w:rPr>
          <w:rFonts w:hint="eastAsia" w:ascii="仿宋" w:hAnsi="仿宋" w:eastAsia="仿宋" w:cs="仿宋"/>
          <w:color w:val="auto"/>
          <w:sz w:val="24"/>
          <w:szCs w:val="24"/>
          <w:highlight w:val="none"/>
          <w:lang w:eastAsia="zh-CN"/>
        </w:rPr>
        <w:t>：</w:t>
      </w:r>
    </w:p>
    <w:p w14:paraId="54CA0F4E">
      <w:pPr>
        <w:spacing w:line="360" w:lineRule="auto"/>
        <w:ind w:firstLine="480" w:firstLineChars="200"/>
        <w:jc w:val="left"/>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rPr>
        <w:t>（1）监理人审查并报送发包人的期限：</w:t>
      </w:r>
      <w:r>
        <w:rPr>
          <w:rFonts w:hint="eastAsia" w:ascii="仿宋" w:hAnsi="仿宋" w:eastAsia="仿宋" w:cs="仿宋"/>
          <w:color w:val="auto"/>
          <w:sz w:val="24"/>
          <w:szCs w:val="24"/>
          <w:highlight w:val="none"/>
          <w:u w:val="single"/>
        </w:rPr>
        <w:t xml:space="preserve">   </w:t>
      </w:r>
      <w:r>
        <w:rPr>
          <w:rFonts w:hint="eastAsia" w:ascii="仿宋" w:hAnsi="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w:t>
      </w:r>
    </w:p>
    <w:p w14:paraId="66B9F442">
      <w:pPr>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发包人完成审批并签发进度款支付证书的期限：</w:t>
      </w:r>
      <w:r>
        <w:rPr>
          <w:rFonts w:hint="eastAsia" w:ascii="仿宋" w:hAnsi="仿宋" w:eastAsia="仿宋" w:cs="仿宋"/>
          <w:color w:val="auto"/>
          <w:sz w:val="24"/>
          <w:szCs w:val="24"/>
          <w:highlight w:val="none"/>
          <w:u w:val="single"/>
        </w:rPr>
        <w:t xml:space="preserve"> </w:t>
      </w:r>
      <w:r>
        <w:rPr>
          <w:rFonts w:hint="eastAsia" w:ascii="仿宋" w:hAnsi="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rPr>
        <w:t>。</w:t>
      </w:r>
    </w:p>
    <w:p w14:paraId="06DC686A">
      <w:pPr>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（2）发包人支付进度款的期限：</w:t>
      </w:r>
      <w:r>
        <w:rPr>
          <w:rFonts w:hint="eastAsia" w:ascii="仿宋" w:hAnsi="仿宋" w:eastAsia="仿宋" w:cs="仿宋"/>
          <w:color w:val="auto"/>
          <w:sz w:val="24"/>
          <w:szCs w:val="24"/>
          <w:highlight w:val="none"/>
          <w:u w:val="single"/>
        </w:rPr>
        <w:t xml:space="preserve"> </w:t>
      </w:r>
      <w:r>
        <w:rPr>
          <w:rFonts w:hint="eastAsia" w:ascii="仿宋" w:hAnsi="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w:t>
      </w:r>
    </w:p>
    <w:p w14:paraId="509E5537">
      <w:pPr>
        <w:spacing w:line="360" w:lineRule="auto"/>
        <w:ind w:firstLine="480" w:firstLineChars="200"/>
        <w:jc w:val="left"/>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rPr>
        <w:t>发包人逾期支付进度款的违约金的计算方式：</w:t>
      </w:r>
      <w:r>
        <w:rPr>
          <w:rFonts w:hint="eastAsia" w:ascii="仿宋" w:hAnsi="仿宋" w:eastAsia="仿宋" w:cs="仿宋"/>
          <w:color w:val="auto"/>
          <w:sz w:val="24"/>
          <w:szCs w:val="24"/>
          <w:highlight w:val="none"/>
          <w:u w:val="single"/>
        </w:rPr>
        <w:t xml:space="preserve"> </w:t>
      </w:r>
      <w:r>
        <w:rPr>
          <w:rFonts w:hint="eastAsia" w:ascii="仿宋" w:hAnsi="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u w:val="single"/>
        </w:rPr>
        <w:t>。</w:t>
      </w:r>
    </w:p>
    <w:p w14:paraId="7F6CFF42">
      <w:pPr>
        <w:pStyle w:val="5"/>
        <w:bidi w:val="0"/>
        <w:jc w:val="left"/>
        <w:rPr>
          <w:rFonts w:hint="eastAsia" w:ascii="仿宋" w:hAnsi="仿宋" w:eastAsia="仿宋" w:cs="仿宋"/>
          <w:color w:val="auto"/>
          <w:highlight w:val="none"/>
        </w:rPr>
      </w:pPr>
      <w:bookmarkStart w:id="711" w:name="_Toc351203645"/>
      <w:bookmarkStart w:id="712" w:name="_Toc296944558"/>
      <w:bookmarkStart w:id="713" w:name="_Toc297048405"/>
      <w:bookmarkStart w:id="714" w:name="_Toc312678053"/>
      <w:bookmarkStart w:id="715" w:name="_Toc297120519"/>
      <w:bookmarkStart w:id="716" w:name="_Toc296891047"/>
      <w:bookmarkStart w:id="717" w:name="_Toc292559424"/>
      <w:bookmarkStart w:id="718" w:name="_Toc297216223"/>
      <w:bookmarkStart w:id="719" w:name="_Toc292559929"/>
      <w:bookmarkStart w:id="720" w:name="_Toc296346720"/>
      <w:bookmarkStart w:id="721" w:name="_Toc303539172"/>
      <w:bookmarkStart w:id="722" w:name="_Toc296347218"/>
      <w:bookmarkStart w:id="723" w:name="_Toc304295593"/>
      <w:bookmarkStart w:id="724" w:name="_Toc296891259"/>
      <w:bookmarkStart w:id="725" w:name="_Toc297123564"/>
      <w:bookmarkStart w:id="726" w:name="_Toc300935015"/>
      <w:bookmarkStart w:id="727" w:name="_Toc296503219"/>
      <w:r>
        <w:rPr>
          <w:rFonts w:hint="eastAsia" w:ascii="仿宋" w:hAnsi="仿宋" w:eastAsia="仿宋" w:cs="仿宋"/>
          <w:color w:val="auto"/>
          <w:highlight w:val="none"/>
        </w:rPr>
        <w:t>1</w:t>
      </w:r>
      <w:r>
        <w:rPr>
          <w:rFonts w:hint="eastAsia" w:ascii="仿宋" w:hAnsi="仿宋" w:eastAsia="仿宋" w:cs="仿宋"/>
          <w:color w:val="auto"/>
          <w:highlight w:val="none"/>
          <w:lang w:val="en-US" w:eastAsia="zh-CN"/>
        </w:rPr>
        <w:t>5、</w:t>
      </w:r>
      <w:r>
        <w:rPr>
          <w:rFonts w:hint="eastAsia" w:ascii="仿宋" w:hAnsi="仿宋" w:eastAsia="仿宋" w:cs="仿宋"/>
          <w:color w:val="auto"/>
          <w:highlight w:val="none"/>
        </w:rPr>
        <w:t>验收和工程试车</w:t>
      </w:r>
      <w:bookmarkEnd w:id="711"/>
    </w:p>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p w14:paraId="13897340">
      <w:pPr>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rPr>
        <w:t>.1 分部分项工程验收</w:t>
      </w:r>
    </w:p>
    <w:p w14:paraId="1B1723DC">
      <w:pPr>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rPr>
        <w:t>.1.2监理人不能按时进行验收时，应提前</w:t>
      </w:r>
      <w:r>
        <w:rPr>
          <w:rFonts w:hint="eastAsia" w:ascii="仿宋" w:hAnsi="仿宋" w:eastAsia="仿宋" w:cs="仿宋"/>
          <w:color w:val="auto"/>
          <w:sz w:val="24"/>
          <w:szCs w:val="24"/>
          <w:highlight w:val="none"/>
          <w:u w:val="single"/>
        </w:rPr>
        <w:t xml:space="preserve"> 24   </w:t>
      </w:r>
      <w:r>
        <w:rPr>
          <w:rFonts w:hint="eastAsia" w:ascii="仿宋" w:hAnsi="仿宋" w:eastAsia="仿宋" w:cs="仿宋"/>
          <w:color w:val="auto"/>
          <w:sz w:val="24"/>
          <w:szCs w:val="24"/>
          <w:highlight w:val="none"/>
        </w:rPr>
        <w:t>小时提交书面延期要求。</w:t>
      </w:r>
    </w:p>
    <w:p w14:paraId="61C77EF2">
      <w:pPr>
        <w:spacing w:line="360" w:lineRule="auto"/>
        <w:ind w:firstLine="480" w:firstLineChars="200"/>
        <w:jc w:val="left"/>
        <w:rPr>
          <w:rFonts w:hint="eastAsia" w:ascii="仿宋" w:hAnsi="仿宋" w:eastAsia="仿宋" w:cs="仿宋"/>
          <w:b/>
          <w:color w:val="auto"/>
          <w:sz w:val="24"/>
          <w:szCs w:val="24"/>
          <w:highlight w:val="none"/>
        </w:rPr>
      </w:pPr>
      <w:r>
        <w:rPr>
          <w:rFonts w:hint="eastAsia" w:ascii="仿宋" w:hAnsi="仿宋" w:eastAsia="仿宋" w:cs="仿宋"/>
          <w:color w:val="auto"/>
          <w:sz w:val="24"/>
          <w:szCs w:val="24"/>
          <w:highlight w:val="none"/>
        </w:rPr>
        <w:t>关于延期最长不得超过：</w:t>
      </w:r>
      <w:r>
        <w:rPr>
          <w:rFonts w:hint="eastAsia" w:ascii="仿宋" w:hAnsi="仿宋" w:eastAsia="仿宋" w:cs="仿宋"/>
          <w:color w:val="auto"/>
          <w:sz w:val="24"/>
          <w:szCs w:val="24"/>
          <w:highlight w:val="none"/>
          <w:u w:val="single"/>
        </w:rPr>
        <w:t xml:space="preserve">  24 </w:t>
      </w:r>
      <w:r>
        <w:rPr>
          <w:rFonts w:hint="eastAsia" w:ascii="仿宋" w:hAnsi="仿宋" w:eastAsia="仿宋" w:cs="仿宋"/>
          <w:color w:val="auto"/>
          <w:sz w:val="24"/>
          <w:szCs w:val="24"/>
          <w:highlight w:val="none"/>
        </w:rPr>
        <w:t>小时。</w:t>
      </w:r>
    </w:p>
    <w:p w14:paraId="3D5DE374">
      <w:pPr>
        <w:spacing w:line="360" w:lineRule="auto"/>
        <w:ind w:firstLine="480" w:firstLineChars="200"/>
        <w:jc w:val="left"/>
        <w:rPr>
          <w:rFonts w:hint="eastAsia" w:ascii="仿宋" w:hAnsi="仿宋" w:eastAsia="仿宋" w:cs="仿宋"/>
          <w:color w:val="auto"/>
          <w:sz w:val="24"/>
          <w:szCs w:val="24"/>
          <w:highlight w:val="none"/>
        </w:rPr>
      </w:pPr>
      <w:bookmarkStart w:id="728" w:name="_Toc296944562"/>
      <w:bookmarkStart w:id="729" w:name="_Toc297048409"/>
      <w:bookmarkStart w:id="730" w:name="_Toc296346724"/>
      <w:bookmarkStart w:id="731" w:name="_Toc292559933"/>
      <w:bookmarkStart w:id="732" w:name="_Toc296891051"/>
      <w:bookmarkStart w:id="733" w:name="_Toc300935016"/>
      <w:bookmarkStart w:id="734" w:name="_Toc297123565"/>
      <w:bookmarkStart w:id="735" w:name="_Toc297216224"/>
      <w:bookmarkStart w:id="736" w:name="_Toc297120523"/>
      <w:bookmarkStart w:id="737" w:name="_Toc296503223"/>
      <w:bookmarkStart w:id="738" w:name="_Toc312678056"/>
      <w:bookmarkStart w:id="739" w:name="_Toc292559428"/>
      <w:bookmarkStart w:id="740" w:name="_Toc296891263"/>
      <w:bookmarkStart w:id="741" w:name="_Toc296347222"/>
      <w:bookmarkStart w:id="742" w:name="_Toc303539173"/>
      <w:bookmarkStart w:id="743" w:name="_Toc304295596"/>
      <w:r>
        <w:rPr>
          <w:rFonts w:hint="eastAsia" w:ascii="仿宋" w:hAnsi="仿宋" w:eastAsia="仿宋" w:cs="仿宋"/>
          <w:color w:val="auto"/>
          <w:sz w:val="24"/>
          <w:szCs w:val="24"/>
          <w:highlight w:val="none"/>
        </w:rPr>
        <w:t>1</w:t>
      </w: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rPr>
        <w:t>.2 竣工验收</w:t>
      </w:r>
    </w:p>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p w14:paraId="55EBB54D">
      <w:pPr>
        <w:spacing w:line="360" w:lineRule="auto"/>
        <w:ind w:firstLine="480" w:firstLineChars="200"/>
        <w:jc w:val="left"/>
        <w:rPr>
          <w:rFonts w:hint="eastAsia" w:ascii="仿宋" w:hAnsi="仿宋" w:eastAsia="仿宋" w:cs="仿宋"/>
          <w:color w:val="auto"/>
          <w:sz w:val="24"/>
          <w:szCs w:val="24"/>
          <w:highlight w:val="none"/>
        </w:rPr>
      </w:pPr>
      <w:bookmarkStart w:id="744" w:name="_Toc280868704"/>
      <w:r>
        <w:rPr>
          <w:rFonts w:hint="eastAsia" w:ascii="仿宋" w:hAnsi="仿宋" w:eastAsia="仿宋" w:cs="仿宋"/>
          <w:color w:val="auto"/>
          <w:sz w:val="24"/>
          <w:szCs w:val="24"/>
          <w:highlight w:val="none"/>
        </w:rPr>
        <w:t>1</w:t>
      </w: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rPr>
        <w:t>.2.2竣工验收程序</w:t>
      </w:r>
    </w:p>
    <w:bookmarkEnd w:id="744"/>
    <w:p w14:paraId="4E9734D9">
      <w:pPr>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rPr>
        <w:t>关于竣工验收程序的约定：</w:t>
      </w:r>
      <w:r>
        <w:rPr>
          <w:rFonts w:hint="eastAsia" w:ascii="仿宋" w:hAnsi="仿宋" w:eastAsia="仿宋" w:cs="仿宋"/>
          <w:color w:val="auto"/>
          <w:sz w:val="24"/>
          <w:szCs w:val="24"/>
          <w:highlight w:val="none"/>
          <w:u w:val="single"/>
        </w:rPr>
        <w:t xml:space="preserve"> 按通用条款执行。</w:t>
      </w:r>
    </w:p>
    <w:p w14:paraId="56BA88CA">
      <w:pPr>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rPr>
        <w:t>.2.5移交、接收全部与部分工程</w:t>
      </w:r>
    </w:p>
    <w:p w14:paraId="4D1E7F0E">
      <w:pPr>
        <w:spacing w:line="360" w:lineRule="auto"/>
        <w:ind w:firstLine="480" w:firstLineChars="200"/>
        <w:jc w:val="left"/>
        <w:rPr>
          <w:rFonts w:hint="eastAsia" w:ascii="仿宋" w:hAnsi="仿宋" w:eastAsia="仿宋" w:cs="仿宋"/>
          <w:color w:val="auto"/>
          <w:kern w:val="0"/>
          <w:sz w:val="24"/>
          <w:szCs w:val="24"/>
          <w:highlight w:val="none"/>
          <w:u w:val="single"/>
        </w:rPr>
      </w:pPr>
      <w:r>
        <w:rPr>
          <w:rFonts w:hint="eastAsia" w:ascii="仿宋" w:hAnsi="仿宋" w:eastAsia="仿宋" w:cs="仿宋"/>
          <w:color w:val="auto"/>
          <w:kern w:val="0"/>
          <w:sz w:val="24"/>
          <w:szCs w:val="24"/>
          <w:highlight w:val="none"/>
        </w:rPr>
        <w:t>承包人向发包人移交工程的期限</w:t>
      </w:r>
      <w:r>
        <w:rPr>
          <w:rFonts w:hint="eastAsia" w:ascii="仿宋" w:hAnsi="仿宋" w:eastAsia="仿宋" w:cs="仿宋"/>
          <w:color w:val="auto"/>
          <w:kern w:val="0"/>
          <w:sz w:val="24"/>
          <w:szCs w:val="24"/>
          <w:highlight w:val="none"/>
          <w:u w:val="single"/>
        </w:rPr>
        <w:t>：颁发工程接收证书后7个工作日 。</w:t>
      </w:r>
    </w:p>
    <w:p w14:paraId="792DB78B">
      <w:pPr>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承包人未按时移交工程的，违约金的计算方法为：</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kern w:val="0"/>
          <w:sz w:val="24"/>
          <w:szCs w:val="24"/>
          <w:highlight w:val="none"/>
          <w:u w:val="single"/>
        </w:rPr>
        <w:t>每延期一天补偿承包人施工工程费的0.01%，最高补偿合同价的0.5%</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w:t>
      </w:r>
    </w:p>
    <w:p w14:paraId="69E7419C">
      <w:pPr>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rPr>
        <w:t>.3 工程试车</w:t>
      </w:r>
    </w:p>
    <w:p w14:paraId="67CCF016">
      <w:pPr>
        <w:spacing w:line="360" w:lineRule="auto"/>
        <w:ind w:firstLine="480" w:firstLineChars="200"/>
        <w:jc w:val="left"/>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1</w:t>
      </w:r>
      <w:r>
        <w:rPr>
          <w:rFonts w:hint="eastAsia" w:ascii="仿宋" w:hAnsi="仿宋" w:eastAsia="仿宋" w:cs="仿宋"/>
          <w:color w:val="auto"/>
          <w:kern w:val="0"/>
          <w:sz w:val="24"/>
          <w:szCs w:val="24"/>
          <w:highlight w:val="none"/>
          <w:lang w:val="en-US" w:eastAsia="zh-CN"/>
        </w:rPr>
        <w:t>5</w:t>
      </w:r>
      <w:r>
        <w:rPr>
          <w:rFonts w:hint="eastAsia" w:ascii="仿宋" w:hAnsi="仿宋" w:eastAsia="仿宋" w:cs="仿宋"/>
          <w:color w:val="auto"/>
          <w:kern w:val="0"/>
          <w:sz w:val="24"/>
          <w:szCs w:val="24"/>
          <w:highlight w:val="none"/>
        </w:rPr>
        <w:t>.3.1 试车程序</w:t>
      </w:r>
    </w:p>
    <w:p w14:paraId="3C2363D8">
      <w:pPr>
        <w:spacing w:line="360" w:lineRule="auto"/>
        <w:ind w:firstLine="480" w:firstLineChars="200"/>
        <w:jc w:val="left"/>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工程试车内容：</w:t>
      </w:r>
      <w:r>
        <w:rPr>
          <w:rFonts w:hint="eastAsia" w:ascii="仿宋" w:hAnsi="仿宋" w:eastAsia="仿宋" w:cs="仿宋"/>
          <w:color w:val="auto"/>
          <w:sz w:val="24"/>
          <w:szCs w:val="24"/>
          <w:highlight w:val="none"/>
          <w:u w:val="single"/>
        </w:rPr>
        <w:t xml:space="preserve">    /    </w:t>
      </w:r>
      <w:r>
        <w:rPr>
          <w:rFonts w:hint="eastAsia" w:ascii="仿宋" w:hAnsi="仿宋" w:eastAsia="仿宋" w:cs="仿宋"/>
          <w:color w:val="auto"/>
          <w:sz w:val="24"/>
          <w:szCs w:val="24"/>
          <w:highlight w:val="none"/>
        </w:rPr>
        <w:t>。</w:t>
      </w:r>
    </w:p>
    <w:p w14:paraId="34BA25DE">
      <w:pPr>
        <w:spacing w:line="360" w:lineRule="auto"/>
        <w:ind w:firstLine="480" w:firstLineChars="200"/>
        <w:jc w:val="left"/>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（1）单机无负荷试车费用由</w:t>
      </w:r>
      <w:r>
        <w:rPr>
          <w:rFonts w:hint="eastAsia" w:ascii="仿宋" w:hAnsi="仿宋" w:eastAsia="仿宋" w:cs="仿宋"/>
          <w:color w:val="auto"/>
          <w:sz w:val="24"/>
          <w:szCs w:val="24"/>
          <w:highlight w:val="none"/>
          <w:u w:val="single"/>
        </w:rPr>
        <w:t xml:space="preserve">          /           </w:t>
      </w:r>
      <w:r>
        <w:rPr>
          <w:rFonts w:hint="eastAsia" w:ascii="仿宋" w:hAnsi="仿宋" w:eastAsia="仿宋" w:cs="仿宋"/>
          <w:color w:val="auto"/>
          <w:kern w:val="0"/>
          <w:sz w:val="24"/>
          <w:szCs w:val="24"/>
          <w:highlight w:val="none"/>
        </w:rPr>
        <w:t>承担；</w:t>
      </w:r>
    </w:p>
    <w:p w14:paraId="644B8BAA">
      <w:pPr>
        <w:spacing w:line="360" w:lineRule="auto"/>
        <w:ind w:firstLine="480" w:firstLineChars="200"/>
        <w:jc w:val="left"/>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（2）无负荷联动试车费用由</w:t>
      </w:r>
      <w:r>
        <w:rPr>
          <w:rFonts w:hint="eastAsia" w:ascii="仿宋" w:hAnsi="仿宋" w:eastAsia="仿宋" w:cs="仿宋"/>
          <w:color w:val="auto"/>
          <w:sz w:val="24"/>
          <w:szCs w:val="24"/>
          <w:highlight w:val="none"/>
          <w:u w:val="single"/>
        </w:rPr>
        <w:t xml:space="preserve">           /          </w:t>
      </w:r>
      <w:r>
        <w:rPr>
          <w:rFonts w:hint="eastAsia" w:ascii="仿宋" w:hAnsi="仿宋" w:eastAsia="仿宋" w:cs="仿宋"/>
          <w:color w:val="auto"/>
          <w:kern w:val="0"/>
          <w:sz w:val="24"/>
          <w:szCs w:val="24"/>
          <w:highlight w:val="none"/>
        </w:rPr>
        <w:t>承担。</w:t>
      </w:r>
    </w:p>
    <w:p w14:paraId="4139E6AE">
      <w:pPr>
        <w:spacing w:line="360" w:lineRule="auto"/>
        <w:ind w:firstLine="480" w:firstLineChars="200"/>
        <w:jc w:val="left"/>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1</w:t>
      </w:r>
      <w:r>
        <w:rPr>
          <w:rFonts w:hint="eastAsia" w:ascii="仿宋" w:hAnsi="仿宋" w:eastAsia="仿宋" w:cs="仿宋"/>
          <w:color w:val="auto"/>
          <w:kern w:val="0"/>
          <w:sz w:val="24"/>
          <w:szCs w:val="24"/>
          <w:highlight w:val="none"/>
          <w:lang w:val="en-US" w:eastAsia="zh-CN"/>
        </w:rPr>
        <w:t>5</w:t>
      </w:r>
      <w:r>
        <w:rPr>
          <w:rFonts w:hint="eastAsia" w:ascii="仿宋" w:hAnsi="仿宋" w:eastAsia="仿宋" w:cs="仿宋"/>
          <w:color w:val="auto"/>
          <w:kern w:val="0"/>
          <w:sz w:val="24"/>
          <w:szCs w:val="24"/>
          <w:highlight w:val="none"/>
        </w:rPr>
        <w:t>.3.3 投料试车</w:t>
      </w:r>
    </w:p>
    <w:p w14:paraId="65536698">
      <w:pPr>
        <w:spacing w:line="360" w:lineRule="auto"/>
        <w:ind w:firstLine="480" w:firstLineChars="200"/>
        <w:jc w:val="left"/>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关于投料试车相关事项的约定：</w:t>
      </w:r>
      <w:r>
        <w:rPr>
          <w:rFonts w:hint="eastAsia" w:ascii="仿宋" w:hAnsi="仿宋" w:eastAsia="仿宋" w:cs="仿宋"/>
          <w:color w:val="auto"/>
          <w:sz w:val="24"/>
          <w:szCs w:val="24"/>
          <w:highlight w:val="none"/>
          <w:u w:val="single"/>
        </w:rPr>
        <w:t xml:space="preserve">      /    </w:t>
      </w:r>
      <w:r>
        <w:rPr>
          <w:rFonts w:hint="eastAsia" w:ascii="仿宋" w:hAnsi="仿宋" w:eastAsia="仿宋" w:cs="仿宋"/>
          <w:color w:val="auto"/>
          <w:sz w:val="24"/>
          <w:szCs w:val="24"/>
          <w:highlight w:val="none"/>
        </w:rPr>
        <w:t>。</w:t>
      </w:r>
    </w:p>
    <w:p w14:paraId="4B93B6B3">
      <w:pPr>
        <w:bidi w:val="0"/>
        <w:jc w:val="left"/>
        <w:rPr>
          <w:rFonts w:hint="eastAsia" w:ascii="仿宋" w:hAnsi="仿宋" w:eastAsia="仿宋" w:cs="仿宋"/>
          <w:color w:val="auto"/>
          <w:highlight w:val="none"/>
        </w:rPr>
      </w:pPr>
      <w:bookmarkStart w:id="745" w:name="_Toc25657"/>
      <w:r>
        <w:rPr>
          <w:rFonts w:hint="eastAsia" w:ascii="仿宋" w:hAnsi="仿宋" w:eastAsia="仿宋" w:cs="仿宋"/>
          <w:color w:val="auto"/>
          <w:highlight w:val="none"/>
        </w:rPr>
        <w:t>1</w:t>
      </w:r>
      <w:r>
        <w:rPr>
          <w:rFonts w:hint="eastAsia" w:ascii="仿宋" w:hAnsi="仿宋" w:eastAsia="仿宋" w:cs="仿宋"/>
          <w:color w:val="auto"/>
          <w:highlight w:val="none"/>
          <w:lang w:val="en-US" w:eastAsia="zh-CN"/>
        </w:rPr>
        <w:t>5</w:t>
      </w:r>
      <w:r>
        <w:rPr>
          <w:rFonts w:hint="eastAsia" w:ascii="仿宋" w:hAnsi="仿宋" w:eastAsia="仿宋" w:cs="仿宋"/>
          <w:color w:val="auto"/>
          <w:highlight w:val="none"/>
        </w:rPr>
        <w:t>.6 竣工退场</w:t>
      </w:r>
      <w:bookmarkEnd w:id="745"/>
    </w:p>
    <w:p w14:paraId="7CD4D6ED">
      <w:pPr>
        <w:spacing w:line="360" w:lineRule="auto"/>
        <w:ind w:firstLine="480" w:firstLineChars="200"/>
        <w:jc w:val="left"/>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1</w:t>
      </w:r>
      <w:r>
        <w:rPr>
          <w:rFonts w:hint="eastAsia" w:ascii="仿宋" w:hAnsi="仿宋" w:eastAsia="仿宋" w:cs="仿宋"/>
          <w:color w:val="auto"/>
          <w:kern w:val="0"/>
          <w:sz w:val="24"/>
          <w:szCs w:val="24"/>
          <w:highlight w:val="none"/>
          <w:lang w:val="en-US" w:eastAsia="zh-CN"/>
        </w:rPr>
        <w:t>5</w:t>
      </w:r>
      <w:r>
        <w:rPr>
          <w:rFonts w:hint="eastAsia" w:ascii="仿宋" w:hAnsi="仿宋" w:eastAsia="仿宋" w:cs="仿宋"/>
          <w:color w:val="auto"/>
          <w:kern w:val="0"/>
          <w:sz w:val="24"/>
          <w:szCs w:val="24"/>
          <w:highlight w:val="none"/>
        </w:rPr>
        <w:t>.6.1 竣工退场</w:t>
      </w:r>
    </w:p>
    <w:p w14:paraId="0C464381">
      <w:pPr>
        <w:spacing w:line="360" w:lineRule="auto"/>
        <w:ind w:firstLine="480" w:firstLineChars="200"/>
        <w:jc w:val="left"/>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承包人完成竣工退场的期限：</w:t>
      </w:r>
      <w:r>
        <w:rPr>
          <w:rFonts w:hint="eastAsia" w:ascii="仿宋" w:hAnsi="仿宋" w:eastAsia="仿宋" w:cs="仿宋"/>
          <w:color w:val="auto"/>
          <w:sz w:val="24"/>
          <w:szCs w:val="24"/>
          <w:highlight w:val="none"/>
          <w:u w:val="single"/>
        </w:rPr>
        <w:t xml:space="preserve">   竣工验收后2个月内  </w:t>
      </w:r>
      <w:r>
        <w:rPr>
          <w:rFonts w:hint="eastAsia" w:ascii="仿宋" w:hAnsi="仿宋" w:eastAsia="仿宋" w:cs="仿宋"/>
          <w:color w:val="auto"/>
          <w:kern w:val="0"/>
          <w:sz w:val="24"/>
          <w:szCs w:val="24"/>
          <w:highlight w:val="none"/>
        </w:rPr>
        <w:t>。</w:t>
      </w:r>
    </w:p>
    <w:p w14:paraId="7E9853A6">
      <w:pPr>
        <w:pStyle w:val="5"/>
        <w:bidi w:val="0"/>
        <w:jc w:val="left"/>
        <w:rPr>
          <w:rFonts w:hint="eastAsia" w:ascii="仿宋" w:hAnsi="仿宋" w:eastAsia="仿宋" w:cs="仿宋"/>
          <w:color w:val="auto"/>
          <w:highlight w:val="none"/>
        </w:rPr>
      </w:pPr>
      <w:bookmarkStart w:id="746" w:name="_Toc351203646"/>
      <w:r>
        <w:rPr>
          <w:rFonts w:hint="eastAsia" w:ascii="仿宋" w:hAnsi="仿宋" w:eastAsia="仿宋" w:cs="仿宋"/>
          <w:color w:val="auto"/>
          <w:highlight w:val="none"/>
        </w:rPr>
        <w:t>1</w:t>
      </w:r>
      <w:r>
        <w:rPr>
          <w:rFonts w:hint="eastAsia" w:ascii="仿宋" w:hAnsi="仿宋" w:eastAsia="仿宋" w:cs="仿宋"/>
          <w:color w:val="auto"/>
          <w:highlight w:val="none"/>
          <w:lang w:val="en-US" w:eastAsia="zh-CN"/>
        </w:rPr>
        <w:t>6、</w:t>
      </w:r>
      <w:r>
        <w:rPr>
          <w:rFonts w:hint="eastAsia" w:ascii="仿宋" w:hAnsi="仿宋" w:eastAsia="仿宋" w:cs="仿宋"/>
          <w:color w:val="auto"/>
          <w:highlight w:val="none"/>
        </w:rPr>
        <w:t>竣工结算</w:t>
      </w:r>
      <w:bookmarkEnd w:id="746"/>
    </w:p>
    <w:p w14:paraId="34CDF274">
      <w:pPr>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r>
        <w:rPr>
          <w:rFonts w:hint="eastAsia" w:ascii="仿宋" w:hAnsi="仿宋" w:eastAsia="仿宋" w:cs="仿宋"/>
          <w:color w:val="auto"/>
          <w:sz w:val="24"/>
          <w:szCs w:val="24"/>
          <w:highlight w:val="none"/>
          <w:lang w:val="en-US" w:eastAsia="zh-CN"/>
        </w:rPr>
        <w:t>6</w:t>
      </w:r>
      <w:r>
        <w:rPr>
          <w:rFonts w:hint="eastAsia" w:ascii="仿宋" w:hAnsi="仿宋" w:eastAsia="仿宋" w:cs="仿宋"/>
          <w:color w:val="auto"/>
          <w:sz w:val="24"/>
          <w:szCs w:val="24"/>
          <w:highlight w:val="none"/>
        </w:rPr>
        <w:t>.1 竣工结算申请</w:t>
      </w:r>
    </w:p>
    <w:p w14:paraId="5BDB1C63">
      <w:pPr>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承包人提交竣工结算申请单的期限：</w:t>
      </w:r>
      <w:r>
        <w:rPr>
          <w:rFonts w:hint="eastAsia" w:ascii="仿宋" w:hAnsi="仿宋" w:eastAsia="仿宋" w:cs="仿宋"/>
          <w:color w:val="auto"/>
          <w:sz w:val="24"/>
          <w:szCs w:val="24"/>
          <w:highlight w:val="none"/>
          <w:u w:val="single"/>
        </w:rPr>
        <w:t xml:space="preserve"> 工程竣工验收合格后28天内</w:t>
      </w:r>
      <w:r>
        <w:rPr>
          <w:rFonts w:hint="eastAsia" w:ascii="仿宋" w:hAnsi="仿宋" w:eastAsia="仿宋" w:cs="仿宋"/>
          <w:color w:val="auto"/>
          <w:sz w:val="24"/>
          <w:szCs w:val="24"/>
          <w:highlight w:val="none"/>
        </w:rPr>
        <w:t>。</w:t>
      </w:r>
    </w:p>
    <w:p w14:paraId="7FDCF068">
      <w:pPr>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竣工结算申请单应包括的内容：</w:t>
      </w:r>
      <w:r>
        <w:rPr>
          <w:rFonts w:hint="eastAsia" w:ascii="仿宋" w:hAnsi="仿宋" w:eastAsia="仿宋" w:cs="仿宋"/>
          <w:color w:val="auto"/>
          <w:sz w:val="24"/>
          <w:szCs w:val="24"/>
          <w:highlight w:val="none"/>
          <w:u w:val="single"/>
        </w:rPr>
        <w:t xml:space="preserve">  执行通用条款    </w:t>
      </w:r>
      <w:r>
        <w:rPr>
          <w:rFonts w:hint="eastAsia" w:ascii="仿宋" w:hAnsi="仿宋" w:eastAsia="仿宋" w:cs="仿宋"/>
          <w:color w:val="auto"/>
          <w:sz w:val="24"/>
          <w:szCs w:val="24"/>
          <w:highlight w:val="none"/>
        </w:rPr>
        <w:t>。</w:t>
      </w:r>
    </w:p>
    <w:p w14:paraId="59FFBBF1">
      <w:pPr>
        <w:bidi w:val="0"/>
        <w:jc w:val="left"/>
        <w:rPr>
          <w:rFonts w:hint="eastAsia" w:ascii="仿宋" w:hAnsi="仿宋" w:eastAsia="仿宋" w:cs="仿宋"/>
          <w:color w:val="auto"/>
          <w:highlight w:val="none"/>
        </w:rPr>
      </w:pPr>
      <w:bookmarkStart w:id="747" w:name="_Toc480"/>
      <w:r>
        <w:rPr>
          <w:rFonts w:hint="eastAsia" w:ascii="仿宋" w:hAnsi="仿宋" w:eastAsia="仿宋" w:cs="仿宋"/>
          <w:color w:val="auto"/>
          <w:highlight w:val="none"/>
        </w:rPr>
        <w:t>1</w:t>
      </w:r>
      <w:r>
        <w:rPr>
          <w:rFonts w:hint="eastAsia" w:ascii="仿宋" w:hAnsi="仿宋" w:eastAsia="仿宋" w:cs="仿宋"/>
          <w:color w:val="auto"/>
          <w:highlight w:val="none"/>
          <w:lang w:val="en-US" w:eastAsia="zh-CN"/>
        </w:rPr>
        <w:t>6</w:t>
      </w:r>
      <w:r>
        <w:rPr>
          <w:rFonts w:hint="eastAsia" w:ascii="仿宋" w:hAnsi="仿宋" w:eastAsia="仿宋" w:cs="仿宋"/>
          <w:color w:val="auto"/>
          <w:highlight w:val="none"/>
        </w:rPr>
        <w:t>.2 竣工结算审核</w:t>
      </w:r>
      <w:bookmarkEnd w:id="747"/>
    </w:p>
    <w:p w14:paraId="42D9F7A0">
      <w:pPr>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发包人审批竣工付款申请单的期限：</w:t>
      </w:r>
      <w:r>
        <w:rPr>
          <w:rFonts w:hint="eastAsia" w:ascii="仿宋" w:hAnsi="仿宋" w:eastAsia="仿宋" w:cs="仿宋"/>
          <w:color w:val="auto"/>
          <w:sz w:val="24"/>
          <w:szCs w:val="24"/>
          <w:highlight w:val="none"/>
          <w:u w:val="single"/>
        </w:rPr>
        <w:t xml:space="preserve">参考《建设工程价款结算暂行办法》 （财建 2004 第 369 号）规定执行   </w:t>
      </w:r>
      <w:r>
        <w:rPr>
          <w:rFonts w:hint="eastAsia" w:ascii="仿宋" w:hAnsi="仿宋" w:eastAsia="仿宋" w:cs="仿宋"/>
          <w:color w:val="auto"/>
          <w:sz w:val="24"/>
          <w:szCs w:val="24"/>
          <w:highlight w:val="none"/>
        </w:rPr>
        <w:t>。</w:t>
      </w:r>
    </w:p>
    <w:p w14:paraId="3EFD7E41">
      <w:pPr>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发包人完成竣工付款的期限：</w:t>
      </w:r>
      <w:r>
        <w:rPr>
          <w:rFonts w:hint="eastAsia" w:ascii="仿宋" w:hAnsi="仿宋" w:eastAsia="仿宋" w:cs="仿宋"/>
          <w:color w:val="auto"/>
          <w:sz w:val="24"/>
          <w:szCs w:val="24"/>
          <w:highlight w:val="none"/>
          <w:u w:val="single"/>
        </w:rPr>
        <w:t xml:space="preserve"> 无约定，执行通用条款  </w:t>
      </w:r>
      <w:r>
        <w:rPr>
          <w:rFonts w:hint="eastAsia" w:ascii="仿宋" w:hAnsi="仿宋" w:eastAsia="仿宋" w:cs="仿宋"/>
          <w:color w:val="auto"/>
          <w:sz w:val="24"/>
          <w:szCs w:val="24"/>
          <w:highlight w:val="none"/>
        </w:rPr>
        <w:t>。</w:t>
      </w:r>
    </w:p>
    <w:p w14:paraId="1DE1683F">
      <w:pPr>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关于竣工付款证书异议部分复核的方式和程序：</w:t>
      </w:r>
      <w:r>
        <w:rPr>
          <w:rFonts w:hint="eastAsia" w:ascii="仿宋" w:hAnsi="仿宋" w:eastAsia="仿宋" w:cs="仿宋"/>
          <w:color w:val="auto"/>
          <w:sz w:val="24"/>
          <w:szCs w:val="24"/>
          <w:highlight w:val="none"/>
          <w:u w:val="single"/>
        </w:rPr>
        <w:t xml:space="preserve">  无约定，执行通用条款</w:t>
      </w:r>
      <w:r>
        <w:rPr>
          <w:rFonts w:hint="eastAsia" w:ascii="仿宋" w:hAnsi="仿宋" w:eastAsia="仿宋" w:cs="仿宋"/>
          <w:color w:val="auto"/>
          <w:sz w:val="24"/>
          <w:szCs w:val="24"/>
          <w:highlight w:val="none"/>
        </w:rPr>
        <w:t>。</w:t>
      </w:r>
    </w:p>
    <w:p w14:paraId="6B68EA30">
      <w:pPr>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r>
        <w:rPr>
          <w:rFonts w:hint="eastAsia" w:ascii="仿宋" w:hAnsi="仿宋" w:eastAsia="仿宋" w:cs="仿宋"/>
          <w:color w:val="auto"/>
          <w:sz w:val="24"/>
          <w:szCs w:val="24"/>
          <w:highlight w:val="none"/>
          <w:lang w:val="en-US" w:eastAsia="zh-CN"/>
        </w:rPr>
        <w:t>6.3</w:t>
      </w:r>
      <w:r>
        <w:rPr>
          <w:rFonts w:hint="eastAsia" w:ascii="仿宋" w:hAnsi="仿宋" w:eastAsia="仿宋" w:cs="仿宋"/>
          <w:color w:val="auto"/>
          <w:sz w:val="24"/>
          <w:szCs w:val="24"/>
          <w:highlight w:val="none"/>
        </w:rPr>
        <w:t xml:space="preserve"> 最终结清</w:t>
      </w:r>
    </w:p>
    <w:p w14:paraId="32ED2135">
      <w:pPr>
        <w:spacing w:line="360" w:lineRule="auto"/>
        <w:ind w:firstLine="480" w:firstLineChars="200"/>
        <w:jc w:val="left"/>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1</w:t>
      </w:r>
      <w:r>
        <w:rPr>
          <w:rFonts w:hint="eastAsia" w:ascii="仿宋" w:hAnsi="仿宋" w:eastAsia="仿宋" w:cs="仿宋"/>
          <w:color w:val="auto"/>
          <w:kern w:val="0"/>
          <w:sz w:val="24"/>
          <w:szCs w:val="24"/>
          <w:highlight w:val="none"/>
          <w:lang w:val="en-US" w:eastAsia="zh-CN"/>
        </w:rPr>
        <w:t>6.3</w:t>
      </w:r>
      <w:r>
        <w:rPr>
          <w:rFonts w:hint="eastAsia" w:ascii="仿宋" w:hAnsi="仿宋" w:eastAsia="仿宋" w:cs="仿宋"/>
          <w:color w:val="auto"/>
          <w:kern w:val="0"/>
          <w:sz w:val="24"/>
          <w:szCs w:val="24"/>
          <w:highlight w:val="none"/>
        </w:rPr>
        <w:t>.1 最终结清申请单</w:t>
      </w:r>
    </w:p>
    <w:p w14:paraId="4E1FCC23">
      <w:pPr>
        <w:spacing w:line="360" w:lineRule="auto"/>
        <w:ind w:firstLine="480" w:firstLineChars="200"/>
        <w:jc w:val="left"/>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承包人提交最终结清申请单的份数：</w:t>
      </w:r>
      <w:r>
        <w:rPr>
          <w:rFonts w:hint="eastAsia" w:ascii="仿宋" w:hAnsi="仿宋" w:eastAsia="仿宋" w:cs="仿宋"/>
          <w:color w:val="auto"/>
          <w:sz w:val="24"/>
          <w:szCs w:val="24"/>
          <w:highlight w:val="none"/>
          <w:u w:val="single"/>
        </w:rPr>
        <w:t>按发包人要求</w:t>
      </w:r>
      <w:r>
        <w:rPr>
          <w:rFonts w:hint="eastAsia" w:ascii="仿宋" w:hAnsi="仿宋" w:eastAsia="仿宋" w:cs="仿宋"/>
          <w:color w:val="auto"/>
          <w:sz w:val="24"/>
          <w:szCs w:val="24"/>
          <w:highlight w:val="none"/>
        </w:rPr>
        <w:t>。</w:t>
      </w:r>
    </w:p>
    <w:p w14:paraId="34E74B68">
      <w:pPr>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rPr>
        <w:t>承包人提交最终结算申请单的期限：</w:t>
      </w:r>
      <w:r>
        <w:rPr>
          <w:rFonts w:hint="eastAsia" w:ascii="仿宋" w:hAnsi="仿宋" w:eastAsia="仿宋" w:cs="仿宋"/>
          <w:color w:val="auto"/>
          <w:sz w:val="24"/>
          <w:szCs w:val="24"/>
          <w:highlight w:val="none"/>
          <w:u w:val="single"/>
        </w:rPr>
        <w:t>竣工结算书定案后15天内</w:t>
      </w:r>
      <w:r>
        <w:rPr>
          <w:rFonts w:hint="eastAsia" w:ascii="仿宋" w:hAnsi="仿宋" w:eastAsia="仿宋" w:cs="仿宋"/>
          <w:color w:val="auto"/>
          <w:sz w:val="24"/>
          <w:szCs w:val="24"/>
          <w:highlight w:val="none"/>
        </w:rPr>
        <w:t xml:space="preserve">。 </w:t>
      </w:r>
    </w:p>
    <w:p w14:paraId="2844B5D1">
      <w:pPr>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r>
        <w:rPr>
          <w:rFonts w:hint="eastAsia" w:ascii="仿宋" w:hAnsi="仿宋" w:eastAsia="仿宋" w:cs="仿宋"/>
          <w:color w:val="auto"/>
          <w:sz w:val="24"/>
          <w:szCs w:val="24"/>
          <w:highlight w:val="none"/>
          <w:lang w:val="en-US" w:eastAsia="zh-CN"/>
        </w:rPr>
        <w:t>6.3</w:t>
      </w:r>
      <w:r>
        <w:rPr>
          <w:rFonts w:hint="eastAsia" w:ascii="仿宋" w:hAnsi="仿宋" w:eastAsia="仿宋" w:cs="仿宋"/>
          <w:color w:val="auto"/>
          <w:sz w:val="24"/>
          <w:szCs w:val="24"/>
          <w:highlight w:val="none"/>
        </w:rPr>
        <w:t>.2 最终结清证书和支付</w:t>
      </w:r>
    </w:p>
    <w:p w14:paraId="6EFFCF04">
      <w:pPr>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（1）发包人完成最终结清申请单的审批并颁发最终结清证书的期限：</w:t>
      </w:r>
      <w:r>
        <w:rPr>
          <w:rFonts w:hint="eastAsia" w:ascii="仿宋" w:hAnsi="仿宋" w:eastAsia="仿宋" w:cs="仿宋"/>
          <w:color w:val="auto"/>
          <w:sz w:val="24"/>
          <w:szCs w:val="24"/>
          <w:highlight w:val="none"/>
          <w:u w:val="single"/>
        </w:rPr>
        <w:t>7个工作日</w:t>
      </w:r>
      <w:r>
        <w:rPr>
          <w:rFonts w:hint="eastAsia" w:ascii="仿宋" w:hAnsi="仿宋" w:eastAsia="仿宋" w:cs="仿宋"/>
          <w:color w:val="auto"/>
          <w:sz w:val="24"/>
          <w:szCs w:val="24"/>
          <w:highlight w:val="none"/>
        </w:rPr>
        <w:t>。</w:t>
      </w:r>
    </w:p>
    <w:p w14:paraId="66B5C037">
      <w:pPr>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（2）发包人完成支付的期限：</w:t>
      </w:r>
      <w:r>
        <w:rPr>
          <w:rFonts w:hint="eastAsia" w:ascii="仿宋" w:hAnsi="仿宋" w:eastAsia="仿宋" w:cs="仿宋"/>
          <w:color w:val="auto"/>
          <w:sz w:val="24"/>
          <w:szCs w:val="24"/>
          <w:highlight w:val="none"/>
          <w:u w:val="single"/>
        </w:rPr>
        <w:t xml:space="preserve"> 5个工作日</w:t>
      </w:r>
      <w:r>
        <w:rPr>
          <w:rFonts w:hint="eastAsia" w:ascii="仿宋" w:hAnsi="仿宋" w:eastAsia="仿宋" w:cs="仿宋"/>
          <w:color w:val="auto"/>
          <w:sz w:val="24"/>
          <w:szCs w:val="24"/>
          <w:highlight w:val="none"/>
        </w:rPr>
        <w:t>。</w:t>
      </w:r>
    </w:p>
    <w:p w14:paraId="659BF03F">
      <w:pPr>
        <w:pStyle w:val="5"/>
        <w:bidi w:val="0"/>
        <w:jc w:val="left"/>
        <w:rPr>
          <w:rFonts w:hint="eastAsia" w:ascii="仿宋" w:hAnsi="仿宋" w:eastAsia="仿宋" w:cs="仿宋"/>
          <w:color w:val="auto"/>
          <w:highlight w:val="none"/>
        </w:rPr>
      </w:pPr>
      <w:bookmarkStart w:id="748" w:name="_Toc351203647"/>
      <w:bookmarkStart w:id="749" w:name="_Toc267251483"/>
      <w:r>
        <w:rPr>
          <w:rFonts w:hint="eastAsia" w:ascii="仿宋" w:hAnsi="仿宋" w:eastAsia="仿宋" w:cs="仿宋"/>
          <w:color w:val="auto"/>
          <w:highlight w:val="none"/>
          <w:lang w:val="en-US" w:eastAsia="zh-CN"/>
        </w:rPr>
        <w:t>17、</w:t>
      </w:r>
      <w:r>
        <w:rPr>
          <w:rFonts w:hint="eastAsia" w:ascii="仿宋" w:hAnsi="仿宋" w:eastAsia="仿宋" w:cs="仿宋"/>
          <w:color w:val="auto"/>
          <w:highlight w:val="none"/>
        </w:rPr>
        <w:t>缺陷责任期与保修</w:t>
      </w:r>
      <w:bookmarkEnd w:id="748"/>
    </w:p>
    <w:bookmarkEnd w:id="749"/>
    <w:p w14:paraId="38DFE31D">
      <w:pPr>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17.1</w:t>
      </w:r>
      <w:r>
        <w:rPr>
          <w:rFonts w:hint="eastAsia" w:ascii="仿宋" w:hAnsi="仿宋" w:eastAsia="仿宋" w:cs="仿宋"/>
          <w:color w:val="auto"/>
          <w:sz w:val="24"/>
          <w:szCs w:val="24"/>
          <w:highlight w:val="none"/>
        </w:rPr>
        <w:t>缺陷责任期的具体期限：</w:t>
      </w:r>
      <w:r>
        <w:rPr>
          <w:rFonts w:hint="eastAsia" w:ascii="仿宋" w:hAnsi="仿宋" w:cs="仿宋"/>
          <w:color w:val="auto"/>
          <w:sz w:val="24"/>
          <w:szCs w:val="24"/>
          <w:highlight w:val="none"/>
          <w:u w:val="single"/>
          <w:lang w:val="en-US" w:eastAsia="zh-CN"/>
        </w:rPr>
        <w:t>按国家规定执行</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w:t>
      </w:r>
    </w:p>
    <w:p w14:paraId="0018A4CF">
      <w:pPr>
        <w:bidi w:val="0"/>
        <w:jc w:val="left"/>
        <w:rPr>
          <w:rFonts w:hint="eastAsia" w:ascii="仿宋" w:hAnsi="仿宋" w:eastAsia="仿宋" w:cs="仿宋"/>
          <w:color w:val="auto"/>
          <w:highlight w:val="none"/>
        </w:rPr>
      </w:pPr>
      <w:bookmarkStart w:id="750" w:name="_Toc5669"/>
      <w:r>
        <w:rPr>
          <w:rFonts w:hint="eastAsia" w:ascii="仿宋" w:hAnsi="仿宋" w:eastAsia="仿宋" w:cs="仿宋"/>
          <w:color w:val="auto"/>
          <w:highlight w:val="none"/>
          <w:lang w:val="en-US" w:eastAsia="zh-CN"/>
        </w:rPr>
        <w:t>17.2</w:t>
      </w:r>
      <w:r>
        <w:rPr>
          <w:rFonts w:hint="eastAsia" w:ascii="仿宋" w:hAnsi="仿宋" w:eastAsia="仿宋" w:cs="仿宋"/>
          <w:color w:val="auto"/>
          <w:highlight w:val="none"/>
        </w:rPr>
        <w:t>质量保证金</w:t>
      </w:r>
      <w:bookmarkEnd w:id="750"/>
    </w:p>
    <w:p w14:paraId="4C77416F">
      <w:pPr>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关于是否扣留质量保证金的约定：</w:t>
      </w:r>
      <w:r>
        <w:rPr>
          <w:rFonts w:hint="eastAsia" w:ascii="仿宋" w:hAnsi="仿宋" w:eastAsia="仿宋" w:cs="仿宋"/>
          <w:color w:val="auto"/>
          <w:highlight w:val="none"/>
        </w:rPr>
        <w:t>工程竣工结算时一次性</w:t>
      </w:r>
      <w:r>
        <w:rPr>
          <w:rFonts w:hint="eastAsia" w:ascii="仿宋" w:hAnsi="仿宋" w:eastAsia="仿宋" w:cs="仿宋"/>
          <w:color w:val="auto"/>
          <w:sz w:val="24"/>
          <w:szCs w:val="24"/>
          <w:highlight w:val="none"/>
          <w:u w:val="single"/>
        </w:rPr>
        <w:t>扣留质量保证金</w:t>
      </w:r>
      <w:r>
        <w:rPr>
          <w:rFonts w:hint="eastAsia" w:ascii="仿宋" w:hAnsi="仿宋" w:eastAsia="仿宋" w:cs="仿宋"/>
          <w:color w:val="auto"/>
          <w:sz w:val="24"/>
          <w:szCs w:val="24"/>
          <w:highlight w:val="none"/>
        </w:rPr>
        <w:t>。质量保证金</w:t>
      </w:r>
      <w:r>
        <w:rPr>
          <w:rFonts w:hint="eastAsia" w:ascii="仿宋" w:hAnsi="仿宋" w:eastAsia="仿宋" w:cs="仿宋"/>
          <w:color w:val="auto"/>
          <w:sz w:val="24"/>
          <w:szCs w:val="24"/>
          <w:highlight w:val="none"/>
          <w:lang w:val="en-US" w:eastAsia="zh-CN"/>
        </w:rPr>
        <w:t>为</w:t>
      </w:r>
      <w:r>
        <w:rPr>
          <w:rFonts w:hint="eastAsia" w:ascii="仿宋" w:hAnsi="仿宋" w:eastAsia="仿宋" w:cs="仿宋"/>
          <w:color w:val="auto"/>
          <w:kern w:val="0"/>
          <w:sz w:val="24"/>
          <w:szCs w:val="24"/>
          <w:highlight w:val="none"/>
        </w:rPr>
        <w:t>工程</w:t>
      </w:r>
      <w:r>
        <w:rPr>
          <w:rFonts w:hint="eastAsia" w:ascii="仿宋" w:hAnsi="仿宋" w:eastAsia="仿宋" w:cs="仿宋"/>
          <w:color w:val="auto"/>
          <w:kern w:val="0"/>
          <w:sz w:val="24"/>
          <w:szCs w:val="24"/>
          <w:highlight w:val="none"/>
          <w:lang w:val="en-US" w:eastAsia="zh-CN"/>
        </w:rPr>
        <w:t>竣工结算</w:t>
      </w:r>
      <w:r>
        <w:rPr>
          <w:rFonts w:hint="eastAsia" w:ascii="仿宋" w:hAnsi="仿宋" w:eastAsia="仿宋" w:cs="仿宋"/>
          <w:color w:val="auto"/>
          <w:kern w:val="0"/>
          <w:sz w:val="24"/>
          <w:szCs w:val="24"/>
          <w:highlight w:val="none"/>
        </w:rPr>
        <w:t>款</w:t>
      </w:r>
      <w:r>
        <w:rPr>
          <w:rFonts w:hint="eastAsia" w:ascii="仿宋" w:hAnsi="仿宋" w:eastAsia="仿宋" w:cs="仿宋"/>
          <w:color w:val="auto"/>
          <w:kern w:val="0"/>
          <w:sz w:val="24"/>
          <w:szCs w:val="24"/>
          <w:highlight w:val="none"/>
          <w:lang w:val="en-US" w:eastAsia="zh-CN"/>
        </w:rPr>
        <w:t>的</w:t>
      </w:r>
      <w:r>
        <w:rPr>
          <w:rFonts w:hint="eastAsia" w:ascii="仿宋" w:hAnsi="仿宋" w:eastAsia="仿宋" w:cs="仿宋"/>
          <w:color w:val="auto"/>
          <w:kern w:val="0"/>
          <w:sz w:val="24"/>
          <w:szCs w:val="24"/>
          <w:highlight w:val="none"/>
          <w:u w:val="single"/>
        </w:rPr>
        <w:t xml:space="preserve">  3  </w:t>
      </w:r>
      <w:r>
        <w:rPr>
          <w:rFonts w:hint="eastAsia" w:ascii="仿宋" w:hAnsi="仿宋" w:eastAsia="仿宋" w:cs="仿宋"/>
          <w:color w:val="auto"/>
          <w:kern w:val="0"/>
          <w:sz w:val="24"/>
          <w:szCs w:val="24"/>
          <w:highlight w:val="none"/>
        </w:rPr>
        <w:t>%</w:t>
      </w:r>
      <w:r>
        <w:rPr>
          <w:rFonts w:hint="eastAsia" w:ascii="仿宋" w:hAnsi="仿宋" w:eastAsia="仿宋" w:cs="仿宋"/>
          <w:color w:val="auto"/>
          <w:kern w:val="0"/>
          <w:sz w:val="24"/>
          <w:szCs w:val="24"/>
          <w:highlight w:val="none"/>
          <w:lang w:eastAsia="zh-CN"/>
        </w:rPr>
        <w:t>。</w:t>
      </w:r>
    </w:p>
    <w:p w14:paraId="5540C0F9">
      <w:pPr>
        <w:bidi w:val="0"/>
        <w:jc w:val="left"/>
        <w:rPr>
          <w:rFonts w:hint="eastAsia" w:ascii="仿宋" w:hAnsi="仿宋" w:eastAsia="仿宋" w:cs="仿宋"/>
          <w:color w:val="auto"/>
          <w:szCs w:val="24"/>
          <w:highlight w:val="none"/>
        </w:rPr>
      </w:pPr>
      <w:bookmarkStart w:id="751" w:name="_Toc4368"/>
      <w:r>
        <w:rPr>
          <w:rFonts w:hint="eastAsia" w:ascii="仿宋" w:hAnsi="仿宋" w:eastAsia="仿宋" w:cs="仿宋"/>
          <w:color w:val="auto"/>
          <w:highlight w:val="none"/>
          <w:lang w:val="en-US" w:eastAsia="zh-CN"/>
        </w:rPr>
        <w:t>17.3</w:t>
      </w:r>
      <w:r>
        <w:rPr>
          <w:rFonts w:hint="eastAsia" w:ascii="仿宋" w:hAnsi="仿宋" w:eastAsia="仿宋" w:cs="仿宋"/>
          <w:color w:val="auto"/>
          <w:highlight w:val="none"/>
        </w:rPr>
        <w:t>保修</w:t>
      </w:r>
      <w:bookmarkEnd w:id="751"/>
    </w:p>
    <w:p w14:paraId="3037FEFA">
      <w:pPr>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工程保修期为：</w:t>
      </w:r>
      <w:r>
        <w:rPr>
          <w:rFonts w:hint="eastAsia" w:ascii="仿宋" w:hAnsi="仿宋" w:eastAsia="仿宋" w:cs="仿宋"/>
          <w:color w:val="auto"/>
          <w:kern w:val="0"/>
          <w:sz w:val="24"/>
          <w:szCs w:val="24"/>
          <w:highlight w:val="none"/>
          <w:u w:val="single"/>
        </w:rPr>
        <w:t xml:space="preserve"> 以工程质量保修书约定为准。</w:t>
      </w:r>
    </w:p>
    <w:p w14:paraId="2853C85F">
      <w:pPr>
        <w:spacing w:line="360" w:lineRule="auto"/>
        <w:ind w:firstLine="480" w:firstLineChars="200"/>
        <w:jc w:val="left"/>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承包人收到保修通知并到达工程现场的合理时间：</w:t>
      </w:r>
      <w:r>
        <w:rPr>
          <w:rFonts w:hint="eastAsia" w:ascii="仿宋" w:hAnsi="仿宋" w:eastAsia="仿宋" w:cs="仿宋"/>
          <w:color w:val="auto"/>
          <w:kern w:val="0"/>
          <w:sz w:val="24"/>
          <w:szCs w:val="24"/>
          <w:highlight w:val="none"/>
          <w:u w:val="single"/>
        </w:rPr>
        <w:t xml:space="preserve">3个工作日 </w:t>
      </w:r>
      <w:r>
        <w:rPr>
          <w:rFonts w:hint="eastAsia" w:ascii="仿宋" w:hAnsi="仿宋" w:eastAsia="仿宋" w:cs="仿宋"/>
          <w:color w:val="auto"/>
          <w:kern w:val="0"/>
          <w:sz w:val="24"/>
          <w:szCs w:val="24"/>
          <w:highlight w:val="none"/>
        </w:rPr>
        <w:t>。</w:t>
      </w:r>
    </w:p>
    <w:p w14:paraId="313AA720">
      <w:pPr>
        <w:pStyle w:val="5"/>
        <w:bidi w:val="0"/>
        <w:jc w:val="left"/>
        <w:rPr>
          <w:rFonts w:hint="eastAsia" w:ascii="仿宋" w:hAnsi="仿宋" w:eastAsia="仿宋" w:cs="仿宋"/>
          <w:color w:val="auto"/>
          <w:highlight w:val="none"/>
        </w:rPr>
      </w:pPr>
      <w:bookmarkStart w:id="752" w:name="_Toc351203648"/>
      <w:bookmarkStart w:id="753" w:name="_Toc26402"/>
      <w:r>
        <w:rPr>
          <w:rFonts w:hint="eastAsia" w:ascii="仿宋" w:hAnsi="仿宋" w:eastAsia="仿宋" w:cs="仿宋"/>
          <w:color w:val="auto"/>
          <w:highlight w:val="none"/>
          <w:lang w:val="en-US" w:eastAsia="zh-CN"/>
        </w:rPr>
        <w:t>18、</w:t>
      </w:r>
      <w:r>
        <w:rPr>
          <w:rFonts w:hint="eastAsia" w:ascii="仿宋" w:hAnsi="仿宋" w:eastAsia="仿宋" w:cs="仿宋"/>
          <w:color w:val="auto"/>
          <w:highlight w:val="none"/>
        </w:rPr>
        <w:t>违约</w:t>
      </w:r>
      <w:bookmarkEnd w:id="752"/>
      <w:bookmarkEnd w:id="753"/>
    </w:p>
    <w:p w14:paraId="322A3C76">
      <w:pPr>
        <w:bidi w:val="0"/>
        <w:jc w:val="left"/>
        <w:rPr>
          <w:rFonts w:hint="eastAsia" w:ascii="仿宋" w:hAnsi="仿宋" w:eastAsia="仿宋" w:cs="仿宋"/>
          <w:color w:val="auto"/>
          <w:highlight w:val="none"/>
        </w:rPr>
      </w:pPr>
      <w:r>
        <w:rPr>
          <w:rFonts w:hint="eastAsia" w:ascii="仿宋" w:hAnsi="仿宋" w:eastAsia="仿宋" w:cs="仿宋"/>
          <w:color w:val="auto"/>
          <w:highlight w:val="none"/>
        </w:rPr>
        <w:t>1</w:t>
      </w:r>
      <w:r>
        <w:rPr>
          <w:rFonts w:hint="eastAsia" w:ascii="仿宋" w:hAnsi="仿宋" w:eastAsia="仿宋" w:cs="仿宋"/>
          <w:color w:val="auto"/>
          <w:highlight w:val="none"/>
          <w:lang w:val="en-US" w:eastAsia="zh-CN"/>
        </w:rPr>
        <w:t>8</w:t>
      </w:r>
      <w:r>
        <w:rPr>
          <w:rFonts w:hint="eastAsia" w:ascii="仿宋" w:hAnsi="仿宋" w:eastAsia="仿宋" w:cs="仿宋"/>
          <w:color w:val="auto"/>
          <w:highlight w:val="none"/>
        </w:rPr>
        <w:t>.1 发包人违约</w:t>
      </w:r>
    </w:p>
    <w:p w14:paraId="555B1FC9">
      <w:pPr>
        <w:bidi w:val="0"/>
        <w:jc w:val="left"/>
        <w:rPr>
          <w:rFonts w:hint="eastAsia" w:ascii="仿宋" w:hAnsi="仿宋" w:eastAsia="仿宋" w:cs="仿宋"/>
          <w:color w:val="auto"/>
          <w:highlight w:val="none"/>
        </w:rPr>
      </w:pPr>
      <w:r>
        <w:rPr>
          <w:rFonts w:hint="eastAsia" w:ascii="仿宋" w:hAnsi="仿宋" w:eastAsia="仿宋" w:cs="仿宋"/>
          <w:color w:val="auto"/>
          <w:highlight w:val="none"/>
          <w:lang w:val="en-US" w:eastAsia="zh-CN"/>
        </w:rPr>
        <w:t>18.1.1</w:t>
      </w:r>
      <w:r>
        <w:rPr>
          <w:rFonts w:hint="eastAsia" w:ascii="仿宋" w:hAnsi="仿宋" w:eastAsia="仿宋" w:cs="仿宋"/>
          <w:color w:val="auto"/>
          <w:highlight w:val="none"/>
        </w:rPr>
        <w:t>发包人违约的责任</w:t>
      </w:r>
    </w:p>
    <w:p w14:paraId="23DF4155">
      <w:pPr>
        <w:spacing w:line="360" w:lineRule="auto"/>
        <w:ind w:firstLine="480" w:firstLineChars="200"/>
        <w:jc w:val="left"/>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发包人违约责任的承担方式和计算方法：</w:t>
      </w:r>
    </w:p>
    <w:p w14:paraId="46DA0F27">
      <w:pPr>
        <w:spacing w:line="360" w:lineRule="auto"/>
        <w:ind w:firstLine="480" w:firstLineChars="200"/>
        <w:jc w:val="left"/>
        <w:rPr>
          <w:rFonts w:hint="eastAsia" w:ascii="仿宋" w:hAnsi="仿宋" w:eastAsia="仿宋" w:cs="仿宋"/>
          <w:color w:val="auto"/>
          <w:kern w:val="0"/>
          <w:sz w:val="24"/>
          <w:szCs w:val="24"/>
          <w:highlight w:val="none"/>
          <w:u w:val="single"/>
        </w:rPr>
      </w:pPr>
      <w:r>
        <w:rPr>
          <w:rFonts w:hint="eastAsia" w:ascii="仿宋" w:hAnsi="仿宋" w:eastAsia="仿宋" w:cs="仿宋"/>
          <w:color w:val="auto"/>
          <w:kern w:val="0"/>
          <w:sz w:val="24"/>
          <w:szCs w:val="24"/>
          <w:highlight w:val="none"/>
        </w:rPr>
        <w:t>（1）因发包人原因未能在计划开工日期前7天内下达开工通知的违约责任：</w:t>
      </w:r>
      <w:r>
        <w:rPr>
          <w:rFonts w:hint="eastAsia" w:ascii="仿宋" w:hAnsi="仿宋" w:eastAsia="仿宋" w:cs="仿宋"/>
          <w:color w:val="auto"/>
          <w:kern w:val="0"/>
          <w:sz w:val="24"/>
          <w:szCs w:val="24"/>
          <w:highlight w:val="none"/>
          <w:u w:val="single"/>
        </w:rPr>
        <w:t xml:space="preserve"> 工期相应延长</w:t>
      </w:r>
      <w:r>
        <w:rPr>
          <w:rFonts w:hint="eastAsia" w:ascii="仿宋" w:hAnsi="仿宋" w:eastAsia="仿宋" w:cs="仿宋"/>
          <w:color w:val="auto"/>
          <w:kern w:val="0"/>
          <w:sz w:val="24"/>
          <w:szCs w:val="24"/>
          <w:highlight w:val="none"/>
        </w:rPr>
        <w:t>。</w:t>
      </w:r>
    </w:p>
    <w:p w14:paraId="36842AA1">
      <w:pPr>
        <w:spacing w:line="360" w:lineRule="auto"/>
        <w:ind w:firstLine="480" w:firstLineChars="200"/>
        <w:jc w:val="left"/>
        <w:rPr>
          <w:rFonts w:hint="eastAsia" w:ascii="仿宋" w:hAnsi="仿宋" w:eastAsia="仿宋" w:cs="仿宋"/>
          <w:color w:val="auto"/>
          <w:kern w:val="0"/>
          <w:sz w:val="24"/>
          <w:szCs w:val="24"/>
          <w:highlight w:val="none"/>
          <w:u w:val="single"/>
        </w:rPr>
      </w:pPr>
      <w:r>
        <w:rPr>
          <w:rFonts w:hint="eastAsia" w:ascii="仿宋" w:hAnsi="仿宋" w:eastAsia="仿宋" w:cs="仿宋"/>
          <w:color w:val="auto"/>
          <w:kern w:val="0"/>
          <w:sz w:val="24"/>
          <w:szCs w:val="24"/>
          <w:highlight w:val="none"/>
        </w:rPr>
        <w:t>（2）因发包人原因未能按合同约定支付合同价款的违约责任：</w:t>
      </w:r>
      <w:r>
        <w:rPr>
          <w:rFonts w:hint="eastAsia" w:ascii="仿宋" w:hAnsi="仿宋" w:eastAsia="仿宋" w:cs="仿宋"/>
          <w:color w:val="auto"/>
          <w:kern w:val="0"/>
          <w:sz w:val="24"/>
          <w:szCs w:val="24"/>
          <w:highlight w:val="none"/>
          <w:u w:val="single"/>
        </w:rPr>
        <w:t xml:space="preserve"> </w:t>
      </w:r>
      <w:r>
        <w:rPr>
          <w:rFonts w:hint="eastAsia" w:ascii="仿宋" w:hAnsi="仿宋" w:cs="仿宋"/>
          <w:color w:val="auto"/>
          <w:kern w:val="0"/>
          <w:sz w:val="24"/>
          <w:szCs w:val="24"/>
          <w:highlight w:val="none"/>
          <w:u w:val="single"/>
          <w:lang w:val="en-US" w:eastAsia="zh-CN"/>
        </w:rPr>
        <w:t>/</w:t>
      </w:r>
      <w:r>
        <w:rPr>
          <w:rFonts w:hint="eastAsia" w:ascii="仿宋" w:hAnsi="仿宋" w:eastAsia="仿宋" w:cs="仿宋"/>
          <w:color w:val="auto"/>
          <w:kern w:val="0"/>
          <w:sz w:val="24"/>
          <w:szCs w:val="24"/>
          <w:highlight w:val="none"/>
          <w:u w:val="single"/>
        </w:rPr>
        <w:t>。</w:t>
      </w:r>
    </w:p>
    <w:p w14:paraId="33AD03D9">
      <w:pPr>
        <w:spacing w:line="360" w:lineRule="auto"/>
        <w:ind w:firstLine="480" w:firstLineChars="200"/>
        <w:jc w:val="left"/>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（3）因发包人违反合同约定造成暂停施工的违约责任：</w:t>
      </w:r>
      <w:r>
        <w:rPr>
          <w:rFonts w:hint="eastAsia"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u w:val="single"/>
        </w:rPr>
        <w:t>工期相应延长</w:t>
      </w:r>
      <w:r>
        <w:rPr>
          <w:rFonts w:hint="eastAsia" w:ascii="仿宋" w:hAnsi="仿宋" w:eastAsia="仿宋" w:cs="仿宋"/>
          <w:color w:val="auto"/>
          <w:kern w:val="0"/>
          <w:sz w:val="24"/>
          <w:szCs w:val="24"/>
          <w:highlight w:val="none"/>
        </w:rPr>
        <w:t>。</w:t>
      </w:r>
    </w:p>
    <w:p w14:paraId="0F796C02">
      <w:pPr>
        <w:spacing w:line="360" w:lineRule="auto"/>
        <w:ind w:firstLine="480" w:firstLineChars="200"/>
        <w:jc w:val="left"/>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w:t>
      </w:r>
      <w:r>
        <w:rPr>
          <w:rFonts w:hint="eastAsia" w:ascii="仿宋" w:hAnsi="仿宋" w:cs="仿宋"/>
          <w:color w:val="auto"/>
          <w:kern w:val="0"/>
          <w:sz w:val="24"/>
          <w:szCs w:val="24"/>
          <w:highlight w:val="none"/>
          <w:lang w:val="en-US" w:eastAsia="zh-CN"/>
        </w:rPr>
        <w:t>4</w:t>
      </w:r>
      <w:r>
        <w:rPr>
          <w:rFonts w:hint="eastAsia" w:ascii="仿宋" w:hAnsi="仿宋" w:eastAsia="仿宋" w:cs="仿宋"/>
          <w:color w:val="auto"/>
          <w:kern w:val="0"/>
          <w:sz w:val="24"/>
          <w:szCs w:val="24"/>
          <w:highlight w:val="none"/>
        </w:rPr>
        <w:t>）发包人无正当理由没有在约定期限内发出复工指示，导致承包人无法复工的违约责任：</w:t>
      </w:r>
      <w:r>
        <w:rPr>
          <w:rFonts w:hint="eastAsia"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u w:val="single"/>
        </w:rPr>
        <w:t>工期相应延长</w:t>
      </w:r>
      <w:r>
        <w:rPr>
          <w:rFonts w:hint="eastAsia"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rPr>
        <w:t>。</w:t>
      </w:r>
    </w:p>
    <w:p w14:paraId="75490D84">
      <w:pPr>
        <w:bidi w:val="0"/>
        <w:jc w:val="left"/>
        <w:rPr>
          <w:rFonts w:hint="eastAsia" w:ascii="仿宋" w:hAnsi="仿宋" w:eastAsia="仿宋" w:cs="仿宋"/>
          <w:color w:val="auto"/>
          <w:highlight w:val="none"/>
        </w:rPr>
      </w:pPr>
      <w:r>
        <w:rPr>
          <w:rFonts w:hint="eastAsia" w:ascii="仿宋" w:hAnsi="仿宋" w:eastAsia="仿宋" w:cs="仿宋"/>
          <w:color w:val="auto"/>
          <w:highlight w:val="none"/>
        </w:rPr>
        <w:t>1</w:t>
      </w:r>
      <w:r>
        <w:rPr>
          <w:rFonts w:hint="eastAsia" w:ascii="仿宋" w:hAnsi="仿宋" w:eastAsia="仿宋" w:cs="仿宋"/>
          <w:color w:val="auto"/>
          <w:highlight w:val="none"/>
          <w:lang w:val="en-US" w:eastAsia="zh-CN"/>
        </w:rPr>
        <w:t>8</w:t>
      </w:r>
      <w:r>
        <w:rPr>
          <w:rFonts w:hint="eastAsia" w:ascii="仿宋" w:hAnsi="仿宋" w:eastAsia="仿宋" w:cs="仿宋"/>
          <w:color w:val="auto"/>
          <w:highlight w:val="none"/>
        </w:rPr>
        <w:t>.2 承包人违约</w:t>
      </w:r>
    </w:p>
    <w:p w14:paraId="05E07917">
      <w:pPr>
        <w:spacing w:line="360" w:lineRule="auto"/>
        <w:ind w:firstLine="480" w:firstLineChars="200"/>
        <w:jc w:val="left"/>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lang w:val="en-US" w:eastAsia="zh-CN"/>
        </w:rPr>
        <w:t>18.2.1</w:t>
      </w:r>
      <w:r>
        <w:rPr>
          <w:rFonts w:hint="eastAsia" w:ascii="仿宋" w:hAnsi="仿宋" w:eastAsia="仿宋" w:cs="仿宋"/>
          <w:color w:val="auto"/>
          <w:kern w:val="0"/>
          <w:sz w:val="24"/>
          <w:szCs w:val="24"/>
          <w:highlight w:val="none"/>
        </w:rPr>
        <w:t>承包人违约的责任</w:t>
      </w:r>
    </w:p>
    <w:p w14:paraId="0F9223FA">
      <w:pPr>
        <w:spacing w:line="360" w:lineRule="auto"/>
        <w:ind w:firstLine="480" w:firstLineChars="200"/>
        <w:jc w:val="left"/>
        <w:rPr>
          <w:rFonts w:hint="eastAsia" w:ascii="仿宋" w:hAnsi="仿宋" w:eastAsia="仿宋" w:cs="仿宋"/>
          <w:color w:val="auto"/>
          <w:kern w:val="0"/>
          <w:sz w:val="24"/>
          <w:szCs w:val="24"/>
          <w:highlight w:val="none"/>
          <w:u w:val="single"/>
        </w:rPr>
      </w:pPr>
      <w:r>
        <w:rPr>
          <w:rFonts w:hint="eastAsia" w:ascii="仿宋" w:hAnsi="仿宋" w:eastAsia="仿宋" w:cs="仿宋"/>
          <w:color w:val="auto"/>
          <w:kern w:val="0"/>
          <w:sz w:val="24"/>
          <w:szCs w:val="24"/>
          <w:highlight w:val="none"/>
        </w:rPr>
        <w:t>承包人违约责任的承担方式和计算方法：</w:t>
      </w:r>
      <w:r>
        <w:rPr>
          <w:rFonts w:hint="eastAsia" w:ascii="仿宋" w:hAnsi="仿宋" w:eastAsia="仿宋" w:cs="仿宋"/>
          <w:color w:val="auto"/>
          <w:kern w:val="0"/>
          <w:sz w:val="24"/>
          <w:szCs w:val="24"/>
          <w:highlight w:val="none"/>
          <w:u w:val="single"/>
        </w:rPr>
        <w:t xml:space="preserve">   承包人未按本合同约定履行义务（包括未按时竣工、验收、完成工程交付、退场等）应承担的违约责任：每延期一天，承包人应承担1000元/天的违约金，违约金上限不超过施工工程费的0.5%</w:t>
      </w:r>
      <w:r>
        <w:rPr>
          <w:rFonts w:hint="eastAsia" w:ascii="仿宋" w:hAnsi="仿宋" w:eastAsia="仿宋" w:cs="仿宋"/>
          <w:color w:val="auto"/>
          <w:kern w:val="0"/>
          <w:sz w:val="24"/>
          <w:szCs w:val="24"/>
          <w:highlight w:val="none"/>
        </w:rPr>
        <w:t>。</w:t>
      </w:r>
      <w:r>
        <w:rPr>
          <w:rFonts w:hint="eastAsia" w:ascii="仿宋" w:hAnsi="仿宋" w:eastAsia="仿宋" w:cs="仿宋"/>
          <w:color w:val="auto"/>
          <w:sz w:val="24"/>
          <w:szCs w:val="24"/>
          <w:highlight w:val="none"/>
        </w:rPr>
        <w:t xml:space="preserve">    </w:t>
      </w:r>
    </w:p>
    <w:p w14:paraId="747ADF45">
      <w:pPr>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18.2.2</w:t>
      </w:r>
      <w:r>
        <w:rPr>
          <w:rFonts w:hint="eastAsia" w:ascii="仿宋" w:hAnsi="仿宋" w:eastAsia="仿宋" w:cs="仿宋"/>
          <w:color w:val="auto"/>
          <w:sz w:val="24"/>
          <w:szCs w:val="24"/>
          <w:highlight w:val="none"/>
        </w:rPr>
        <w:t xml:space="preserve"> 因承包人违约解除合同</w:t>
      </w:r>
    </w:p>
    <w:p w14:paraId="28D455C6">
      <w:pPr>
        <w:spacing w:line="360" w:lineRule="auto"/>
        <w:ind w:firstLine="480" w:firstLineChars="200"/>
        <w:jc w:val="left"/>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关于承包人违约解除合同的特别约定：</w:t>
      </w:r>
      <w:r>
        <w:rPr>
          <w:rFonts w:hint="eastAsia" w:ascii="仿宋" w:hAnsi="仿宋" w:eastAsia="仿宋" w:cs="仿宋"/>
          <w:color w:val="auto"/>
          <w:kern w:val="0"/>
          <w:sz w:val="24"/>
          <w:szCs w:val="24"/>
          <w:highlight w:val="none"/>
          <w:u w:val="single"/>
        </w:rPr>
        <w:t xml:space="preserve"> 发包人有权向承包人发出书面解除合同通知，该通知送达承包人时解除合同即生效。 </w:t>
      </w:r>
      <w:r>
        <w:rPr>
          <w:rFonts w:hint="eastAsia" w:ascii="仿宋" w:hAnsi="仿宋" w:eastAsia="仿宋" w:cs="仿宋"/>
          <w:color w:val="auto"/>
          <w:kern w:val="0"/>
          <w:sz w:val="24"/>
          <w:szCs w:val="24"/>
          <w:highlight w:val="none"/>
        </w:rPr>
        <w:t>。</w:t>
      </w:r>
    </w:p>
    <w:p w14:paraId="05316C7C">
      <w:pPr>
        <w:pStyle w:val="5"/>
        <w:bidi w:val="0"/>
        <w:jc w:val="left"/>
        <w:rPr>
          <w:rFonts w:hint="eastAsia" w:ascii="仿宋" w:hAnsi="仿宋" w:eastAsia="仿宋" w:cs="仿宋"/>
          <w:color w:val="auto"/>
          <w:highlight w:val="none"/>
        </w:rPr>
      </w:pPr>
      <w:bookmarkStart w:id="754" w:name="_Toc351203649"/>
      <w:bookmarkStart w:id="755" w:name="_Toc13801"/>
      <w:r>
        <w:rPr>
          <w:rFonts w:hint="eastAsia" w:ascii="仿宋" w:hAnsi="仿宋" w:eastAsia="仿宋" w:cs="仿宋"/>
          <w:color w:val="auto"/>
          <w:highlight w:val="none"/>
          <w:lang w:val="en-US" w:eastAsia="zh-CN"/>
        </w:rPr>
        <w:t>19、</w:t>
      </w:r>
      <w:r>
        <w:rPr>
          <w:rFonts w:hint="eastAsia" w:ascii="仿宋" w:hAnsi="仿宋" w:eastAsia="仿宋" w:cs="仿宋"/>
          <w:color w:val="auto"/>
          <w:highlight w:val="none"/>
        </w:rPr>
        <w:t>不可抗力</w:t>
      </w:r>
      <w:bookmarkEnd w:id="754"/>
      <w:bookmarkEnd w:id="755"/>
      <w:r>
        <w:rPr>
          <w:rFonts w:hint="eastAsia" w:ascii="仿宋" w:hAnsi="仿宋" w:eastAsia="仿宋" w:cs="仿宋"/>
          <w:color w:val="auto"/>
          <w:highlight w:val="none"/>
        </w:rPr>
        <w:t xml:space="preserve"> </w:t>
      </w:r>
    </w:p>
    <w:p w14:paraId="541B84D2">
      <w:pPr>
        <w:bidi w:val="0"/>
        <w:jc w:val="left"/>
        <w:rPr>
          <w:rFonts w:hint="eastAsia" w:ascii="仿宋" w:hAnsi="仿宋" w:eastAsia="仿宋" w:cs="仿宋"/>
          <w:color w:val="auto"/>
          <w:highlight w:val="none"/>
        </w:rPr>
      </w:pPr>
      <w:r>
        <w:rPr>
          <w:rFonts w:hint="eastAsia" w:ascii="仿宋" w:hAnsi="仿宋" w:eastAsia="仿宋" w:cs="仿宋"/>
          <w:color w:val="auto"/>
          <w:highlight w:val="none"/>
        </w:rPr>
        <w:t>1</w:t>
      </w:r>
      <w:r>
        <w:rPr>
          <w:rFonts w:hint="eastAsia" w:ascii="仿宋" w:hAnsi="仿宋" w:eastAsia="仿宋" w:cs="仿宋"/>
          <w:color w:val="auto"/>
          <w:highlight w:val="none"/>
          <w:lang w:val="en-US" w:eastAsia="zh-CN"/>
        </w:rPr>
        <w:t>9</w:t>
      </w:r>
      <w:r>
        <w:rPr>
          <w:rFonts w:hint="eastAsia" w:ascii="仿宋" w:hAnsi="仿宋" w:eastAsia="仿宋" w:cs="仿宋"/>
          <w:color w:val="auto"/>
          <w:highlight w:val="none"/>
        </w:rPr>
        <w:t>.1 不可抗力的确认</w:t>
      </w:r>
    </w:p>
    <w:p w14:paraId="3EC359D6">
      <w:pPr>
        <w:bidi w:val="0"/>
        <w:jc w:val="left"/>
        <w:rPr>
          <w:rFonts w:hint="eastAsia" w:ascii="仿宋" w:hAnsi="仿宋" w:eastAsia="仿宋" w:cs="仿宋"/>
          <w:color w:val="auto"/>
          <w:highlight w:val="none"/>
        </w:rPr>
      </w:pPr>
      <w:r>
        <w:rPr>
          <w:rFonts w:hint="eastAsia" w:ascii="仿宋" w:hAnsi="仿宋" w:eastAsia="仿宋" w:cs="仿宋"/>
          <w:color w:val="auto"/>
          <w:highlight w:val="none"/>
        </w:rPr>
        <w:t>除通用合同条款约定的不可抗力事件之外，视为不可抗力的其他情形： 以国家有关部门认可为准。</w:t>
      </w:r>
    </w:p>
    <w:p w14:paraId="675A2FA5">
      <w:pPr>
        <w:bidi w:val="0"/>
        <w:jc w:val="left"/>
        <w:rPr>
          <w:rFonts w:hint="eastAsia" w:ascii="仿宋" w:hAnsi="仿宋" w:eastAsia="仿宋" w:cs="仿宋"/>
          <w:color w:val="auto"/>
          <w:highlight w:val="none"/>
        </w:rPr>
      </w:pPr>
      <w:r>
        <w:rPr>
          <w:rFonts w:hint="eastAsia" w:ascii="仿宋" w:hAnsi="仿宋" w:eastAsia="仿宋" w:cs="仿宋"/>
          <w:color w:val="auto"/>
          <w:highlight w:val="none"/>
        </w:rPr>
        <w:t>1</w:t>
      </w:r>
      <w:r>
        <w:rPr>
          <w:rFonts w:hint="eastAsia" w:ascii="仿宋" w:hAnsi="仿宋" w:eastAsia="仿宋" w:cs="仿宋"/>
          <w:color w:val="auto"/>
          <w:highlight w:val="none"/>
          <w:lang w:val="en-US" w:eastAsia="zh-CN"/>
        </w:rPr>
        <w:t>9</w:t>
      </w:r>
      <w:r>
        <w:rPr>
          <w:rFonts w:hint="eastAsia" w:ascii="仿宋" w:hAnsi="仿宋" w:eastAsia="仿宋" w:cs="仿宋"/>
          <w:color w:val="auto"/>
          <w:highlight w:val="none"/>
        </w:rPr>
        <w:t>.4 因不可抗力解除合同</w:t>
      </w:r>
    </w:p>
    <w:p w14:paraId="09E2C308">
      <w:pPr>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合同解除后，发包人应在商定或确定发包人应支付款项后</w:t>
      </w:r>
      <w:r>
        <w:rPr>
          <w:rFonts w:hint="eastAsia" w:ascii="仿宋" w:hAnsi="仿宋" w:eastAsia="仿宋" w:cs="仿宋"/>
          <w:color w:val="auto"/>
          <w:sz w:val="24"/>
          <w:szCs w:val="24"/>
          <w:highlight w:val="none"/>
          <w:u w:val="single"/>
        </w:rPr>
        <w:t xml:space="preserve"> 28</w:t>
      </w:r>
      <w:r>
        <w:rPr>
          <w:rFonts w:hint="eastAsia" w:ascii="仿宋" w:hAnsi="仿宋" w:eastAsia="仿宋" w:cs="仿宋"/>
          <w:color w:val="auto"/>
          <w:sz w:val="24"/>
          <w:szCs w:val="24"/>
          <w:highlight w:val="none"/>
        </w:rPr>
        <w:t>天内完成款项的支付。</w:t>
      </w:r>
    </w:p>
    <w:p w14:paraId="5B60C792">
      <w:pPr>
        <w:pStyle w:val="5"/>
        <w:bidi w:val="0"/>
        <w:jc w:val="left"/>
        <w:rPr>
          <w:rFonts w:hint="eastAsia" w:ascii="仿宋" w:hAnsi="仿宋" w:eastAsia="仿宋" w:cs="仿宋"/>
          <w:color w:val="auto"/>
          <w:highlight w:val="none"/>
        </w:rPr>
      </w:pPr>
      <w:bookmarkStart w:id="756" w:name="_Toc21451"/>
      <w:bookmarkStart w:id="757" w:name="_Toc351203650"/>
      <w:r>
        <w:rPr>
          <w:rFonts w:hint="eastAsia" w:ascii="仿宋" w:hAnsi="仿宋" w:eastAsia="仿宋" w:cs="仿宋"/>
          <w:color w:val="auto"/>
          <w:highlight w:val="none"/>
          <w:lang w:val="en-US" w:eastAsia="zh-CN"/>
        </w:rPr>
        <w:t>20、</w:t>
      </w:r>
      <w:r>
        <w:rPr>
          <w:rFonts w:hint="eastAsia" w:ascii="仿宋" w:hAnsi="仿宋" w:eastAsia="仿宋" w:cs="仿宋"/>
          <w:color w:val="auto"/>
          <w:highlight w:val="none"/>
        </w:rPr>
        <w:t xml:space="preserve"> 保险</w:t>
      </w:r>
      <w:bookmarkEnd w:id="756"/>
      <w:bookmarkEnd w:id="757"/>
    </w:p>
    <w:p w14:paraId="2AD518B0">
      <w:pPr>
        <w:bidi w:val="0"/>
        <w:jc w:val="left"/>
        <w:rPr>
          <w:rFonts w:hint="eastAsia" w:ascii="仿宋" w:hAnsi="仿宋" w:eastAsia="仿宋" w:cs="仿宋"/>
          <w:color w:val="auto"/>
          <w:highlight w:val="none"/>
        </w:rPr>
      </w:pPr>
      <w:r>
        <w:rPr>
          <w:rFonts w:hint="eastAsia" w:ascii="仿宋" w:hAnsi="仿宋" w:eastAsia="仿宋" w:cs="仿宋"/>
          <w:color w:val="auto"/>
          <w:highlight w:val="none"/>
          <w:lang w:val="en-US" w:eastAsia="zh-CN"/>
        </w:rPr>
        <w:t>20</w:t>
      </w:r>
      <w:r>
        <w:rPr>
          <w:rFonts w:hint="eastAsia" w:ascii="仿宋" w:hAnsi="仿宋" w:eastAsia="仿宋" w:cs="仿宋"/>
          <w:color w:val="auto"/>
          <w:highlight w:val="none"/>
        </w:rPr>
        <w:t>.1 工程保险</w:t>
      </w:r>
    </w:p>
    <w:p w14:paraId="4C20D9F3">
      <w:pPr>
        <w:spacing w:line="360" w:lineRule="auto"/>
        <w:ind w:firstLine="480" w:firstLineChars="200"/>
        <w:jc w:val="left"/>
        <w:rPr>
          <w:rFonts w:hint="eastAsia" w:ascii="仿宋" w:hAnsi="仿宋" w:eastAsia="仿宋" w:cs="仿宋"/>
          <w:color w:val="auto"/>
          <w:kern w:val="0"/>
          <w:sz w:val="24"/>
          <w:szCs w:val="24"/>
          <w:highlight w:val="none"/>
          <w:u w:val="single"/>
        </w:rPr>
      </w:pPr>
      <w:r>
        <w:rPr>
          <w:rFonts w:hint="eastAsia" w:ascii="仿宋" w:hAnsi="仿宋" w:eastAsia="仿宋" w:cs="仿宋"/>
          <w:color w:val="auto"/>
          <w:sz w:val="24"/>
          <w:szCs w:val="24"/>
          <w:highlight w:val="none"/>
        </w:rPr>
        <w:t>关于工程保险的特别约定：</w:t>
      </w:r>
      <w:r>
        <w:rPr>
          <w:rFonts w:hint="eastAsia" w:ascii="仿宋" w:hAnsi="仿宋" w:eastAsia="仿宋" w:cs="仿宋"/>
          <w:color w:val="auto"/>
          <w:kern w:val="0"/>
          <w:sz w:val="24"/>
          <w:szCs w:val="24"/>
          <w:highlight w:val="none"/>
          <w:u w:val="single"/>
        </w:rPr>
        <w:t xml:space="preserve"> 承包人负责办理承包人在施工现场人员的生命财产、现场各种施工设施、设备、材料的保险，并支付相应的费用，费用已含在合同价款中。因承包人原因造成的任何事故（包括第三人员在内）所发生的依法应该支付的损失、赔偿费、补偿费用等责任由承包人承担。</w:t>
      </w:r>
    </w:p>
    <w:p w14:paraId="23561A18">
      <w:pPr>
        <w:bidi w:val="0"/>
        <w:jc w:val="left"/>
        <w:rPr>
          <w:rFonts w:hint="eastAsia" w:ascii="仿宋" w:hAnsi="仿宋" w:eastAsia="仿宋" w:cs="仿宋"/>
          <w:color w:val="auto"/>
          <w:highlight w:val="none"/>
        </w:rPr>
      </w:pPr>
      <w:r>
        <w:rPr>
          <w:rFonts w:hint="eastAsia" w:ascii="仿宋" w:hAnsi="仿宋" w:eastAsia="仿宋" w:cs="仿宋"/>
          <w:color w:val="auto"/>
          <w:highlight w:val="none"/>
          <w:lang w:val="en-US" w:eastAsia="zh-CN"/>
        </w:rPr>
        <w:t>20.2</w:t>
      </w:r>
      <w:r>
        <w:rPr>
          <w:rFonts w:hint="eastAsia" w:ascii="仿宋" w:hAnsi="仿宋" w:eastAsia="仿宋" w:cs="仿宋"/>
          <w:color w:val="auto"/>
          <w:highlight w:val="none"/>
        </w:rPr>
        <w:t xml:space="preserve"> 其他保险</w:t>
      </w:r>
    </w:p>
    <w:p w14:paraId="11EECC03">
      <w:pPr>
        <w:spacing w:line="360" w:lineRule="auto"/>
        <w:ind w:firstLine="480" w:firstLineChars="200"/>
        <w:jc w:val="left"/>
        <w:rPr>
          <w:rFonts w:hint="eastAsia" w:ascii="仿宋" w:hAnsi="仿宋" w:eastAsia="仿宋" w:cs="仿宋"/>
          <w:color w:val="auto"/>
          <w:kern w:val="0"/>
          <w:sz w:val="24"/>
          <w:szCs w:val="24"/>
          <w:highlight w:val="none"/>
        </w:rPr>
      </w:pPr>
      <w:r>
        <w:rPr>
          <w:rFonts w:hint="eastAsia" w:ascii="仿宋" w:hAnsi="仿宋" w:eastAsia="仿宋" w:cs="仿宋"/>
          <w:color w:val="auto"/>
          <w:sz w:val="24"/>
          <w:szCs w:val="24"/>
          <w:highlight w:val="none"/>
        </w:rPr>
        <w:t>承包人是否应为其施工设备等办理财产保险：</w:t>
      </w:r>
      <w:r>
        <w:rPr>
          <w:rFonts w:hint="eastAsia" w:ascii="仿宋" w:hAnsi="仿宋" w:eastAsia="仿宋" w:cs="仿宋"/>
          <w:color w:val="auto"/>
          <w:sz w:val="24"/>
          <w:szCs w:val="24"/>
          <w:highlight w:val="none"/>
          <w:u w:val="single"/>
        </w:rPr>
        <w:t xml:space="preserve">  否   </w:t>
      </w:r>
      <w:r>
        <w:rPr>
          <w:rFonts w:hint="eastAsia" w:ascii="仿宋" w:hAnsi="仿宋" w:eastAsia="仿宋" w:cs="仿宋"/>
          <w:color w:val="auto"/>
          <w:sz w:val="24"/>
          <w:szCs w:val="24"/>
          <w:highlight w:val="none"/>
        </w:rPr>
        <w:t>。</w:t>
      </w:r>
    </w:p>
    <w:p w14:paraId="11153BD3">
      <w:pPr>
        <w:bidi w:val="0"/>
        <w:jc w:val="left"/>
        <w:rPr>
          <w:rFonts w:hint="eastAsia" w:ascii="仿宋" w:hAnsi="仿宋" w:eastAsia="仿宋" w:cs="仿宋"/>
          <w:color w:val="auto"/>
          <w:highlight w:val="none"/>
        </w:rPr>
      </w:pPr>
      <w:r>
        <w:rPr>
          <w:rFonts w:hint="eastAsia" w:ascii="仿宋" w:hAnsi="仿宋" w:eastAsia="仿宋" w:cs="仿宋"/>
          <w:color w:val="auto"/>
          <w:highlight w:val="none"/>
          <w:lang w:val="en-US" w:eastAsia="zh-CN"/>
        </w:rPr>
        <w:t>20.3</w:t>
      </w:r>
      <w:r>
        <w:rPr>
          <w:rFonts w:hint="eastAsia" w:ascii="仿宋" w:hAnsi="仿宋" w:eastAsia="仿宋" w:cs="仿宋"/>
          <w:color w:val="auto"/>
          <w:highlight w:val="none"/>
        </w:rPr>
        <w:t>通知义务</w:t>
      </w:r>
    </w:p>
    <w:p w14:paraId="76A4D1FC">
      <w:pPr>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rPr>
        <w:t>关于变更保险合同时的通知义务的约定：</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kern w:val="0"/>
          <w:sz w:val="24"/>
          <w:szCs w:val="24"/>
          <w:highlight w:val="none"/>
          <w:u w:val="single"/>
        </w:rPr>
        <w:t>在变更保险合同前7个工作日内以书面告知发包人</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w:t>
      </w:r>
    </w:p>
    <w:p w14:paraId="2C18A390">
      <w:pPr>
        <w:pStyle w:val="5"/>
        <w:bidi w:val="0"/>
        <w:jc w:val="left"/>
        <w:rPr>
          <w:rFonts w:hint="eastAsia" w:ascii="仿宋" w:hAnsi="仿宋" w:eastAsia="仿宋" w:cs="仿宋"/>
          <w:color w:val="auto"/>
          <w:highlight w:val="none"/>
        </w:rPr>
      </w:pPr>
      <w:bookmarkStart w:id="758" w:name="_Toc9199"/>
      <w:bookmarkStart w:id="759" w:name="_Toc351203651"/>
      <w:r>
        <w:rPr>
          <w:rFonts w:hint="eastAsia" w:ascii="仿宋" w:hAnsi="仿宋" w:eastAsia="仿宋" w:cs="仿宋"/>
          <w:color w:val="auto"/>
          <w:highlight w:val="none"/>
          <w:lang w:val="en-US" w:eastAsia="zh-CN"/>
        </w:rPr>
        <w:t>21、</w:t>
      </w:r>
      <w:r>
        <w:rPr>
          <w:rFonts w:hint="eastAsia" w:ascii="仿宋" w:hAnsi="仿宋" w:eastAsia="仿宋" w:cs="仿宋"/>
          <w:color w:val="auto"/>
          <w:highlight w:val="none"/>
        </w:rPr>
        <w:t>争议解决</w:t>
      </w:r>
      <w:bookmarkEnd w:id="758"/>
      <w:bookmarkEnd w:id="759"/>
    </w:p>
    <w:p w14:paraId="2046D05C">
      <w:pPr>
        <w:spacing w:line="360" w:lineRule="auto"/>
        <w:ind w:firstLine="480" w:firstLineChars="200"/>
        <w:jc w:val="left"/>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因合同及合同有关事项发生的争议，向</w:t>
      </w:r>
      <w:r>
        <w:rPr>
          <w:rFonts w:hint="eastAsia" w:ascii="仿宋" w:hAnsi="仿宋" w:eastAsia="仿宋" w:cs="仿宋"/>
          <w:color w:val="auto"/>
          <w:sz w:val="24"/>
          <w:szCs w:val="24"/>
          <w:highlight w:val="none"/>
          <w:u w:val="none"/>
        </w:rPr>
        <w:t>工程所在地</w:t>
      </w:r>
      <w:r>
        <w:rPr>
          <w:rFonts w:hint="eastAsia" w:ascii="仿宋" w:hAnsi="仿宋" w:eastAsia="仿宋" w:cs="仿宋"/>
          <w:color w:val="auto"/>
          <w:sz w:val="24"/>
          <w:szCs w:val="24"/>
          <w:highlight w:val="none"/>
        </w:rPr>
        <w:t>人民法院起诉。</w:t>
      </w:r>
    </w:p>
    <w:p w14:paraId="66BB2375">
      <w:pPr>
        <w:widowControl/>
        <w:spacing w:line="600" w:lineRule="auto"/>
        <w:ind w:left="6573" w:leftChars="450" w:hanging="5493" w:hangingChars="2289"/>
        <w:jc w:val="left"/>
        <w:rPr>
          <w:rFonts w:hint="eastAsia" w:ascii="仿宋" w:hAnsi="仿宋" w:eastAsia="仿宋" w:cs="仿宋"/>
          <w:color w:val="auto"/>
          <w:highlight w:val="none"/>
        </w:rPr>
      </w:pPr>
      <w:r>
        <w:rPr>
          <w:rFonts w:hint="eastAsia" w:ascii="仿宋" w:hAnsi="仿宋" w:eastAsia="仿宋" w:cs="仿宋"/>
          <w:color w:val="auto"/>
          <w:sz w:val="24"/>
          <w:szCs w:val="24"/>
          <w:highlight w:val="none"/>
        </w:rPr>
        <w:br w:type="page"/>
      </w:r>
      <w:bookmarkStart w:id="760" w:name="_Toc351203652"/>
      <w:r>
        <w:rPr>
          <w:rFonts w:hint="eastAsia" w:ascii="仿宋" w:hAnsi="仿宋" w:eastAsia="仿宋" w:cs="仿宋"/>
          <w:color w:val="auto"/>
          <w:highlight w:val="none"/>
        </w:rPr>
        <w:t xml:space="preserve">发包人：                               承包人：                      </w:t>
      </w:r>
    </w:p>
    <w:p w14:paraId="68F28E33">
      <w:pPr>
        <w:widowControl/>
        <w:spacing w:line="600" w:lineRule="auto"/>
        <w:ind w:firstLine="960" w:firstLineChars="400"/>
        <w:jc w:val="left"/>
        <w:rPr>
          <w:rFonts w:hint="eastAsia" w:ascii="仿宋" w:hAnsi="仿宋" w:eastAsia="仿宋" w:cs="仿宋"/>
          <w:color w:val="auto"/>
          <w:highlight w:val="none"/>
        </w:rPr>
      </w:pPr>
      <w:r>
        <w:rPr>
          <w:rFonts w:hint="eastAsia" w:ascii="仿宋" w:hAnsi="仿宋" w:eastAsia="仿宋" w:cs="仿宋"/>
          <w:color w:val="auto"/>
          <w:highlight w:val="none"/>
        </w:rPr>
        <w:t>（盖章）                               （联合体</w:t>
      </w:r>
      <w:r>
        <w:rPr>
          <w:rFonts w:hint="eastAsia" w:ascii="仿宋" w:hAnsi="仿宋" w:eastAsia="仿宋" w:cs="仿宋"/>
          <w:color w:val="auto"/>
          <w:highlight w:val="none"/>
          <w:lang w:val="en-US" w:eastAsia="zh-CN"/>
        </w:rPr>
        <w:t>施工</w:t>
      </w:r>
      <w:r>
        <w:rPr>
          <w:rFonts w:hint="eastAsia" w:ascii="仿宋" w:hAnsi="仿宋" w:eastAsia="仿宋" w:cs="仿宋"/>
          <w:color w:val="auto"/>
          <w:highlight w:val="none"/>
        </w:rPr>
        <w:t>单位）：（盖章）</w:t>
      </w:r>
    </w:p>
    <w:p w14:paraId="0616BF37">
      <w:pPr>
        <w:widowControl/>
        <w:spacing w:line="600" w:lineRule="auto"/>
        <w:ind w:firstLine="1080" w:firstLineChars="450"/>
        <w:jc w:val="left"/>
        <w:rPr>
          <w:rFonts w:hint="eastAsia" w:ascii="仿宋" w:hAnsi="仿宋" w:eastAsia="仿宋" w:cs="仿宋"/>
          <w:color w:val="auto"/>
          <w:highlight w:val="none"/>
        </w:rPr>
      </w:pPr>
      <w:r>
        <w:rPr>
          <w:rFonts w:hint="eastAsia" w:ascii="仿宋" w:hAnsi="仿宋" w:eastAsia="仿宋" w:cs="仿宋"/>
          <w:color w:val="auto"/>
          <w:highlight w:val="none"/>
        </w:rPr>
        <w:t xml:space="preserve">统一社会信用代码：                     统一社会信用代码：            </w:t>
      </w:r>
    </w:p>
    <w:p w14:paraId="15E990B9">
      <w:pPr>
        <w:widowControl/>
        <w:spacing w:line="600" w:lineRule="auto"/>
        <w:ind w:firstLine="1080" w:firstLineChars="450"/>
        <w:jc w:val="left"/>
        <w:rPr>
          <w:rFonts w:hint="eastAsia" w:ascii="仿宋" w:hAnsi="仿宋" w:eastAsia="仿宋" w:cs="仿宋"/>
          <w:color w:val="auto"/>
          <w:highlight w:val="none"/>
        </w:rPr>
      </w:pPr>
      <w:r>
        <w:rPr>
          <w:rFonts w:hint="eastAsia" w:ascii="仿宋" w:hAnsi="仿宋" w:eastAsia="仿宋" w:cs="仿宋"/>
          <w:color w:val="auto"/>
          <w:highlight w:val="none"/>
        </w:rPr>
        <w:t xml:space="preserve">地      址：                           地      址：              </w:t>
      </w:r>
    </w:p>
    <w:p w14:paraId="2D854498">
      <w:pPr>
        <w:widowControl/>
        <w:spacing w:line="600" w:lineRule="auto"/>
        <w:ind w:firstLine="1080" w:firstLineChars="450"/>
        <w:jc w:val="left"/>
        <w:rPr>
          <w:rFonts w:hint="eastAsia" w:ascii="仿宋" w:hAnsi="仿宋" w:eastAsia="仿宋" w:cs="仿宋"/>
          <w:color w:val="auto"/>
          <w:highlight w:val="none"/>
        </w:rPr>
      </w:pPr>
      <w:r>
        <w:rPr>
          <w:rFonts w:hint="eastAsia" w:ascii="仿宋" w:hAnsi="仿宋" w:eastAsia="仿宋" w:cs="仿宋"/>
          <w:color w:val="auto"/>
          <w:highlight w:val="none"/>
        </w:rPr>
        <w:t>法定代表人：                           法定代表人：</w:t>
      </w:r>
    </w:p>
    <w:p w14:paraId="71DB31CA">
      <w:pPr>
        <w:widowControl/>
        <w:spacing w:line="600" w:lineRule="auto"/>
        <w:ind w:firstLine="1080" w:firstLineChars="450"/>
        <w:jc w:val="left"/>
        <w:rPr>
          <w:rFonts w:hint="eastAsia" w:ascii="仿宋" w:hAnsi="仿宋" w:eastAsia="仿宋" w:cs="仿宋"/>
          <w:color w:val="auto"/>
          <w:highlight w:val="none"/>
        </w:rPr>
      </w:pPr>
      <w:r>
        <w:rPr>
          <w:rFonts w:hint="eastAsia" w:ascii="仿宋" w:hAnsi="仿宋" w:eastAsia="仿宋" w:cs="仿宋"/>
          <w:color w:val="auto"/>
          <w:highlight w:val="none"/>
        </w:rPr>
        <w:t>委托代理人：                           委托代理人：</w:t>
      </w:r>
    </w:p>
    <w:p w14:paraId="7AE38AFF">
      <w:pPr>
        <w:widowControl/>
        <w:spacing w:line="600" w:lineRule="auto"/>
        <w:ind w:firstLine="1080" w:firstLineChars="450"/>
        <w:jc w:val="left"/>
        <w:rPr>
          <w:rFonts w:hint="eastAsia" w:ascii="仿宋" w:hAnsi="仿宋" w:eastAsia="仿宋" w:cs="仿宋"/>
          <w:color w:val="auto"/>
          <w:highlight w:val="none"/>
        </w:rPr>
      </w:pPr>
      <w:r>
        <w:rPr>
          <w:rFonts w:hint="eastAsia" w:ascii="仿宋" w:hAnsi="仿宋" w:eastAsia="仿宋" w:cs="仿宋"/>
          <w:color w:val="auto"/>
          <w:highlight w:val="none"/>
        </w:rPr>
        <w:t xml:space="preserve">电    话：                             电    话：              </w:t>
      </w:r>
    </w:p>
    <w:p w14:paraId="507444EE">
      <w:pPr>
        <w:widowControl/>
        <w:spacing w:line="600" w:lineRule="auto"/>
        <w:ind w:firstLine="1080" w:firstLineChars="450"/>
        <w:jc w:val="left"/>
        <w:rPr>
          <w:rFonts w:hint="eastAsia" w:ascii="仿宋" w:hAnsi="仿宋" w:eastAsia="仿宋" w:cs="仿宋"/>
          <w:color w:val="auto"/>
          <w:highlight w:val="none"/>
        </w:rPr>
      </w:pPr>
      <w:r>
        <w:rPr>
          <w:rFonts w:hint="eastAsia" w:ascii="仿宋" w:hAnsi="仿宋" w:eastAsia="仿宋" w:cs="仿宋"/>
          <w:color w:val="auto"/>
          <w:highlight w:val="none"/>
        </w:rPr>
        <w:t xml:space="preserve">传    真：                             传    真：                 </w:t>
      </w:r>
    </w:p>
    <w:p w14:paraId="66E3F2D0">
      <w:pPr>
        <w:widowControl/>
        <w:spacing w:line="600" w:lineRule="auto"/>
        <w:ind w:firstLine="1080" w:firstLineChars="450"/>
        <w:jc w:val="left"/>
        <w:rPr>
          <w:rFonts w:hint="eastAsia" w:ascii="仿宋" w:hAnsi="仿宋" w:eastAsia="仿宋" w:cs="仿宋"/>
          <w:color w:val="auto"/>
          <w:sz w:val="22"/>
          <w:szCs w:val="22"/>
          <w:highlight w:val="none"/>
        </w:rPr>
      </w:pPr>
      <w:r>
        <w:rPr>
          <w:rFonts w:hint="eastAsia" w:ascii="仿宋" w:hAnsi="仿宋" w:eastAsia="仿宋" w:cs="仿宋"/>
          <w:color w:val="auto"/>
          <w:highlight w:val="none"/>
        </w:rPr>
        <w:t>开户银行：                             开户银行：</w:t>
      </w:r>
    </w:p>
    <w:p w14:paraId="0A498D17">
      <w:pPr>
        <w:widowControl/>
        <w:spacing w:line="600" w:lineRule="auto"/>
        <w:ind w:firstLine="1080" w:firstLineChars="450"/>
        <w:jc w:val="left"/>
        <w:rPr>
          <w:rFonts w:hint="eastAsia" w:ascii="仿宋" w:hAnsi="仿宋" w:eastAsia="仿宋" w:cs="仿宋"/>
          <w:color w:val="auto"/>
          <w:highlight w:val="none"/>
        </w:rPr>
      </w:pPr>
      <w:r>
        <w:rPr>
          <w:rFonts w:hint="eastAsia" w:ascii="仿宋" w:hAnsi="仿宋" w:eastAsia="仿宋" w:cs="仿宋"/>
          <w:color w:val="auto"/>
          <w:highlight w:val="none"/>
        </w:rPr>
        <w:t>帐    号：                             帐    号：</w:t>
      </w:r>
    </w:p>
    <w:p w14:paraId="028DBC24">
      <w:pPr>
        <w:widowControl/>
        <w:spacing w:line="600" w:lineRule="auto"/>
        <w:ind w:firstLine="1080" w:firstLineChars="450"/>
        <w:jc w:val="left"/>
        <w:rPr>
          <w:rFonts w:hint="eastAsia" w:ascii="仿宋" w:hAnsi="仿宋" w:eastAsia="仿宋" w:cs="仿宋"/>
          <w:color w:val="auto"/>
          <w:highlight w:val="none"/>
        </w:rPr>
      </w:pPr>
      <w:r>
        <w:rPr>
          <w:rFonts w:hint="eastAsia" w:ascii="仿宋" w:hAnsi="仿宋" w:eastAsia="仿宋" w:cs="仿宋"/>
          <w:color w:val="auto"/>
          <w:highlight w:val="none"/>
        </w:rPr>
        <w:t>邮政编码：                             邮政编码：</w:t>
      </w:r>
    </w:p>
    <w:p w14:paraId="65D89D71">
      <w:pPr>
        <w:widowControl/>
        <w:spacing w:line="600" w:lineRule="auto"/>
        <w:ind w:firstLine="1080" w:firstLineChars="450"/>
        <w:jc w:val="left"/>
        <w:rPr>
          <w:rFonts w:hint="eastAsia" w:ascii="仿宋" w:hAnsi="仿宋" w:eastAsia="仿宋" w:cs="仿宋"/>
          <w:color w:val="auto"/>
          <w:highlight w:val="none"/>
        </w:rPr>
      </w:pPr>
      <w:r>
        <w:rPr>
          <w:rFonts w:hint="eastAsia" w:ascii="仿宋" w:hAnsi="仿宋" w:eastAsia="仿宋" w:cs="仿宋"/>
          <w:color w:val="auto"/>
          <w:highlight w:val="none"/>
        </w:rPr>
        <w:t>电子邮箱：                             电子邮箱：</w:t>
      </w:r>
    </w:p>
    <w:p w14:paraId="49FBA5BD">
      <w:pPr>
        <w:spacing w:line="360" w:lineRule="auto"/>
        <w:ind w:firstLine="480" w:firstLineChars="200"/>
        <w:jc w:val="left"/>
        <w:rPr>
          <w:rFonts w:hint="eastAsia" w:ascii="仿宋" w:hAnsi="仿宋" w:eastAsia="仿宋" w:cs="仿宋"/>
          <w:color w:val="auto"/>
          <w:sz w:val="24"/>
          <w:szCs w:val="24"/>
          <w:highlight w:val="none"/>
        </w:rPr>
      </w:pPr>
    </w:p>
    <w:bookmarkEnd w:id="760"/>
    <w:p w14:paraId="4AB70D10">
      <w:pPr>
        <w:bidi w:val="0"/>
        <w:jc w:val="left"/>
        <w:rPr>
          <w:rFonts w:hint="eastAsia" w:ascii="仿宋" w:hAnsi="仿宋" w:eastAsia="仿宋" w:cs="仿宋"/>
          <w:color w:val="auto"/>
          <w:highlight w:val="none"/>
        </w:rPr>
      </w:pPr>
    </w:p>
    <w:p w14:paraId="67A2A29E">
      <w:pPr>
        <w:bidi w:val="0"/>
        <w:jc w:val="left"/>
        <w:rPr>
          <w:rFonts w:hint="eastAsia" w:ascii="仿宋" w:hAnsi="仿宋" w:eastAsia="仿宋" w:cs="仿宋"/>
          <w:color w:val="auto"/>
          <w:highlight w:val="none"/>
        </w:rPr>
      </w:pPr>
    </w:p>
    <w:p w14:paraId="70D3EE61">
      <w:pPr>
        <w:bidi w:val="0"/>
        <w:jc w:val="left"/>
        <w:rPr>
          <w:rFonts w:hint="eastAsia" w:ascii="仿宋" w:hAnsi="仿宋" w:eastAsia="仿宋" w:cs="仿宋"/>
          <w:color w:val="auto"/>
          <w:highlight w:val="none"/>
        </w:rPr>
      </w:pPr>
    </w:p>
    <w:p w14:paraId="31DAD430">
      <w:pPr>
        <w:bidi w:val="0"/>
        <w:jc w:val="left"/>
        <w:rPr>
          <w:rFonts w:hint="eastAsia" w:ascii="仿宋" w:hAnsi="仿宋" w:eastAsia="仿宋" w:cs="仿宋"/>
          <w:color w:val="auto"/>
          <w:highlight w:val="none"/>
        </w:rPr>
      </w:pPr>
    </w:p>
    <w:p w14:paraId="17E8E38D">
      <w:pPr>
        <w:bidi w:val="0"/>
        <w:jc w:val="left"/>
        <w:rPr>
          <w:rFonts w:hint="eastAsia" w:ascii="仿宋" w:hAnsi="仿宋" w:eastAsia="仿宋" w:cs="仿宋"/>
          <w:color w:val="auto"/>
          <w:highlight w:val="none"/>
        </w:rPr>
      </w:pPr>
    </w:p>
    <w:p w14:paraId="2DA82CF4">
      <w:pPr>
        <w:bidi w:val="0"/>
        <w:jc w:val="left"/>
        <w:rPr>
          <w:rFonts w:hint="eastAsia" w:ascii="仿宋" w:hAnsi="仿宋" w:eastAsia="仿宋" w:cs="仿宋"/>
          <w:color w:val="auto"/>
          <w:highlight w:val="none"/>
        </w:rPr>
      </w:pPr>
    </w:p>
    <w:p w14:paraId="71087B33">
      <w:pPr>
        <w:bidi w:val="0"/>
        <w:jc w:val="left"/>
        <w:rPr>
          <w:rFonts w:hint="eastAsia" w:ascii="仿宋" w:hAnsi="仿宋" w:eastAsia="仿宋" w:cs="仿宋"/>
          <w:color w:val="auto"/>
          <w:highlight w:val="none"/>
        </w:rPr>
      </w:pPr>
    </w:p>
    <w:p w14:paraId="45545494">
      <w:pPr>
        <w:bidi w:val="0"/>
        <w:jc w:val="left"/>
        <w:rPr>
          <w:rFonts w:hint="eastAsia" w:ascii="仿宋" w:hAnsi="仿宋" w:eastAsia="仿宋" w:cs="仿宋"/>
          <w:color w:val="auto"/>
          <w:highlight w:val="none"/>
        </w:rPr>
      </w:pPr>
    </w:p>
    <w:p w14:paraId="03F9A2E6">
      <w:pPr>
        <w:bidi w:val="0"/>
        <w:jc w:val="left"/>
        <w:rPr>
          <w:rFonts w:hint="eastAsia" w:ascii="仿宋" w:hAnsi="仿宋" w:eastAsia="仿宋" w:cs="仿宋"/>
          <w:color w:val="auto"/>
          <w:highlight w:val="none"/>
        </w:rPr>
      </w:pPr>
    </w:p>
    <w:p w14:paraId="485704E1">
      <w:pPr>
        <w:pStyle w:val="4"/>
        <w:jc w:val="left"/>
        <w:rPr>
          <w:rFonts w:hint="eastAsia" w:ascii="仿宋" w:hAnsi="仿宋" w:eastAsia="仿宋" w:cs="仿宋"/>
          <w:color w:val="auto"/>
          <w:highlight w:val="none"/>
          <w:lang w:val="en-US" w:eastAsia="zh-CN"/>
        </w:rPr>
      </w:pPr>
      <w:bookmarkStart w:id="761" w:name="_Toc22175"/>
      <w:r>
        <w:rPr>
          <w:rFonts w:hint="eastAsia" w:ascii="仿宋" w:hAnsi="仿宋" w:eastAsia="仿宋" w:cs="仿宋"/>
          <w:color w:val="auto"/>
          <w:highlight w:val="none"/>
        </w:rPr>
        <w:t>三</w:t>
      </w:r>
      <w:r>
        <w:rPr>
          <w:rFonts w:hint="eastAsia" w:ascii="仿宋" w:hAnsi="仿宋" w:eastAsia="仿宋" w:cs="仿宋"/>
          <w:color w:val="auto"/>
          <w:highlight w:val="none"/>
          <w:lang w:eastAsia="zh-CN"/>
        </w:rPr>
        <w:t>、</w:t>
      </w:r>
      <w:r>
        <w:rPr>
          <w:rFonts w:hint="eastAsia" w:ascii="仿宋" w:hAnsi="仿宋" w:eastAsia="仿宋" w:cs="仿宋"/>
          <w:color w:val="auto"/>
          <w:highlight w:val="none"/>
        </w:rPr>
        <w:t>设备集成供货与服务专</w:t>
      </w:r>
      <w:r>
        <w:rPr>
          <w:rFonts w:hint="eastAsia" w:ascii="仿宋" w:hAnsi="仿宋" w:eastAsia="仿宋" w:cs="仿宋"/>
          <w:color w:val="auto"/>
          <w:highlight w:val="none"/>
          <w:lang w:val="en-US" w:eastAsia="zh-CN"/>
        </w:rPr>
        <w:t>用条款</w:t>
      </w:r>
      <w:bookmarkEnd w:id="761"/>
    </w:p>
    <w:p w14:paraId="4D631769">
      <w:pPr>
        <w:jc w:val="left"/>
        <w:rPr>
          <w:rStyle w:val="100"/>
          <w:rFonts w:hint="eastAsia" w:ascii="仿宋" w:hAnsi="仿宋" w:eastAsia="仿宋" w:cs="仿宋"/>
          <w:color w:val="auto"/>
          <w:highlight w:val="none"/>
        </w:rPr>
      </w:pPr>
    </w:p>
    <w:p w14:paraId="211413CB">
      <w:pPr>
        <w:numPr>
          <w:ilvl w:val="-1"/>
          <w:numId w:val="0"/>
        </w:numPr>
        <w:jc w:val="left"/>
        <w:rPr>
          <w:rFonts w:hint="eastAsia" w:ascii="仿宋" w:hAnsi="仿宋" w:eastAsia="仿宋" w:cs="仿宋"/>
          <w:color w:val="auto"/>
          <w:highlight w:val="none"/>
        </w:rPr>
      </w:pPr>
      <w:r>
        <w:rPr>
          <w:rFonts w:hint="eastAsia" w:ascii="仿宋" w:hAnsi="仿宋" w:eastAsia="仿宋" w:cs="仿宋"/>
          <w:color w:val="auto"/>
          <w:highlight w:val="none"/>
        </w:rPr>
        <w:t>（本</w:t>
      </w:r>
      <w:r>
        <w:rPr>
          <w:rFonts w:hint="eastAsia" w:ascii="仿宋" w:hAnsi="仿宋" w:eastAsia="仿宋" w:cs="仿宋"/>
          <w:color w:val="auto"/>
          <w:highlight w:val="none"/>
          <w:lang w:val="en-US" w:eastAsia="zh-CN"/>
        </w:rPr>
        <w:t>设备集成供货与服务</w:t>
      </w:r>
      <w:r>
        <w:rPr>
          <w:rFonts w:hint="eastAsia" w:ascii="仿宋" w:hAnsi="仿宋" w:eastAsia="仿宋" w:cs="仿宋"/>
          <w:color w:val="auto"/>
          <w:highlight w:val="none"/>
        </w:rPr>
        <w:t>专用条款中的承包人均指本项目</w:t>
      </w:r>
      <w:r>
        <w:rPr>
          <w:rFonts w:hint="eastAsia" w:ascii="仿宋" w:hAnsi="仿宋" w:eastAsia="仿宋" w:cs="仿宋"/>
          <w:color w:val="auto"/>
          <w:highlight w:val="none"/>
          <w:lang w:val="en-US" w:eastAsia="zh-CN"/>
        </w:rPr>
        <w:t>供货</w:t>
      </w:r>
      <w:r>
        <w:rPr>
          <w:rFonts w:hint="eastAsia" w:ascii="仿宋" w:hAnsi="仿宋" w:eastAsia="仿宋" w:cs="仿宋"/>
          <w:color w:val="auto"/>
          <w:highlight w:val="none"/>
        </w:rPr>
        <w:t>单位）</w:t>
      </w:r>
    </w:p>
    <w:p w14:paraId="36B288CB">
      <w:pPr>
        <w:jc w:val="left"/>
        <w:rPr>
          <w:rStyle w:val="100"/>
          <w:rFonts w:hint="eastAsia" w:ascii="仿宋" w:hAnsi="仿宋" w:eastAsia="仿宋" w:cs="仿宋"/>
          <w:color w:val="auto"/>
          <w:highlight w:val="none"/>
        </w:rPr>
      </w:pPr>
    </w:p>
    <w:p w14:paraId="569870E8">
      <w:pPr>
        <w:pStyle w:val="5"/>
        <w:ind w:firstLineChars="200"/>
        <w:jc w:val="left"/>
        <w:rPr>
          <w:rFonts w:hint="eastAsia" w:ascii="仿宋" w:hAnsi="仿宋" w:eastAsia="仿宋" w:cs="仿宋"/>
          <w:color w:val="auto"/>
          <w:highlight w:val="none"/>
          <w:lang w:val="en-US" w:eastAsia="zh-CN"/>
        </w:rPr>
      </w:pPr>
      <w:bookmarkStart w:id="762" w:name="_Toc9535"/>
      <w:r>
        <w:rPr>
          <w:rFonts w:hint="eastAsia" w:ascii="仿宋" w:hAnsi="仿宋" w:eastAsia="仿宋" w:cs="仿宋"/>
          <w:color w:val="auto"/>
          <w:highlight w:val="none"/>
        </w:rPr>
        <w:t>1.</w:t>
      </w:r>
      <w:bookmarkEnd w:id="762"/>
      <w:r>
        <w:rPr>
          <w:rFonts w:hint="eastAsia" w:ascii="仿宋" w:hAnsi="仿宋" w:eastAsia="仿宋" w:cs="仿宋"/>
          <w:color w:val="auto"/>
          <w:highlight w:val="none"/>
        </w:rPr>
        <w:t>设备清单及供货范围</w:t>
      </w:r>
    </w:p>
    <w:p w14:paraId="1A76046B">
      <w:pPr>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承包人</w:t>
      </w:r>
      <w:r>
        <w:rPr>
          <w:rFonts w:hint="eastAsia" w:ascii="仿宋" w:hAnsi="仿宋" w:eastAsia="仿宋" w:cs="仿宋"/>
          <w:color w:val="auto"/>
          <w:sz w:val="24"/>
          <w:szCs w:val="24"/>
          <w:highlight w:val="none"/>
        </w:rPr>
        <w:t>负责装配式及配套设备采购及供货（含备品备件）、运输、指导安装、指导调试、技术资料、质量保证等。设备清单最终以</w:t>
      </w:r>
      <w:r>
        <w:rPr>
          <w:rFonts w:hint="eastAsia" w:ascii="仿宋" w:hAnsi="仿宋" w:eastAsia="仿宋" w:cs="仿宋"/>
          <w:color w:val="auto"/>
          <w:sz w:val="24"/>
          <w:szCs w:val="24"/>
          <w:highlight w:val="none"/>
          <w:lang w:eastAsia="zh-CN"/>
        </w:rPr>
        <w:t>发包人</w:t>
      </w:r>
      <w:r>
        <w:rPr>
          <w:rFonts w:hint="eastAsia" w:ascii="仿宋" w:hAnsi="仿宋" w:eastAsia="仿宋" w:cs="仿宋"/>
          <w:color w:val="auto"/>
          <w:sz w:val="24"/>
          <w:szCs w:val="24"/>
          <w:highlight w:val="none"/>
        </w:rPr>
        <w:t>审定施工图中的设备需求为准。</w:t>
      </w:r>
    </w:p>
    <w:p w14:paraId="3C944C12">
      <w:pPr>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设备品牌、规格按招</w:t>
      </w:r>
      <w:r>
        <w:rPr>
          <w:rFonts w:hint="eastAsia" w:ascii="仿宋" w:hAnsi="仿宋" w:eastAsia="仿宋" w:cs="仿宋"/>
          <w:color w:val="auto"/>
          <w:sz w:val="24"/>
          <w:szCs w:val="24"/>
          <w:highlight w:val="none"/>
          <w:lang w:eastAsia="zh"/>
        </w:rPr>
        <w:t>/</w:t>
      </w:r>
      <w:r>
        <w:rPr>
          <w:rFonts w:hint="eastAsia" w:ascii="仿宋" w:hAnsi="仿宋" w:eastAsia="仿宋" w:cs="仿宋"/>
          <w:color w:val="auto"/>
          <w:sz w:val="24"/>
          <w:szCs w:val="24"/>
          <w:highlight w:val="none"/>
        </w:rPr>
        <w:t>投标文件和</w:t>
      </w:r>
      <w:r>
        <w:rPr>
          <w:rFonts w:hint="eastAsia" w:ascii="仿宋" w:hAnsi="仿宋" w:eastAsia="仿宋" w:cs="仿宋"/>
          <w:color w:val="auto"/>
          <w:sz w:val="24"/>
          <w:szCs w:val="24"/>
          <w:highlight w:val="none"/>
          <w:lang w:eastAsia="zh-CN"/>
        </w:rPr>
        <w:t>发包人</w:t>
      </w:r>
      <w:r>
        <w:rPr>
          <w:rFonts w:hint="eastAsia" w:ascii="仿宋" w:hAnsi="仿宋" w:eastAsia="仿宋" w:cs="仿宋"/>
          <w:color w:val="auto"/>
          <w:sz w:val="24"/>
          <w:szCs w:val="24"/>
          <w:highlight w:val="none"/>
        </w:rPr>
        <w:t>审定施工图确认范围采购，未经</w:t>
      </w:r>
      <w:r>
        <w:rPr>
          <w:rFonts w:hint="eastAsia" w:ascii="仿宋" w:hAnsi="仿宋" w:eastAsia="仿宋" w:cs="仿宋"/>
          <w:color w:val="auto"/>
          <w:sz w:val="24"/>
          <w:szCs w:val="24"/>
          <w:highlight w:val="none"/>
          <w:lang w:eastAsia="zh-CN"/>
        </w:rPr>
        <w:t>发包人</w:t>
      </w:r>
      <w:r>
        <w:rPr>
          <w:rFonts w:hint="eastAsia" w:ascii="仿宋" w:hAnsi="仿宋" w:eastAsia="仿宋" w:cs="仿宋"/>
          <w:color w:val="auto"/>
          <w:sz w:val="24"/>
          <w:szCs w:val="24"/>
          <w:highlight w:val="none"/>
        </w:rPr>
        <w:t>同意，招</w:t>
      </w:r>
      <w:r>
        <w:rPr>
          <w:rFonts w:hint="eastAsia" w:ascii="仿宋" w:hAnsi="仿宋" w:eastAsia="仿宋" w:cs="仿宋"/>
          <w:color w:val="auto"/>
          <w:sz w:val="24"/>
          <w:szCs w:val="24"/>
          <w:highlight w:val="none"/>
          <w:lang w:eastAsia="zh"/>
        </w:rPr>
        <w:t>/</w:t>
      </w:r>
      <w:r>
        <w:rPr>
          <w:rFonts w:hint="eastAsia" w:ascii="仿宋" w:hAnsi="仿宋" w:eastAsia="仿宋" w:cs="仿宋"/>
          <w:color w:val="auto"/>
          <w:sz w:val="24"/>
          <w:szCs w:val="24"/>
          <w:highlight w:val="none"/>
        </w:rPr>
        <w:t>投标文件和施工图确认的工程设备不得变更调整。</w:t>
      </w:r>
    </w:p>
    <w:p w14:paraId="20372828">
      <w:pPr>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本合同中由</w:t>
      </w:r>
      <w:r>
        <w:rPr>
          <w:rFonts w:hint="eastAsia" w:ascii="仿宋" w:hAnsi="仿宋" w:eastAsia="仿宋" w:cs="仿宋"/>
          <w:color w:val="auto"/>
          <w:sz w:val="24"/>
          <w:szCs w:val="24"/>
          <w:highlight w:val="none"/>
          <w:lang w:eastAsia="zh-CN"/>
        </w:rPr>
        <w:t>承包人</w:t>
      </w:r>
      <w:r>
        <w:rPr>
          <w:rFonts w:hint="eastAsia" w:ascii="仿宋" w:hAnsi="仿宋" w:eastAsia="仿宋" w:cs="仿宋"/>
          <w:color w:val="auto"/>
          <w:sz w:val="24"/>
          <w:szCs w:val="24"/>
          <w:highlight w:val="none"/>
        </w:rPr>
        <w:t>提供的设备的设计和制造标准须符合国家（或行业）相应规范及合同附件要求。</w:t>
      </w:r>
      <w:r>
        <w:rPr>
          <w:rFonts w:hint="eastAsia" w:ascii="仿宋" w:hAnsi="仿宋" w:eastAsia="仿宋" w:cs="仿宋"/>
          <w:color w:val="auto"/>
          <w:sz w:val="24"/>
          <w:szCs w:val="24"/>
          <w:highlight w:val="none"/>
          <w:lang w:bidi="ar"/>
        </w:rPr>
        <w:t>设备在设计制造、检验、试验过程中，应符合设计规范和相应的国家标准规范。</w:t>
      </w:r>
    </w:p>
    <w:p w14:paraId="7F0C434B">
      <w:pPr>
        <w:pStyle w:val="5"/>
        <w:ind w:firstLineChars="200"/>
        <w:jc w:val="left"/>
        <w:rPr>
          <w:rFonts w:hint="eastAsia" w:ascii="仿宋" w:hAnsi="仿宋" w:eastAsia="仿宋" w:cs="仿宋"/>
          <w:color w:val="auto"/>
          <w:highlight w:val="none"/>
        </w:rPr>
      </w:pPr>
      <w:bookmarkStart w:id="763" w:name="_Toc9410"/>
      <w:r>
        <w:rPr>
          <w:rFonts w:hint="eastAsia" w:ascii="仿宋" w:hAnsi="仿宋" w:eastAsia="仿宋" w:cs="仿宋"/>
          <w:color w:val="auto"/>
          <w:highlight w:val="none"/>
        </w:rPr>
        <w:t>2.价  款</w:t>
      </w:r>
      <w:bookmarkEnd w:id="763"/>
    </w:p>
    <w:p w14:paraId="147EA05D">
      <w:pPr>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2.1</w:t>
      </w:r>
      <w:r>
        <w:rPr>
          <w:rFonts w:hint="eastAsia" w:ascii="仿宋" w:hAnsi="仿宋" w:cs="仿宋"/>
          <w:color w:val="auto"/>
          <w:sz w:val="24"/>
          <w:szCs w:val="24"/>
          <w:highlight w:val="none"/>
          <w:lang w:val="en-US" w:eastAsia="zh-CN"/>
        </w:rPr>
        <w:t>设备</w:t>
      </w:r>
      <w:r>
        <w:rPr>
          <w:rFonts w:hint="eastAsia" w:ascii="仿宋" w:hAnsi="仿宋" w:eastAsia="仿宋" w:cs="仿宋"/>
          <w:color w:val="auto"/>
          <w:sz w:val="24"/>
          <w:szCs w:val="24"/>
          <w:highlight w:val="none"/>
        </w:rPr>
        <w:t>价款</w:t>
      </w:r>
    </w:p>
    <w:p w14:paraId="58DADD09">
      <w:pPr>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2.1.1本合同</w:t>
      </w:r>
      <w:r>
        <w:rPr>
          <w:rFonts w:hint="eastAsia" w:ascii="仿宋" w:hAnsi="仿宋" w:cs="仿宋"/>
          <w:color w:val="auto"/>
          <w:sz w:val="24"/>
          <w:szCs w:val="24"/>
          <w:highlight w:val="none"/>
          <w:lang w:val="en-US" w:eastAsia="zh-CN"/>
        </w:rPr>
        <w:t>设备</w:t>
      </w:r>
      <w:r>
        <w:rPr>
          <w:rFonts w:hint="eastAsia" w:ascii="仿宋" w:hAnsi="仿宋" w:eastAsia="仿宋" w:cs="仿宋"/>
          <w:color w:val="auto"/>
          <w:sz w:val="24"/>
          <w:szCs w:val="24"/>
          <w:highlight w:val="none"/>
        </w:rPr>
        <w:t>价款（设备供货与服务总金额）包括</w:t>
      </w:r>
      <w:r>
        <w:rPr>
          <w:rFonts w:hint="eastAsia" w:ascii="仿宋" w:hAnsi="仿宋" w:eastAsia="仿宋" w:cs="仿宋"/>
          <w:color w:val="auto"/>
          <w:sz w:val="24"/>
          <w:szCs w:val="24"/>
          <w:highlight w:val="none"/>
          <w:lang w:eastAsia="zh"/>
        </w:rPr>
        <w:t>培训、售后</w:t>
      </w:r>
      <w:r>
        <w:rPr>
          <w:rFonts w:hint="eastAsia" w:ascii="仿宋" w:hAnsi="仿宋" w:eastAsia="仿宋" w:cs="仿宋"/>
          <w:color w:val="auto"/>
          <w:sz w:val="24"/>
          <w:szCs w:val="24"/>
          <w:highlight w:val="none"/>
        </w:rPr>
        <w:t>等服务及供货范围内的设备、技术资料、指导调试、指导安装、运费、培训费等，人民币</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 xml:space="preserve">含税价）。其中不含税价款人民币 </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 xml:space="preserve"> ，￥ </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 xml:space="preserve"> ；增值税税率</w:t>
      </w:r>
      <w:r>
        <w:rPr>
          <w:rFonts w:hint="eastAsia" w:ascii="仿宋" w:hAnsi="仿宋" w:cs="仿宋"/>
          <w:color w:val="auto"/>
          <w:sz w:val="24"/>
          <w:szCs w:val="24"/>
          <w:highlight w:val="none"/>
          <w:u w:val="single"/>
          <w:lang w:eastAsia="zh-CN"/>
        </w:rPr>
        <w:t xml:space="preserve"> </w:t>
      </w:r>
      <w:r>
        <w:rPr>
          <w:rFonts w:hint="eastAsia" w:ascii="仿宋" w:hAnsi="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rPr>
        <w:t>%，增值税税额为人民币</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w:t>
      </w:r>
      <w:r>
        <w:rPr>
          <w:rFonts w:hint="eastAsia" w:ascii="仿宋" w:hAnsi="仿宋" w:cs="仿宋"/>
          <w:color w:val="auto"/>
          <w:sz w:val="24"/>
          <w:szCs w:val="24"/>
          <w:highlight w:val="none"/>
          <w:lang w:val="en-US" w:eastAsia="zh-CN"/>
        </w:rPr>
        <w:t>设备</w:t>
      </w:r>
      <w:r>
        <w:rPr>
          <w:rFonts w:hint="eastAsia" w:ascii="仿宋" w:hAnsi="仿宋" w:eastAsia="仿宋" w:cs="仿宋"/>
          <w:color w:val="auto"/>
          <w:sz w:val="24"/>
          <w:szCs w:val="24"/>
          <w:highlight w:val="none"/>
        </w:rPr>
        <w:t>价款最终以财审金额进行结算。合同履行期间，如遇国家税率调整，税率以最新政策为准，</w:t>
      </w:r>
      <w:r>
        <w:rPr>
          <w:rFonts w:hint="eastAsia" w:ascii="仿宋" w:hAnsi="仿宋" w:cs="仿宋"/>
          <w:color w:val="auto"/>
          <w:sz w:val="24"/>
          <w:szCs w:val="24"/>
          <w:highlight w:val="none"/>
          <w:lang w:val="en-US" w:eastAsia="zh-CN"/>
        </w:rPr>
        <w:t>设备</w:t>
      </w:r>
      <w:r>
        <w:rPr>
          <w:rFonts w:hint="eastAsia" w:ascii="仿宋" w:hAnsi="仿宋" w:eastAsia="仿宋" w:cs="仿宋"/>
          <w:color w:val="auto"/>
          <w:sz w:val="24"/>
          <w:szCs w:val="24"/>
          <w:highlight w:val="none"/>
        </w:rPr>
        <w:t>价格以不含税价为准。</w:t>
      </w:r>
    </w:p>
    <w:p w14:paraId="5F5E8686">
      <w:pPr>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2.1.2设备的运输、卸货、指导安装、指导调试费用由</w:t>
      </w:r>
      <w:r>
        <w:rPr>
          <w:rFonts w:hint="eastAsia" w:ascii="仿宋" w:hAnsi="仿宋" w:eastAsia="仿宋" w:cs="仿宋"/>
          <w:color w:val="auto"/>
          <w:sz w:val="24"/>
          <w:szCs w:val="24"/>
          <w:highlight w:val="none"/>
          <w:lang w:eastAsia="zh-CN"/>
        </w:rPr>
        <w:t>承包人</w:t>
      </w:r>
      <w:r>
        <w:rPr>
          <w:rFonts w:hint="eastAsia" w:ascii="仿宋" w:hAnsi="仿宋" w:eastAsia="仿宋" w:cs="仿宋"/>
          <w:color w:val="auto"/>
          <w:sz w:val="24"/>
          <w:szCs w:val="24"/>
          <w:highlight w:val="none"/>
        </w:rPr>
        <w:t>承担。货物二次搬运、保管、安装、清水调试、联动调试及试运转费用由</w:t>
      </w:r>
      <w:r>
        <w:rPr>
          <w:rFonts w:hint="eastAsia" w:ascii="仿宋" w:hAnsi="仿宋" w:cs="仿宋"/>
          <w:color w:val="auto"/>
          <w:sz w:val="24"/>
          <w:szCs w:val="24"/>
          <w:highlight w:val="none"/>
          <w:lang w:val="en-US" w:eastAsia="zh-CN"/>
        </w:rPr>
        <w:t>承包</w:t>
      </w:r>
      <w:r>
        <w:rPr>
          <w:rFonts w:hint="eastAsia" w:ascii="仿宋" w:hAnsi="仿宋" w:eastAsia="仿宋" w:cs="仿宋"/>
          <w:color w:val="auto"/>
          <w:sz w:val="24"/>
          <w:szCs w:val="24"/>
          <w:highlight w:val="none"/>
          <w:lang w:eastAsia="zh-CN"/>
        </w:rPr>
        <w:t>人</w:t>
      </w:r>
      <w:r>
        <w:rPr>
          <w:rFonts w:hint="eastAsia" w:ascii="仿宋" w:hAnsi="仿宋" w:eastAsia="仿宋" w:cs="仿宋"/>
          <w:color w:val="auto"/>
          <w:sz w:val="24"/>
          <w:szCs w:val="24"/>
          <w:highlight w:val="none"/>
        </w:rPr>
        <w:t>负责。</w:t>
      </w:r>
    </w:p>
    <w:p w14:paraId="485B9DDE">
      <w:pPr>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2.1.3</w:t>
      </w:r>
      <w:r>
        <w:rPr>
          <w:rFonts w:hint="eastAsia" w:ascii="仿宋" w:hAnsi="仿宋" w:eastAsia="仿宋" w:cs="仿宋"/>
          <w:color w:val="auto"/>
          <w:sz w:val="24"/>
          <w:szCs w:val="24"/>
          <w:highlight w:val="none"/>
          <w:lang w:eastAsia="zh-CN"/>
        </w:rPr>
        <w:t>承包人</w:t>
      </w:r>
      <w:r>
        <w:rPr>
          <w:rFonts w:hint="eastAsia" w:ascii="仿宋" w:hAnsi="仿宋" w:eastAsia="仿宋" w:cs="仿宋"/>
          <w:color w:val="auto"/>
          <w:sz w:val="24"/>
          <w:szCs w:val="24"/>
          <w:highlight w:val="none"/>
        </w:rPr>
        <w:t>派到</w:t>
      </w:r>
      <w:r>
        <w:rPr>
          <w:rFonts w:hint="eastAsia" w:ascii="仿宋" w:hAnsi="仿宋" w:eastAsia="仿宋" w:cs="仿宋"/>
          <w:color w:val="auto"/>
          <w:sz w:val="24"/>
          <w:szCs w:val="24"/>
          <w:highlight w:val="none"/>
          <w:lang w:eastAsia="zh-CN"/>
        </w:rPr>
        <w:t>发包人</w:t>
      </w:r>
      <w:r>
        <w:rPr>
          <w:rFonts w:hint="eastAsia" w:ascii="仿宋" w:hAnsi="仿宋" w:eastAsia="仿宋" w:cs="仿宋"/>
          <w:color w:val="auto"/>
          <w:sz w:val="24"/>
          <w:szCs w:val="24"/>
          <w:highlight w:val="none"/>
        </w:rPr>
        <w:t>现场的服务人员生活、住宿、交通、医疗方面的费用</w:t>
      </w:r>
      <w:r>
        <w:rPr>
          <w:rFonts w:hint="eastAsia" w:ascii="仿宋" w:hAnsi="仿宋" w:eastAsia="仿宋" w:cs="仿宋"/>
          <w:color w:val="auto"/>
          <w:sz w:val="24"/>
          <w:szCs w:val="24"/>
          <w:highlight w:val="none"/>
          <w:lang w:eastAsia="zh-CN"/>
        </w:rPr>
        <w:t>承包人</w:t>
      </w:r>
      <w:r>
        <w:rPr>
          <w:rFonts w:hint="eastAsia" w:ascii="仿宋" w:hAnsi="仿宋" w:eastAsia="仿宋" w:cs="仿宋"/>
          <w:color w:val="auto"/>
          <w:sz w:val="24"/>
          <w:szCs w:val="24"/>
          <w:highlight w:val="none"/>
        </w:rPr>
        <w:t>自理，</w:t>
      </w:r>
      <w:r>
        <w:rPr>
          <w:rFonts w:hint="eastAsia" w:ascii="仿宋" w:hAnsi="仿宋" w:eastAsia="仿宋" w:cs="仿宋"/>
          <w:color w:val="auto"/>
          <w:sz w:val="24"/>
          <w:szCs w:val="24"/>
          <w:highlight w:val="none"/>
          <w:lang w:eastAsia="zh-CN"/>
        </w:rPr>
        <w:t>发包人</w:t>
      </w:r>
      <w:r>
        <w:rPr>
          <w:rFonts w:hint="eastAsia" w:ascii="仿宋" w:hAnsi="仿宋" w:eastAsia="仿宋" w:cs="仿宋"/>
          <w:color w:val="auto"/>
          <w:sz w:val="24"/>
          <w:szCs w:val="24"/>
          <w:highlight w:val="none"/>
        </w:rPr>
        <w:t>应给予便利。</w:t>
      </w:r>
    </w:p>
    <w:p w14:paraId="7DC429A8">
      <w:pPr>
        <w:pStyle w:val="15"/>
        <w:spacing w:line="360" w:lineRule="auto"/>
        <w:ind w:firstLine="480" w:firstLineChars="200"/>
        <w:jc w:val="left"/>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rPr>
        <w:t>2.2</w:t>
      </w:r>
      <w:r>
        <w:rPr>
          <w:rFonts w:hint="eastAsia" w:ascii="仿宋" w:hAnsi="仿宋" w:cs="仿宋"/>
          <w:color w:val="auto"/>
          <w:sz w:val="24"/>
          <w:szCs w:val="24"/>
          <w:highlight w:val="none"/>
          <w:lang w:val="en-US" w:eastAsia="zh-CN"/>
        </w:rPr>
        <w:t>设备</w:t>
      </w:r>
      <w:r>
        <w:rPr>
          <w:rFonts w:hint="eastAsia" w:ascii="仿宋" w:hAnsi="仿宋" w:eastAsia="仿宋" w:cs="仿宋"/>
          <w:color w:val="auto"/>
          <w:sz w:val="24"/>
          <w:szCs w:val="24"/>
          <w:highlight w:val="none"/>
        </w:rPr>
        <w:t>价款变更原则</w:t>
      </w:r>
    </w:p>
    <w:p w14:paraId="2C40314C">
      <w:pPr>
        <w:spacing w:line="360" w:lineRule="auto"/>
        <w:ind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承包人</w:t>
      </w:r>
      <w:r>
        <w:rPr>
          <w:rFonts w:hint="eastAsia" w:ascii="仿宋" w:hAnsi="仿宋" w:eastAsia="仿宋" w:cs="仿宋"/>
          <w:color w:val="auto"/>
          <w:sz w:val="24"/>
          <w:szCs w:val="24"/>
          <w:highlight w:val="none"/>
        </w:rPr>
        <w:t>的中标价为设备的签约合同价，中标后由联合体内部进行图纸优化设计，由</w:t>
      </w:r>
      <w:r>
        <w:rPr>
          <w:rFonts w:hint="eastAsia" w:ascii="仿宋" w:hAnsi="仿宋" w:eastAsia="仿宋" w:cs="仿宋"/>
          <w:color w:val="auto"/>
          <w:sz w:val="24"/>
          <w:szCs w:val="24"/>
          <w:highlight w:val="none"/>
          <w:lang w:eastAsia="zh-CN"/>
        </w:rPr>
        <w:t>发包人</w:t>
      </w:r>
      <w:r>
        <w:rPr>
          <w:rFonts w:hint="eastAsia" w:ascii="仿宋" w:hAnsi="仿宋" w:eastAsia="仿宋" w:cs="仿宋"/>
          <w:color w:val="auto"/>
          <w:sz w:val="24"/>
          <w:szCs w:val="24"/>
          <w:highlight w:val="none"/>
        </w:rPr>
        <w:t>确认后，则按照项目管理程序办理相关调整手续，</w:t>
      </w:r>
      <w:r>
        <w:rPr>
          <w:rFonts w:hint="eastAsia" w:ascii="仿宋" w:hAnsi="仿宋" w:cs="仿宋"/>
          <w:color w:val="auto"/>
          <w:sz w:val="24"/>
          <w:szCs w:val="24"/>
          <w:highlight w:val="none"/>
          <w:lang w:val="en-US" w:eastAsia="zh-CN"/>
        </w:rPr>
        <w:t>由此产生的费用由承包人自行承担，不得增加费用。</w:t>
      </w:r>
    </w:p>
    <w:p w14:paraId="4DFAA657">
      <w:pPr>
        <w:pStyle w:val="5"/>
        <w:spacing w:line="360" w:lineRule="auto"/>
        <w:ind w:firstLineChars="200"/>
        <w:jc w:val="left"/>
        <w:rPr>
          <w:rFonts w:hint="eastAsia" w:ascii="仿宋" w:hAnsi="仿宋" w:eastAsia="仿宋" w:cs="仿宋"/>
          <w:color w:val="auto"/>
          <w:highlight w:val="none"/>
        </w:rPr>
      </w:pPr>
      <w:r>
        <w:rPr>
          <w:rFonts w:hint="eastAsia" w:ascii="仿宋" w:hAnsi="仿宋" w:eastAsia="仿宋" w:cs="仿宋"/>
          <w:color w:val="auto"/>
          <w:highlight w:val="none"/>
        </w:rPr>
        <w:t>3.价款支付</w:t>
      </w:r>
    </w:p>
    <w:p w14:paraId="39E9EBE1">
      <w:pPr>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付款方式</w:t>
      </w:r>
      <w:r>
        <w:rPr>
          <w:rFonts w:hint="eastAsia" w:ascii="仿宋" w:hAnsi="仿宋" w:cs="仿宋"/>
          <w:color w:val="auto"/>
          <w:sz w:val="24"/>
          <w:szCs w:val="24"/>
          <w:highlight w:val="none"/>
          <w:lang w:eastAsia="zh-CN"/>
        </w:rPr>
        <w:t>：</w:t>
      </w:r>
      <w:r>
        <w:rPr>
          <w:rFonts w:hint="eastAsia" w:ascii="仿宋" w:hAnsi="仿宋" w:eastAsia="仿宋" w:cs="仿宋"/>
          <w:color w:val="auto"/>
          <w:sz w:val="24"/>
          <w:szCs w:val="24"/>
          <w:highlight w:val="none"/>
        </w:rPr>
        <w:t>项目合同签订</w:t>
      </w:r>
      <w:r>
        <w:rPr>
          <w:rFonts w:hint="eastAsia" w:ascii="仿宋" w:hAnsi="仿宋" w:eastAsia="仿宋" w:cs="仿宋"/>
          <w:color w:val="auto"/>
          <w:sz w:val="24"/>
          <w:szCs w:val="24"/>
          <w:highlight w:val="none"/>
          <w:lang w:eastAsia="zh"/>
        </w:rPr>
        <w:t>7</w:t>
      </w:r>
      <w:r>
        <w:rPr>
          <w:rFonts w:hint="eastAsia" w:ascii="仿宋" w:hAnsi="仿宋" w:eastAsia="仿宋" w:cs="仿宋"/>
          <w:color w:val="auto"/>
          <w:sz w:val="24"/>
          <w:szCs w:val="24"/>
          <w:highlight w:val="none"/>
        </w:rPr>
        <w:t>天后，</w:t>
      </w:r>
      <w:r>
        <w:rPr>
          <w:rFonts w:hint="eastAsia" w:ascii="仿宋" w:hAnsi="仿宋" w:cs="仿宋"/>
          <w:color w:val="auto"/>
          <w:sz w:val="24"/>
          <w:szCs w:val="24"/>
          <w:highlight w:val="none"/>
          <w:lang w:val="en-US" w:eastAsia="zh-CN"/>
        </w:rPr>
        <w:t>支付</w:t>
      </w:r>
      <w:r>
        <w:rPr>
          <w:rFonts w:hint="eastAsia" w:ascii="仿宋" w:hAnsi="仿宋" w:cs="仿宋"/>
          <w:color w:val="auto"/>
          <w:sz w:val="24"/>
          <w:szCs w:val="24"/>
          <w:highlight w:val="none"/>
          <w:lang w:val="en-US" w:eastAsia="zh-CN"/>
        </w:rPr>
        <w:t>20%</w:t>
      </w:r>
      <w:r>
        <w:rPr>
          <w:rFonts w:hint="eastAsia" w:ascii="仿宋" w:hAnsi="仿宋" w:cs="仿宋"/>
          <w:color w:val="auto"/>
          <w:sz w:val="24"/>
          <w:szCs w:val="24"/>
          <w:highlight w:val="none"/>
          <w:lang w:val="en-US" w:eastAsia="zh-CN"/>
        </w:rPr>
        <w:t>设备预付款，全部货物运至现场后支付至</w:t>
      </w:r>
      <w:r>
        <w:rPr>
          <w:rFonts w:hint="eastAsia" w:ascii="仿宋" w:hAnsi="仿宋" w:cs="仿宋"/>
          <w:color w:val="auto"/>
          <w:sz w:val="24"/>
          <w:szCs w:val="24"/>
          <w:highlight w:val="none"/>
          <w:lang w:val="en-US" w:eastAsia="zh-CN"/>
        </w:rPr>
        <w:t>50%</w:t>
      </w:r>
      <w:r>
        <w:rPr>
          <w:rFonts w:hint="eastAsia" w:ascii="仿宋" w:hAnsi="仿宋" w:cs="仿宋"/>
          <w:color w:val="auto"/>
          <w:sz w:val="24"/>
          <w:szCs w:val="24"/>
          <w:highlight w:val="none"/>
          <w:lang w:val="en-US" w:eastAsia="zh-CN"/>
        </w:rPr>
        <w:t>设备费，</w:t>
      </w:r>
      <w:r>
        <w:rPr>
          <w:rFonts w:hint="eastAsia" w:ascii="仿宋" w:hAnsi="仿宋" w:cs="仿宋"/>
          <w:color w:val="auto"/>
          <w:sz w:val="24"/>
          <w:szCs w:val="24"/>
          <w:highlight w:val="none"/>
          <w:lang w:val="en-US" w:eastAsia="zh-CN"/>
        </w:rPr>
        <w:t>设备完成单机调试验收后支付至70%设备款</w:t>
      </w:r>
      <w:r>
        <w:rPr>
          <w:rFonts w:hint="eastAsia" w:ascii="仿宋" w:hAnsi="仿宋" w:cs="仿宋"/>
          <w:color w:val="auto"/>
          <w:sz w:val="24"/>
          <w:szCs w:val="24"/>
          <w:highlight w:val="none"/>
          <w:lang w:val="en-US" w:eastAsia="zh-CN"/>
        </w:rPr>
        <w:t>，设备完成结算支付至95%设备费，剩余5%作为质保金，质保期满无质量问题后无息返还（质保期3年）。</w:t>
      </w:r>
      <w:r>
        <w:rPr>
          <w:rFonts w:hint="eastAsia" w:ascii="仿宋" w:hAnsi="仿宋" w:eastAsia="仿宋" w:cs="仿宋"/>
          <w:color w:val="auto"/>
          <w:sz w:val="24"/>
          <w:szCs w:val="24"/>
          <w:highlight w:val="none"/>
        </w:rPr>
        <w:t xml:space="preserve">     </w:t>
      </w:r>
    </w:p>
    <w:p w14:paraId="5E0AF991">
      <w:pPr>
        <w:pStyle w:val="5"/>
        <w:ind w:firstLineChars="200"/>
        <w:jc w:val="left"/>
        <w:rPr>
          <w:rFonts w:hint="eastAsia" w:ascii="仿宋" w:hAnsi="仿宋" w:eastAsia="仿宋" w:cs="仿宋"/>
          <w:color w:val="auto"/>
          <w:highlight w:val="none"/>
        </w:rPr>
      </w:pPr>
      <w:bookmarkStart w:id="764" w:name="_Toc3986"/>
      <w:r>
        <w:rPr>
          <w:rFonts w:hint="eastAsia" w:ascii="仿宋" w:hAnsi="仿宋" w:eastAsia="仿宋" w:cs="仿宋"/>
          <w:color w:val="auto"/>
          <w:highlight w:val="none"/>
        </w:rPr>
        <w:t>4.提供服务</w:t>
      </w:r>
    </w:p>
    <w:p w14:paraId="66151FEB">
      <w:pPr>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4.1</w:t>
      </w:r>
      <w:r>
        <w:rPr>
          <w:rFonts w:hint="eastAsia" w:ascii="仿宋" w:hAnsi="仿宋" w:eastAsia="仿宋" w:cs="仿宋"/>
          <w:color w:val="auto"/>
          <w:sz w:val="24"/>
          <w:szCs w:val="24"/>
          <w:highlight w:val="none"/>
          <w:lang w:eastAsia="zh-CN"/>
        </w:rPr>
        <w:t>承包人</w:t>
      </w:r>
      <w:r>
        <w:rPr>
          <w:rFonts w:hint="eastAsia" w:ascii="仿宋" w:hAnsi="仿宋" w:eastAsia="仿宋" w:cs="仿宋"/>
          <w:color w:val="auto"/>
          <w:sz w:val="24"/>
          <w:szCs w:val="24"/>
          <w:highlight w:val="none"/>
        </w:rPr>
        <w:t>应在项目设计阶段向</w:t>
      </w:r>
      <w:r>
        <w:rPr>
          <w:rFonts w:hint="eastAsia" w:ascii="仿宋" w:hAnsi="仿宋" w:eastAsia="仿宋" w:cs="仿宋"/>
          <w:color w:val="auto"/>
          <w:sz w:val="24"/>
          <w:szCs w:val="24"/>
          <w:highlight w:val="none"/>
          <w:lang w:eastAsia="zh-CN"/>
        </w:rPr>
        <w:t>发包人</w:t>
      </w:r>
      <w:r>
        <w:rPr>
          <w:rFonts w:hint="eastAsia" w:ascii="仿宋" w:hAnsi="仿宋" w:eastAsia="仿宋" w:cs="仿宋"/>
          <w:color w:val="auto"/>
          <w:sz w:val="24"/>
          <w:szCs w:val="24"/>
          <w:highlight w:val="none"/>
        </w:rPr>
        <w:t>提供书面建议方案，</w:t>
      </w:r>
      <w:r>
        <w:rPr>
          <w:rFonts w:hint="eastAsia" w:ascii="仿宋" w:hAnsi="仿宋" w:eastAsia="仿宋" w:cs="仿宋"/>
          <w:color w:val="auto"/>
          <w:sz w:val="24"/>
          <w:szCs w:val="24"/>
          <w:highlight w:val="none"/>
          <w:lang w:eastAsia="zh"/>
        </w:rPr>
        <w:t>在实施阶段向</w:t>
      </w:r>
      <w:r>
        <w:rPr>
          <w:rFonts w:hint="eastAsia" w:ascii="仿宋" w:hAnsi="仿宋" w:eastAsia="仿宋" w:cs="仿宋"/>
          <w:color w:val="auto"/>
          <w:sz w:val="24"/>
          <w:szCs w:val="24"/>
          <w:highlight w:val="none"/>
          <w:lang w:eastAsia="zh-CN"/>
        </w:rPr>
        <w:t>发包人</w:t>
      </w:r>
      <w:r>
        <w:rPr>
          <w:rFonts w:hint="eastAsia" w:ascii="仿宋" w:hAnsi="仿宋" w:eastAsia="仿宋" w:cs="仿宋"/>
          <w:color w:val="auto"/>
          <w:sz w:val="24"/>
          <w:szCs w:val="24"/>
          <w:highlight w:val="none"/>
          <w:lang w:eastAsia="zh"/>
        </w:rPr>
        <w:t>提供技术指导、培训以及售后服务</w:t>
      </w:r>
      <w:r>
        <w:rPr>
          <w:rFonts w:hint="eastAsia" w:ascii="仿宋" w:hAnsi="仿宋" w:eastAsia="仿宋" w:cs="仿宋"/>
          <w:color w:val="auto"/>
          <w:sz w:val="24"/>
          <w:szCs w:val="24"/>
          <w:highlight w:val="none"/>
        </w:rPr>
        <w:t>。</w:t>
      </w:r>
    </w:p>
    <w:p w14:paraId="537657F5">
      <w:pPr>
        <w:pStyle w:val="5"/>
        <w:ind w:firstLineChars="200"/>
        <w:jc w:val="left"/>
        <w:rPr>
          <w:rFonts w:hint="eastAsia" w:ascii="仿宋" w:hAnsi="仿宋" w:eastAsia="仿宋" w:cs="仿宋"/>
          <w:color w:val="auto"/>
          <w:highlight w:val="none"/>
        </w:rPr>
      </w:pPr>
      <w:r>
        <w:rPr>
          <w:rFonts w:hint="eastAsia" w:ascii="仿宋" w:hAnsi="仿宋" w:eastAsia="仿宋" w:cs="仿宋"/>
          <w:color w:val="auto"/>
          <w:highlight w:val="none"/>
        </w:rPr>
        <w:t>5.交货</w:t>
      </w:r>
      <w:bookmarkEnd w:id="764"/>
    </w:p>
    <w:p w14:paraId="7E1926D2">
      <w:pPr>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5.1交货期限</w:t>
      </w:r>
    </w:p>
    <w:p w14:paraId="25F337CF">
      <w:pPr>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5.1.1</w:t>
      </w:r>
      <w:r>
        <w:rPr>
          <w:rFonts w:hint="eastAsia" w:ascii="仿宋" w:hAnsi="仿宋" w:eastAsia="仿宋" w:cs="仿宋"/>
          <w:color w:val="auto"/>
          <w:sz w:val="24"/>
          <w:szCs w:val="24"/>
          <w:highlight w:val="none"/>
          <w:lang w:eastAsia="zh-CN"/>
        </w:rPr>
        <w:t>发包人</w:t>
      </w:r>
      <w:r>
        <w:rPr>
          <w:rFonts w:hint="eastAsia" w:ascii="仿宋" w:hAnsi="仿宋" w:eastAsia="仿宋" w:cs="仿宋"/>
          <w:color w:val="auto"/>
          <w:sz w:val="24"/>
          <w:szCs w:val="24"/>
          <w:highlight w:val="none"/>
        </w:rPr>
        <w:t>支付预付款后，应在项目开工后15日内将施工进度计划送一份</w:t>
      </w:r>
      <w:r>
        <w:rPr>
          <w:rFonts w:hint="eastAsia" w:ascii="仿宋" w:hAnsi="仿宋" w:eastAsia="仿宋" w:cs="仿宋"/>
          <w:color w:val="auto"/>
          <w:sz w:val="24"/>
          <w:szCs w:val="24"/>
          <w:highlight w:val="none"/>
          <w:lang w:eastAsia="zh-CN"/>
        </w:rPr>
        <w:t>承包人</w:t>
      </w:r>
      <w:r>
        <w:rPr>
          <w:rFonts w:hint="eastAsia" w:ascii="仿宋" w:hAnsi="仿宋" w:eastAsia="仿宋" w:cs="仿宋"/>
          <w:color w:val="auto"/>
          <w:sz w:val="24"/>
          <w:szCs w:val="24"/>
          <w:highlight w:val="none"/>
        </w:rPr>
        <w:t>，以便</w:t>
      </w:r>
      <w:r>
        <w:rPr>
          <w:rFonts w:hint="eastAsia" w:ascii="仿宋" w:hAnsi="仿宋" w:eastAsia="仿宋" w:cs="仿宋"/>
          <w:color w:val="auto"/>
          <w:sz w:val="24"/>
          <w:szCs w:val="24"/>
          <w:highlight w:val="none"/>
          <w:lang w:eastAsia="zh-CN"/>
        </w:rPr>
        <w:t>承包人</w:t>
      </w:r>
      <w:r>
        <w:rPr>
          <w:rFonts w:hint="eastAsia" w:ascii="仿宋" w:hAnsi="仿宋" w:eastAsia="仿宋" w:cs="仿宋"/>
          <w:color w:val="auto"/>
          <w:sz w:val="24"/>
          <w:szCs w:val="24"/>
          <w:highlight w:val="none"/>
        </w:rPr>
        <w:t>根据施工进度计划编制设备到货计划，让</w:t>
      </w:r>
      <w:r>
        <w:rPr>
          <w:rFonts w:hint="eastAsia" w:ascii="仿宋" w:hAnsi="仿宋" w:eastAsia="仿宋" w:cs="仿宋"/>
          <w:color w:val="auto"/>
          <w:sz w:val="24"/>
          <w:szCs w:val="24"/>
          <w:highlight w:val="none"/>
          <w:lang w:eastAsia="zh-CN"/>
        </w:rPr>
        <w:t>发包人</w:t>
      </w:r>
      <w:r>
        <w:rPr>
          <w:rFonts w:hint="eastAsia" w:ascii="仿宋" w:hAnsi="仿宋" w:eastAsia="仿宋" w:cs="仿宋"/>
          <w:color w:val="auto"/>
          <w:sz w:val="24"/>
          <w:szCs w:val="24"/>
          <w:highlight w:val="none"/>
        </w:rPr>
        <w:t>确认各阶段设备的进场时间。如计划变更，</w:t>
      </w:r>
      <w:r>
        <w:rPr>
          <w:rFonts w:hint="eastAsia" w:ascii="仿宋" w:hAnsi="仿宋" w:eastAsia="仿宋" w:cs="仿宋"/>
          <w:color w:val="auto"/>
          <w:sz w:val="24"/>
          <w:szCs w:val="24"/>
          <w:highlight w:val="none"/>
          <w:lang w:eastAsia="zh-CN"/>
        </w:rPr>
        <w:t>发包人</w:t>
      </w:r>
      <w:r>
        <w:rPr>
          <w:rFonts w:hint="eastAsia" w:ascii="仿宋" w:hAnsi="仿宋" w:eastAsia="仿宋" w:cs="仿宋"/>
          <w:color w:val="auto"/>
          <w:sz w:val="24"/>
          <w:szCs w:val="24"/>
          <w:highlight w:val="none"/>
        </w:rPr>
        <w:t>应于变更计划到货时间前14日以书面、电子邮件或传真等方式通知</w:t>
      </w:r>
      <w:r>
        <w:rPr>
          <w:rFonts w:hint="eastAsia" w:ascii="仿宋" w:hAnsi="仿宋" w:eastAsia="仿宋" w:cs="仿宋"/>
          <w:color w:val="auto"/>
          <w:sz w:val="24"/>
          <w:szCs w:val="24"/>
          <w:highlight w:val="none"/>
          <w:lang w:eastAsia="zh-CN"/>
        </w:rPr>
        <w:t>承包人</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eastAsia="zh-CN"/>
        </w:rPr>
        <w:t>承包人</w:t>
      </w:r>
      <w:r>
        <w:rPr>
          <w:rFonts w:hint="eastAsia" w:ascii="仿宋" w:hAnsi="仿宋" w:eastAsia="仿宋" w:cs="仿宋"/>
          <w:color w:val="auto"/>
          <w:sz w:val="24"/>
          <w:szCs w:val="24"/>
          <w:highlight w:val="none"/>
        </w:rPr>
        <w:t>应将设备送至项目现场</w:t>
      </w:r>
      <w:r>
        <w:rPr>
          <w:rFonts w:hint="eastAsia" w:ascii="仿宋" w:hAnsi="仿宋" w:eastAsia="仿宋" w:cs="仿宋"/>
          <w:color w:val="auto"/>
          <w:sz w:val="24"/>
          <w:szCs w:val="24"/>
          <w:highlight w:val="none"/>
          <w:lang w:eastAsia="zh-CN"/>
        </w:rPr>
        <w:t>发包人</w:t>
      </w:r>
      <w:r>
        <w:rPr>
          <w:rFonts w:hint="eastAsia" w:ascii="仿宋" w:hAnsi="仿宋" w:eastAsia="仿宋" w:cs="仿宋"/>
          <w:color w:val="auto"/>
          <w:sz w:val="24"/>
          <w:szCs w:val="24"/>
          <w:highlight w:val="none"/>
        </w:rPr>
        <w:t>指定货车可到达的交货地点，需分批发货。具体到货时间可在交货期前两周由双方沟通后确定。</w:t>
      </w:r>
    </w:p>
    <w:p w14:paraId="7EB0BADD">
      <w:pPr>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5.1.2如交货期间截止</w:t>
      </w:r>
      <w:r>
        <w:rPr>
          <w:rFonts w:hint="eastAsia" w:ascii="仿宋" w:hAnsi="仿宋" w:eastAsia="仿宋" w:cs="仿宋"/>
          <w:color w:val="auto"/>
          <w:sz w:val="24"/>
          <w:szCs w:val="24"/>
          <w:highlight w:val="none"/>
          <w:lang w:eastAsia="zh-CN"/>
        </w:rPr>
        <w:t>承包人</w:t>
      </w:r>
      <w:r>
        <w:rPr>
          <w:rFonts w:hint="eastAsia" w:ascii="仿宋" w:hAnsi="仿宋" w:eastAsia="仿宋" w:cs="仿宋"/>
          <w:color w:val="auto"/>
          <w:sz w:val="24"/>
          <w:szCs w:val="24"/>
          <w:highlight w:val="none"/>
        </w:rPr>
        <w:t>确有特殊原因未能按时交货，经书面申请，</w:t>
      </w:r>
      <w:r>
        <w:rPr>
          <w:rFonts w:hint="eastAsia" w:ascii="仿宋" w:hAnsi="仿宋" w:eastAsia="仿宋" w:cs="仿宋"/>
          <w:color w:val="auto"/>
          <w:sz w:val="24"/>
          <w:szCs w:val="24"/>
          <w:highlight w:val="none"/>
          <w:lang w:eastAsia="zh-CN"/>
        </w:rPr>
        <w:t>发包人</w:t>
      </w:r>
      <w:r>
        <w:rPr>
          <w:rFonts w:hint="eastAsia" w:ascii="仿宋" w:hAnsi="仿宋" w:eastAsia="仿宋" w:cs="仿宋"/>
          <w:color w:val="auto"/>
          <w:sz w:val="24"/>
          <w:szCs w:val="24"/>
          <w:highlight w:val="none"/>
        </w:rPr>
        <w:t>可以给予</w:t>
      </w:r>
      <w:r>
        <w:rPr>
          <w:rFonts w:hint="eastAsia" w:ascii="仿宋" w:hAnsi="仿宋" w:eastAsia="仿宋" w:cs="仿宋"/>
          <w:color w:val="auto"/>
          <w:sz w:val="24"/>
          <w:szCs w:val="24"/>
          <w:highlight w:val="none"/>
          <w:lang w:eastAsia="zh-CN"/>
        </w:rPr>
        <w:t>承包人</w:t>
      </w:r>
      <w:r>
        <w:rPr>
          <w:rFonts w:hint="eastAsia" w:ascii="仿宋" w:hAnsi="仿宋" w:eastAsia="仿宋" w:cs="仿宋"/>
          <w:color w:val="auto"/>
          <w:sz w:val="24"/>
          <w:szCs w:val="24"/>
          <w:highlight w:val="none"/>
        </w:rPr>
        <w:t>7日宽限期，每逾期一日，</w:t>
      </w:r>
      <w:r>
        <w:rPr>
          <w:rFonts w:hint="eastAsia" w:ascii="仿宋" w:hAnsi="仿宋" w:eastAsia="仿宋" w:cs="仿宋"/>
          <w:color w:val="auto"/>
          <w:sz w:val="24"/>
          <w:szCs w:val="24"/>
          <w:highlight w:val="none"/>
          <w:lang w:eastAsia="zh-CN"/>
        </w:rPr>
        <w:t>承包人</w:t>
      </w:r>
      <w:r>
        <w:rPr>
          <w:rFonts w:hint="eastAsia" w:ascii="仿宋" w:hAnsi="仿宋" w:eastAsia="仿宋" w:cs="仿宋"/>
          <w:color w:val="auto"/>
          <w:sz w:val="24"/>
          <w:szCs w:val="24"/>
          <w:highlight w:val="none"/>
        </w:rPr>
        <w:t>按未到货设备价款的万分之一向</w:t>
      </w:r>
      <w:r>
        <w:rPr>
          <w:rFonts w:hint="eastAsia" w:ascii="仿宋" w:hAnsi="仿宋" w:eastAsia="仿宋" w:cs="仿宋"/>
          <w:color w:val="auto"/>
          <w:sz w:val="24"/>
          <w:szCs w:val="24"/>
          <w:highlight w:val="none"/>
          <w:lang w:eastAsia="zh-CN"/>
        </w:rPr>
        <w:t>发包人</w:t>
      </w:r>
      <w:r>
        <w:rPr>
          <w:rFonts w:hint="eastAsia" w:ascii="仿宋" w:hAnsi="仿宋" w:eastAsia="仿宋" w:cs="仿宋"/>
          <w:color w:val="auto"/>
          <w:sz w:val="24"/>
          <w:szCs w:val="24"/>
          <w:highlight w:val="none"/>
        </w:rPr>
        <w:t>支付违约金，违约金累计不超过未到货设备价款的5%。</w:t>
      </w:r>
    </w:p>
    <w:p w14:paraId="5CFDB91A">
      <w:pPr>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5.1.3</w:t>
      </w:r>
      <w:r>
        <w:rPr>
          <w:rFonts w:hint="eastAsia" w:ascii="仿宋" w:hAnsi="仿宋" w:eastAsia="仿宋" w:cs="仿宋"/>
          <w:color w:val="auto"/>
          <w:sz w:val="24"/>
          <w:szCs w:val="24"/>
          <w:highlight w:val="none"/>
          <w:lang w:eastAsia="zh-CN"/>
        </w:rPr>
        <w:t>发包人</w:t>
      </w:r>
      <w:r>
        <w:rPr>
          <w:rFonts w:hint="eastAsia" w:ascii="仿宋" w:hAnsi="仿宋" w:eastAsia="仿宋" w:cs="仿宋"/>
          <w:color w:val="auto"/>
          <w:sz w:val="24"/>
          <w:szCs w:val="24"/>
          <w:highlight w:val="none"/>
        </w:rPr>
        <w:t>如对交货期限有变更要求，应提前14日书面通知</w:t>
      </w:r>
      <w:r>
        <w:rPr>
          <w:rFonts w:hint="eastAsia" w:ascii="仿宋" w:hAnsi="仿宋" w:eastAsia="仿宋" w:cs="仿宋"/>
          <w:color w:val="auto"/>
          <w:sz w:val="24"/>
          <w:szCs w:val="24"/>
          <w:highlight w:val="none"/>
          <w:lang w:eastAsia="zh-CN"/>
        </w:rPr>
        <w:t>承包人</w:t>
      </w:r>
      <w:r>
        <w:rPr>
          <w:rFonts w:hint="eastAsia" w:ascii="仿宋" w:hAnsi="仿宋" w:eastAsia="仿宋" w:cs="仿宋"/>
          <w:color w:val="auto"/>
          <w:sz w:val="24"/>
          <w:szCs w:val="24"/>
          <w:highlight w:val="none"/>
        </w:rPr>
        <w:t>新的交货期限。</w:t>
      </w:r>
      <w:r>
        <w:rPr>
          <w:rFonts w:hint="eastAsia" w:ascii="仿宋" w:hAnsi="仿宋" w:eastAsia="仿宋" w:cs="仿宋"/>
          <w:color w:val="auto"/>
          <w:sz w:val="24"/>
          <w:szCs w:val="24"/>
          <w:highlight w:val="none"/>
          <w:lang w:eastAsia="zh-CN"/>
        </w:rPr>
        <w:t>承包人</w:t>
      </w:r>
      <w:r>
        <w:rPr>
          <w:rFonts w:hint="eastAsia" w:ascii="仿宋" w:hAnsi="仿宋" w:eastAsia="仿宋" w:cs="仿宋"/>
          <w:color w:val="auto"/>
          <w:sz w:val="24"/>
          <w:szCs w:val="24"/>
          <w:highlight w:val="none"/>
          <w:lang w:bidi="ar"/>
        </w:rPr>
        <w:t>同意的，</w:t>
      </w:r>
      <w:r>
        <w:rPr>
          <w:rFonts w:hint="eastAsia" w:ascii="仿宋" w:hAnsi="仿宋" w:eastAsia="仿宋" w:cs="仿宋"/>
          <w:color w:val="auto"/>
          <w:sz w:val="24"/>
          <w:szCs w:val="24"/>
          <w:highlight w:val="none"/>
        </w:rPr>
        <w:t>提前做好预案和备案，确保交货期限变更后按时供货。</w:t>
      </w:r>
    </w:p>
    <w:p w14:paraId="3C48C0D4">
      <w:pPr>
        <w:pStyle w:val="24"/>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5.2运输方式：</w:t>
      </w:r>
      <w:r>
        <w:rPr>
          <w:rFonts w:hint="eastAsia" w:ascii="仿宋" w:hAnsi="仿宋" w:eastAsia="仿宋" w:cs="仿宋"/>
          <w:color w:val="auto"/>
          <w:sz w:val="24"/>
          <w:szCs w:val="24"/>
          <w:highlight w:val="none"/>
          <w:lang w:eastAsia="zh-CN"/>
        </w:rPr>
        <w:t>承包人</w:t>
      </w:r>
      <w:r>
        <w:rPr>
          <w:rFonts w:hint="eastAsia" w:ascii="仿宋" w:hAnsi="仿宋" w:eastAsia="仿宋" w:cs="仿宋"/>
          <w:color w:val="auto"/>
          <w:sz w:val="24"/>
          <w:szCs w:val="24"/>
          <w:highlight w:val="none"/>
        </w:rPr>
        <w:t>选择适合设备的运输方式。</w:t>
      </w:r>
    </w:p>
    <w:p w14:paraId="20B9CD72">
      <w:pPr>
        <w:pStyle w:val="24"/>
        <w:spacing w:line="360" w:lineRule="auto"/>
        <w:ind w:firstLine="480" w:firstLineChars="200"/>
        <w:jc w:val="left"/>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交货地点：</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lang w:eastAsia="zh-CN"/>
        </w:rPr>
        <w:t>发包人</w:t>
      </w:r>
      <w:r>
        <w:rPr>
          <w:rFonts w:hint="eastAsia" w:ascii="仿宋" w:hAnsi="仿宋" w:eastAsia="仿宋" w:cs="仿宋"/>
          <w:color w:val="auto"/>
          <w:sz w:val="24"/>
          <w:szCs w:val="24"/>
          <w:highlight w:val="none"/>
        </w:rPr>
        <w:t>指定货车可就近到达的地点</w:t>
      </w:r>
      <w:r>
        <w:rPr>
          <w:rFonts w:hint="eastAsia" w:ascii="仿宋" w:hAnsi="仿宋" w:cs="仿宋"/>
          <w:color w:val="auto"/>
          <w:sz w:val="24"/>
          <w:szCs w:val="24"/>
          <w:highlight w:val="none"/>
          <w:lang w:eastAsia="zh-CN"/>
        </w:rPr>
        <w:t>；</w:t>
      </w:r>
    </w:p>
    <w:p w14:paraId="0CB30E5D">
      <w:pPr>
        <w:pStyle w:val="24"/>
        <w:spacing w:line="360" w:lineRule="auto"/>
        <w:ind w:firstLine="480" w:firstLineChars="200"/>
        <w:jc w:val="left"/>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rPr>
        <w:t>联系人：</w:t>
      </w:r>
      <w:r>
        <w:rPr>
          <w:rFonts w:hint="eastAsia" w:ascii="仿宋" w:hAnsi="仿宋" w:eastAsia="仿宋" w:cs="仿宋"/>
          <w:color w:val="auto"/>
          <w:sz w:val="24"/>
          <w:szCs w:val="24"/>
          <w:highlight w:val="none"/>
          <w:u w:val="single"/>
        </w:rPr>
        <w:t xml:space="preserve">       </w:t>
      </w:r>
    </w:p>
    <w:p w14:paraId="4C3AB930">
      <w:pPr>
        <w:pStyle w:val="24"/>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5.3随机资料</w:t>
      </w:r>
    </w:p>
    <w:p w14:paraId="03DF3125">
      <w:pPr>
        <w:pStyle w:val="24"/>
        <w:spacing w:line="360" w:lineRule="auto"/>
        <w:ind w:firstLine="480" w:firstLineChars="200"/>
        <w:jc w:val="left"/>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若</w:t>
      </w:r>
      <w:r>
        <w:rPr>
          <w:rFonts w:hint="eastAsia" w:ascii="仿宋" w:hAnsi="仿宋" w:eastAsia="仿宋" w:cs="仿宋"/>
          <w:color w:val="auto"/>
          <w:sz w:val="24"/>
          <w:szCs w:val="24"/>
          <w:highlight w:val="none"/>
          <w:lang w:eastAsia="zh-CN" w:bidi="ar"/>
        </w:rPr>
        <w:t>发包人</w:t>
      </w:r>
      <w:r>
        <w:rPr>
          <w:rFonts w:hint="eastAsia" w:ascii="仿宋" w:hAnsi="仿宋" w:eastAsia="仿宋" w:cs="仿宋"/>
          <w:color w:val="auto"/>
          <w:sz w:val="24"/>
          <w:szCs w:val="24"/>
          <w:highlight w:val="none"/>
          <w:lang w:bidi="ar"/>
        </w:rPr>
        <w:t>要求</w:t>
      </w:r>
      <w:r>
        <w:rPr>
          <w:rFonts w:hint="eastAsia" w:ascii="仿宋" w:hAnsi="仿宋" w:eastAsia="仿宋" w:cs="仿宋"/>
          <w:color w:val="auto"/>
          <w:sz w:val="24"/>
          <w:szCs w:val="24"/>
          <w:highlight w:val="none"/>
          <w:lang w:eastAsia="zh-CN" w:bidi="ar"/>
        </w:rPr>
        <w:t>承包人</w:t>
      </w:r>
      <w:r>
        <w:rPr>
          <w:rFonts w:hint="eastAsia" w:ascii="仿宋" w:hAnsi="仿宋" w:eastAsia="仿宋" w:cs="仿宋"/>
          <w:color w:val="auto"/>
          <w:sz w:val="24"/>
          <w:szCs w:val="24"/>
          <w:highlight w:val="none"/>
          <w:lang w:bidi="ar"/>
        </w:rPr>
        <w:t>提供本合同所规定范围以外的图纸、技术资料、验收证明、出厂合格证或增加份数时，</w:t>
      </w:r>
      <w:r>
        <w:rPr>
          <w:rFonts w:hint="eastAsia" w:ascii="仿宋" w:hAnsi="仿宋" w:eastAsia="仿宋" w:cs="仿宋"/>
          <w:color w:val="auto"/>
          <w:sz w:val="24"/>
          <w:szCs w:val="24"/>
          <w:highlight w:val="none"/>
          <w:lang w:eastAsia="zh-CN" w:bidi="ar"/>
        </w:rPr>
        <w:t>承包人</w:t>
      </w:r>
      <w:r>
        <w:rPr>
          <w:rFonts w:hint="eastAsia" w:ascii="仿宋" w:hAnsi="仿宋" w:eastAsia="仿宋" w:cs="仿宋"/>
          <w:color w:val="auto"/>
          <w:sz w:val="24"/>
          <w:szCs w:val="24"/>
          <w:highlight w:val="none"/>
          <w:lang w:bidi="ar"/>
        </w:rPr>
        <w:t>应予以满足，但</w:t>
      </w:r>
      <w:r>
        <w:rPr>
          <w:rFonts w:hint="eastAsia" w:ascii="仿宋" w:hAnsi="仿宋" w:eastAsia="仿宋" w:cs="仿宋"/>
          <w:color w:val="auto"/>
          <w:sz w:val="24"/>
          <w:szCs w:val="24"/>
          <w:highlight w:val="none"/>
          <w:lang w:eastAsia="zh-CN" w:bidi="ar"/>
        </w:rPr>
        <w:t>承包人</w:t>
      </w:r>
      <w:r>
        <w:rPr>
          <w:rFonts w:hint="eastAsia" w:ascii="仿宋" w:hAnsi="仿宋" w:eastAsia="仿宋" w:cs="仿宋"/>
          <w:color w:val="auto"/>
          <w:sz w:val="24"/>
          <w:szCs w:val="24"/>
          <w:highlight w:val="none"/>
          <w:lang w:bidi="ar"/>
        </w:rPr>
        <w:t>可以向</w:t>
      </w:r>
      <w:r>
        <w:rPr>
          <w:rFonts w:hint="eastAsia" w:ascii="仿宋" w:hAnsi="仿宋" w:eastAsia="仿宋" w:cs="仿宋"/>
          <w:color w:val="auto"/>
          <w:sz w:val="24"/>
          <w:szCs w:val="24"/>
          <w:highlight w:val="none"/>
          <w:lang w:eastAsia="zh-CN" w:bidi="ar"/>
        </w:rPr>
        <w:t>发包人</w:t>
      </w:r>
      <w:r>
        <w:rPr>
          <w:rFonts w:hint="eastAsia" w:ascii="仿宋" w:hAnsi="仿宋" w:eastAsia="仿宋" w:cs="仿宋"/>
          <w:color w:val="auto"/>
          <w:sz w:val="24"/>
          <w:szCs w:val="24"/>
          <w:highlight w:val="none"/>
          <w:lang w:bidi="ar"/>
        </w:rPr>
        <w:t>索取相应的材料成本费用。</w:t>
      </w:r>
    </w:p>
    <w:p w14:paraId="246D0F97">
      <w:pPr>
        <w:pStyle w:val="24"/>
        <w:spacing w:line="360" w:lineRule="auto"/>
        <w:ind w:firstLine="480" w:firstLineChars="200"/>
        <w:jc w:val="left"/>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5.4</w:t>
      </w:r>
      <w:r>
        <w:rPr>
          <w:rFonts w:hint="eastAsia" w:ascii="仿宋" w:hAnsi="仿宋" w:eastAsia="仿宋" w:cs="仿宋"/>
          <w:color w:val="auto"/>
          <w:sz w:val="24"/>
          <w:szCs w:val="24"/>
          <w:highlight w:val="none"/>
          <w:lang w:eastAsia="zh-CN" w:bidi="ar"/>
        </w:rPr>
        <w:t>承包人</w:t>
      </w:r>
      <w:r>
        <w:rPr>
          <w:rFonts w:hint="eastAsia" w:ascii="仿宋" w:hAnsi="仿宋" w:eastAsia="仿宋" w:cs="仿宋"/>
          <w:color w:val="auto"/>
          <w:sz w:val="24"/>
          <w:szCs w:val="24"/>
          <w:highlight w:val="none"/>
          <w:lang w:bidi="ar"/>
        </w:rPr>
        <w:t>按时将设备送至</w:t>
      </w:r>
      <w:r>
        <w:rPr>
          <w:rFonts w:hint="eastAsia" w:ascii="仿宋" w:hAnsi="仿宋" w:eastAsia="仿宋" w:cs="仿宋"/>
          <w:color w:val="auto"/>
          <w:sz w:val="24"/>
          <w:szCs w:val="24"/>
          <w:highlight w:val="none"/>
          <w:lang w:eastAsia="zh-CN" w:bidi="ar"/>
        </w:rPr>
        <w:t>发包人</w:t>
      </w:r>
      <w:r>
        <w:rPr>
          <w:rFonts w:hint="eastAsia" w:ascii="仿宋" w:hAnsi="仿宋" w:eastAsia="仿宋" w:cs="仿宋"/>
          <w:color w:val="auto"/>
          <w:sz w:val="24"/>
          <w:szCs w:val="24"/>
          <w:highlight w:val="none"/>
          <w:lang w:bidi="ar"/>
        </w:rPr>
        <w:t>指定地点，设备所有权归</w:t>
      </w:r>
      <w:r>
        <w:rPr>
          <w:rFonts w:hint="eastAsia" w:ascii="仿宋" w:hAnsi="仿宋" w:eastAsia="仿宋" w:cs="仿宋"/>
          <w:color w:val="auto"/>
          <w:sz w:val="24"/>
          <w:szCs w:val="24"/>
          <w:highlight w:val="none"/>
          <w:lang w:eastAsia="zh-CN" w:bidi="ar"/>
        </w:rPr>
        <w:t>发包人</w:t>
      </w:r>
      <w:r>
        <w:rPr>
          <w:rFonts w:hint="eastAsia" w:ascii="仿宋" w:hAnsi="仿宋" w:eastAsia="仿宋" w:cs="仿宋"/>
          <w:color w:val="auto"/>
          <w:sz w:val="24"/>
          <w:szCs w:val="24"/>
          <w:highlight w:val="none"/>
          <w:lang w:bidi="ar"/>
        </w:rPr>
        <w:t>所有；本合同项下设备的</w:t>
      </w:r>
      <w:r>
        <w:rPr>
          <w:rFonts w:hint="eastAsia" w:ascii="仿宋" w:hAnsi="仿宋" w:eastAsia="仿宋" w:cs="仿宋"/>
          <w:color w:val="auto"/>
          <w:sz w:val="24"/>
          <w:szCs w:val="24"/>
          <w:highlight w:val="none"/>
          <w:lang w:eastAsia="zh" w:bidi="ar"/>
        </w:rPr>
        <w:t>损毁</w:t>
      </w:r>
      <w:r>
        <w:rPr>
          <w:rFonts w:hint="eastAsia" w:ascii="仿宋" w:hAnsi="仿宋" w:eastAsia="仿宋" w:cs="仿宋"/>
          <w:color w:val="auto"/>
          <w:sz w:val="24"/>
          <w:szCs w:val="24"/>
          <w:highlight w:val="none"/>
          <w:lang w:bidi="ar"/>
        </w:rPr>
        <w:t>、灭失、失窃</w:t>
      </w:r>
      <w:r>
        <w:rPr>
          <w:rFonts w:hint="eastAsia" w:ascii="仿宋" w:hAnsi="仿宋" w:eastAsia="仿宋" w:cs="仿宋"/>
          <w:color w:val="auto"/>
          <w:sz w:val="24"/>
          <w:szCs w:val="24"/>
          <w:highlight w:val="none"/>
          <w:lang w:eastAsia="zh" w:bidi="ar"/>
        </w:rPr>
        <w:t>等</w:t>
      </w:r>
      <w:r>
        <w:rPr>
          <w:rFonts w:hint="eastAsia" w:ascii="仿宋" w:hAnsi="仿宋" w:eastAsia="仿宋" w:cs="仿宋"/>
          <w:color w:val="auto"/>
          <w:sz w:val="24"/>
          <w:szCs w:val="24"/>
          <w:highlight w:val="none"/>
          <w:lang w:bidi="ar"/>
        </w:rPr>
        <w:t>风险自</w:t>
      </w:r>
      <w:r>
        <w:rPr>
          <w:rFonts w:hint="eastAsia" w:ascii="仿宋" w:hAnsi="仿宋" w:eastAsia="仿宋" w:cs="仿宋"/>
          <w:color w:val="auto"/>
          <w:sz w:val="24"/>
          <w:szCs w:val="24"/>
          <w:highlight w:val="none"/>
          <w:lang w:eastAsia="zh-CN" w:bidi="ar"/>
        </w:rPr>
        <w:t>承包人</w:t>
      </w:r>
      <w:r>
        <w:rPr>
          <w:rFonts w:hint="eastAsia" w:ascii="仿宋" w:hAnsi="仿宋" w:eastAsia="仿宋" w:cs="仿宋"/>
          <w:color w:val="auto"/>
          <w:sz w:val="24"/>
          <w:szCs w:val="24"/>
          <w:highlight w:val="none"/>
          <w:lang w:bidi="ar"/>
        </w:rPr>
        <w:t>所供设备运至</w:t>
      </w:r>
      <w:r>
        <w:rPr>
          <w:rFonts w:hint="eastAsia" w:ascii="仿宋" w:hAnsi="仿宋" w:eastAsia="仿宋" w:cs="仿宋"/>
          <w:color w:val="auto"/>
          <w:sz w:val="24"/>
          <w:szCs w:val="24"/>
          <w:highlight w:val="none"/>
          <w:lang w:eastAsia="zh-CN" w:bidi="ar"/>
        </w:rPr>
        <w:t>发包人</w:t>
      </w:r>
      <w:r>
        <w:rPr>
          <w:rFonts w:hint="eastAsia" w:ascii="仿宋" w:hAnsi="仿宋" w:eastAsia="仿宋" w:cs="仿宋"/>
          <w:color w:val="auto"/>
          <w:sz w:val="24"/>
          <w:szCs w:val="24"/>
          <w:highlight w:val="none"/>
          <w:lang w:bidi="ar"/>
        </w:rPr>
        <w:t>指定地点起由</w:t>
      </w:r>
      <w:r>
        <w:rPr>
          <w:rFonts w:hint="eastAsia" w:ascii="仿宋" w:hAnsi="仿宋" w:eastAsia="仿宋" w:cs="仿宋"/>
          <w:color w:val="auto"/>
          <w:sz w:val="24"/>
          <w:szCs w:val="24"/>
          <w:highlight w:val="none"/>
          <w:lang w:eastAsia="zh-CN" w:bidi="ar"/>
        </w:rPr>
        <w:t>发包人</w:t>
      </w:r>
      <w:r>
        <w:rPr>
          <w:rFonts w:hint="eastAsia" w:ascii="仿宋" w:hAnsi="仿宋" w:eastAsia="仿宋" w:cs="仿宋"/>
          <w:color w:val="auto"/>
          <w:sz w:val="24"/>
          <w:szCs w:val="24"/>
          <w:highlight w:val="none"/>
          <w:lang w:bidi="ar"/>
        </w:rPr>
        <w:t>承担。</w:t>
      </w:r>
    </w:p>
    <w:p w14:paraId="06FBE1B6">
      <w:pPr>
        <w:pStyle w:val="5"/>
        <w:ind w:firstLineChars="200"/>
        <w:jc w:val="left"/>
        <w:rPr>
          <w:rFonts w:hint="eastAsia" w:ascii="仿宋" w:hAnsi="仿宋" w:eastAsia="仿宋" w:cs="仿宋"/>
          <w:color w:val="auto"/>
          <w:highlight w:val="none"/>
        </w:rPr>
      </w:pPr>
      <w:bookmarkStart w:id="765" w:name="_Toc13616"/>
      <w:r>
        <w:rPr>
          <w:rFonts w:hint="eastAsia" w:ascii="仿宋" w:hAnsi="仿宋" w:eastAsia="仿宋" w:cs="仿宋"/>
          <w:color w:val="auto"/>
          <w:highlight w:val="none"/>
        </w:rPr>
        <w:t>6.设备包装、运输及开箱验收</w:t>
      </w:r>
      <w:bookmarkEnd w:id="765"/>
    </w:p>
    <w:p w14:paraId="080EAC08">
      <w:pPr>
        <w:spacing w:line="360" w:lineRule="auto"/>
        <w:ind w:firstLine="480" w:firstLineChars="200"/>
        <w:jc w:val="left"/>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6.1包装</w:t>
      </w:r>
    </w:p>
    <w:p w14:paraId="35EA6920">
      <w:pPr>
        <w:spacing w:line="360" w:lineRule="auto"/>
        <w:ind w:firstLine="480" w:firstLineChars="200"/>
        <w:jc w:val="left"/>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eastAsia="zh-CN" w:bidi="ar"/>
        </w:rPr>
        <w:t>承包人</w:t>
      </w:r>
      <w:r>
        <w:rPr>
          <w:rFonts w:hint="eastAsia" w:ascii="仿宋" w:hAnsi="仿宋" w:eastAsia="仿宋" w:cs="仿宋"/>
          <w:color w:val="auto"/>
          <w:sz w:val="24"/>
          <w:szCs w:val="24"/>
          <w:highlight w:val="none"/>
          <w:lang w:bidi="ar"/>
        </w:rPr>
        <w:t>供货的设备，应根据形状特点坚固包装，并采取防潮、防锈、防震等必要安全措施。以确保货物不受损。包装费用由</w:t>
      </w:r>
      <w:r>
        <w:rPr>
          <w:rFonts w:hint="eastAsia" w:ascii="仿宋" w:hAnsi="仿宋" w:eastAsia="仿宋" w:cs="仿宋"/>
          <w:color w:val="auto"/>
          <w:sz w:val="24"/>
          <w:szCs w:val="24"/>
          <w:highlight w:val="none"/>
          <w:lang w:eastAsia="zh-CN" w:bidi="ar"/>
        </w:rPr>
        <w:t>承包人</w:t>
      </w:r>
      <w:r>
        <w:rPr>
          <w:rFonts w:hint="eastAsia" w:ascii="仿宋" w:hAnsi="仿宋" w:eastAsia="仿宋" w:cs="仿宋"/>
          <w:color w:val="auto"/>
          <w:sz w:val="24"/>
          <w:szCs w:val="24"/>
          <w:highlight w:val="none"/>
          <w:lang w:bidi="ar"/>
        </w:rPr>
        <w:t>自行承担。</w:t>
      </w:r>
    </w:p>
    <w:p w14:paraId="4B5D5FFA">
      <w:pPr>
        <w:spacing w:line="360" w:lineRule="auto"/>
        <w:ind w:firstLine="480" w:firstLineChars="200"/>
        <w:jc w:val="left"/>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6.2开箱验收</w:t>
      </w:r>
    </w:p>
    <w:p w14:paraId="5837E9D6">
      <w:pPr>
        <w:spacing w:line="360" w:lineRule="auto"/>
        <w:ind w:firstLine="480" w:firstLineChars="200"/>
        <w:jc w:val="left"/>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6.2.1</w:t>
      </w:r>
      <w:r>
        <w:rPr>
          <w:rFonts w:hint="eastAsia" w:ascii="仿宋" w:hAnsi="仿宋" w:cs="仿宋"/>
          <w:color w:val="auto"/>
          <w:sz w:val="24"/>
          <w:szCs w:val="24"/>
          <w:highlight w:val="none"/>
          <w:lang w:val="en-US" w:eastAsia="zh-CN" w:bidi="ar"/>
        </w:rPr>
        <w:t>设备运到现场后由发包人、监理单位、施工单位共同开箱验收。</w:t>
      </w:r>
    </w:p>
    <w:p w14:paraId="7412A5C8">
      <w:pPr>
        <w:spacing w:line="360" w:lineRule="auto"/>
        <w:ind w:firstLine="480" w:firstLineChars="200"/>
        <w:jc w:val="left"/>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6.2.2设备发货同时，</w:t>
      </w:r>
      <w:r>
        <w:rPr>
          <w:rFonts w:hint="eastAsia" w:ascii="仿宋" w:hAnsi="仿宋" w:eastAsia="仿宋" w:cs="仿宋"/>
          <w:color w:val="auto"/>
          <w:sz w:val="24"/>
          <w:szCs w:val="24"/>
          <w:highlight w:val="none"/>
          <w:lang w:eastAsia="zh-CN" w:bidi="ar"/>
        </w:rPr>
        <w:t>承包人</w:t>
      </w:r>
      <w:r>
        <w:rPr>
          <w:rFonts w:hint="eastAsia" w:ascii="仿宋" w:hAnsi="仿宋" w:eastAsia="仿宋" w:cs="仿宋"/>
          <w:color w:val="auto"/>
          <w:sz w:val="24"/>
          <w:szCs w:val="24"/>
          <w:highlight w:val="none"/>
          <w:lang w:bidi="ar"/>
        </w:rPr>
        <w:t>应在包装箱内附齐所需的技术资料、装箱清单和出厂合格证（或原产地证明）、出厂检验报告（若有）等文件资料（可为复印件），该文件资料的内容及份数以约定为准。</w:t>
      </w:r>
    </w:p>
    <w:p w14:paraId="0A6EF135">
      <w:pPr>
        <w:pStyle w:val="5"/>
        <w:ind w:firstLineChars="200"/>
        <w:jc w:val="left"/>
        <w:rPr>
          <w:rFonts w:hint="eastAsia" w:ascii="仿宋" w:hAnsi="仿宋" w:eastAsia="仿宋" w:cs="仿宋"/>
          <w:color w:val="auto"/>
          <w:highlight w:val="none"/>
        </w:rPr>
      </w:pPr>
      <w:bookmarkStart w:id="766" w:name="_Toc7826"/>
      <w:r>
        <w:rPr>
          <w:rFonts w:hint="eastAsia" w:ascii="仿宋" w:hAnsi="仿宋" w:eastAsia="仿宋" w:cs="仿宋"/>
          <w:color w:val="auto"/>
          <w:highlight w:val="none"/>
        </w:rPr>
        <w:t>7.指导安装与调试</w:t>
      </w:r>
      <w:bookmarkEnd w:id="766"/>
    </w:p>
    <w:p w14:paraId="5A8F7272">
      <w:pPr>
        <w:spacing w:line="360" w:lineRule="auto"/>
        <w:ind w:firstLine="480" w:firstLineChars="200"/>
        <w:jc w:val="left"/>
        <w:rPr>
          <w:rFonts w:hint="eastAsia" w:ascii="仿宋" w:hAnsi="仿宋" w:eastAsia="仿宋" w:cs="仿宋"/>
          <w:color w:val="auto"/>
          <w:sz w:val="24"/>
          <w:szCs w:val="24"/>
          <w:highlight w:val="none"/>
          <w:lang w:bidi="ar"/>
        </w:rPr>
      </w:pPr>
      <w:r>
        <w:rPr>
          <w:rFonts w:hint="eastAsia" w:ascii="仿宋" w:hAnsi="仿宋" w:cs="仿宋"/>
          <w:color w:val="auto"/>
          <w:sz w:val="24"/>
          <w:szCs w:val="24"/>
          <w:highlight w:val="none"/>
          <w:lang w:val="en-US" w:eastAsia="zh-CN" w:bidi="ar"/>
        </w:rPr>
        <w:t>7.1</w:t>
      </w:r>
      <w:r>
        <w:rPr>
          <w:rFonts w:hint="eastAsia" w:ascii="仿宋" w:hAnsi="仿宋" w:eastAsia="仿宋" w:cs="仿宋"/>
          <w:color w:val="auto"/>
          <w:sz w:val="24"/>
          <w:szCs w:val="24"/>
          <w:highlight w:val="none"/>
          <w:lang w:eastAsia="zh-CN" w:bidi="ar"/>
        </w:rPr>
        <w:t>承包人</w:t>
      </w:r>
      <w:r>
        <w:rPr>
          <w:rFonts w:hint="eastAsia" w:ascii="仿宋" w:hAnsi="仿宋" w:eastAsia="仿宋" w:cs="仿宋"/>
          <w:color w:val="auto"/>
          <w:sz w:val="24"/>
          <w:szCs w:val="24"/>
          <w:highlight w:val="none"/>
          <w:lang w:bidi="ar"/>
        </w:rPr>
        <w:t>接到</w:t>
      </w:r>
      <w:r>
        <w:rPr>
          <w:rFonts w:hint="eastAsia" w:ascii="仿宋" w:hAnsi="仿宋" w:eastAsia="仿宋" w:cs="仿宋"/>
          <w:color w:val="auto"/>
          <w:sz w:val="24"/>
          <w:szCs w:val="24"/>
          <w:highlight w:val="none"/>
          <w:lang w:eastAsia="zh-CN" w:bidi="ar"/>
        </w:rPr>
        <w:t>发包人</w:t>
      </w:r>
      <w:r>
        <w:rPr>
          <w:rFonts w:hint="eastAsia" w:ascii="仿宋" w:hAnsi="仿宋" w:eastAsia="仿宋" w:cs="仿宋"/>
          <w:color w:val="auto"/>
          <w:sz w:val="24"/>
          <w:szCs w:val="24"/>
          <w:highlight w:val="none"/>
          <w:lang w:bidi="ar"/>
        </w:rPr>
        <w:t>书面通知后应三日内到达工地现场指导安装、指导调试。</w:t>
      </w:r>
    </w:p>
    <w:p w14:paraId="72DCCAA8">
      <w:pPr>
        <w:spacing w:line="360" w:lineRule="auto"/>
        <w:ind w:firstLine="480" w:firstLineChars="200"/>
        <w:jc w:val="left"/>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7.2</w:t>
      </w:r>
      <w:r>
        <w:rPr>
          <w:rFonts w:hint="eastAsia" w:ascii="仿宋" w:hAnsi="仿宋" w:eastAsia="仿宋" w:cs="仿宋"/>
          <w:color w:val="auto"/>
          <w:sz w:val="24"/>
          <w:szCs w:val="24"/>
          <w:highlight w:val="none"/>
          <w:lang w:eastAsia="zh-CN" w:bidi="ar"/>
        </w:rPr>
        <w:t>承包人</w:t>
      </w:r>
      <w:r>
        <w:rPr>
          <w:rFonts w:hint="eastAsia" w:ascii="仿宋" w:hAnsi="仿宋" w:eastAsia="仿宋" w:cs="仿宋"/>
          <w:color w:val="auto"/>
          <w:sz w:val="24"/>
          <w:szCs w:val="24"/>
          <w:highlight w:val="none"/>
          <w:lang w:bidi="ar"/>
        </w:rPr>
        <w:t>保证及时提供设备安装调试所需的技术资料、现场指导服务。</w:t>
      </w:r>
    </w:p>
    <w:p w14:paraId="60D3F686">
      <w:pPr>
        <w:spacing w:line="360" w:lineRule="auto"/>
        <w:ind w:firstLine="480"/>
        <w:jc w:val="left"/>
        <w:rPr>
          <w:rFonts w:hint="eastAsia" w:ascii="仿宋" w:hAnsi="仿宋" w:cs="仿宋"/>
          <w:color w:val="auto"/>
          <w:szCs w:val="24"/>
          <w:highlight w:val="none"/>
          <w:lang w:bidi="ar"/>
        </w:rPr>
      </w:pPr>
      <w:r>
        <w:rPr>
          <w:rFonts w:hint="eastAsia" w:ascii="仿宋" w:hAnsi="仿宋" w:cs="仿宋"/>
          <w:color w:val="auto"/>
          <w:szCs w:val="24"/>
          <w:highlight w:val="none"/>
          <w:lang w:bidi="ar"/>
        </w:rPr>
        <w:t>7.3承包人指导调试完成，双方应签署《单机调试验收单》（格式见附件三）。</w:t>
      </w:r>
    </w:p>
    <w:p w14:paraId="1B5781AD">
      <w:pPr>
        <w:pStyle w:val="5"/>
        <w:ind w:firstLineChars="200"/>
        <w:jc w:val="left"/>
        <w:rPr>
          <w:rFonts w:hint="eastAsia" w:ascii="仿宋" w:hAnsi="仿宋" w:eastAsia="仿宋" w:cs="仿宋"/>
          <w:color w:val="auto"/>
          <w:highlight w:val="none"/>
        </w:rPr>
      </w:pPr>
      <w:bookmarkStart w:id="767" w:name="_Toc12924"/>
      <w:r>
        <w:rPr>
          <w:rFonts w:hint="eastAsia" w:ascii="仿宋" w:hAnsi="仿宋" w:eastAsia="仿宋" w:cs="仿宋"/>
          <w:color w:val="auto"/>
          <w:highlight w:val="none"/>
        </w:rPr>
        <w:t>8.责任和义务</w:t>
      </w:r>
      <w:bookmarkEnd w:id="767"/>
    </w:p>
    <w:p w14:paraId="07167A08">
      <w:pPr>
        <w:spacing w:line="360" w:lineRule="auto"/>
        <w:ind w:firstLine="480" w:firstLineChars="200"/>
        <w:jc w:val="left"/>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8.1</w:t>
      </w:r>
      <w:r>
        <w:rPr>
          <w:rFonts w:hint="eastAsia" w:ascii="仿宋" w:hAnsi="仿宋" w:eastAsia="仿宋" w:cs="仿宋"/>
          <w:color w:val="auto"/>
          <w:sz w:val="24"/>
          <w:szCs w:val="24"/>
          <w:highlight w:val="none"/>
          <w:lang w:eastAsia="zh-CN" w:bidi="ar"/>
        </w:rPr>
        <w:t>承包人</w:t>
      </w:r>
      <w:r>
        <w:rPr>
          <w:rFonts w:hint="eastAsia" w:ascii="仿宋" w:hAnsi="仿宋" w:eastAsia="仿宋" w:cs="仿宋"/>
          <w:color w:val="auto"/>
          <w:sz w:val="24"/>
          <w:szCs w:val="24"/>
          <w:highlight w:val="none"/>
          <w:lang w:bidi="ar"/>
        </w:rPr>
        <w:t>所提供的设备应符合国家相关设备的设计制造规范、满足设计进出水标准的技术要求。</w:t>
      </w:r>
    </w:p>
    <w:p w14:paraId="04543085">
      <w:pPr>
        <w:spacing w:line="360" w:lineRule="auto"/>
        <w:ind w:firstLine="480" w:firstLineChars="200"/>
        <w:jc w:val="left"/>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8.2在质量保证期内，设备主机及部件出现质量问题(</w:t>
      </w:r>
      <w:r>
        <w:rPr>
          <w:rFonts w:hint="eastAsia" w:ascii="仿宋" w:hAnsi="仿宋" w:eastAsia="仿宋" w:cs="仿宋"/>
          <w:color w:val="auto"/>
          <w:sz w:val="24"/>
          <w:szCs w:val="24"/>
          <w:highlight w:val="none"/>
          <w:lang w:eastAsia="zh" w:bidi="ar"/>
        </w:rPr>
        <w:t>8</w:t>
      </w:r>
      <w:r>
        <w:rPr>
          <w:rFonts w:hint="eastAsia" w:ascii="仿宋" w:hAnsi="仿宋" w:eastAsia="仿宋" w:cs="仿宋"/>
          <w:color w:val="auto"/>
          <w:sz w:val="24"/>
          <w:szCs w:val="24"/>
          <w:highlight w:val="none"/>
          <w:lang w:bidi="ar"/>
        </w:rPr>
        <w:t>.6条款所述除外)，</w:t>
      </w:r>
      <w:r>
        <w:rPr>
          <w:rFonts w:hint="eastAsia" w:ascii="仿宋" w:hAnsi="仿宋" w:eastAsia="仿宋" w:cs="仿宋"/>
          <w:color w:val="auto"/>
          <w:sz w:val="24"/>
          <w:szCs w:val="24"/>
          <w:highlight w:val="none"/>
          <w:lang w:eastAsia="zh-CN" w:bidi="ar"/>
        </w:rPr>
        <w:t>承包人</w:t>
      </w:r>
      <w:r>
        <w:rPr>
          <w:rFonts w:hint="eastAsia" w:ascii="仿宋" w:hAnsi="仿宋" w:eastAsia="仿宋" w:cs="仿宋"/>
          <w:color w:val="auto"/>
          <w:sz w:val="24"/>
          <w:szCs w:val="24"/>
          <w:highlight w:val="none"/>
          <w:lang w:bidi="ar"/>
        </w:rPr>
        <w:t>应在48小时内到达现场免费维修或更换同品牌的主机或部件，维修、更换完成后，由</w:t>
      </w:r>
      <w:r>
        <w:rPr>
          <w:rFonts w:hint="eastAsia" w:ascii="仿宋" w:hAnsi="仿宋" w:eastAsia="仿宋" w:cs="仿宋"/>
          <w:color w:val="auto"/>
          <w:sz w:val="24"/>
          <w:szCs w:val="24"/>
          <w:highlight w:val="none"/>
          <w:lang w:eastAsia="zh-CN" w:bidi="ar"/>
        </w:rPr>
        <w:t>发包人</w:t>
      </w:r>
      <w:r>
        <w:rPr>
          <w:rFonts w:hint="eastAsia" w:ascii="仿宋" w:hAnsi="仿宋" w:eastAsia="仿宋" w:cs="仿宋"/>
          <w:color w:val="auto"/>
          <w:sz w:val="24"/>
          <w:szCs w:val="24"/>
          <w:highlight w:val="none"/>
          <w:lang w:bidi="ar"/>
        </w:rPr>
        <w:t>组织确认。</w:t>
      </w:r>
    </w:p>
    <w:p w14:paraId="2CD606DB">
      <w:pPr>
        <w:spacing w:line="360" w:lineRule="auto"/>
        <w:ind w:firstLine="480" w:firstLineChars="200"/>
        <w:jc w:val="left"/>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 xml:space="preserve">8.3 </w:t>
      </w:r>
      <w:r>
        <w:rPr>
          <w:rFonts w:hint="eastAsia" w:ascii="仿宋" w:hAnsi="仿宋" w:eastAsia="仿宋" w:cs="仿宋"/>
          <w:color w:val="auto"/>
          <w:sz w:val="24"/>
          <w:szCs w:val="24"/>
          <w:highlight w:val="none"/>
          <w:lang w:eastAsia="zh-CN" w:bidi="ar"/>
        </w:rPr>
        <w:t>承包人</w:t>
      </w:r>
      <w:r>
        <w:rPr>
          <w:rFonts w:hint="eastAsia" w:ascii="仿宋" w:hAnsi="仿宋" w:eastAsia="仿宋" w:cs="仿宋"/>
          <w:color w:val="auto"/>
          <w:sz w:val="24"/>
          <w:szCs w:val="24"/>
          <w:highlight w:val="none"/>
          <w:lang w:bidi="ar"/>
        </w:rPr>
        <w:t>保证本合同项下的设备及配套产品不存在侵犯他人知识产权的情形，由</w:t>
      </w:r>
      <w:r>
        <w:rPr>
          <w:rFonts w:hint="eastAsia" w:ascii="仿宋" w:hAnsi="仿宋" w:eastAsia="仿宋" w:cs="仿宋"/>
          <w:color w:val="auto"/>
          <w:sz w:val="24"/>
          <w:szCs w:val="24"/>
          <w:highlight w:val="none"/>
          <w:lang w:eastAsia="zh-CN" w:bidi="ar"/>
        </w:rPr>
        <w:t>承包人</w:t>
      </w:r>
      <w:r>
        <w:rPr>
          <w:rFonts w:hint="eastAsia" w:ascii="仿宋" w:hAnsi="仿宋" w:eastAsia="仿宋" w:cs="仿宋"/>
          <w:color w:val="auto"/>
          <w:sz w:val="24"/>
          <w:szCs w:val="24"/>
          <w:highlight w:val="none"/>
          <w:lang w:bidi="ar"/>
        </w:rPr>
        <w:t>供货的设备及配套产品不会构成对他人知识产权、智力成果的侵害，不会引致第三人有效的索赔或其它权利主张。由此引发的所有问题由</w:t>
      </w:r>
      <w:r>
        <w:rPr>
          <w:rFonts w:hint="eastAsia" w:ascii="仿宋" w:hAnsi="仿宋" w:eastAsia="仿宋" w:cs="仿宋"/>
          <w:color w:val="auto"/>
          <w:sz w:val="24"/>
          <w:szCs w:val="24"/>
          <w:highlight w:val="none"/>
          <w:lang w:eastAsia="zh-CN" w:bidi="ar"/>
        </w:rPr>
        <w:t>承包人</w:t>
      </w:r>
      <w:r>
        <w:rPr>
          <w:rFonts w:hint="eastAsia" w:ascii="仿宋" w:hAnsi="仿宋" w:eastAsia="仿宋" w:cs="仿宋"/>
          <w:color w:val="auto"/>
          <w:sz w:val="24"/>
          <w:szCs w:val="24"/>
          <w:highlight w:val="none"/>
          <w:lang w:bidi="ar"/>
        </w:rPr>
        <w:t>主动、积极解决，若给</w:t>
      </w:r>
      <w:r>
        <w:rPr>
          <w:rFonts w:hint="eastAsia" w:ascii="仿宋" w:hAnsi="仿宋" w:eastAsia="仿宋" w:cs="仿宋"/>
          <w:color w:val="auto"/>
          <w:sz w:val="24"/>
          <w:szCs w:val="24"/>
          <w:highlight w:val="none"/>
          <w:lang w:eastAsia="zh-CN" w:bidi="ar"/>
        </w:rPr>
        <w:t>发包人</w:t>
      </w:r>
      <w:r>
        <w:rPr>
          <w:rFonts w:hint="eastAsia" w:ascii="仿宋" w:hAnsi="仿宋" w:eastAsia="仿宋" w:cs="仿宋"/>
          <w:color w:val="auto"/>
          <w:sz w:val="24"/>
          <w:szCs w:val="24"/>
          <w:highlight w:val="none"/>
          <w:lang w:bidi="ar"/>
        </w:rPr>
        <w:t>造成的一切损失由</w:t>
      </w:r>
      <w:r>
        <w:rPr>
          <w:rFonts w:hint="eastAsia" w:ascii="仿宋" w:hAnsi="仿宋" w:eastAsia="仿宋" w:cs="仿宋"/>
          <w:color w:val="auto"/>
          <w:sz w:val="24"/>
          <w:szCs w:val="24"/>
          <w:highlight w:val="none"/>
          <w:lang w:eastAsia="zh-CN" w:bidi="ar"/>
        </w:rPr>
        <w:t>承包人</w:t>
      </w:r>
      <w:r>
        <w:rPr>
          <w:rFonts w:hint="eastAsia" w:ascii="仿宋" w:hAnsi="仿宋" w:eastAsia="仿宋" w:cs="仿宋"/>
          <w:color w:val="auto"/>
          <w:sz w:val="24"/>
          <w:szCs w:val="24"/>
          <w:highlight w:val="none"/>
          <w:lang w:bidi="ar"/>
        </w:rPr>
        <w:t>赔偿。</w:t>
      </w:r>
    </w:p>
    <w:p w14:paraId="29D1BD4D">
      <w:pPr>
        <w:spacing w:line="360" w:lineRule="auto"/>
        <w:ind w:firstLine="480" w:firstLineChars="200"/>
        <w:jc w:val="left"/>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8.4在质量保证期内，设备质量出现问题，</w:t>
      </w:r>
      <w:r>
        <w:rPr>
          <w:rFonts w:hint="eastAsia" w:ascii="仿宋" w:hAnsi="仿宋" w:eastAsia="仿宋" w:cs="仿宋"/>
          <w:color w:val="auto"/>
          <w:sz w:val="24"/>
          <w:szCs w:val="24"/>
          <w:highlight w:val="none"/>
          <w:lang w:eastAsia="zh-CN" w:bidi="ar"/>
        </w:rPr>
        <w:t>承包人</w:t>
      </w:r>
      <w:r>
        <w:rPr>
          <w:rFonts w:hint="eastAsia" w:ascii="仿宋" w:hAnsi="仿宋" w:eastAsia="仿宋" w:cs="仿宋"/>
          <w:color w:val="auto"/>
          <w:sz w:val="24"/>
          <w:szCs w:val="24"/>
          <w:highlight w:val="none"/>
          <w:lang w:bidi="ar"/>
        </w:rPr>
        <w:t>积极负责修理和更换，</w:t>
      </w:r>
      <w:r>
        <w:rPr>
          <w:rFonts w:hint="eastAsia" w:ascii="仿宋" w:hAnsi="仿宋" w:cs="仿宋"/>
          <w:color w:val="auto"/>
          <w:sz w:val="24"/>
          <w:szCs w:val="24"/>
          <w:highlight w:val="none"/>
          <w:lang w:val="en-US" w:eastAsia="zh-CN" w:bidi="ar"/>
        </w:rPr>
        <w:t>由此产生的费用由承包</w:t>
      </w:r>
      <w:r>
        <w:rPr>
          <w:rFonts w:hint="eastAsia" w:ascii="仿宋" w:hAnsi="仿宋" w:eastAsia="仿宋" w:cs="仿宋"/>
          <w:color w:val="auto"/>
          <w:sz w:val="24"/>
          <w:szCs w:val="24"/>
          <w:highlight w:val="none"/>
          <w:lang w:eastAsia="zh-CN" w:bidi="ar"/>
        </w:rPr>
        <w:t>人</w:t>
      </w:r>
      <w:r>
        <w:rPr>
          <w:rFonts w:hint="eastAsia" w:ascii="仿宋" w:hAnsi="仿宋" w:eastAsia="仿宋" w:cs="仿宋"/>
          <w:color w:val="auto"/>
          <w:sz w:val="24"/>
          <w:szCs w:val="24"/>
          <w:highlight w:val="none"/>
          <w:lang w:bidi="ar"/>
        </w:rPr>
        <w:t>负担。</w:t>
      </w:r>
    </w:p>
    <w:p w14:paraId="6E580039">
      <w:pPr>
        <w:spacing w:line="360" w:lineRule="auto"/>
        <w:ind w:firstLine="480" w:firstLineChars="200"/>
        <w:jc w:val="left"/>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8.5</w:t>
      </w:r>
      <w:r>
        <w:rPr>
          <w:rFonts w:hint="eastAsia" w:ascii="仿宋" w:hAnsi="仿宋" w:eastAsia="仿宋" w:cs="仿宋"/>
          <w:color w:val="auto"/>
          <w:sz w:val="24"/>
          <w:szCs w:val="24"/>
          <w:highlight w:val="none"/>
          <w:lang w:eastAsia="zh-CN" w:bidi="ar"/>
        </w:rPr>
        <w:t>承包人</w:t>
      </w:r>
      <w:r>
        <w:rPr>
          <w:rFonts w:hint="eastAsia" w:ascii="仿宋" w:hAnsi="仿宋" w:eastAsia="仿宋" w:cs="仿宋"/>
          <w:color w:val="auto"/>
          <w:sz w:val="24"/>
          <w:szCs w:val="24"/>
          <w:highlight w:val="none"/>
          <w:lang w:bidi="ar"/>
        </w:rPr>
        <w:t>必须指定专人负责设备的质保直到质量保证期结束，若所供货的设备质量出现问题，先由</w:t>
      </w:r>
      <w:r>
        <w:rPr>
          <w:rFonts w:hint="eastAsia" w:ascii="仿宋" w:hAnsi="仿宋" w:eastAsia="仿宋" w:cs="仿宋"/>
          <w:color w:val="auto"/>
          <w:sz w:val="24"/>
          <w:szCs w:val="24"/>
          <w:highlight w:val="none"/>
          <w:lang w:eastAsia="zh-CN" w:bidi="ar"/>
        </w:rPr>
        <w:t>承包人</w:t>
      </w:r>
      <w:r>
        <w:rPr>
          <w:rFonts w:hint="eastAsia" w:ascii="仿宋" w:hAnsi="仿宋" w:eastAsia="仿宋" w:cs="仿宋"/>
          <w:color w:val="auto"/>
          <w:sz w:val="24"/>
          <w:szCs w:val="24"/>
          <w:highlight w:val="none"/>
          <w:lang w:bidi="ar"/>
        </w:rPr>
        <w:t>电话指导排查，</w:t>
      </w:r>
      <w:r>
        <w:rPr>
          <w:rFonts w:hint="eastAsia" w:ascii="仿宋" w:hAnsi="仿宋" w:eastAsia="仿宋" w:cs="仿宋"/>
          <w:color w:val="auto"/>
          <w:sz w:val="24"/>
          <w:szCs w:val="24"/>
          <w:highlight w:val="none"/>
          <w:lang w:eastAsia="zh-CN" w:bidi="ar"/>
        </w:rPr>
        <w:t>承包人</w:t>
      </w:r>
      <w:r>
        <w:rPr>
          <w:rFonts w:hint="eastAsia" w:ascii="仿宋" w:hAnsi="仿宋" w:eastAsia="仿宋" w:cs="仿宋"/>
          <w:color w:val="auto"/>
          <w:sz w:val="24"/>
          <w:szCs w:val="24"/>
          <w:highlight w:val="none"/>
          <w:lang w:bidi="ar"/>
        </w:rPr>
        <w:t>应在48小时内到达现场，并进行处理。若</w:t>
      </w:r>
      <w:r>
        <w:rPr>
          <w:rFonts w:hint="eastAsia" w:ascii="仿宋" w:hAnsi="仿宋" w:eastAsia="仿宋" w:cs="仿宋"/>
          <w:color w:val="auto"/>
          <w:sz w:val="24"/>
          <w:szCs w:val="24"/>
          <w:highlight w:val="none"/>
          <w:lang w:eastAsia="zh-CN" w:bidi="ar"/>
        </w:rPr>
        <w:t>承包人</w:t>
      </w:r>
      <w:r>
        <w:rPr>
          <w:rFonts w:hint="eastAsia" w:ascii="仿宋" w:hAnsi="仿宋" w:eastAsia="仿宋" w:cs="仿宋"/>
          <w:color w:val="auto"/>
          <w:sz w:val="24"/>
          <w:szCs w:val="24"/>
          <w:highlight w:val="none"/>
          <w:lang w:bidi="ar"/>
        </w:rPr>
        <w:t>逾期未到场的，</w:t>
      </w:r>
      <w:r>
        <w:rPr>
          <w:rFonts w:hint="eastAsia" w:ascii="仿宋" w:hAnsi="仿宋" w:eastAsia="仿宋" w:cs="仿宋"/>
          <w:color w:val="auto"/>
          <w:sz w:val="24"/>
          <w:szCs w:val="24"/>
          <w:highlight w:val="none"/>
          <w:lang w:eastAsia="zh-CN" w:bidi="ar"/>
        </w:rPr>
        <w:t>发包人</w:t>
      </w:r>
      <w:r>
        <w:rPr>
          <w:rFonts w:hint="eastAsia" w:ascii="仿宋" w:hAnsi="仿宋" w:eastAsia="仿宋" w:cs="仿宋"/>
          <w:color w:val="auto"/>
          <w:sz w:val="24"/>
          <w:szCs w:val="24"/>
          <w:highlight w:val="none"/>
          <w:lang w:bidi="ar"/>
        </w:rPr>
        <w:t>有权另行委托第三方进行维修或更换，由此产生的损失及费用由</w:t>
      </w:r>
      <w:r>
        <w:rPr>
          <w:rFonts w:hint="eastAsia" w:ascii="仿宋" w:hAnsi="仿宋" w:eastAsia="仿宋" w:cs="仿宋"/>
          <w:color w:val="auto"/>
          <w:sz w:val="24"/>
          <w:szCs w:val="24"/>
          <w:highlight w:val="none"/>
          <w:lang w:eastAsia="zh-CN" w:bidi="ar"/>
        </w:rPr>
        <w:t>承包人</w:t>
      </w:r>
      <w:r>
        <w:rPr>
          <w:rFonts w:hint="eastAsia" w:ascii="仿宋" w:hAnsi="仿宋" w:eastAsia="仿宋" w:cs="仿宋"/>
          <w:color w:val="auto"/>
          <w:sz w:val="24"/>
          <w:szCs w:val="24"/>
          <w:highlight w:val="none"/>
          <w:lang w:bidi="ar"/>
        </w:rPr>
        <w:t>承担，</w:t>
      </w:r>
      <w:r>
        <w:rPr>
          <w:rFonts w:hint="eastAsia" w:ascii="仿宋" w:hAnsi="仿宋" w:eastAsia="仿宋" w:cs="仿宋"/>
          <w:color w:val="auto"/>
          <w:sz w:val="24"/>
          <w:szCs w:val="24"/>
          <w:highlight w:val="none"/>
          <w:lang w:eastAsia="zh-CN" w:bidi="ar"/>
        </w:rPr>
        <w:t>承包人</w:t>
      </w:r>
      <w:r>
        <w:rPr>
          <w:rFonts w:hint="eastAsia" w:ascii="仿宋" w:hAnsi="仿宋" w:eastAsia="仿宋" w:cs="仿宋"/>
          <w:color w:val="auto"/>
          <w:sz w:val="24"/>
          <w:szCs w:val="24"/>
          <w:highlight w:val="none"/>
          <w:lang w:bidi="ar"/>
        </w:rPr>
        <w:t>应无条件认同。</w:t>
      </w:r>
    </w:p>
    <w:p w14:paraId="410D6EF6">
      <w:pPr>
        <w:spacing w:line="360" w:lineRule="auto"/>
        <w:ind w:firstLine="480" w:firstLineChars="200"/>
        <w:jc w:val="left"/>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8.6在质量保证期内，若因</w:t>
      </w:r>
      <w:r>
        <w:rPr>
          <w:rFonts w:hint="eastAsia" w:ascii="仿宋" w:hAnsi="仿宋" w:eastAsia="仿宋" w:cs="仿宋"/>
          <w:color w:val="auto"/>
          <w:sz w:val="24"/>
          <w:szCs w:val="24"/>
          <w:highlight w:val="none"/>
          <w:lang w:eastAsia="zh-CN" w:bidi="ar"/>
        </w:rPr>
        <w:t>发包人</w:t>
      </w:r>
      <w:r>
        <w:rPr>
          <w:rFonts w:hint="eastAsia" w:ascii="仿宋" w:hAnsi="仿宋" w:eastAsia="仿宋" w:cs="仿宋"/>
          <w:color w:val="auto"/>
          <w:sz w:val="24"/>
          <w:szCs w:val="24"/>
          <w:highlight w:val="none"/>
          <w:lang w:bidi="ar"/>
        </w:rPr>
        <w:t>人员吊运、保管不当或因安装、操作失误等原因造成设备零部件损坏时，</w:t>
      </w:r>
      <w:r>
        <w:rPr>
          <w:rFonts w:hint="eastAsia" w:ascii="仿宋" w:hAnsi="仿宋" w:eastAsia="仿宋" w:cs="仿宋"/>
          <w:color w:val="auto"/>
          <w:sz w:val="24"/>
          <w:szCs w:val="24"/>
          <w:highlight w:val="none"/>
          <w:lang w:eastAsia="zh-CN" w:bidi="ar"/>
        </w:rPr>
        <w:t>承包人</w:t>
      </w:r>
      <w:r>
        <w:rPr>
          <w:rFonts w:hint="eastAsia" w:ascii="仿宋" w:hAnsi="仿宋" w:eastAsia="仿宋" w:cs="仿宋"/>
          <w:color w:val="auto"/>
          <w:sz w:val="24"/>
          <w:szCs w:val="24"/>
          <w:highlight w:val="none"/>
          <w:lang w:bidi="ar"/>
        </w:rPr>
        <w:t>有责任修理或更换。</w:t>
      </w:r>
    </w:p>
    <w:p w14:paraId="6D491956">
      <w:pPr>
        <w:spacing w:line="360" w:lineRule="auto"/>
        <w:ind w:firstLine="480" w:firstLineChars="200"/>
        <w:jc w:val="left"/>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8.7</w:t>
      </w:r>
      <w:r>
        <w:rPr>
          <w:rFonts w:hint="eastAsia" w:ascii="仿宋" w:hAnsi="仿宋" w:eastAsia="仿宋" w:cs="仿宋"/>
          <w:color w:val="auto"/>
          <w:sz w:val="24"/>
          <w:szCs w:val="24"/>
          <w:highlight w:val="none"/>
          <w:lang w:eastAsia="zh-CN" w:bidi="ar"/>
        </w:rPr>
        <w:t>承包人</w:t>
      </w:r>
      <w:r>
        <w:rPr>
          <w:rFonts w:hint="eastAsia" w:ascii="仿宋" w:hAnsi="仿宋" w:eastAsia="仿宋" w:cs="仿宋"/>
          <w:color w:val="auto"/>
          <w:sz w:val="24"/>
          <w:szCs w:val="24"/>
          <w:highlight w:val="none"/>
          <w:lang w:bidi="ar"/>
        </w:rPr>
        <w:t>在项目现场指导安装、指导调试及正式试车时，</w:t>
      </w:r>
      <w:r>
        <w:rPr>
          <w:rFonts w:hint="eastAsia" w:ascii="仿宋" w:hAnsi="仿宋" w:eastAsia="仿宋" w:cs="仿宋"/>
          <w:color w:val="auto"/>
          <w:sz w:val="24"/>
          <w:szCs w:val="24"/>
          <w:highlight w:val="none"/>
          <w:lang w:eastAsia="zh-CN" w:bidi="ar"/>
        </w:rPr>
        <w:t>发包人</w:t>
      </w:r>
      <w:r>
        <w:rPr>
          <w:rFonts w:hint="eastAsia" w:ascii="仿宋" w:hAnsi="仿宋" w:eastAsia="仿宋" w:cs="仿宋"/>
          <w:color w:val="auto"/>
          <w:sz w:val="24"/>
          <w:szCs w:val="24"/>
          <w:highlight w:val="none"/>
          <w:lang w:bidi="ar"/>
        </w:rPr>
        <w:t>应给予工作、生活等便利。</w:t>
      </w:r>
    </w:p>
    <w:p w14:paraId="285DF24D">
      <w:pPr>
        <w:spacing w:line="360" w:lineRule="auto"/>
        <w:ind w:firstLine="480" w:firstLineChars="200"/>
        <w:jc w:val="left"/>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8.</w:t>
      </w:r>
      <w:r>
        <w:rPr>
          <w:rFonts w:hint="eastAsia" w:ascii="仿宋" w:hAnsi="仿宋" w:cs="仿宋"/>
          <w:color w:val="auto"/>
          <w:sz w:val="24"/>
          <w:szCs w:val="24"/>
          <w:highlight w:val="none"/>
          <w:lang w:val="en-US" w:eastAsia="zh-CN" w:bidi="ar"/>
        </w:rPr>
        <w:t>8</w:t>
      </w:r>
      <w:r>
        <w:rPr>
          <w:rFonts w:hint="eastAsia" w:ascii="仿宋" w:hAnsi="仿宋" w:eastAsia="仿宋" w:cs="仿宋"/>
          <w:color w:val="auto"/>
          <w:sz w:val="24"/>
          <w:szCs w:val="24"/>
          <w:highlight w:val="none"/>
          <w:lang w:eastAsia="zh-CN" w:bidi="ar"/>
        </w:rPr>
        <w:t>承包人</w:t>
      </w:r>
      <w:r>
        <w:rPr>
          <w:rFonts w:hint="eastAsia" w:ascii="仿宋" w:hAnsi="仿宋" w:eastAsia="仿宋" w:cs="仿宋"/>
          <w:color w:val="auto"/>
          <w:sz w:val="24"/>
          <w:szCs w:val="24"/>
          <w:highlight w:val="none"/>
          <w:lang w:bidi="ar"/>
        </w:rPr>
        <w:t>的服务人员在</w:t>
      </w:r>
      <w:r>
        <w:rPr>
          <w:rFonts w:hint="eastAsia" w:ascii="仿宋" w:hAnsi="仿宋" w:eastAsia="仿宋" w:cs="仿宋"/>
          <w:color w:val="auto"/>
          <w:sz w:val="24"/>
          <w:szCs w:val="24"/>
          <w:highlight w:val="none"/>
          <w:lang w:eastAsia="zh-CN" w:bidi="ar"/>
        </w:rPr>
        <w:t>发包人</w:t>
      </w:r>
      <w:r>
        <w:rPr>
          <w:rFonts w:hint="eastAsia" w:ascii="仿宋" w:hAnsi="仿宋" w:eastAsia="仿宋" w:cs="仿宋"/>
          <w:color w:val="auto"/>
          <w:sz w:val="24"/>
          <w:szCs w:val="24"/>
          <w:highlight w:val="none"/>
          <w:lang w:bidi="ar"/>
        </w:rPr>
        <w:t>提供服务期间，非因</w:t>
      </w:r>
      <w:r>
        <w:rPr>
          <w:rFonts w:hint="eastAsia" w:ascii="仿宋" w:hAnsi="仿宋" w:eastAsia="仿宋" w:cs="仿宋"/>
          <w:color w:val="auto"/>
          <w:sz w:val="24"/>
          <w:szCs w:val="24"/>
          <w:highlight w:val="none"/>
          <w:lang w:eastAsia="zh-CN" w:bidi="ar"/>
        </w:rPr>
        <w:t>发包人</w:t>
      </w:r>
      <w:r>
        <w:rPr>
          <w:rFonts w:hint="eastAsia" w:ascii="仿宋" w:hAnsi="仿宋" w:eastAsia="仿宋" w:cs="仿宋"/>
          <w:color w:val="auto"/>
          <w:sz w:val="24"/>
          <w:szCs w:val="24"/>
          <w:highlight w:val="none"/>
          <w:lang w:bidi="ar"/>
        </w:rPr>
        <w:t>的原因受到的任何人身损害，</w:t>
      </w:r>
      <w:r>
        <w:rPr>
          <w:rFonts w:hint="eastAsia" w:ascii="仿宋" w:hAnsi="仿宋" w:eastAsia="仿宋" w:cs="仿宋"/>
          <w:color w:val="auto"/>
          <w:sz w:val="24"/>
          <w:szCs w:val="24"/>
          <w:highlight w:val="none"/>
          <w:lang w:eastAsia="zh-CN" w:bidi="ar"/>
        </w:rPr>
        <w:t>发包人</w:t>
      </w:r>
      <w:r>
        <w:rPr>
          <w:rFonts w:hint="eastAsia" w:ascii="仿宋" w:hAnsi="仿宋" w:eastAsia="仿宋" w:cs="仿宋"/>
          <w:color w:val="auto"/>
          <w:sz w:val="24"/>
          <w:szCs w:val="24"/>
          <w:highlight w:val="none"/>
          <w:lang w:bidi="ar"/>
        </w:rPr>
        <w:t>不承担任何责任。</w:t>
      </w:r>
    </w:p>
    <w:p w14:paraId="372549C4">
      <w:pPr>
        <w:spacing w:line="360" w:lineRule="auto"/>
        <w:ind w:firstLine="520" w:firstLineChars="200"/>
        <w:jc w:val="left"/>
        <w:rPr>
          <w:rFonts w:hint="eastAsia" w:ascii="仿宋" w:hAnsi="仿宋" w:eastAsia="仿宋" w:cs="仿宋"/>
          <w:color w:val="auto"/>
          <w:spacing w:val="10"/>
          <w:sz w:val="24"/>
          <w:szCs w:val="24"/>
          <w:highlight w:val="none"/>
        </w:rPr>
      </w:pPr>
    </w:p>
    <w:p w14:paraId="2C8BBD38">
      <w:pPr>
        <w:pStyle w:val="5"/>
        <w:ind w:firstLineChars="200"/>
        <w:jc w:val="left"/>
        <w:rPr>
          <w:rFonts w:hint="eastAsia" w:ascii="仿宋" w:hAnsi="仿宋" w:eastAsia="仿宋" w:cs="仿宋"/>
          <w:color w:val="auto"/>
          <w:highlight w:val="none"/>
        </w:rPr>
      </w:pPr>
      <w:bookmarkStart w:id="768" w:name="_Toc2684"/>
      <w:r>
        <w:rPr>
          <w:rFonts w:hint="eastAsia" w:ascii="仿宋" w:hAnsi="仿宋" w:eastAsia="仿宋" w:cs="仿宋"/>
          <w:color w:val="auto"/>
          <w:highlight w:val="none"/>
        </w:rPr>
        <w:t>9.保　密</w:t>
      </w:r>
      <w:bookmarkEnd w:id="768"/>
    </w:p>
    <w:p w14:paraId="07E6DF18">
      <w:pPr>
        <w:pStyle w:val="24"/>
        <w:spacing w:line="360" w:lineRule="auto"/>
        <w:ind w:firstLine="480" w:firstLineChars="200"/>
        <w:jc w:val="left"/>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9.1 甲乙双方有责任为对方提供的资料保密，上述资料和文件未经双方认可，不得以任何形式泄露给第三方，否则应向守约方支付本</w:t>
      </w:r>
      <w:r>
        <w:rPr>
          <w:rFonts w:hint="eastAsia" w:ascii="仿宋" w:hAnsi="仿宋" w:cs="仿宋"/>
          <w:color w:val="auto"/>
          <w:sz w:val="24"/>
          <w:szCs w:val="24"/>
          <w:highlight w:val="none"/>
          <w:lang w:val="en-US" w:eastAsia="zh-CN" w:bidi="ar"/>
        </w:rPr>
        <w:t>设备</w:t>
      </w:r>
      <w:r>
        <w:rPr>
          <w:rFonts w:hint="eastAsia" w:ascii="仿宋" w:hAnsi="仿宋" w:eastAsia="仿宋" w:cs="仿宋"/>
          <w:color w:val="auto"/>
          <w:sz w:val="24"/>
          <w:szCs w:val="24"/>
          <w:highlight w:val="none"/>
          <w:lang w:bidi="ar"/>
        </w:rPr>
        <w:t>价款3%的违约金并赔偿因此给守约方造成的损失，因诉讼、仲裁等司法行为使用及双方的合法受让人经对方书面同意而使用的除外。</w:t>
      </w:r>
    </w:p>
    <w:p w14:paraId="3F0955B7">
      <w:pPr>
        <w:pStyle w:val="5"/>
        <w:ind w:firstLineChars="200"/>
        <w:jc w:val="left"/>
        <w:rPr>
          <w:rFonts w:hint="eastAsia" w:ascii="仿宋" w:hAnsi="仿宋" w:eastAsia="仿宋" w:cs="仿宋"/>
          <w:color w:val="auto"/>
          <w:highlight w:val="none"/>
        </w:rPr>
      </w:pPr>
      <w:bookmarkStart w:id="769" w:name="_Toc31598"/>
      <w:r>
        <w:rPr>
          <w:rFonts w:hint="eastAsia" w:ascii="仿宋" w:hAnsi="仿宋" w:eastAsia="仿宋" w:cs="仿宋"/>
          <w:color w:val="auto"/>
          <w:highlight w:val="none"/>
        </w:rPr>
        <w:t>10.服务承诺</w:t>
      </w:r>
      <w:bookmarkEnd w:id="769"/>
    </w:p>
    <w:p w14:paraId="642A1795">
      <w:pPr>
        <w:pStyle w:val="24"/>
        <w:spacing w:line="360" w:lineRule="auto"/>
        <w:ind w:firstLine="480" w:firstLineChars="200"/>
        <w:jc w:val="left"/>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10.1质量保证期为</w:t>
      </w:r>
      <w:r>
        <w:rPr>
          <w:rFonts w:hint="eastAsia" w:ascii="仿宋" w:hAnsi="仿宋" w:cs="仿宋"/>
          <w:color w:val="auto"/>
          <w:sz w:val="24"/>
          <w:szCs w:val="24"/>
          <w:highlight w:val="none"/>
          <w:lang w:val="en-US" w:eastAsia="zh-CN" w:bidi="ar"/>
        </w:rPr>
        <w:t>三年</w:t>
      </w:r>
      <w:r>
        <w:rPr>
          <w:rFonts w:hint="eastAsia" w:ascii="仿宋" w:hAnsi="仿宋" w:eastAsia="仿宋" w:cs="仿宋"/>
          <w:color w:val="auto"/>
          <w:sz w:val="24"/>
          <w:szCs w:val="24"/>
          <w:highlight w:val="none"/>
          <w:lang w:bidi="ar"/>
        </w:rPr>
        <w:t>。</w:t>
      </w:r>
    </w:p>
    <w:p w14:paraId="3DD7A19F">
      <w:pPr>
        <w:spacing w:line="360" w:lineRule="auto"/>
        <w:ind w:firstLine="480" w:firstLineChars="200"/>
        <w:jc w:val="left"/>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10.2</w:t>
      </w:r>
      <w:r>
        <w:rPr>
          <w:rFonts w:hint="eastAsia" w:ascii="仿宋" w:hAnsi="仿宋" w:eastAsia="仿宋" w:cs="仿宋"/>
          <w:color w:val="auto"/>
          <w:sz w:val="24"/>
          <w:szCs w:val="24"/>
          <w:highlight w:val="none"/>
          <w:lang w:eastAsia="zh-CN" w:bidi="ar"/>
        </w:rPr>
        <w:t>承包人</w:t>
      </w:r>
      <w:r>
        <w:rPr>
          <w:rFonts w:hint="eastAsia" w:ascii="仿宋" w:hAnsi="仿宋" w:eastAsia="仿宋" w:cs="仿宋"/>
          <w:color w:val="auto"/>
          <w:sz w:val="24"/>
          <w:szCs w:val="24"/>
          <w:highlight w:val="none"/>
          <w:lang w:bidi="ar"/>
        </w:rPr>
        <w:t>保证免费为</w:t>
      </w:r>
      <w:r>
        <w:rPr>
          <w:rFonts w:hint="eastAsia" w:ascii="仿宋" w:hAnsi="仿宋" w:eastAsia="仿宋" w:cs="仿宋"/>
          <w:color w:val="auto"/>
          <w:sz w:val="24"/>
          <w:szCs w:val="24"/>
          <w:highlight w:val="none"/>
          <w:lang w:eastAsia="zh-CN" w:bidi="ar"/>
        </w:rPr>
        <w:t>发包人</w:t>
      </w:r>
      <w:r>
        <w:rPr>
          <w:rFonts w:hint="eastAsia" w:ascii="仿宋" w:hAnsi="仿宋" w:eastAsia="仿宋" w:cs="仿宋"/>
          <w:color w:val="auto"/>
          <w:sz w:val="24"/>
          <w:szCs w:val="24"/>
          <w:highlight w:val="none"/>
          <w:lang w:bidi="ar"/>
        </w:rPr>
        <w:t xml:space="preserve">培训操作、维修人员，定期6个月回访，了解设备运行情况，确保设备正常运转。 </w:t>
      </w:r>
    </w:p>
    <w:p w14:paraId="14601938">
      <w:pPr>
        <w:pStyle w:val="5"/>
        <w:ind w:firstLineChars="200"/>
        <w:jc w:val="left"/>
        <w:rPr>
          <w:rFonts w:hint="eastAsia" w:ascii="仿宋" w:hAnsi="仿宋" w:eastAsia="仿宋" w:cs="仿宋"/>
          <w:color w:val="auto"/>
          <w:highlight w:val="none"/>
        </w:rPr>
      </w:pPr>
      <w:bookmarkStart w:id="770" w:name="_Toc24882"/>
      <w:r>
        <w:rPr>
          <w:rFonts w:hint="eastAsia" w:ascii="仿宋" w:hAnsi="仿宋" w:eastAsia="仿宋" w:cs="仿宋"/>
          <w:color w:val="auto"/>
          <w:highlight w:val="none"/>
        </w:rPr>
        <w:t>11.违约责任</w:t>
      </w:r>
      <w:bookmarkEnd w:id="770"/>
    </w:p>
    <w:p w14:paraId="45B4459F">
      <w:pPr>
        <w:spacing w:line="360" w:lineRule="auto"/>
        <w:ind w:firstLine="480" w:firstLineChars="200"/>
        <w:jc w:val="left"/>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11.1如果</w:t>
      </w:r>
      <w:r>
        <w:rPr>
          <w:rFonts w:hint="eastAsia" w:ascii="仿宋" w:hAnsi="仿宋" w:eastAsia="仿宋" w:cs="仿宋"/>
          <w:color w:val="auto"/>
          <w:sz w:val="24"/>
          <w:szCs w:val="24"/>
          <w:highlight w:val="none"/>
          <w:lang w:eastAsia="zh-CN" w:bidi="ar"/>
        </w:rPr>
        <w:t>承包人</w:t>
      </w:r>
      <w:r>
        <w:rPr>
          <w:rFonts w:hint="eastAsia" w:ascii="仿宋" w:hAnsi="仿宋" w:eastAsia="仿宋" w:cs="仿宋"/>
          <w:color w:val="auto"/>
          <w:sz w:val="24"/>
          <w:szCs w:val="24"/>
          <w:highlight w:val="none"/>
          <w:lang w:bidi="ar"/>
        </w:rPr>
        <w:t>因自身原因逾期60日供货或在接到</w:t>
      </w:r>
      <w:r>
        <w:rPr>
          <w:rFonts w:hint="eastAsia" w:ascii="仿宋" w:hAnsi="仿宋" w:eastAsia="仿宋" w:cs="仿宋"/>
          <w:color w:val="auto"/>
          <w:sz w:val="24"/>
          <w:szCs w:val="24"/>
          <w:highlight w:val="none"/>
          <w:lang w:eastAsia="zh-CN" w:bidi="ar"/>
        </w:rPr>
        <w:t>发包人</w:t>
      </w:r>
      <w:r>
        <w:rPr>
          <w:rFonts w:hint="eastAsia" w:ascii="仿宋" w:hAnsi="仿宋" w:eastAsia="仿宋" w:cs="仿宋"/>
          <w:color w:val="auto"/>
          <w:sz w:val="24"/>
          <w:szCs w:val="24"/>
          <w:highlight w:val="none"/>
          <w:lang w:bidi="ar"/>
        </w:rPr>
        <w:t>设备安装书面通知30日内未到现场，</w:t>
      </w:r>
      <w:r>
        <w:rPr>
          <w:rFonts w:hint="eastAsia" w:ascii="仿宋" w:hAnsi="仿宋" w:eastAsia="仿宋" w:cs="仿宋"/>
          <w:color w:val="auto"/>
          <w:sz w:val="24"/>
          <w:szCs w:val="24"/>
          <w:highlight w:val="none"/>
          <w:lang w:eastAsia="zh-CN" w:bidi="ar"/>
        </w:rPr>
        <w:t>发包人</w:t>
      </w:r>
      <w:r>
        <w:rPr>
          <w:rFonts w:hint="eastAsia" w:ascii="仿宋" w:hAnsi="仿宋" w:eastAsia="仿宋" w:cs="仿宋"/>
          <w:color w:val="auto"/>
          <w:sz w:val="24"/>
          <w:szCs w:val="24"/>
          <w:highlight w:val="none"/>
          <w:lang w:bidi="ar"/>
        </w:rPr>
        <w:t>有权单方面解除合同，</w:t>
      </w:r>
      <w:r>
        <w:rPr>
          <w:rFonts w:hint="eastAsia" w:ascii="仿宋" w:hAnsi="仿宋" w:eastAsia="仿宋" w:cs="仿宋"/>
          <w:color w:val="auto"/>
          <w:sz w:val="24"/>
          <w:szCs w:val="24"/>
          <w:highlight w:val="none"/>
          <w:lang w:eastAsia="zh-CN" w:bidi="ar"/>
        </w:rPr>
        <w:t>承包人</w:t>
      </w:r>
      <w:r>
        <w:rPr>
          <w:rFonts w:hint="eastAsia" w:ascii="仿宋" w:hAnsi="仿宋" w:eastAsia="仿宋" w:cs="仿宋"/>
          <w:color w:val="auto"/>
          <w:sz w:val="24"/>
          <w:szCs w:val="24"/>
          <w:highlight w:val="none"/>
          <w:lang w:bidi="ar"/>
        </w:rPr>
        <w:t>除应按照合同约定支付违约金外，还应立即退还</w:t>
      </w:r>
      <w:r>
        <w:rPr>
          <w:rFonts w:hint="eastAsia" w:ascii="仿宋" w:hAnsi="仿宋" w:eastAsia="仿宋" w:cs="仿宋"/>
          <w:color w:val="auto"/>
          <w:sz w:val="24"/>
          <w:szCs w:val="24"/>
          <w:highlight w:val="none"/>
          <w:lang w:eastAsia="zh-CN" w:bidi="ar"/>
        </w:rPr>
        <w:t>发包人</w:t>
      </w:r>
      <w:r>
        <w:rPr>
          <w:rFonts w:hint="eastAsia" w:ascii="仿宋" w:hAnsi="仿宋" w:eastAsia="仿宋" w:cs="仿宋"/>
          <w:color w:val="auto"/>
          <w:sz w:val="24"/>
          <w:szCs w:val="24"/>
          <w:highlight w:val="none"/>
          <w:lang w:bidi="ar"/>
        </w:rPr>
        <w:t>已支付的但</w:t>
      </w:r>
      <w:r>
        <w:rPr>
          <w:rFonts w:hint="eastAsia" w:ascii="仿宋" w:hAnsi="仿宋" w:eastAsia="仿宋" w:cs="仿宋"/>
          <w:color w:val="auto"/>
          <w:sz w:val="24"/>
          <w:szCs w:val="24"/>
          <w:highlight w:val="none"/>
          <w:lang w:eastAsia="zh-CN" w:bidi="ar"/>
        </w:rPr>
        <w:t>承包人</w:t>
      </w:r>
      <w:r>
        <w:rPr>
          <w:rFonts w:hint="eastAsia" w:ascii="仿宋" w:hAnsi="仿宋" w:eastAsia="仿宋" w:cs="仿宋"/>
          <w:color w:val="auto"/>
          <w:sz w:val="24"/>
          <w:szCs w:val="24"/>
          <w:highlight w:val="none"/>
          <w:lang w:bidi="ar"/>
        </w:rPr>
        <w:t>尚未交货或履行部分的</w:t>
      </w:r>
      <w:r>
        <w:rPr>
          <w:rFonts w:hint="eastAsia" w:ascii="仿宋" w:hAnsi="仿宋" w:cs="仿宋"/>
          <w:color w:val="auto"/>
          <w:sz w:val="24"/>
          <w:szCs w:val="24"/>
          <w:highlight w:val="none"/>
          <w:lang w:val="en-US" w:eastAsia="zh-CN" w:bidi="ar"/>
        </w:rPr>
        <w:t>设备</w:t>
      </w:r>
      <w:r>
        <w:rPr>
          <w:rFonts w:hint="eastAsia" w:ascii="仿宋" w:hAnsi="仿宋" w:eastAsia="仿宋" w:cs="仿宋"/>
          <w:color w:val="auto"/>
          <w:sz w:val="24"/>
          <w:szCs w:val="24"/>
          <w:highlight w:val="none"/>
          <w:lang w:bidi="ar"/>
        </w:rPr>
        <w:t>价款。</w:t>
      </w:r>
    </w:p>
    <w:p w14:paraId="351BB191">
      <w:pPr>
        <w:spacing w:line="360" w:lineRule="auto"/>
        <w:ind w:firstLine="480" w:firstLineChars="200"/>
        <w:jc w:val="left"/>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11.2若</w:t>
      </w:r>
      <w:r>
        <w:rPr>
          <w:rFonts w:hint="eastAsia" w:ascii="仿宋" w:hAnsi="仿宋" w:eastAsia="仿宋" w:cs="仿宋"/>
          <w:color w:val="auto"/>
          <w:sz w:val="24"/>
          <w:szCs w:val="24"/>
          <w:highlight w:val="none"/>
          <w:lang w:eastAsia="zh-CN" w:bidi="ar"/>
        </w:rPr>
        <w:t>承包人</w:t>
      </w:r>
      <w:r>
        <w:rPr>
          <w:rFonts w:hint="eastAsia" w:ascii="仿宋" w:hAnsi="仿宋" w:eastAsia="仿宋" w:cs="仿宋"/>
          <w:color w:val="auto"/>
          <w:sz w:val="24"/>
          <w:szCs w:val="24"/>
          <w:highlight w:val="none"/>
          <w:lang w:bidi="ar"/>
        </w:rPr>
        <w:t>交付的设备不符合本合同约定的相关质量、技术、品牌等要求，</w:t>
      </w:r>
      <w:r>
        <w:rPr>
          <w:rFonts w:hint="eastAsia" w:ascii="仿宋" w:hAnsi="仿宋" w:eastAsia="仿宋" w:cs="仿宋"/>
          <w:color w:val="auto"/>
          <w:sz w:val="24"/>
          <w:szCs w:val="24"/>
          <w:highlight w:val="none"/>
          <w:lang w:eastAsia="zh-CN" w:bidi="ar"/>
        </w:rPr>
        <w:t>承包人</w:t>
      </w:r>
      <w:r>
        <w:rPr>
          <w:rFonts w:hint="eastAsia" w:ascii="仿宋" w:hAnsi="仿宋" w:eastAsia="仿宋" w:cs="仿宋"/>
          <w:color w:val="auto"/>
          <w:sz w:val="24"/>
          <w:szCs w:val="24"/>
          <w:highlight w:val="none"/>
          <w:lang w:bidi="ar"/>
        </w:rPr>
        <w:t>应在</w:t>
      </w:r>
      <w:r>
        <w:rPr>
          <w:rFonts w:hint="eastAsia" w:ascii="仿宋" w:hAnsi="仿宋" w:eastAsia="仿宋" w:cs="仿宋"/>
          <w:color w:val="auto"/>
          <w:sz w:val="24"/>
          <w:szCs w:val="24"/>
          <w:highlight w:val="none"/>
          <w:lang w:eastAsia="zh-CN" w:bidi="ar"/>
        </w:rPr>
        <w:t>发包人</w:t>
      </w:r>
      <w:r>
        <w:rPr>
          <w:rFonts w:hint="eastAsia" w:ascii="仿宋" w:hAnsi="仿宋" w:eastAsia="仿宋" w:cs="仿宋"/>
          <w:color w:val="auto"/>
          <w:sz w:val="24"/>
          <w:szCs w:val="24"/>
          <w:highlight w:val="none"/>
          <w:lang w:bidi="ar"/>
        </w:rPr>
        <w:t>要求的合理期限内更换为符合本合同要求的设备，如因此导致工期延误，每迟延一日，</w:t>
      </w:r>
      <w:r>
        <w:rPr>
          <w:rFonts w:hint="eastAsia" w:ascii="仿宋" w:hAnsi="仿宋" w:eastAsia="仿宋" w:cs="仿宋"/>
          <w:color w:val="auto"/>
          <w:sz w:val="24"/>
          <w:szCs w:val="24"/>
          <w:highlight w:val="none"/>
          <w:lang w:eastAsia="zh-CN" w:bidi="ar"/>
        </w:rPr>
        <w:t>承包人</w:t>
      </w:r>
      <w:r>
        <w:rPr>
          <w:rFonts w:hint="eastAsia" w:ascii="仿宋" w:hAnsi="仿宋" w:eastAsia="仿宋" w:cs="仿宋"/>
          <w:color w:val="auto"/>
          <w:sz w:val="24"/>
          <w:szCs w:val="24"/>
          <w:highlight w:val="none"/>
          <w:lang w:bidi="ar"/>
        </w:rPr>
        <w:t>向</w:t>
      </w:r>
      <w:r>
        <w:rPr>
          <w:rFonts w:hint="eastAsia" w:ascii="仿宋" w:hAnsi="仿宋" w:eastAsia="仿宋" w:cs="仿宋"/>
          <w:color w:val="auto"/>
          <w:sz w:val="24"/>
          <w:szCs w:val="24"/>
          <w:highlight w:val="none"/>
          <w:lang w:eastAsia="zh-CN" w:bidi="ar"/>
        </w:rPr>
        <w:t>发包人</w:t>
      </w:r>
      <w:r>
        <w:rPr>
          <w:rFonts w:hint="eastAsia" w:ascii="仿宋" w:hAnsi="仿宋" w:eastAsia="仿宋" w:cs="仿宋"/>
          <w:color w:val="auto"/>
          <w:sz w:val="24"/>
          <w:szCs w:val="24"/>
          <w:highlight w:val="none"/>
          <w:lang w:bidi="ar"/>
        </w:rPr>
        <w:t>支付延迟设备价款万分之一的违约金。</w:t>
      </w:r>
    </w:p>
    <w:p w14:paraId="0277DED2">
      <w:pPr>
        <w:spacing w:line="360" w:lineRule="auto"/>
        <w:ind w:firstLine="480" w:firstLineChars="200"/>
        <w:jc w:val="left"/>
        <w:rPr>
          <w:rFonts w:hint="eastAsia" w:ascii="仿宋" w:hAnsi="仿宋" w:eastAsia="仿宋" w:cs="仿宋"/>
          <w:color w:val="auto"/>
          <w:szCs w:val="24"/>
          <w:highlight w:val="none"/>
          <w:lang w:bidi="ar"/>
        </w:rPr>
      </w:pPr>
      <w:r>
        <w:rPr>
          <w:rFonts w:hint="eastAsia" w:ascii="仿宋" w:hAnsi="仿宋" w:eastAsia="仿宋" w:cs="仿宋"/>
          <w:color w:val="auto"/>
          <w:szCs w:val="24"/>
          <w:highlight w:val="none"/>
          <w:lang w:bidi="ar"/>
        </w:rPr>
        <w:t>11.</w:t>
      </w:r>
      <w:r>
        <w:rPr>
          <w:rFonts w:hint="eastAsia" w:ascii="仿宋" w:hAnsi="仿宋" w:cs="仿宋"/>
          <w:color w:val="auto"/>
          <w:szCs w:val="24"/>
          <w:highlight w:val="none"/>
          <w:lang w:val="en-US" w:eastAsia="zh-CN" w:bidi="ar"/>
        </w:rPr>
        <w:t>3</w:t>
      </w:r>
      <w:r>
        <w:rPr>
          <w:rFonts w:hint="eastAsia" w:ascii="仿宋" w:hAnsi="仿宋" w:eastAsia="仿宋" w:cs="仿宋"/>
          <w:color w:val="auto"/>
          <w:szCs w:val="24"/>
          <w:highlight w:val="none"/>
          <w:lang w:bidi="ar"/>
        </w:rPr>
        <w:t>本合同中违约金最高值为本合同总价的10%。</w:t>
      </w:r>
    </w:p>
    <w:p w14:paraId="1B082D75">
      <w:pPr>
        <w:pStyle w:val="5"/>
        <w:ind w:firstLineChars="200"/>
        <w:jc w:val="left"/>
        <w:rPr>
          <w:rFonts w:hint="eastAsia" w:ascii="仿宋" w:hAnsi="仿宋" w:eastAsia="仿宋" w:cs="仿宋"/>
          <w:color w:val="auto"/>
          <w:highlight w:val="none"/>
        </w:rPr>
      </w:pPr>
      <w:bookmarkStart w:id="771" w:name="_Toc23499"/>
      <w:r>
        <w:rPr>
          <w:rFonts w:hint="eastAsia" w:ascii="仿宋" w:hAnsi="仿宋" w:eastAsia="仿宋" w:cs="仿宋"/>
          <w:color w:val="auto"/>
          <w:highlight w:val="none"/>
        </w:rPr>
        <w:t>12.其它</w:t>
      </w:r>
      <w:bookmarkEnd w:id="771"/>
    </w:p>
    <w:p w14:paraId="23C492E2">
      <w:pPr>
        <w:spacing w:line="360" w:lineRule="auto"/>
        <w:ind w:firstLine="480" w:firstLineChars="200"/>
        <w:jc w:val="left"/>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12.1 变更：</w:t>
      </w:r>
    </w:p>
    <w:p w14:paraId="4743B67A">
      <w:pPr>
        <w:spacing w:line="360" w:lineRule="auto"/>
        <w:ind w:firstLine="480" w:firstLineChars="200"/>
        <w:jc w:val="left"/>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12.1.1本合同的任何修改，由</w:t>
      </w:r>
      <w:r>
        <w:rPr>
          <w:rFonts w:hint="eastAsia" w:ascii="仿宋" w:hAnsi="仿宋" w:eastAsia="仿宋" w:cs="仿宋"/>
          <w:color w:val="auto"/>
          <w:sz w:val="24"/>
          <w:szCs w:val="24"/>
          <w:highlight w:val="none"/>
          <w:lang w:eastAsia="zh-CN" w:bidi="ar"/>
        </w:rPr>
        <w:t>发包人</w:t>
      </w:r>
      <w:r>
        <w:rPr>
          <w:rFonts w:hint="eastAsia" w:ascii="仿宋" w:hAnsi="仿宋" w:eastAsia="仿宋" w:cs="仿宋"/>
          <w:color w:val="auto"/>
          <w:sz w:val="24"/>
          <w:szCs w:val="24"/>
          <w:highlight w:val="none"/>
          <w:lang w:bidi="ar"/>
        </w:rPr>
        <w:t>与</w:t>
      </w:r>
      <w:r>
        <w:rPr>
          <w:rFonts w:hint="eastAsia" w:ascii="仿宋" w:hAnsi="仿宋" w:eastAsia="仿宋" w:cs="仿宋"/>
          <w:color w:val="auto"/>
          <w:sz w:val="24"/>
          <w:szCs w:val="24"/>
          <w:highlight w:val="none"/>
          <w:lang w:eastAsia="zh-CN" w:bidi="ar"/>
        </w:rPr>
        <w:t>承包人</w:t>
      </w:r>
      <w:r>
        <w:rPr>
          <w:rFonts w:hint="eastAsia" w:ascii="仿宋" w:hAnsi="仿宋" w:eastAsia="仿宋" w:cs="仿宋"/>
          <w:color w:val="auto"/>
          <w:sz w:val="24"/>
          <w:szCs w:val="24"/>
          <w:highlight w:val="none"/>
          <w:lang w:bidi="ar"/>
        </w:rPr>
        <w:t>双方以书面形式签署为准。</w:t>
      </w:r>
    </w:p>
    <w:p w14:paraId="0BBC4003">
      <w:pPr>
        <w:spacing w:line="360" w:lineRule="auto"/>
        <w:ind w:firstLine="480" w:firstLineChars="200"/>
        <w:jc w:val="left"/>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12.1.2双方有一方要求变更本合同时，应向对方发出变更通知书，经双方协商签订补充协议。</w:t>
      </w:r>
    </w:p>
    <w:p w14:paraId="4FF076D3">
      <w:pPr>
        <w:spacing w:line="360" w:lineRule="auto"/>
        <w:ind w:firstLine="480" w:firstLineChars="200"/>
        <w:jc w:val="left"/>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12.1.3因政策和不可抗力影响本合同履行时，双方应协商解决。</w:t>
      </w:r>
    </w:p>
    <w:p w14:paraId="570B5E48">
      <w:pPr>
        <w:spacing w:line="360" w:lineRule="auto"/>
        <w:ind w:firstLine="480" w:firstLineChars="200"/>
        <w:jc w:val="left"/>
        <w:rPr>
          <w:rFonts w:hint="eastAsia" w:ascii="仿宋" w:hAnsi="仿宋" w:eastAsia="仿宋" w:cs="仿宋"/>
          <w:color w:val="auto"/>
          <w:spacing w:val="10"/>
          <w:sz w:val="24"/>
          <w:szCs w:val="24"/>
          <w:highlight w:val="none"/>
        </w:rPr>
      </w:pPr>
      <w:r>
        <w:rPr>
          <w:rFonts w:hint="eastAsia" w:ascii="仿宋" w:hAnsi="仿宋" w:eastAsia="仿宋" w:cs="仿宋"/>
          <w:color w:val="auto"/>
          <w:sz w:val="24"/>
          <w:szCs w:val="24"/>
          <w:highlight w:val="none"/>
          <w:lang w:bidi="ar"/>
        </w:rPr>
        <w:t>12.2</w:t>
      </w:r>
      <w:r>
        <w:rPr>
          <w:rFonts w:hint="eastAsia" w:ascii="仿宋" w:hAnsi="仿宋" w:eastAsia="仿宋" w:cs="仿宋"/>
          <w:color w:val="auto"/>
          <w:spacing w:val="10"/>
          <w:sz w:val="24"/>
          <w:szCs w:val="24"/>
          <w:highlight w:val="none"/>
        </w:rPr>
        <w:t>本合同经双方法定代表人或授权代表签字并加盖公章或合同专用章后即行生效。本合同未尽事宜，双方友好协商可</w:t>
      </w:r>
      <w:r>
        <w:rPr>
          <w:rFonts w:hint="eastAsia" w:ascii="仿宋" w:hAnsi="仿宋" w:eastAsia="仿宋" w:cs="仿宋"/>
          <w:color w:val="auto"/>
          <w:sz w:val="24"/>
          <w:szCs w:val="24"/>
          <w:highlight w:val="none"/>
        </w:rPr>
        <w:t>签署补充协议。经双方签署生效后的补充协议作为本合同的附件，与本合同具有同等法律效力</w:t>
      </w:r>
      <w:r>
        <w:rPr>
          <w:rFonts w:hint="eastAsia" w:ascii="仿宋" w:hAnsi="仿宋" w:eastAsia="仿宋" w:cs="仿宋"/>
          <w:color w:val="auto"/>
          <w:spacing w:val="10"/>
          <w:sz w:val="24"/>
          <w:szCs w:val="24"/>
          <w:highlight w:val="none"/>
        </w:rPr>
        <w:t>。</w:t>
      </w:r>
    </w:p>
    <w:p w14:paraId="6A2CE3FE">
      <w:pPr>
        <w:spacing w:line="360" w:lineRule="auto"/>
        <w:ind w:firstLine="480" w:firstLineChars="200"/>
        <w:jc w:val="left"/>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 xml:space="preserve"> 12.3争议解决</w:t>
      </w:r>
    </w:p>
    <w:p w14:paraId="5733806E">
      <w:pPr>
        <w:spacing w:line="360" w:lineRule="auto"/>
        <w:ind w:firstLine="480" w:firstLineChars="200"/>
        <w:jc w:val="left"/>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因履行本合同而发生的任何争议，应通过友好协商的方式予以解决，如果通过协商仍未能达成一致时，向</w:t>
      </w:r>
      <w:r>
        <w:rPr>
          <w:rFonts w:hint="eastAsia" w:ascii="仿宋" w:hAnsi="仿宋" w:eastAsia="仿宋" w:cs="仿宋"/>
          <w:color w:val="auto"/>
          <w:sz w:val="24"/>
          <w:szCs w:val="24"/>
          <w:highlight w:val="none"/>
          <w:lang w:eastAsia="zh-CN" w:bidi="ar"/>
        </w:rPr>
        <w:t>发包人</w:t>
      </w:r>
      <w:r>
        <w:rPr>
          <w:rFonts w:hint="eastAsia" w:ascii="仿宋" w:hAnsi="仿宋" w:eastAsia="仿宋" w:cs="仿宋"/>
          <w:color w:val="auto"/>
          <w:sz w:val="24"/>
          <w:szCs w:val="24"/>
          <w:highlight w:val="none"/>
          <w:lang w:bidi="ar"/>
        </w:rPr>
        <w:t>所在地人民法院提起诉讼。</w:t>
      </w:r>
    </w:p>
    <w:p w14:paraId="6652F7C8">
      <w:pPr>
        <w:pStyle w:val="38"/>
        <w:ind w:firstLine="480"/>
        <w:rPr>
          <w:rFonts w:hint="eastAsia" w:ascii="仿宋" w:hAnsi="仿宋" w:eastAsia="仿宋" w:cs="仿宋"/>
          <w:color w:val="auto"/>
          <w:highlight w:val="none"/>
        </w:rPr>
      </w:pPr>
      <w:r>
        <w:rPr>
          <w:rFonts w:hint="eastAsia" w:ascii="仿宋" w:hAnsi="仿宋" w:eastAsia="仿宋" w:cs="仿宋"/>
          <w:color w:val="auto"/>
          <w:sz w:val="24"/>
          <w:szCs w:val="24"/>
          <w:highlight w:val="none"/>
          <w:lang w:val="en-US" w:bidi="ar"/>
        </w:rPr>
        <w:t>（以下无正文）</w:t>
      </w:r>
      <w:r>
        <w:rPr>
          <w:rFonts w:hint="eastAsia" w:ascii="仿宋" w:hAnsi="仿宋" w:eastAsia="仿宋" w:cs="仿宋"/>
          <w:b/>
          <w:color w:val="auto"/>
          <w:sz w:val="24"/>
          <w:szCs w:val="24"/>
          <w:highlight w:val="none"/>
        </w:rPr>
        <w:br w:type="page"/>
      </w:r>
      <w:r>
        <w:rPr>
          <w:rFonts w:hint="eastAsia" w:ascii="仿宋" w:hAnsi="仿宋" w:cs="仿宋"/>
          <w:b/>
          <w:color w:val="auto"/>
          <w:sz w:val="24"/>
          <w:szCs w:val="24"/>
          <w:highlight w:val="none"/>
          <w:lang w:val="en-US" w:eastAsia="zh-CN"/>
        </w:rPr>
        <w:t xml:space="preserve">    </w:t>
      </w:r>
      <w:r>
        <w:rPr>
          <w:rFonts w:hint="eastAsia" w:ascii="仿宋" w:hAnsi="仿宋" w:eastAsia="仿宋" w:cs="仿宋"/>
          <w:color w:val="auto"/>
          <w:sz w:val="24"/>
          <w:szCs w:val="22"/>
          <w:highlight w:val="none"/>
          <w:lang w:val="en-US" w:eastAsia="zh-CN"/>
        </w:rPr>
        <w:t>发包人</w:t>
      </w:r>
      <w:r>
        <w:rPr>
          <w:rFonts w:hint="eastAsia" w:ascii="仿宋" w:hAnsi="仿宋" w:eastAsia="仿宋" w:cs="仿宋"/>
          <w:color w:val="auto"/>
          <w:sz w:val="24"/>
          <w:szCs w:val="22"/>
          <w:highlight w:val="none"/>
          <w:lang w:val="en-US"/>
        </w:rPr>
        <w:t xml:space="preserve">：                               </w:t>
      </w:r>
      <w:r>
        <w:rPr>
          <w:rFonts w:hint="eastAsia" w:ascii="仿宋" w:hAnsi="仿宋" w:eastAsia="仿宋" w:cs="仿宋"/>
          <w:color w:val="auto"/>
          <w:sz w:val="24"/>
          <w:szCs w:val="22"/>
          <w:highlight w:val="none"/>
          <w:lang w:val="en-US" w:eastAsia="zh-CN"/>
        </w:rPr>
        <w:t>承包人</w:t>
      </w:r>
      <w:r>
        <w:rPr>
          <w:rFonts w:hint="eastAsia" w:ascii="仿宋" w:hAnsi="仿宋" w:eastAsia="仿宋" w:cs="仿宋"/>
          <w:color w:val="auto"/>
          <w:sz w:val="24"/>
          <w:szCs w:val="22"/>
          <w:highlight w:val="none"/>
          <w:lang w:val="en-US"/>
        </w:rPr>
        <w:t xml:space="preserve">：    </w:t>
      </w:r>
      <w:r>
        <w:rPr>
          <w:rFonts w:hint="eastAsia" w:ascii="仿宋" w:hAnsi="仿宋" w:eastAsia="仿宋" w:cs="仿宋"/>
          <w:color w:val="auto"/>
          <w:highlight w:val="none"/>
        </w:rPr>
        <w:t xml:space="preserve">                  </w:t>
      </w:r>
    </w:p>
    <w:p w14:paraId="7C0E6A8A">
      <w:pPr>
        <w:spacing w:line="360" w:lineRule="auto"/>
        <w:ind w:firstLine="480" w:firstLineChars="200"/>
        <w:jc w:val="left"/>
        <w:rPr>
          <w:rFonts w:hint="eastAsia" w:ascii="仿宋" w:hAnsi="仿宋" w:eastAsia="仿宋" w:cs="仿宋"/>
          <w:color w:val="auto"/>
          <w:highlight w:val="none"/>
        </w:rPr>
      </w:pPr>
      <w:r>
        <w:rPr>
          <w:rFonts w:hint="eastAsia" w:ascii="仿宋" w:hAnsi="仿宋" w:eastAsia="仿宋" w:cs="仿宋"/>
          <w:color w:val="auto"/>
          <w:highlight w:val="none"/>
        </w:rPr>
        <w:t>（盖章）                           （联合体设备供货与服务单位）：（盖章）</w:t>
      </w:r>
    </w:p>
    <w:p w14:paraId="501A2553">
      <w:pPr>
        <w:spacing w:line="360" w:lineRule="auto"/>
        <w:ind w:firstLine="480" w:firstLineChars="200"/>
        <w:jc w:val="left"/>
        <w:rPr>
          <w:rFonts w:hint="eastAsia" w:ascii="仿宋" w:hAnsi="仿宋" w:eastAsia="仿宋" w:cs="仿宋"/>
          <w:color w:val="auto"/>
          <w:highlight w:val="none"/>
        </w:rPr>
      </w:pPr>
      <w:r>
        <w:rPr>
          <w:rFonts w:hint="eastAsia" w:ascii="仿宋" w:hAnsi="仿宋" w:eastAsia="仿宋" w:cs="仿宋"/>
          <w:color w:val="auto"/>
          <w:highlight w:val="none"/>
        </w:rPr>
        <w:t xml:space="preserve">统一社会信用代码：                     统一社会信用代码：            </w:t>
      </w:r>
    </w:p>
    <w:p w14:paraId="1616AF01">
      <w:pPr>
        <w:spacing w:line="360" w:lineRule="auto"/>
        <w:ind w:firstLine="480" w:firstLineChars="200"/>
        <w:jc w:val="left"/>
        <w:rPr>
          <w:rFonts w:hint="eastAsia" w:ascii="仿宋" w:hAnsi="仿宋" w:eastAsia="仿宋" w:cs="仿宋"/>
          <w:color w:val="auto"/>
          <w:highlight w:val="none"/>
        </w:rPr>
      </w:pPr>
      <w:r>
        <w:rPr>
          <w:rFonts w:hint="eastAsia" w:ascii="仿宋" w:hAnsi="仿宋" w:eastAsia="仿宋" w:cs="仿宋"/>
          <w:color w:val="auto"/>
          <w:highlight w:val="none"/>
        </w:rPr>
        <w:t xml:space="preserve">地      址：                           地      址：              </w:t>
      </w:r>
    </w:p>
    <w:p w14:paraId="7F4488A2">
      <w:pPr>
        <w:spacing w:line="360" w:lineRule="auto"/>
        <w:ind w:firstLine="480" w:firstLineChars="200"/>
        <w:jc w:val="left"/>
        <w:rPr>
          <w:rFonts w:hint="eastAsia" w:ascii="仿宋" w:hAnsi="仿宋" w:eastAsia="仿宋" w:cs="仿宋"/>
          <w:color w:val="auto"/>
          <w:highlight w:val="none"/>
        </w:rPr>
      </w:pPr>
      <w:r>
        <w:rPr>
          <w:rFonts w:hint="eastAsia" w:ascii="仿宋" w:hAnsi="仿宋" w:eastAsia="仿宋" w:cs="仿宋"/>
          <w:color w:val="auto"/>
          <w:highlight w:val="none"/>
        </w:rPr>
        <w:t>法定代表人：                           法定代表人：</w:t>
      </w:r>
    </w:p>
    <w:p w14:paraId="033AB5CD">
      <w:pPr>
        <w:spacing w:line="360" w:lineRule="auto"/>
        <w:ind w:firstLine="480" w:firstLineChars="200"/>
        <w:jc w:val="left"/>
        <w:rPr>
          <w:rFonts w:hint="eastAsia" w:ascii="仿宋" w:hAnsi="仿宋" w:eastAsia="仿宋" w:cs="仿宋"/>
          <w:color w:val="auto"/>
          <w:highlight w:val="none"/>
        </w:rPr>
      </w:pPr>
      <w:r>
        <w:rPr>
          <w:rFonts w:hint="eastAsia" w:ascii="仿宋" w:hAnsi="仿宋" w:eastAsia="仿宋" w:cs="仿宋"/>
          <w:color w:val="auto"/>
          <w:highlight w:val="none"/>
        </w:rPr>
        <w:t>委托代理人：                           委托代理人：</w:t>
      </w:r>
    </w:p>
    <w:p w14:paraId="7E5D3231">
      <w:pPr>
        <w:spacing w:line="360" w:lineRule="auto"/>
        <w:ind w:firstLine="480" w:firstLineChars="200"/>
        <w:jc w:val="left"/>
        <w:rPr>
          <w:rFonts w:hint="eastAsia" w:ascii="仿宋" w:hAnsi="仿宋" w:eastAsia="仿宋" w:cs="仿宋"/>
          <w:color w:val="auto"/>
          <w:highlight w:val="none"/>
        </w:rPr>
      </w:pPr>
      <w:r>
        <w:rPr>
          <w:rFonts w:hint="eastAsia" w:ascii="仿宋" w:hAnsi="仿宋" w:eastAsia="仿宋" w:cs="仿宋"/>
          <w:color w:val="auto"/>
          <w:highlight w:val="none"/>
        </w:rPr>
        <w:t xml:space="preserve">电    话：                             电    话：              </w:t>
      </w:r>
    </w:p>
    <w:p w14:paraId="585B6EE6">
      <w:pPr>
        <w:spacing w:line="360" w:lineRule="auto"/>
        <w:ind w:firstLine="480" w:firstLineChars="200"/>
        <w:jc w:val="left"/>
        <w:rPr>
          <w:rFonts w:hint="eastAsia" w:ascii="仿宋" w:hAnsi="仿宋" w:eastAsia="仿宋" w:cs="仿宋"/>
          <w:color w:val="auto"/>
          <w:highlight w:val="none"/>
        </w:rPr>
      </w:pPr>
      <w:r>
        <w:rPr>
          <w:rFonts w:hint="eastAsia" w:ascii="仿宋" w:hAnsi="仿宋" w:eastAsia="仿宋" w:cs="仿宋"/>
          <w:color w:val="auto"/>
          <w:highlight w:val="none"/>
        </w:rPr>
        <w:t xml:space="preserve">传    真：                             传    真：                 </w:t>
      </w:r>
    </w:p>
    <w:p w14:paraId="46BA4A17">
      <w:pPr>
        <w:spacing w:line="360" w:lineRule="auto"/>
        <w:ind w:firstLine="480" w:firstLineChars="200"/>
        <w:jc w:val="left"/>
        <w:rPr>
          <w:rFonts w:hint="eastAsia" w:ascii="仿宋" w:hAnsi="仿宋" w:eastAsia="仿宋" w:cs="仿宋"/>
          <w:color w:val="auto"/>
          <w:sz w:val="22"/>
          <w:highlight w:val="none"/>
        </w:rPr>
      </w:pPr>
      <w:r>
        <w:rPr>
          <w:rFonts w:hint="eastAsia" w:ascii="仿宋" w:hAnsi="仿宋" w:eastAsia="仿宋" w:cs="仿宋"/>
          <w:color w:val="auto"/>
          <w:highlight w:val="none"/>
        </w:rPr>
        <w:t>开户银行：                             开户银行：</w:t>
      </w:r>
    </w:p>
    <w:p w14:paraId="73B93AB4">
      <w:pPr>
        <w:spacing w:line="360" w:lineRule="auto"/>
        <w:ind w:firstLine="480" w:firstLineChars="200"/>
        <w:jc w:val="left"/>
        <w:rPr>
          <w:rFonts w:hint="eastAsia" w:ascii="仿宋" w:hAnsi="仿宋" w:eastAsia="仿宋" w:cs="仿宋"/>
          <w:color w:val="auto"/>
          <w:highlight w:val="none"/>
        </w:rPr>
      </w:pPr>
      <w:r>
        <w:rPr>
          <w:rFonts w:hint="eastAsia" w:ascii="仿宋" w:hAnsi="仿宋" w:eastAsia="仿宋" w:cs="仿宋"/>
          <w:color w:val="auto"/>
          <w:highlight w:val="none"/>
        </w:rPr>
        <w:t>帐    号：                             帐    号：</w:t>
      </w:r>
    </w:p>
    <w:p w14:paraId="240E103E">
      <w:pPr>
        <w:spacing w:line="360" w:lineRule="auto"/>
        <w:ind w:firstLine="480" w:firstLineChars="200"/>
        <w:jc w:val="left"/>
        <w:rPr>
          <w:rFonts w:hint="eastAsia" w:ascii="仿宋" w:hAnsi="仿宋" w:eastAsia="仿宋" w:cs="仿宋"/>
          <w:color w:val="auto"/>
          <w:highlight w:val="none"/>
        </w:rPr>
      </w:pPr>
      <w:r>
        <w:rPr>
          <w:rFonts w:hint="eastAsia" w:ascii="仿宋" w:hAnsi="仿宋" w:eastAsia="仿宋" w:cs="仿宋"/>
          <w:color w:val="auto"/>
          <w:highlight w:val="none"/>
        </w:rPr>
        <w:t>邮政编码：                             邮政编码：</w:t>
      </w:r>
    </w:p>
    <w:p w14:paraId="4A91CFF2">
      <w:pPr>
        <w:spacing w:line="360" w:lineRule="auto"/>
        <w:ind w:firstLine="480" w:firstLineChars="200"/>
        <w:jc w:val="left"/>
        <w:rPr>
          <w:rFonts w:hint="eastAsia" w:ascii="仿宋" w:hAnsi="仿宋" w:eastAsia="仿宋" w:cs="仿宋"/>
          <w:color w:val="auto"/>
          <w:highlight w:val="none"/>
        </w:rPr>
      </w:pPr>
      <w:r>
        <w:rPr>
          <w:rFonts w:hint="eastAsia" w:ascii="仿宋" w:hAnsi="仿宋" w:eastAsia="仿宋" w:cs="仿宋"/>
          <w:color w:val="auto"/>
          <w:highlight w:val="none"/>
        </w:rPr>
        <w:t>电子邮箱：                             电子邮箱：</w:t>
      </w:r>
    </w:p>
    <w:p w14:paraId="56E3644F">
      <w:pPr>
        <w:pStyle w:val="2"/>
        <w:spacing w:line="360" w:lineRule="auto"/>
        <w:ind w:firstLine="480" w:firstLineChars="200"/>
        <w:jc w:val="left"/>
        <w:rPr>
          <w:rFonts w:hint="eastAsia" w:ascii="仿宋" w:hAnsi="仿宋" w:eastAsia="仿宋" w:cs="仿宋"/>
          <w:color w:val="auto"/>
          <w:highlight w:val="none"/>
        </w:rPr>
      </w:pPr>
    </w:p>
    <w:p w14:paraId="6C8C0C07">
      <w:pPr>
        <w:ind w:firstLine="480" w:firstLineChars="200"/>
        <w:jc w:val="left"/>
        <w:rPr>
          <w:rFonts w:hint="eastAsia" w:ascii="仿宋" w:hAnsi="仿宋" w:eastAsia="仿宋" w:cs="仿宋"/>
          <w:color w:val="auto"/>
          <w:highlight w:val="none"/>
        </w:rPr>
      </w:pPr>
      <w:r>
        <w:rPr>
          <w:rFonts w:hint="eastAsia" w:ascii="仿宋" w:hAnsi="仿宋" w:eastAsia="仿宋" w:cs="仿宋"/>
          <w:color w:val="auto"/>
          <w:highlight w:val="none"/>
        </w:rPr>
        <w:br w:type="page"/>
      </w:r>
    </w:p>
    <w:p w14:paraId="4B647027">
      <w:pPr>
        <w:pStyle w:val="95"/>
        <w:spacing w:line="360" w:lineRule="auto"/>
        <w:ind w:firstLine="0" w:firstLineChars="0"/>
        <w:jc w:val="left"/>
        <w:rPr>
          <w:rStyle w:val="100"/>
          <w:rFonts w:hint="eastAsia" w:ascii="仿宋" w:hAnsi="仿宋" w:eastAsia="仿宋" w:cs="仿宋"/>
          <w:color w:val="auto"/>
          <w:sz w:val="24"/>
          <w:szCs w:val="24"/>
          <w:highlight w:val="none"/>
        </w:rPr>
        <w:sectPr>
          <w:headerReference r:id="rId12" w:type="default"/>
          <w:footerReference r:id="rId13" w:type="default"/>
          <w:pgSz w:w="11900" w:h="16840"/>
          <w:pgMar w:top="1440" w:right="1080" w:bottom="1440" w:left="1080" w:header="851" w:footer="992" w:gutter="0"/>
          <w:pgNumType w:fmt="decimal"/>
          <w:cols w:space="720" w:num="1"/>
        </w:sectPr>
      </w:pPr>
    </w:p>
    <w:p w14:paraId="2C1D0139">
      <w:pPr>
        <w:pStyle w:val="4"/>
        <w:jc w:val="left"/>
        <w:rPr>
          <w:rFonts w:hint="eastAsia" w:ascii="仿宋" w:hAnsi="仿宋" w:eastAsia="仿宋" w:cs="仿宋"/>
          <w:color w:val="auto"/>
          <w:highlight w:val="none"/>
        </w:rPr>
      </w:pPr>
      <w:bookmarkStart w:id="772" w:name="_Toc31339"/>
      <w:r>
        <w:rPr>
          <w:rFonts w:hint="eastAsia" w:ascii="仿宋" w:hAnsi="仿宋" w:eastAsia="仿宋" w:cs="仿宋"/>
          <w:color w:val="auto"/>
          <w:highlight w:val="none"/>
          <w:lang w:val="en-US" w:eastAsia="zh-CN"/>
        </w:rPr>
        <w:t>四、</w:t>
      </w:r>
      <w:r>
        <w:rPr>
          <w:rFonts w:hint="eastAsia" w:ascii="仿宋" w:hAnsi="仿宋" w:eastAsia="仿宋" w:cs="仿宋"/>
          <w:color w:val="auto"/>
          <w:highlight w:val="none"/>
        </w:rPr>
        <w:t>委托运营管理专</w:t>
      </w:r>
      <w:r>
        <w:rPr>
          <w:rFonts w:hint="eastAsia" w:ascii="仿宋" w:hAnsi="仿宋" w:eastAsia="仿宋" w:cs="仿宋"/>
          <w:color w:val="auto"/>
          <w:highlight w:val="none"/>
          <w:lang w:val="en-US" w:eastAsia="zh-CN"/>
        </w:rPr>
        <w:t>用</w:t>
      </w:r>
      <w:r>
        <w:rPr>
          <w:rFonts w:hint="eastAsia" w:ascii="仿宋" w:hAnsi="仿宋" w:eastAsia="仿宋" w:cs="仿宋"/>
          <w:color w:val="auto"/>
          <w:highlight w:val="none"/>
        </w:rPr>
        <w:t>条款</w:t>
      </w:r>
      <w:bookmarkEnd w:id="772"/>
    </w:p>
    <w:p w14:paraId="61033BBE">
      <w:pPr>
        <w:numPr>
          <w:ilvl w:val="-1"/>
          <w:numId w:val="0"/>
        </w:numPr>
        <w:jc w:val="left"/>
        <w:rPr>
          <w:rFonts w:hint="eastAsia" w:ascii="仿宋" w:hAnsi="仿宋" w:eastAsia="仿宋" w:cs="仿宋"/>
          <w:color w:val="auto"/>
          <w:highlight w:val="none"/>
        </w:rPr>
      </w:pPr>
      <w:r>
        <w:rPr>
          <w:rFonts w:hint="eastAsia" w:ascii="仿宋" w:hAnsi="仿宋" w:eastAsia="仿宋" w:cs="仿宋"/>
          <w:color w:val="auto"/>
          <w:highlight w:val="none"/>
        </w:rPr>
        <w:t>（本</w:t>
      </w:r>
      <w:r>
        <w:rPr>
          <w:rFonts w:hint="eastAsia" w:ascii="仿宋" w:hAnsi="仿宋" w:eastAsia="仿宋" w:cs="仿宋"/>
          <w:color w:val="auto"/>
          <w:highlight w:val="none"/>
          <w:lang w:val="en-US" w:eastAsia="zh-CN"/>
        </w:rPr>
        <w:t>委托运营管理</w:t>
      </w:r>
      <w:r>
        <w:rPr>
          <w:rFonts w:hint="eastAsia" w:ascii="仿宋" w:hAnsi="仿宋" w:eastAsia="仿宋" w:cs="仿宋"/>
          <w:color w:val="auto"/>
          <w:highlight w:val="none"/>
        </w:rPr>
        <w:t>专用条款中的承包人均指本项目</w:t>
      </w:r>
      <w:r>
        <w:rPr>
          <w:rFonts w:hint="eastAsia" w:ascii="仿宋" w:hAnsi="仿宋" w:eastAsia="仿宋" w:cs="仿宋"/>
          <w:color w:val="auto"/>
          <w:highlight w:val="none"/>
          <w:lang w:val="en-US" w:eastAsia="zh-CN"/>
        </w:rPr>
        <w:t>运营</w:t>
      </w:r>
      <w:r>
        <w:rPr>
          <w:rFonts w:hint="eastAsia" w:ascii="仿宋" w:hAnsi="仿宋" w:eastAsia="仿宋" w:cs="仿宋"/>
          <w:color w:val="auto"/>
          <w:highlight w:val="none"/>
        </w:rPr>
        <w:t>单位）</w:t>
      </w:r>
    </w:p>
    <w:p w14:paraId="6413B120">
      <w:pPr>
        <w:spacing w:line="360" w:lineRule="auto"/>
        <w:ind w:firstLine="480" w:firstLineChars="200"/>
        <w:jc w:val="left"/>
        <w:rPr>
          <w:rFonts w:hint="eastAsia" w:ascii="仿宋" w:hAnsi="仿宋" w:eastAsia="仿宋" w:cs="仿宋"/>
          <w:color w:val="auto"/>
          <w:sz w:val="24"/>
          <w:szCs w:val="24"/>
          <w:highlight w:val="none"/>
        </w:rPr>
      </w:pPr>
    </w:p>
    <w:p w14:paraId="1A9136A9">
      <w:pPr>
        <w:pStyle w:val="5"/>
        <w:jc w:val="left"/>
        <w:rPr>
          <w:rFonts w:hint="eastAsia" w:ascii="仿宋" w:hAnsi="仿宋" w:eastAsia="仿宋" w:cs="仿宋"/>
          <w:color w:val="auto"/>
          <w:highlight w:val="none"/>
        </w:rPr>
      </w:pPr>
      <w:r>
        <w:rPr>
          <w:rFonts w:hint="eastAsia" w:ascii="仿宋" w:hAnsi="仿宋" w:eastAsia="仿宋" w:cs="仿宋"/>
          <w:color w:val="auto"/>
          <w:highlight w:val="none"/>
          <w:lang w:val="en-US" w:eastAsia="zh-CN"/>
        </w:rPr>
        <w:t>1</w:t>
      </w:r>
      <w:r>
        <w:rPr>
          <w:rFonts w:hint="eastAsia" w:ascii="仿宋" w:hAnsi="仿宋" w:eastAsia="仿宋" w:cs="仿宋"/>
          <w:color w:val="auto"/>
          <w:highlight w:val="none"/>
        </w:rPr>
        <w:t>、项目运营概况</w:t>
      </w:r>
    </w:p>
    <w:p w14:paraId="6341A87B">
      <w:pPr>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1.1</w:t>
      </w:r>
      <w:r>
        <w:rPr>
          <w:rFonts w:hint="eastAsia" w:ascii="仿宋" w:hAnsi="仿宋" w:eastAsia="仿宋" w:cs="仿宋"/>
          <w:color w:val="auto"/>
          <w:sz w:val="24"/>
          <w:szCs w:val="24"/>
          <w:highlight w:val="none"/>
          <w:lang w:eastAsia="zh-CN"/>
        </w:rPr>
        <w:t>发包人</w:t>
      </w:r>
      <w:r>
        <w:rPr>
          <w:rFonts w:hint="eastAsia" w:ascii="仿宋" w:hAnsi="仿宋" w:eastAsia="仿宋" w:cs="仿宋"/>
          <w:color w:val="auto"/>
          <w:sz w:val="24"/>
          <w:szCs w:val="24"/>
          <w:highlight w:val="none"/>
        </w:rPr>
        <w:t>委托</w:t>
      </w:r>
      <w:r>
        <w:rPr>
          <w:rFonts w:hint="eastAsia" w:ascii="仿宋" w:hAnsi="仿宋" w:eastAsia="仿宋" w:cs="仿宋"/>
          <w:color w:val="auto"/>
          <w:sz w:val="24"/>
          <w:szCs w:val="24"/>
          <w:highlight w:val="none"/>
          <w:lang w:eastAsia="zh-CN"/>
        </w:rPr>
        <w:t>承包人</w:t>
      </w:r>
      <w:r>
        <w:rPr>
          <w:rFonts w:hint="eastAsia" w:ascii="仿宋" w:hAnsi="仿宋" w:eastAsia="仿宋" w:cs="仿宋"/>
          <w:color w:val="auto"/>
          <w:sz w:val="24"/>
          <w:szCs w:val="24"/>
          <w:highlight w:val="none"/>
        </w:rPr>
        <w:t>进行老边</w:t>
      </w:r>
      <w:r>
        <w:rPr>
          <w:rFonts w:hint="eastAsia" w:ascii="仿宋" w:hAnsi="仿宋" w:cs="仿宋"/>
          <w:color w:val="auto"/>
          <w:sz w:val="24"/>
          <w:szCs w:val="24"/>
          <w:highlight w:val="none"/>
          <w:lang w:val="en-US" w:eastAsia="zh-CN"/>
        </w:rPr>
        <w:t>区</w:t>
      </w:r>
      <w:r>
        <w:rPr>
          <w:rFonts w:hint="eastAsia" w:ascii="仿宋" w:hAnsi="仿宋" w:eastAsia="仿宋" w:cs="仿宋"/>
          <w:color w:val="auto"/>
          <w:sz w:val="24"/>
          <w:szCs w:val="24"/>
          <w:highlight w:val="none"/>
        </w:rPr>
        <w:t>污水处理厂的运营、管理、维护，项目在运营期限内，</w:t>
      </w:r>
      <w:r>
        <w:rPr>
          <w:rFonts w:hint="eastAsia" w:ascii="仿宋" w:hAnsi="仿宋" w:eastAsia="仿宋" w:cs="仿宋"/>
          <w:color w:val="auto"/>
          <w:sz w:val="24"/>
          <w:szCs w:val="24"/>
          <w:highlight w:val="none"/>
          <w:lang w:eastAsia="zh-CN"/>
        </w:rPr>
        <w:t>承包人</w:t>
      </w:r>
      <w:r>
        <w:rPr>
          <w:rFonts w:hint="eastAsia" w:ascii="仿宋" w:hAnsi="仿宋" w:eastAsia="仿宋" w:cs="仿宋"/>
          <w:color w:val="auto"/>
          <w:sz w:val="24"/>
          <w:szCs w:val="24"/>
          <w:highlight w:val="none"/>
        </w:rPr>
        <w:t>保证污水处理厂的正常、稳定、达标、高效运作，确保出水水质达标排放。</w:t>
      </w:r>
      <w:r>
        <w:rPr>
          <w:rFonts w:hint="eastAsia" w:ascii="仿宋" w:hAnsi="仿宋" w:eastAsia="仿宋" w:cs="仿宋"/>
          <w:color w:val="auto"/>
          <w:sz w:val="24"/>
          <w:szCs w:val="24"/>
          <w:highlight w:val="none"/>
          <w:lang w:eastAsia="zh-CN"/>
        </w:rPr>
        <w:t>发包人</w:t>
      </w:r>
      <w:r>
        <w:rPr>
          <w:rFonts w:hint="eastAsia" w:ascii="仿宋" w:hAnsi="仿宋" w:eastAsia="仿宋" w:cs="仿宋"/>
          <w:color w:val="auto"/>
          <w:sz w:val="24"/>
          <w:szCs w:val="24"/>
          <w:highlight w:val="none"/>
        </w:rPr>
        <w:t>与</w:t>
      </w:r>
      <w:r>
        <w:rPr>
          <w:rFonts w:hint="eastAsia" w:ascii="仿宋" w:hAnsi="仿宋" w:eastAsia="仿宋" w:cs="仿宋"/>
          <w:color w:val="auto"/>
          <w:sz w:val="24"/>
          <w:szCs w:val="24"/>
          <w:highlight w:val="none"/>
          <w:lang w:eastAsia="zh-CN"/>
        </w:rPr>
        <w:t>承包人</w:t>
      </w:r>
      <w:r>
        <w:rPr>
          <w:rFonts w:hint="eastAsia" w:ascii="仿宋" w:hAnsi="仿宋" w:eastAsia="仿宋" w:cs="仿宋"/>
          <w:color w:val="auto"/>
          <w:sz w:val="24"/>
          <w:szCs w:val="24"/>
          <w:highlight w:val="none"/>
        </w:rPr>
        <w:t>签署本条款，并于委托运营期满结束后将全部资产及运营资料交还给</w:t>
      </w:r>
      <w:r>
        <w:rPr>
          <w:rFonts w:hint="eastAsia" w:ascii="仿宋" w:hAnsi="仿宋" w:eastAsia="仿宋" w:cs="仿宋"/>
          <w:color w:val="auto"/>
          <w:sz w:val="24"/>
          <w:szCs w:val="24"/>
          <w:highlight w:val="none"/>
          <w:lang w:eastAsia="zh-CN"/>
        </w:rPr>
        <w:t>发包人</w:t>
      </w:r>
      <w:r>
        <w:rPr>
          <w:rFonts w:hint="eastAsia" w:ascii="仿宋" w:hAnsi="仿宋" w:eastAsia="仿宋" w:cs="仿宋"/>
          <w:color w:val="auto"/>
          <w:sz w:val="24"/>
          <w:szCs w:val="24"/>
          <w:highlight w:val="none"/>
        </w:rPr>
        <w:t>。</w:t>
      </w:r>
    </w:p>
    <w:p w14:paraId="534DB96D">
      <w:pPr>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1.2</w:t>
      </w:r>
      <w:r>
        <w:rPr>
          <w:rFonts w:hint="eastAsia" w:ascii="仿宋" w:hAnsi="仿宋" w:eastAsia="仿宋" w:cs="仿宋"/>
          <w:color w:val="auto"/>
          <w:sz w:val="24"/>
          <w:szCs w:val="24"/>
          <w:highlight w:val="none"/>
        </w:rPr>
        <w:t>项目工程量：污水处理</w:t>
      </w:r>
      <w:r>
        <w:rPr>
          <w:rFonts w:hint="eastAsia" w:ascii="仿宋" w:hAnsi="仿宋" w:eastAsia="仿宋" w:cs="仿宋"/>
          <w:color w:val="auto"/>
          <w:sz w:val="24"/>
          <w:szCs w:val="24"/>
          <w:highlight w:val="none"/>
          <w:lang w:val="en-US" w:eastAsia="zh-CN"/>
        </w:rPr>
        <w:t>厂</w:t>
      </w:r>
      <w:r>
        <w:rPr>
          <w:rFonts w:hint="eastAsia" w:ascii="仿宋" w:hAnsi="仿宋" w:eastAsia="仿宋" w:cs="仿宋"/>
          <w:color w:val="auto"/>
          <w:sz w:val="24"/>
          <w:szCs w:val="24"/>
          <w:highlight w:val="none"/>
        </w:rPr>
        <w:t>日处理废水量是设计为</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万吨/日。</w:t>
      </w:r>
    </w:p>
    <w:p w14:paraId="21E489BA">
      <w:pPr>
        <w:pStyle w:val="5"/>
        <w:jc w:val="left"/>
        <w:rPr>
          <w:rFonts w:hint="eastAsia" w:ascii="仿宋" w:hAnsi="仿宋" w:eastAsia="仿宋" w:cs="仿宋"/>
          <w:color w:val="auto"/>
          <w:highlight w:val="none"/>
        </w:rPr>
      </w:pPr>
      <w:r>
        <w:rPr>
          <w:rFonts w:hint="eastAsia" w:ascii="仿宋" w:hAnsi="仿宋" w:eastAsia="仿宋" w:cs="仿宋"/>
          <w:color w:val="auto"/>
          <w:highlight w:val="none"/>
          <w:lang w:val="en-US" w:eastAsia="zh-CN"/>
        </w:rPr>
        <w:t>2</w:t>
      </w:r>
      <w:r>
        <w:rPr>
          <w:rFonts w:hint="eastAsia" w:ascii="仿宋" w:hAnsi="仿宋" w:eastAsia="仿宋" w:cs="仿宋"/>
          <w:color w:val="auto"/>
          <w:highlight w:val="none"/>
        </w:rPr>
        <w:t>、运营期限和委托运营</w:t>
      </w:r>
    </w:p>
    <w:p w14:paraId="5DC3AD71">
      <w:pPr>
        <w:bidi w:val="0"/>
        <w:jc w:val="left"/>
        <w:rPr>
          <w:rFonts w:hint="eastAsia" w:ascii="仿宋" w:hAnsi="仿宋" w:eastAsia="仿宋" w:cs="仿宋"/>
          <w:color w:val="auto"/>
          <w:highlight w:val="none"/>
        </w:rPr>
      </w:pPr>
      <w:r>
        <w:rPr>
          <w:rFonts w:hint="eastAsia" w:ascii="仿宋" w:hAnsi="仿宋" w:eastAsia="仿宋" w:cs="仿宋"/>
          <w:color w:val="auto"/>
          <w:highlight w:val="none"/>
          <w:lang w:val="en-US" w:eastAsia="zh-CN"/>
        </w:rPr>
        <w:t>2.</w:t>
      </w:r>
      <w:r>
        <w:rPr>
          <w:rFonts w:hint="eastAsia" w:ascii="仿宋" w:hAnsi="仿宋" w:eastAsia="仿宋" w:cs="仿宋"/>
          <w:color w:val="auto"/>
          <w:highlight w:val="none"/>
        </w:rPr>
        <w:t>1运营合作期限</w:t>
      </w:r>
    </w:p>
    <w:p w14:paraId="30DAEE5A">
      <w:pPr>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2.2</w:t>
      </w:r>
      <w:r>
        <w:rPr>
          <w:rFonts w:hint="eastAsia" w:ascii="仿宋" w:hAnsi="仿宋" w:eastAsia="仿宋" w:cs="仿宋"/>
          <w:color w:val="auto"/>
          <w:sz w:val="24"/>
          <w:szCs w:val="24"/>
          <w:highlight w:val="none"/>
        </w:rPr>
        <w:t xml:space="preserve"> 本项目委托运营期为</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年，自本项目出水连续7天达标的次日开始计算委托运营期限。因</w:t>
      </w:r>
      <w:r>
        <w:rPr>
          <w:rFonts w:hint="eastAsia" w:ascii="仿宋" w:hAnsi="仿宋" w:eastAsia="仿宋" w:cs="仿宋"/>
          <w:color w:val="auto"/>
          <w:sz w:val="24"/>
          <w:szCs w:val="24"/>
          <w:highlight w:val="none"/>
          <w:lang w:eastAsia="zh-CN"/>
        </w:rPr>
        <w:t>发包人</w:t>
      </w:r>
      <w:r>
        <w:rPr>
          <w:rFonts w:hint="eastAsia" w:ascii="仿宋" w:hAnsi="仿宋" w:eastAsia="仿宋" w:cs="仿宋"/>
          <w:color w:val="auto"/>
          <w:sz w:val="24"/>
          <w:szCs w:val="24"/>
          <w:highlight w:val="none"/>
        </w:rPr>
        <w:t>违约导致</w:t>
      </w:r>
      <w:r>
        <w:rPr>
          <w:rFonts w:hint="eastAsia" w:ascii="仿宋" w:hAnsi="仿宋" w:eastAsia="仿宋" w:cs="仿宋"/>
          <w:color w:val="auto"/>
          <w:sz w:val="24"/>
          <w:szCs w:val="24"/>
          <w:highlight w:val="none"/>
          <w:lang w:eastAsia="zh-CN"/>
        </w:rPr>
        <w:t>承包人</w:t>
      </w:r>
      <w:r>
        <w:rPr>
          <w:rFonts w:hint="eastAsia" w:ascii="仿宋" w:hAnsi="仿宋" w:eastAsia="仿宋" w:cs="仿宋"/>
          <w:color w:val="auto"/>
          <w:sz w:val="24"/>
          <w:szCs w:val="24"/>
          <w:highlight w:val="none"/>
        </w:rPr>
        <w:t>延误履行其义务或经双方协商且在协议中约定的其他事由，经营期可顺延或延长。</w:t>
      </w:r>
    </w:p>
    <w:p w14:paraId="7CE7C185">
      <w:pPr>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2.3</w:t>
      </w:r>
      <w:r>
        <w:rPr>
          <w:rFonts w:hint="eastAsia"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lang w:eastAsia="zh-CN"/>
        </w:rPr>
        <w:t>承包人</w:t>
      </w:r>
      <w:r>
        <w:rPr>
          <w:rFonts w:hint="eastAsia" w:ascii="仿宋" w:hAnsi="仿宋" w:eastAsia="仿宋" w:cs="仿宋"/>
          <w:color w:val="auto"/>
          <w:sz w:val="24"/>
          <w:szCs w:val="24"/>
          <w:highlight w:val="none"/>
        </w:rPr>
        <w:t>拥有本项目在委托运营期限内的独家运营权，即在本合同约定的运营期限内，</w:t>
      </w:r>
      <w:r>
        <w:rPr>
          <w:rFonts w:hint="eastAsia" w:ascii="仿宋" w:hAnsi="仿宋" w:eastAsia="仿宋" w:cs="仿宋"/>
          <w:color w:val="auto"/>
          <w:sz w:val="24"/>
          <w:szCs w:val="24"/>
          <w:highlight w:val="none"/>
          <w:lang w:eastAsia="zh-CN"/>
        </w:rPr>
        <w:t>发包人</w:t>
      </w:r>
      <w:r>
        <w:rPr>
          <w:rFonts w:hint="eastAsia" w:ascii="仿宋" w:hAnsi="仿宋" w:eastAsia="仿宋" w:cs="仿宋"/>
          <w:color w:val="auto"/>
          <w:sz w:val="24"/>
          <w:szCs w:val="24"/>
          <w:highlight w:val="none"/>
        </w:rPr>
        <w:t>不再自行或委托任何第三方运营本项目。</w:t>
      </w:r>
    </w:p>
    <w:p w14:paraId="32525C02">
      <w:pPr>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运营期满，老边污水处理厂所有设备、机具及试验仪器等完好率</w:t>
      </w:r>
      <w:r>
        <w:rPr>
          <w:rFonts w:hint="eastAsia" w:ascii="仿宋" w:hAnsi="仿宋" w:cs="仿宋"/>
          <w:color w:val="auto"/>
          <w:sz w:val="24"/>
          <w:szCs w:val="24"/>
          <w:highlight w:val="none"/>
          <w:u w:val="single"/>
          <w:lang w:eastAsia="zh-CN"/>
        </w:rPr>
        <w:t xml:space="preserve"> </w:t>
      </w:r>
      <w:r>
        <w:rPr>
          <w:rFonts w:hint="eastAsia" w:ascii="仿宋" w:hAnsi="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rPr>
        <w:t>。</w:t>
      </w:r>
    </w:p>
    <w:p w14:paraId="5D2A1B84">
      <w:pPr>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2.4</w:t>
      </w:r>
      <w:r>
        <w:rPr>
          <w:rFonts w:hint="eastAsia"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lang w:eastAsia="zh-CN"/>
        </w:rPr>
        <w:t>发包人</w:t>
      </w:r>
      <w:r>
        <w:rPr>
          <w:rFonts w:hint="eastAsia" w:ascii="仿宋" w:hAnsi="仿宋" w:eastAsia="仿宋" w:cs="仿宋"/>
          <w:color w:val="auto"/>
          <w:sz w:val="24"/>
          <w:szCs w:val="24"/>
          <w:highlight w:val="none"/>
        </w:rPr>
        <w:t>与</w:t>
      </w:r>
      <w:r>
        <w:rPr>
          <w:rFonts w:hint="eastAsia" w:ascii="仿宋" w:hAnsi="仿宋" w:eastAsia="仿宋" w:cs="仿宋"/>
          <w:color w:val="auto"/>
          <w:sz w:val="24"/>
          <w:szCs w:val="24"/>
          <w:highlight w:val="none"/>
          <w:lang w:eastAsia="zh-CN"/>
        </w:rPr>
        <w:t>承包人</w:t>
      </w:r>
      <w:r>
        <w:rPr>
          <w:rFonts w:hint="eastAsia" w:ascii="仿宋" w:hAnsi="仿宋" w:eastAsia="仿宋" w:cs="仿宋"/>
          <w:color w:val="auto"/>
          <w:sz w:val="24"/>
          <w:szCs w:val="24"/>
          <w:highlight w:val="none"/>
        </w:rPr>
        <w:t>签署本条款，</w:t>
      </w:r>
      <w:r>
        <w:rPr>
          <w:rFonts w:hint="eastAsia" w:ascii="仿宋" w:hAnsi="仿宋" w:eastAsia="仿宋" w:cs="仿宋"/>
          <w:color w:val="auto"/>
          <w:sz w:val="24"/>
          <w:szCs w:val="24"/>
          <w:highlight w:val="none"/>
          <w:lang w:eastAsia="zh-CN"/>
        </w:rPr>
        <w:t>发包人</w:t>
      </w:r>
      <w:r>
        <w:rPr>
          <w:rFonts w:hint="eastAsia" w:ascii="仿宋" w:hAnsi="仿宋" w:eastAsia="仿宋" w:cs="仿宋"/>
          <w:color w:val="auto"/>
          <w:sz w:val="24"/>
          <w:szCs w:val="24"/>
          <w:highlight w:val="none"/>
        </w:rPr>
        <w:t>委托</w:t>
      </w:r>
      <w:r>
        <w:rPr>
          <w:rFonts w:hint="eastAsia" w:ascii="仿宋" w:hAnsi="仿宋" w:eastAsia="仿宋" w:cs="仿宋"/>
          <w:color w:val="auto"/>
          <w:sz w:val="24"/>
          <w:szCs w:val="24"/>
          <w:highlight w:val="none"/>
          <w:lang w:eastAsia="zh-CN"/>
        </w:rPr>
        <w:t>承包人</w:t>
      </w:r>
      <w:r>
        <w:rPr>
          <w:rFonts w:hint="eastAsia" w:ascii="仿宋" w:hAnsi="仿宋" w:eastAsia="仿宋" w:cs="仿宋"/>
          <w:color w:val="auto"/>
          <w:sz w:val="24"/>
          <w:szCs w:val="24"/>
          <w:highlight w:val="none"/>
        </w:rPr>
        <w:t>在委托运营期限内现有污水处理设施的运营和管理，确保出水水质达标排放，并于委托运营期限结束后以约定条件将项目设施及运营资料交还给</w:t>
      </w:r>
      <w:r>
        <w:rPr>
          <w:rFonts w:hint="eastAsia" w:ascii="仿宋" w:hAnsi="仿宋" w:eastAsia="仿宋" w:cs="仿宋"/>
          <w:color w:val="auto"/>
          <w:sz w:val="24"/>
          <w:szCs w:val="24"/>
          <w:highlight w:val="none"/>
          <w:lang w:eastAsia="zh-CN"/>
        </w:rPr>
        <w:t>发包人</w:t>
      </w:r>
      <w:r>
        <w:rPr>
          <w:rFonts w:hint="eastAsia" w:ascii="仿宋" w:hAnsi="仿宋" w:eastAsia="仿宋" w:cs="仿宋"/>
          <w:color w:val="auto"/>
          <w:sz w:val="24"/>
          <w:szCs w:val="24"/>
          <w:highlight w:val="none"/>
        </w:rPr>
        <w:t>。</w:t>
      </w:r>
    </w:p>
    <w:p w14:paraId="219E8F85">
      <w:pPr>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2.5</w:t>
      </w:r>
      <w:r>
        <w:rPr>
          <w:rFonts w:hint="eastAsia" w:ascii="仿宋" w:hAnsi="仿宋" w:eastAsia="仿宋" w:cs="仿宋"/>
          <w:color w:val="auto"/>
          <w:sz w:val="24"/>
          <w:szCs w:val="24"/>
          <w:highlight w:val="none"/>
        </w:rPr>
        <w:t xml:space="preserve"> 经营期的延长如果发生以下情况： </w:t>
      </w:r>
    </w:p>
    <w:p w14:paraId="4BEC9214">
      <w:pPr>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由于政策、法律或不可抗力事件致使</w:t>
      </w:r>
      <w:r>
        <w:rPr>
          <w:rFonts w:hint="eastAsia" w:ascii="仿宋" w:hAnsi="仿宋" w:eastAsia="仿宋" w:cs="仿宋"/>
          <w:color w:val="auto"/>
          <w:sz w:val="24"/>
          <w:szCs w:val="24"/>
          <w:highlight w:val="none"/>
          <w:lang w:eastAsia="zh-CN"/>
        </w:rPr>
        <w:t>承包人</w:t>
      </w:r>
      <w:r>
        <w:rPr>
          <w:rFonts w:hint="eastAsia" w:ascii="仿宋" w:hAnsi="仿宋" w:eastAsia="仿宋" w:cs="仿宋"/>
          <w:color w:val="auto"/>
          <w:sz w:val="24"/>
          <w:szCs w:val="24"/>
          <w:highlight w:val="none"/>
        </w:rPr>
        <w:t>经营延误，由双方协商并达成一致后， 经营期应予以延长。</w:t>
      </w:r>
    </w:p>
    <w:p w14:paraId="3A33B024">
      <w:pPr>
        <w:pStyle w:val="5"/>
        <w:jc w:val="left"/>
        <w:rPr>
          <w:rFonts w:hint="eastAsia" w:ascii="仿宋" w:hAnsi="仿宋" w:eastAsia="仿宋" w:cs="仿宋"/>
          <w:color w:val="auto"/>
          <w:highlight w:val="none"/>
        </w:rPr>
      </w:pPr>
      <w:r>
        <w:rPr>
          <w:rFonts w:hint="eastAsia" w:ascii="仿宋" w:hAnsi="仿宋" w:eastAsia="仿宋" w:cs="仿宋"/>
          <w:color w:val="auto"/>
          <w:highlight w:val="none"/>
          <w:lang w:val="en-US" w:eastAsia="zh-CN"/>
        </w:rPr>
        <w:t>3、</w:t>
      </w:r>
      <w:r>
        <w:rPr>
          <w:rFonts w:hint="eastAsia" w:ascii="仿宋" w:hAnsi="仿宋" w:eastAsia="仿宋" w:cs="仿宋"/>
          <w:color w:val="auto"/>
          <w:highlight w:val="none"/>
        </w:rPr>
        <w:t>污水处理服务单价及支付方式</w:t>
      </w:r>
    </w:p>
    <w:p w14:paraId="62282FEE">
      <w:pPr>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rPr>
        <w:t>.1本项目合同污水处理服务费单价为</w:t>
      </w:r>
      <w:r>
        <w:rPr>
          <w:rFonts w:hint="eastAsia" w:ascii="仿宋" w:hAnsi="仿宋" w:eastAsia="仿宋" w:cs="仿宋"/>
          <w:color w:val="auto"/>
          <w:sz w:val="24"/>
          <w:szCs w:val="24"/>
          <w:highlight w:val="none"/>
          <w:lang w:eastAsia="zh-CN"/>
        </w:rPr>
        <w:t>承包人</w:t>
      </w:r>
      <w:r>
        <w:rPr>
          <w:rFonts w:hint="eastAsia" w:ascii="仿宋" w:hAnsi="仿宋" w:eastAsia="仿宋" w:cs="仿宋"/>
          <w:color w:val="auto"/>
          <w:sz w:val="24"/>
          <w:szCs w:val="24"/>
          <w:highlight w:val="none"/>
        </w:rPr>
        <w:t>中标价</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元/吨，按月支付。</w:t>
      </w:r>
    </w:p>
    <w:p w14:paraId="4EC26784">
      <w:pPr>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rPr>
        <w:t>.2在运营期内，</w:t>
      </w:r>
      <w:r>
        <w:rPr>
          <w:rFonts w:hint="eastAsia" w:ascii="仿宋" w:hAnsi="仿宋" w:eastAsia="仿宋" w:cs="仿宋"/>
          <w:color w:val="auto"/>
          <w:sz w:val="24"/>
          <w:szCs w:val="24"/>
          <w:highlight w:val="none"/>
          <w:lang w:eastAsia="zh-CN"/>
        </w:rPr>
        <w:t>发包人</w:t>
      </w:r>
      <w:r>
        <w:rPr>
          <w:rFonts w:hint="eastAsia" w:ascii="仿宋" w:hAnsi="仿宋" w:eastAsia="仿宋" w:cs="仿宋"/>
          <w:color w:val="auto"/>
          <w:sz w:val="24"/>
          <w:szCs w:val="24"/>
          <w:highlight w:val="none"/>
        </w:rPr>
        <w:t>每月按污水处理项目当月处理水量（进水水量）向</w:t>
      </w:r>
      <w:r>
        <w:rPr>
          <w:rFonts w:hint="eastAsia" w:ascii="仿宋" w:hAnsi="仿宋" w:eastAsia="仿宋" w:cs="仿宋"/>
          <w:color w:val="auto"/>
          <w:sz w:val="24"/>
          <w:szCs w:val="24"/>
          <w:highlight w:val="none"/>
          <w:lang w:eastAsia="zh-CN"/>
        </w:rPr>
        <w:t>承包人</w:t>
      </w:r>
      <w:r>
        <w:rPr>
          <w:rFonts w:hint="eastAsia" w:ascii="仿宋" w:hAnsi="仿宋" w:eastAsia="仿宋" w:cs="仿宋"/>
          <w:color w:val="auto"/>
          <w:sz w:val="24"/>
          <w:szCs w:val="24"/>
          <w:highlight w:val="none"/>
        </w:rPr>
        <w:t>支付污水处理服务费。污水处理服务费计算方式：</w:t>
      </w:r>
    </w:p>
    <w:p w14:paraId="4B35DC28">
      <w:pPr>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当月污水处理服务费=污水处理服务费单价×当月实际处理水量</w:t>
      </w:r>
    </w:p>
    <w:p w14:paraId="6BFDD685">
      <w:pPr>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rPr>
        <w:t>.3开票和付款</w:t>
      </w:r>
    </w:p>
    <w:p w14:paraId="230BC4D2">
      <w:pPr>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（1）本项目的服务费支付主体为</w:t>
      </w:r>
      <w:r>
        <w:rPr>
          <w:rFonts w:hint="eastAsia" w:ascii="仿宋" w:hAnsi="仿宋" w:eastAsia="仿宋" w:cs="仿宋"/>
          <w:color w:val="auto"/>
          <w:sz w:val="24"/>
          <w:szCs w:val="24"/>
          <w:highlight w:val="none"/>
          <w:lang w:eastAsia="zh-CN"/>
        </w:rPr>
        <w:t>发包人</w:t>
      </w:r>
      <w:r>
        <w:rPr>
          <w:rFonts w:hint="eastAsia" w:ascii="仿宋" w:hAnsi="仿宋" w:eastAsia="仿宋" w:cs="仿宋"/>
          <w:color w:val="auto"/>
          <w:sz w:val="24"/>
          <w:szCs w:val="24"/>
          <w:highlight w:val="none"/>
        </w:rPr>
        <w:t>。</w:t>
      </w:r>
    </w:p>
    <w:p w14:paraId="40A0071A">
      <w:pPr>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（2）自本项目委托运营开始日起，每月5日前，</w:t>
      </w:r>
      <w:r>
        <w:rPr>
          <w:rFonts w:hint="eastAsia" w:ascii="仿宋" w:hAnsi="仿宋" w:eastAsia="仿宋" w:cs="仿宋"/>
          <w:color w:val="auto"/>
          <w:sz w:val="24"/>
          <w:szCs w:val="24"/>
          <w:highlight w:val="none"/>
          <w:lang w:eastAsia="zh-CN"/>
        </w:rPr>
        <w:t>承包人</w:t>
      </w:r>
      <w:r>
        <w:rPr>
          <w:rFonts w:hint="eastAsia" w:ascii="仿宋" w:hAnsi="仿宋" w:eastAsia="仿宋" w:cs="仿宋"/>
          <w:color w:val="auto"/>
          <w:sz w:val="24"/>
          <w:szCs w:val="24"/>
          <w:highlight w:val="none"/>
        </w:rPr>
        <w:t>按照约定金额，向</w:t>
      </w:r>
      <w:r>
        <w:rPr>
          <w:rFonts w:hint="eastAsia" w:ascii="仿宋" w:hAnsi="仿宋" w:eastAsia="仿宋" w:cs="仿宋"/>
          <w:color w:val="auto"/>
          <w:sz w:val="24"/>
          <w:szCs w:val="24"/>
          <w:highlight w:val="none"/>
          <w:lang w:eastAsia="zh-CN"/>
        </w:rPr>
        <w:t>发包人</w:t>
      </w:r>
      <w:r>
        <w:rPr>
          <w:rFonts w:hint="eastAsia" w:ascii="仿宋" w:hAnsi="仿宋" w:eastAsia="仿宋" w:cs="仿宋"/>
          <w:color w:val="auto"/>
          <w:sz w:val="24"/>
          <w:szCs w:val="24"/>
          <w:highlight w:val="none"/>
        </w:rPr>
        <w:t>提交上个月度应付的污水处理服务费数额的书面报告，并开具上一个运营月所产生的服务费账单（下称“账单”），同时应提供相应的证明记录和资料。</w:t>
      </w:r>
    </w:p>
    <w:p w14:paraId="1097D1EF">
      <w:pPr>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w:t>
      </w:r>
      <w:r>
        <w:rPr>
          <w:rFonts w:hint="eastAsia" w:ascii="仿宋" w:hAnsi="仿宋" w:eastAsia="仿宋" w:cs="仿宋"/>
          <w:color w:val="auto"/>
          <w:sz w:val="24"/>
          <w:szCs w:val="24"/>
          <w:highlight w:val="none"/>
          <w:lang w:eastAsia="zh-CN"/>
        </w:rPr>
        <w:t>发包人</w:t>
      </w:r>
      <w:r>
        <w:rPr>
          <w:rFonts w:hint="eastAsia" w:ascii="仿宋" w:hAnsi="仿宋" w:eastAsia="仿宋" w:cs="仿宋"/>
          <w:color w:val="auto"/>
          <w:sz w:val="24"/>
          <w:szCs w:val="24"/>
          <w:highlight w:val="none"/>
        </w:rPr>
        <w:t>应在收到账单后支付上一个月污水处理服务费。</w:t>
      </w:r>
    </w:p>
    <w:p w14:paraId="24A30FB4">
      <w:pPr>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rPr>
        <w:t>.4</w:t>
      </w:r>
      <w:r>
        <w:rPr>
          <w:rFonts w:hint="eastAsia" w:ascii="仿宋" w:hAnsi="仿宋" w:eastAsia="仿宋" w:cs="仿宋"/>
          <w:color w:val="auto"/>
          <w:sz w:val="24"/>
          <w:szCs w:val="24"/>
          <w:highlight w:val="none"/>
          <w:lang w:eastAsia="zh-CN"/>
        </w:rPr>
        <w:t>承包人</w:t>
      </w:r>
      <w:r>
        <w:rPr>
          <w:rFonts w:hint="eastAsia" w:ascii="仿宋" w:hAnsi="仿宋" w:eastAsia="仿宋" w:cs="仿宋"/>
          <w:color w:val="auto"/>
          <w:sz w:val="24"/>
          <w:szCs w:val="24"/>
          <w:highlight w:val="none"/>
        </w:rPr>
        <w:t>指定收款账户信息</w:t>
      </w:r>
    </w:p>
    <w:p w14:paraId="5AB93526">
      <w:pPr>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账 户 名：</w:t>
      </w:r>
    </w:p>
    <w:p w14:paraId="2DF83541">
      <w:pPr>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开户银行：</w:t>
      </w:r>
    </w:p>
    <w:p w14:paraId="569D9054">
      <w:pPr>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账    号：</w:t>
      </w:r>
    </w:p>
    <w:p w14:paraId="284D6367">
      <w:pPr>
        <w:pStyle w:val="5"/>
        <w:jc w:val="left"/>
        <w:rPr>
          <w:rFonts w:hint="eastAsia" w:ascii="仿宋" w:hAnsi="仿宋" w:eastAsia="仿宋" w:cs="仿宋"/>
          <w:color w:val="auto"/>
          <w:highlight w:val="none"/>
        </w:rPr>
      </w:pPr>
      <w:r>
        <w:rPr>
          <w:rFonts w:hint="eastAsia" w:ascii="仿宋" w:hAnsi="仿宋" w:cs="仿宋"/>
          <w:color w:val="auto"/>
          <w:highlight w:val="none"/>
          <w:lang w:val="en-US" w:eastAsia="zh-CN"/>
        </w:rPr>
        <w:t>4</w:t>
      </w:r>
      <w:r>
        <w:rPr>
          <w:rFonts w:hint="eastAsia" w:ascii="仿宋" w:hAnsi="仿宋" w:eastAsia="仿宋" w:cs="仿宋"/>
          <w:color w:val="auto"/>
          <w:highlight w:val="none"/>
        </w:rPr>
        <w:t>. 委托运营的内容</w:t>
      </w:r>
    </w:p>
    <w:p w14:paraId="5BBB5876">
      <w:pPr>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cs="仿宋"/>
          <w:color w:val="auto"/>
          <w:sz w:val="24"/>
          <w:szCs w:val="24"/>
          <w:highlight w:val="none"/>
          <w:lang w:val="en-US" w:eastAsia="zh-CN"/>
        </w:rPr>
        <w:t>4</w:t>
      </w:r>
      <w:r>
        <w:rPr>
          <w:rFonts w:hint="eastAsia" w:ascii="仿宋" w:hAnsi="仿宋" w:eastAsia="仿宋" w:cs="仿宋"/>
          <w:color w:val="auto"/>
          <w:sz w:val="24"/>
          <w:szCs w:val="24"/>
          <w:highlight w:val="none"/>
        </w:rPr>
        <w:t>.1</w:t>
      </w:r>
      <w:r>
        <w:rPr>
          <w:rFonts w:hint="eastAsia" w:ascii="仿宋" w:hAnsi="仿宋" w:eastAsia="仿宋" w:cs="仿宋"/>
          <w:color w:val="auto"/>
          <w:sz w:val="24"/>
          <w:szCs w:val="24"/>
          <w:highlight w:val="none"/>
          <w:lang w:eastAsia="zh-CN"/>
        </w:rPr>
        <w:t>发包人</w:t>
      </w:r>
      <w:r>
        <w:rPr>
          <w:rFonts w:hint="eastAsia" w:ascii="仿宋" w:hAnsi="仿宋" w:eastAsia="仿宋" w:cs="仿宋"/>
          <w:color w:val="auto"/>
          <w:sz w:val="24"/>
          <w:szCs w:val="24"/>
          <w:highlight w:val="none"/>
        </w:rPr>
        <w:t>委托</w:t>
      </w:r>
      <w:r>
        <w:rPr>
          <w:rFonts w:hint="eastAsia" w:ascii="仿宋" w:hAnsi="仿宋" w:eastAsia="仿宋" w:cs="仿宋"/>
          <w:color w:val="auto"/>
          <w:sz w:val="24"/>
          <w:szCs w:val="24"/>
          <w:highlight w:val="none"/>
          <w:lang w:eastAsia="zh-CN"/>
        </w:rPr>
        <w:t>承包人</w:t>
      </w:r>
      <w:r>
        <w:rPr>
          <w:rFonts w:hint="eastAsia" w:ascii="仿宋" w:hAnsi="仿宋" w:eastAsia="仿宋" w:cs="仿宋"/>
          <w:color w:val="auto"/>
          <w:sz w:val="24"/>
          <w:szCs w:val="24"/>
          <w:highlight w:val="none"/>
        </w:rPr>
        <w:t>在委托运营期内行使如下权利：</w:t>
      </w:r>
    </w:p>
    <w:p w14:paraId="0B907842">
      <w:pPr>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运营服务期内，</w:t>
      </w:r>
      <w:r>
        <w:rPr>
          <w:rFonts w:hint="eastAsia" w:ascii="仿宋" w:hAnsi="仿宋" w:eastAsia="仿宋" w:cs="仿宋"/>
          <w:color w:val="auto"/>
          <w:sz w:val="24"/>
          <w:szCs w:val="24"/>
          <w:highlight w:val="none"/>
          <w:lang w:eastAsia="zh-CN"/>
        </w:rPr>
        <w:t>承包人</w:t>
      </w:r>
      <w:r>
        <w:rPr>
          <w:rFonts w:hint="eastAsia" w:ascii="仿宋" w:hAnsi="仿宋" w:eastAsia="仿宋" w:cs="仿宋"/>
          <w:color w:val="auto"/>
          <w:sz w:val="24"/>
          <w:szCs w:val="24"/>
          <w:highlight w:val="none"/>
        </w:rPr>
        <w:t>需按设备厂家技术要求操控相关设备，</w:t>
      </w:r>
      <w:r>
        <w:rPr>
          <w:rFonts w:hint="eastAsia" w:ascii="仿宋" w:hAnsi="仿宋" w:cs="仿宋"/>
          <w:color w:val="auto"/>
          <w:sz w:val="24"/>
          <w:szCs w:val="24"/>
          <w:highlight w:val="none"/>
          <w:lang w:val="en-US" w:eastAsia="zh-CN"/>
        </w:rPr>
        <w:t>日常设施设备维护维修、大修等费用由承包人承担，</w:t>
      </w:r>
      <w:r>
        <w:rPr>
          <w:rFonts w:hint="eastAsia" w:ascii="仿宋" w:hAnsi="仿宋" w:eastAsia="仿宋" w:cs="仿宋"/>
          <w:color w:val="auto"/>
          <w:sz w:val="24"/>
          <w:szCs w:val="24"/>
          <w:highlight w:val="none"/>
        </w:rPr>
        <w:t>因</w:t>
      </w:r>
      <w:r>
        <w:rPr>
          <w:rFonts w:hint="eastAsia" w:ascii="仿宋" w:hAnsi="仿宋" w:eastAsia="仿宋" w:cs="仿宋"/>
          <w:color w:val="auto"/>
          <w:sz w:val="24"/>
          <w:szCs w:val="24"/>
          <w:highlight w:val="none"/>
          <w:lang w:eastAsia="zh-CN"/>
        </w:rPr>
        <w:t>承包人</w:t>
      </w:r>
      <w:r>
        <w:rPr>
          <w:rFonts w:hint="eastAsia" w:ascii="仿宋" w:hAnsi="仿宋" w:eastAsia="仿宋" w:cs="仿宋"/>
          <w:color w:val="auto"/>
          <w:sz w:val="24"/>
          <w:szCs w:val="24"/>
          <w:highlight w:val="none"/>
        </w:rPr>
        <w:t>操作不当造成设备大修，由</w:t>
      </w:r>
      <w:r>
        <w:rPr>
          <w:rFonts w:hint="eastAsia" w:ascii="仿宋" w:hAnsi="仿宋" w:eastAsia="仿宋" w:cs="仿宋"/>
          <w:color w:val="auto"/>
          <w:sz w:val="24"/>
          <w:szCs w:val="24"/>
          <w:highlight w:val="none"/>
          <w:lang w:eastAsia="zh-CN"/>
        </w:rPr>
        <w:t>承包人</w:t>
      </w:r>
      <w:r>
        <w:rPr>
          <w:rFonts w:hint="eastAsia" w:ascii="仿宋" w:hAnsi="仿宋" w:eastAsia="仿宋" w:cs="仿宋"/>
          <w:color w:val="auto"/>
          <w:sz w:val="24"/>
          <w:szCs w:val="24"/>
          <w:highlight w:val="none"/>
        </w:rPr>
        <w:t>负责。</w:t>
      </w:r>
    </w:p>
    <w:p w14:paraId="5273D894">
      <w:pPr>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cs="仿宋"/>
          <w:color w:val="auto"/>
          <w:sz w:val="24"/>
          <w:szCs w:val="24"/>
          <w:highlight w:val="none"/>
          <w:lang w:val="en-US" w:eastAsia="zh-CN"/>
        </w:rPr>
        <w:t>4</w:t>
      </w:r>
      <w:r>
        <w:rPr>
          <w:rFonts w:hint="eastAsia" w:ascii="仿宋" w:hAnsi="仿宋" w:eastAsia="仿宋" w:cs="仿宋"/>
          <w:color w:val="auto"/>
          <w:sz w:val="24"/>
          <w:szCs w:val="24"/>
          <w:highlight w:val="none"/>
        </w:rPr>
        <w:t>.2在委托运营期限内，</w:t>
      </w:r>
      <w:r>
        <w:rPr>
          <w:rFonts w:hint="eastAsia" w:ascii="仿宋" w:hAnsi="仿宋" w:eastAsia="仿宋" w:cs="仿宋"/>
          <w:color w:val="auto"/>
          <w:sz w:val="24"/>
          <w:szCs w:val="24"/>
          <w:highlight w:val="none"/>
          <w:lang w:eastAsia="zh-CN"/>
        </w:rPr>
        <w:t>承包人</w:t>
      </w:r>
      <w:r>
        <w:rPr>
          <w:rFonts w:hint="eastAsia" w:ascii="仿宋" w:hAnsi="仿宋" w:eastAsia="仿宋" w:cs="仿宋"/>
          <w:color w:val="auto"/>
          <w:sz w:val="24"/>
          <w:szCs w:val="24"/>
          <w:highlight w:val="none"/>
        </w:rPr>
        <w:t>不得委托其他第三方负责本项目的运营和维护。</w:t>
      </w:r>
    </w:p>
    <w:p w14:paraId="650B3C78">
      <w:pPr>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cs="仿宋"/>
          <w:color w:val="auto"/>
          <w:sz w:val="24"/>
          <w:szCs w:val="24"/>
          <w:highlight w:val="none"/>
          <w:lang w:val="en-US" w:eastAsia="zh-CN"/>
        </w:rPr>
        <w:t>4</w:t>
      </w:r>
      <w:r>
        <w:rPr>
          <w:rFonts w:hint="eastAsia" w:ascii="仿宋" w:hAnsi="仿宋" w:eastAsia="仿宋" w:cs="仿宋"/>
          <w:color w:val="auto"/>
          <w:sz w:val="24"/>
          <w:szCs w:val="24"/>
          <w:highlight w:val="none"/>
        </w:rPr>
        <w:t>.3运营和维护的基本原则</w:t>
      </w:r>
    </w:p>
    <w:p w14:paraId="156E9BDF">
      <w:pPr>
        <w:kinsoku w:val="0"/>
        <w:overflowPunct w:val="0"/>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cs="仿宋"/>
          <w:color w:val="auto"/>
          <w:sz w:val="24"/>
          <w:szCs w:val="24"/>
          <w:highlight w:val="none"/>
          <w:lang w:val="en-US" w:eastAsia="zh-CN"/>
        </w:rPr>
        <w:t>4</w:t>
      </w:r>
      <w:r>
        <w:rPr>
          <w:rFonts w:hint="eastAsia" w:ascii="仿宋" w:hAnsi="仿宋" w:eastAsia="仿宋" w:cs="仿宋"/>
          <w:color w:val="auto"/>
          <w:sz w:val="24"/>
          <w:szCs w:val="24"/>
          <w:highlight w:val="none"/>
        </w:rPr>
        <w:t>.3.1项目运营期间，</w:t>
      </w:r>
      <w:r>
        <w:rPr>
          <w:rFonts w:hint="eastAsia" w:ascii="仿宋" w:hAnsi="仿宋" w:eastAsia="仿宋" w:cs="仿宋"/>
          <w:color w:val="auto"/>
          <w:sz w:val="24"/>
          <w:szCs w:val="24"/>
          <w:highlight w:val="none"/>
          <w:lang w:eastAsia="zh-CN"/>
        </w:rPr>
        <w:t>承包人</w:t>
      </w:r>
      <w:r>
        <w:rPr>
          <w:rFonts w:hint="eastAsia" w:ascii="仿宋" w:hAnsi="仿宋" w:eastAsia="仿宋" w:cs="仿宋"/>
          <w:color w:val="auto"/>
          <w:sz w:val="24"/>
          <w:szCs w:val="24"/>
          <w:highlight w:val="none"/>
        </w:rPr>
        <w:t>应执行谨慎运营惯例，按有关协议约定配置有资质的专业管理、技术和操作人员管理本项目，建立健全相关管理制度和操作规</w:t>
      </w:r>
      <w:r>
        <w:rPr>
          <w:rFonts w:hint="eastAsia" w:ascii="仿宋" w:hAnsi="仿宋" w:eastAsia="仿宋" w:cs="仿宋"/>
          <w:color w:val="auto"/>
          <w:spacing w:val="-1"/>
          <w:sz w:val="24"/>
          <w:szCs w:val="24"/>
          <w:highlight w:val="none"/>
        </w:rPr>
        <w:t>范，保</w:t>
      </w:r>
      <w:r>
        <w:rPr>
          <w:rFonts w:hint="eastAsia" w:ascii="仿宋" w:hAnsi="仿宋" w:eastAsia="仿宋" w:cs="仿宋"/>
          <w:color w:val="auto"/>
          <w:spacing w:val="-116"/>
          <w:sz w:val="24"/>
          <w:szCs w:val="24"/>
          <w:highlight w:val="none"/>
        </w:rPr>
        <w:t xml:space="preserve"> </w:t>
      </w:r>
      <w:r>
        <w:rPr>
          <w:rFonts w:hint="eastAsia" w:ascii="仿宋" w:hAnsi="仿宋" w:eastAsia="仿宋" w:cs="仿宋"/>
          <w:color w:val="auto"/>
          <w:sz w:val="24"/>
          <w:szCs w:val="24"/>
          <w:highlight w:val="none"/>
        </w:rPr>
        <w:t>持污水处理厂处于良好的运行状态，按照规定对进厂和出厂水质进行检测，运营质量符合《城镇污水处理厂运营质量评价标准》（CJJ/T 228-2014）。</w:t>
      </w:r>
    </w:p>
    <w:p w14:paraId="4F55FEA0">
      <w:pPr>
        <w:pStyle w:val="17"/>
        <w:tabs>
          <w:tab w:val="left" w:pos="1368"/>
        </w:tabs>
        <w:kinsoku w:val="0"/>
        <w:overflowPunct w:val="0"/>
        <w:spacing w:after="0" w:line="360" w:lineRule="auto"/>
        <w:ind w:left="0" w:leftChars="0" w:right="0" w:rightChars="0" w:firstLine="480" w:firstLineChars="200"/>
        <w:jc w:val="left"/>
        <w:rPr>
          <w:rFonts w:hint="eastAsia" w:ascii="仿宋" w:hAnsi="仿宋" w:eastAsia="仿宋" w:cs="仿宋"/>
          <w:color w:val="auto"/>
          <w:sz w:val="24"/>
          <w:szCs w:val="24"/>
          <w:highlight w:val="none"/>
        </w:rPr>
      </w:pPr>
      <w:r>
        <w:rPr>
          <w:rFonts w:hint="eastAsia" w:ascii="仿宋" w:hAnsi="仿宋" w:cs="仿宋"/>
          <w:color w:val="auto"/>
          <w:sz w:val="24"/>
          <w:szCs w:val="24"/>
          <w:highlight w:val="none"/>
          <w:lang w:val="en-US" w:eastAsia="zh-CN"/>
        </w:rPr>
        <w:t>4</w:t>
      </w:r>
      <w:r>
        <w:rPr>
          <w:rFonts w:hint="eastAsia" w:ascii="仿宋" w:hAnsi="仿宋" w:eastAsia="仿宋" w:cs="仿宋"/>
          <w:color w:val="auto"/>
          <w:sz w:val="24"/>
          <w:szCs w:val="24"/>
          <w:highlight w:val="none"/>
        </w:rPr>
        <w:t>.3.2</w:t>
      </w:r>
      <w:r>
        <w:rPr>
          <w:rFonts w:hint="eastAsia" w:ascii="仿宋" w:hAnsi="仿宋" w:eastAsia="仿宋" w:cs="仿宋"/>
          <w:color w:val="auto"/>
          <w:spacing w:val="-3"/>
          <w:sz w:val="24"/>
          <w:szCs w:val="24"/>
          <w:highlight w:val="none"/>
          <w:lang w:eastAsia="zh-CN"/>
        </w:rPr>
        <w:t>承包人</w:t>
      </w:r>
      <w:r>
        <w:rPr>
          <w:rFonts w:hint="eastAsia" w:ascii="仿宋" w:hAnsi="仿宋" w:eastAsia="仿宋" w:cs="仿宋"/>
          <w:color w:val="auto"/>
          <w:spacing w:val="-3"/>
          <w:sz w:val="24"/>
          <w:szCs w:val="24"/>
          <w:highlight w:val="none"/>
        </w:rPr>
        <w:t>应建立规范的操作规程和管理制度，培训员工，使所有员工能持证</w:t>
      </w:r>
      <w:r>
        <w:rPr>
          <w:rFonts w:hint="eastAsia" w:ascii="仿宋" w:hAnsi="仿宋" w:eastAsia="仿宋" w:cs="仿宋"/>
          <w:color w:val="auto"/>
          <w:sz w:val="24"/>
          <w:szCs w:val="24"/>
          <w:highlight w:val="none"/>
        </w:rPr>
        <w:t>上岗。</w:t>
      </w:r>
      <w:r>
        <w:rPr>
          <w:rFonts w:hint="eastAsia" w:ascii="仿宋" w:hAnsi="仿宋" w:eastAsia="仿宋" w:cs="仿宋"/>
          <w:color w:val="auto"/>
          <w:sz w:val="24"/>
          <w:szCs w:val="24"/>
          <w:highlight w:val="none"/>
          <w:lang w:eastAsia="zh-CN"/>
        </w:rPr>
        <w:t>承包人</w:t>
      </w:r>
      <w:r>
        <w:rPr>
          <w:rFonts w:hint="eastAsia" w:ascii="仿宋" w:hAnsi="仿宋" w:eastAsia="仿宋" w:cs="仿宋"/>
          <w:color w:val="auto"/>
          <w:sz w:val="24"/>
          <w:szCs w:val="24"/>
          <w:highlight w:val="none"/>
        </w:rPr>
        <w:t>应建立完善的管理日志、技术档案资料，依法接受城管、环保、</w:t>
      </w:r>
      <w:r>
        <w:rPr>
          <w:rFonts w:hint="eastAsia" w:ascii="仿宋" w:hAnsi="仿宋" w:eastAsia="仿宋" w:cs="仿宋"/>
          <w:color w:val="auto"/>
          <w:spacing w:val="-1"/>
          <w:sz w:val="24"/>
          <w:szCs w:val="24"/>
          <w:highlight w:val="none"/>
        </w:rPr>
        <w:t>安全生产等政府部门的检查和监督，并按要求向这些政府部门提供生产和经营方面</w:t>
      </w:r>
      <w:r>
        <w:rPr>
          <w:rFonts w:hint="eastAsia" w:ascii="仿宋" w:hAnsi="仿宋" w:eastAsia="仿宋" w:cs="仿宋"/>
          <w:color w:val="auto"/>
          <w:spacing w:val="-113"/>
          <w:sz w:val="24"/>
          <w:szCs w:val="24"/>
          <w:highlight w:val="none"/>
        </w:rPr>
        <w:t xml:space="preserve"> </w:t>
      </w:r>
      <w:r>
        <w:rPr>
          <w:rFonts w:hint="eastAsia" w:ascii="仿宋" w:hAnsi="仿宋" w:eastAsia="仿宋" w:cs="仿宋"/>
          <w:color w:val="auto"/>
          <w:sz w:val="24"/>
          <w:szCs w:val="24"/>
          <w:highlight w:val="none"/>
        </w:rPr>
        <w:t>的资料。</w:t>
      </w:r>
    </w:p>
    <w:p w14:paraId="7B63362B">
      <w:pPr>
        <w:pStyle w:val="17"/>
        <w:tabs>
          <w:tab w:val="left" w:pos="1368"/>
        </w:tabs>
        <w:kinsoku w:val="0"/>
        <w:overflowPunct w:val="0"/>
        <w:spacing w:after="0" w:line="360" w:lineRule="auto"/>
        <w:ind w:left="0" w:leftChars="0" w:right="0" w:rightChars="0" w:firstLine="480" w:firstLineChars="200"/>
        <w:jc w:val="left"/>
        <w:rPr>
          <w:rFonts w:hint="eastAsia" w:ascii="仿宋" w:hAnsi="仿宋" w:eastAsia="仿宋" w:cs="仿宋"/>
          <w:color w:val="auto"/>
          <w:sz w:val="24"/>
          <w:szCs w:val="24"/>
          <w:highlight w:val="none"/>
        </w:rPr>
      </w:pPr>
      <w:r>
        <w:rPr>
          <w:rFonts w:hint="eastAsia" w:ascii="仿宋" w:hAnsi="仿宋" w:cs="仿宋"/>
          <w:color w:val="auto"/>
          <w:sz w:val="24"/>
          <w:szCs w:val="24"/>
          <w:highlight w:val="none"/>
          <w:lang w:val="en-US" w:eastAsia="zh-CN"/>
        </w:rPr>
        <w:t>4</w:t>
      </w:r>
      <w:r>
        <w:rPr>
          <w:rFonts w:hint="eastAsia" w:ascii="仿宋" w:hAnsi="仿宋" w:eastAsia="仿宋" w:cs="仿宋"/>
          <w:color w:val="auto"/>
          <w:sz w:val="24"/>
          <w:szCs w:val="24"/>
          <w:highlight w:val="none"/>
        </w:rPr>
        <w:t>.3.3</w:t>
      </w:r>
      <w:r>
        <w:rPr>
          <w:rFonts w:hint="eastAsia" w:ascii="仿宋" w:hAnsi="仿宋" w:eastAsia="仿宋" w:cs="仿宋"/>
          <w:color w:val="auto"/>
          <w:spacing w:val="-3"/>
          <w:sz w:val="24"/>
          <w:szCs w:val="24"/>
          <w:highlight w:val="none"/>
          <w:lang w:eastAsia="zh-CN"/>
        </w:rPr>
        <w:t>承包人</w:t>
      </w:r>
      <w:r>
        <w:rPr>
          <w:rFonts w:hint="eastAsia" w:ascii="仿宋" w:hAnsi="仿宋" w:eastAsia="仿宋" w:cs="仿宋"/>
          <w:color w:val="auto"/>
          <w:spacing w:val="-3"/>
          <w:sz w:val="24"/>
          <w:szCs w:val="24"/>
          <w:highlight w:val="none"/>
        </w:rPr>
        <w:t>应建立完善安全生产制度和意外事故的应急机制，制定应急预案报</w:t>
      </w:r>
      <w:r>
        <w:rPr>
          <w:rFonts w:hint="eastAsia" w:ascii="仿宋" w:hAnsi="仿宋" w:eastAsia="仿宋" w:cs="仿宋"/>
          <w:color w:val="auto"/>
          <w:spacing w:val="-5"/>
          <w:sz w:val="24"/>
          <w:szCs w:val="24"/>
          <w:highlight w:val="none"/>
          <w:lang w:eastAsia="zh-CN"/>
        </w:rPr>
        <w:t>发包人</w:t>
      </w:r>
      <w:r>
        <w:rPr>
          <w:rFonts w:hint="eastAsia" w:ascii="仿宋" w:hAnsi="仿宋" w:eastAsia="仿宋" w:cs="仿宋"/>
          <w:color w:val="auto"/>
          <w:spacing w:val="-5"/>
          <w:sz w:val="24"/>
          <w:szCs w:val="24"/>
          <w:highlight w:val="none"/>
        </w:rPr>
        <w:t>备案，并按要求定期进行应急预案演练；</w:t>
      </w:r>
      <w:r>
        <w:rPr>
          <w:rFonts w:hint="eastAsia" w:ascii="仿宋" w:hAnsi="仿宋" w:eastAsia="仿宋" w:cs="仿宋"/>
          <w:color w:val="auto"/>
          <w:spacing w:val="-5"/>
          <w:sz w:val="24"/>
          <w:szCs w:val="24"/>
          <w:highlight w:val="none"/>
          <w:lang w:eastAsia="zh-CN"/>
        </w:rPr>
        <w:t>承包人</w:t>
      </w:r>
      <w:r>
        <w:rPr>
          <w:rFonts w:hint="eastAsia" w:ascii="仿宋" w:hAnsi="仿宋" w:eastAsia="仿宋" w:cs="仿宋"/>
          <w:color w:val="auto"/>
          <w:spacing w:val="-5"/>
          <w:sz w:val="24"/>
          <w:szCs w:val="24"/>
          <w:highlight w:val="none"/>
        </w:rPr>
        <w:t>应保障生产和服务的稳定和安全，</w:t>
      </w:r>
      <w:r>
        <w:rPr>
          <w:rFonts w:hint="eastAsia" w:ascii="仿宋" w:hAnsi="仿宋" w:eastAsia="仿宋" w:cs="仿宋"/>
          <w:color w:val="auto"/>
          <w:spacing w:val="-84"/>
          <w:sz w:val="24"/>
          <w:szCs w:val="24"/>
          <w:highlight w:val="none"/>
        </w:rPr>
        <w:t xml:space="preserve"> </w:t>
      </w:r>
      <w:r>
        <w:rPr>
          <w:rFonts w:hint="eastAsia" w:ascii="仿宋" w:hAnsi="仿宋" w:eastAsia="仿宋" w:cs="仿宋"/>
          <w:color w:val="auto"/>
          <w:sz w:val="24"/>
          <w:szCs w:val="24"/>
          <w:highlight w:val="none"/>
        </w:rPr>
        <w:t>防止事故发生。如出现重大意外事故，</w:t>
      </w:r>
      <w:r>
        <w:rPr>
          <w:rFonts w:hint="eastAsia" w:ascii="仿宋" w:hAnsi="仿宋" w:eastAsia="仿宋" w:cs="仿宋"/>
          <w:color w:val="auto"/>
          <w:sz w:val="24"/>
          <w:szCs w:val="24"/>
          <w:highlight w:val="none"/>
          <w:lang w:eastAsia="zh-CN"/>
        </w:rPr>
        <w:t>承包人</w:t>
      </w:r>
      <w:r>
        <w:rPr>
          <w:rFonts w:hint="eastAsia" w:ascii="仿宋" w:hAnsi="仿宋" w:eastAsia="仿宋" w:cs="仿宋"/>
          <w:color w:val="auto"/>
          <w:sz w:val="24"/>
          <w:szCs w:val="24"/>
          <w:highlight w:val="none"/>
        </w:rPr>
        <w:t>应及时通报</w:t>
      </w:r>
      <w:r>
        <w:rPr>
          <w:rFonts w:hint="eastAsia" w:ascii="仿宋" w:hAnsi="仿宋" w:eastAsia="仿宋" w:cs="仿宋"/>
          <w:color w:val="auto"/>
          <w:sz w:val="24"/>
          <w:szCs w:val="24"/>
          <w:highlight w:val="none"/>
          <w:lang w:eastAsia="zh-CN"/>
        </w:rPr>
        <w:t>发包人</w:t>
      </w:r>
      <w:r>
        <w:rPr>
          <w:rFonts w:hint="eastAsia" w:ascii="仿宋" w:hAnsi="仿宋" w:eastAsia="仿宋" w:cs="仿宋"/>
          <w:color w:val="auto"/>
          <w:sz w:val="24"/>
          <w:szCs w:val="24"/>
          <w:highlight w:val="none"/>
        </w:rPr>
        <w:t>，并组织最大人力、物力进行抢救，按法规规定及政策要求尽快恢复生产与服务；在事故影响期间，</w:t>
      </w:r>
      <w:r>
        <w:rPr>
          <w:rFonts w:hint="eastAsia" w:ascii="仿宋" w:hAnsi="仿宋" w:eastAsia="仿宋" w:cs="仿宋"/>
          <w:color w:val="auto"/>
          <w:sz w:val="24"/>
          <w:szCs w:val="24"/>
          <w:highlight w:val="none"/>
          <w:lang w:eastAsia="zh-CN"/>
        </w:rPr>
        <w:t>承包人</w:t>
      </w:r>
      <w:r>
        <w:rPr>
          <w:rFonts w:hint="eastAsia" w:ascii="仿宋" w:hAnsi="仿宋" w:eastAsia="仿宋" w:cs="仿宋"/>
          <w:color w:val="auto"/>
          <w:sz w:val="24"/>
          <w:szCs w:val="24"/>
          <w:highlight w:val="none"/>
        </w:rPr>
        <w:t>应采取各种应急措施进行补救，尽量减少事故对公众的影响。</w:t>
      </w:r>
    </w:p>
    <w:p w14:paraId="4397B7AD">
      <w:pPr>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cs="仿宋"/>
          <w:color w:val="auto"/>
          <w:sz w:val="24"/>
          <w:szCs w:val="24"/>
          <w:highlight w:val="none"/>
          <w:lang w:val="en-US" w:eastAsia="zh-CN"/>
        </w:rPr>
        <w:t>4</w:t>
      </w:r>
      <w:r>
        <w:rPr>
          <w:rFonts w:hint="eastAsia" w:ascii="仿宋" w:hAnsi="仿宋" w:eastAsia="仿宋" w:cs="仿宋"/>
          <w:color w:val="auto"/>
          <w:sz w:val="24"/>
          <w:szCs w:val="24"/>
          <w:highlight w:val="none"/>
        </w:rPr>
        <w:t>.3.4</w:t>
      </w:r>
      <w:r>
        <w:rPr>
          <w:rFonts w:hint="eastAsia" w:ascii="仿宋" w:hAnsi="仿宋" w:eastAsia="仿宋" w:cs="仿宋"/>
          <w:color w:val="auto"/>
          <w:sz w:val="24"/>
          <w:szCs w:val="24"/>
          <w:highlight w:val="none"/>
          <w:lang w:eastAsia="zh-CN"/>
        </w:rPr>
        <w:t>承包人</w:t>
      </w:r>
      <w:r>
        <w:rPr>
          <w:rFonts w:hint="eastAsia" w:ascii="仿宋" w:hAnsi="仿宋" w:eastAsia="仿宋" w:cs="仿宋"/>
          <w:color w:val="auto"/>
          <w:sz w:val="24"/>
          <w:szCs w:val="24"/>
          <w:highlight w:val="none"/>
        </w:rPr>
        <w:t>按照谨慎运营惯例处理本条款中约定的在项目服务区域范围内产生的污水</w:t>
      </w:r>
      <w:r>
        <w:rPr>
          <w:rFonts w:hint="eastAsia" w:ascii="仿宋" w:hAnsi="仿宋" w:cs="仿宋"/>
          <w:color w:val="auto"/>
          <w:sz w:val="24"/>
          <w:szCs w:val="24"/>
          <w:highlight w:val="none"/>
          <w:lang w:eastAsia="zh-CN"/>
        </w:rPr>
        <w:t>，</w:t>
      </w:r>
      <w:r>
        <w:rPr>
          <w:rFonts w:hint="eastAsia" w:ascii="仿宋" w:hAnsi="仿宋" w:eastAsia="仿宋" w:cs="仿宋"/>
          <w:color w:val="auto"/>
          <w:sz w:val="24"/>
          <w:szCs w:val="24"/>
          <w:highlight w:val="none"/>
        </w:rPr>
        <w:t>不得拒绝处理或不达标排放。但当来水量超过设计处理能力，</w:t>
      </w:r>
      <w:r>
        <w:rPr>
          <w:rFonts w:hint="eastAsia" w:ascii="仿宋" w:hAnsi="仿宋" w:eastAsia="仿宋" w:cs="仿宋"/>
          <w:color w:val="auto"/>
          <w:sz w:val="24"/>
          <w:szCs w:val="24"/>
          <w:highlight w:val="none"/>
          <w:lang w:eastAsia="zh-CN"/>
        </w:rPr>
        <w:t>承包人</w:t>
      </w:r>
      <w:r>
        <w:rPr>
          <w:rFonts w:hint="eastAsia" w:ascii="仿宋" w:hAnsi="仿宋" w:eastAsia="仿宋" w:cs="仿宋"/>
          <w:color w:val="auto"/>
          <w:sz w:val="24"/>
          <w:szCs w:val="24"/>
          <w:highlight w:val="none"/>
        </w:rPr>
        <w:t>应协助</w:t>
      </w:r>
      <w:r>
        <w:rPr>
          <w:rFonts w:hint="eastAsia" w:ascii="仿宋" w:hAnsi="仿宋" w:eastAsia="仿宋" w:cs="仿宋"/>
          <w:color w:val="auto"/>
          <w:sz w:val="24"/>
          <w:szCs w:val="24"/>
          <w:highlight w:val="none"/>
          <w:lang w:eastAsia="zh-CN"/>
        </w:rPr>
        <w:t>发包人</w:t>
      </w:r>
      <w:r>
        <w:rPr>
          <w:rFonts w:hint="eastAsia" w:ascii="仿宋" w:hAnsi="仿宋" w:eastAsia="仿宋" w:cs="仿宋"/>
          <w:color w:val="auto"/>
          <w:sz w:val="24"/>
          <w:szCs w:val="24"/>
          <w:highlight w:val="none"/>
        </w:rPr>
        <w:t>向政府请示应急处理方案。</w:t>
      </w:r>
    </w:p>
    <w:p w14:paraId="313C194B">
      <w:pPr>
        <w:pStyle w:val="17"/>
        <w:kinsoku w:val="0"/>
        <w:overflowPunct w:val="0"/>
        <w:spacing w:after="0" w:line="360" w:lineRule="auto"/>
        <w:ind w:left="0" w:leftChars="0" w:right="0" w:rightChars="0" w:firstLine="480" w:firstLineChars="200"/>
        <w:jc w:val="left"/>
        <w:rPr>
          <w:rFonts w:hint="eastAsia" w:ascii="仿宋" w:hAnsi="仿宋" w:eastAsia="仿宋" w:cs="仿宋"/>
          <w:color w:val="auto"/>
          <w:sz w:val="24"/>
          <w:szCs w:val="24"/>
          <w:highlight w:val="none"/>
        </w:rPr>
      </w:pPr>
      <w:r>
        <w:rPr>
          <w:rFonts w:hint="eastAsia" w:ascii="仿宋" w:hAnsi="仿宋" w:cs="仿宋"/>
          <w:color w:val="auto"/>
          <w:sz w:val="24"/>
          <w:szCs w:val="24"/>
          <w:highlight w:val="none"/>
          <w:lang w:val="en-US" w:eastAsia="zh-CN"/>
        </w:rPr>
        <w:t>4</w:t>
      </w:r>
      <w:r>
        <w:rPr>
          <w:rFonts w:hint="eastAsia" w:ascii="仿宋" w:hAnsi="仿宋" w:eastAsia="仿宋" w:cs="仿宋"/>
          <w:color w:val="auto"/>
          <w:sz w:val="24"/>
          <w:szCs w:val="24"/>
          <w:highlight w:val="none"/>
        </w:rPr>
        <w:t>.3.5需满足</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排放要求。</w:t>
      </w:r>
    </w:p>
    <w:p w14:paraId="4EA83CBD">
      <w:pPr>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cs="仿宋"/>
          <w:color w:val="auto"/>
          <w:sz w:val="24"/>
          <w:szCs w:val="24"/>
          <w:highlight w:val="none"/>
          <w:lang w:val="en-US" w:eastAsia="zh-CN"/>
        </w:rPr>
        <w:t>4</w:t>
      </w:r>
      <w:r>
        <w:rPr>
          <w:rFonts w:hint="eastAsia" w:ascii="仿宋" w:hAnsi="仿宋" w:eastAsia="仿宋" w:cs="仿宋"/>
          <w:color w:val="auto"/>
          <w:sz w:val="24"/>
          <w:szCs w:val="24"/>
          <w:highlight w:val="none"/>
        </w:rPr>
        <w:t>.3.6如果污水进水水质超过本条款规定的标准,则</w:t>
      </w:r>
      <w:r>
        <w:rPr>
          <w:rFonts w:hint="eastAsia" w:ascii="仿宋" w:hAnsi="仿宋" w:eastAsia="仿宋" w:cs="仿宋"/>
          <w:color w:val="auto"/>
          <w:sz w:val="24"/>
          <w:szCs w:val="24"/>
          <w:highlight w:val="none"/>
          <w:lang w:eastAsia="zh-CN"/>
        </w:rPr>
        <w:t>承包人</w:t>
      </w:r>
      <w:r>
        <w:rPr>
          <w:rFonts w:hint="eastAsia" w:ascii="仿宋" w:hAnsi="仿宋" w:eastAsia="仿宋" w:cs="仿宋"/>
          <w:color w:val="auto"/>
          <w:sz w:val="24"/>
          <w:szCs w:val="24"/>
          <w:highlight w:val="none"/>
        </w:rPr>
        <w:t>应立即通知授权方，并按下列方法处理:</w:t>
      </w:r>
      <w:r>
        <w:rPr>
          <w:rFonts w:hint="eastAsia"/>
          <w:color w:val="auto"/>
          <w:highlight w:val="none"/>
          <w:u w:val="single"/>
          <w:lang w:val="en-US" w:eastAsia="zh-CN"/>
        </w:rPr>
        <w:t xml:space="preserve">             。</w:t>
      </w:r>
    </w:p>
    <w:p w14:paraId="50051014">
      <w:pPr>
        <w:spacing w:line="360" w:lineRule="auto"/>
        <w:ind w:firstLine="480" w:firstLineChars="200"/>
        <w:jc w:val="left"/>
        <w:rPr>
          <w:rFonts w:hint="default" w:ascii="仿宋" w:hAnsi="仿宋" w:eastAsia="仿宋" w:cs="仿宋"/>
          <w:color w:val="auto"/>
          <w:sz w:val="24"/>
          <w:szCs w:val="24"/>
          <w:highlight w:val="none"/>
          <w:u w:val="single"/>
          <w:lang w:eastAsia="zh-CN"/>
        </w:rPr>
      </w:pPr>
      <w:r>
        <w:rPr>
          <w:rFonts w:hint="eastAsia" w:ascii="仿宋" w:hAnsi="仿宋" w:cs="仿宋"/>
          <w:color w:val="auto"/>
          <w:sz w:val="24"/>
          <w:szCs w:val="24"/>
          <w:highlight w:val="none"/>
          <w:lang w:val="en-US" w:eastAsia="zh-CN"/>
        </w:rPr>
        <w:t>4</w:t>
      </w:r>
      <w:r>
        <w:rPr>
          <w:rFonts w:hint="eastAsia" w:ascii="仿宋" w:hAnsi="仿宋" w:eastAsia="仿宋" w:cs="仿宋"/>
          <w:color w:val="auto"/>
          <w:sz w:val="24"/>
          <w:szCs w:val="24"/>
          <w:highlight w:val="none"/>
        </w:rPr>
        <w:t>.3.7非</w:t>
      </w:r>
      <w:r>
        <w:rPr>
          <w:rFonts w:hint="eastAsia" w:ascii="仿宋" w:hAnsi="仿宋" w:eastAsia="仿宋" w:cs="仿宋"/>
          <w:color w:val="auto"/>
          <w:sz w:val="24"/>
          <w:szCs w:val="24"/>
          <w:highlight w:val="none"/>
          <w:lang w:eastAsia="zh-CN"/>
        </w:rPr>
        <w:t>承包人</w:t>
      </w:r>
      <w:r>
        <w:rPr>
          <w:rFonts w:hint="eastAsia" w:ascii="仿宋" w:hAnsi="仿宋" w:eastAsia="仿宋" w:cs="仿宋"/>
          <w:color w:val="auto"/>
          <w:sz w:val="24"/>
          <w:szCs w:val="24"/>
          <w:highlight w:val="none"/>
        </w:rPr>
        <w:t>原因导致无法享受税收优惠政策时的补偿</w:t>
      </w:r>
      <w:r>
        <w:rPr>
          <w:rFonts w:hint="eastAsia"/>
          <w:color w:val="auto"/>
          <w:highlight w:val="none"/>
          <w:lang w:eastAsia="zh-CN"/>
        </w:rPr>
        <w:t>：</w:t>
      </w:r>
      <w:r>
        <w:rPr>
          <w:rFonts w:hint="eastAsia"/>
          <w:color w:val="auto"/>
          <w:highlight w:val="none"/>
          <w:u w:val="single"/>
          <w:lang w:val="en-US" w:eastAsia="zh-CN"/>
        </w:rPr>
        <w:t xml:space="preserve">        。</w:t>
      </w:r>
    </w:p>
    <w:p w14:paraId="71ABCB09">
      <w:pPr>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cs="仿宋"/>
          <w:color w:val="auto"/>
          <w:sz w:val="24"/>
          <w:szCs w:val="24"/>
          <w:highlight w:val="none"/>
          <w:lang w:val="en-US" w:eastAsia="zh-CN"/>
        </w:rPr>
        <w:t>4</w:t>
      </w:r>
      <w:r>
        <w:rPr>
          <w:rFonts w:hint="eastAsia" w:ascii="仿宋" w:hAnsi="仿宋" w:eastAsia="仿宋" w:cs="仿宋"/>
          <w:color w:val="auto"/>
          <w:sz w:val="24"/>
          <w:szCs w:val="24"/>
          <w:highlight w:val="none"/>
        </w:rPr>
        <w:t>.4在国家宏观经济政策发生重大变化和调整时，双方可以协商改变委托运营方式，并就此达成新的协议或就本条款的修订和补充达成一致，如导致委托运营期限提前终止的，甲乙双方协商一致，根据本条款</w:t>
      </w:r>
      <w:r>
        <w:rPr>
          <w:rFonts w:hint="eastAsia" w:ascii="仿宋" w:hAnsi="仿宋" w:cs="仿宋"/>
          <w:color w:val="auto"/>
          <w:sz w:val="24"/>
          <w:szCs w:val="24"/>
          <w:highlight w:val="none"/>
          <w:lang w:val="en-US" w:eastAsia="zh-CN"/>
        </w:rPr>
        <w:t>6</w:t>
      </w:r>
      <w:r>
        <w:rPr>
          <w:rFonts w:hint="eastAsia" w:ascii="仿宋" w:hAnsi="仿宋" w:eastAsia="仿宋" w:cs="仿宋"/>
          <w:color w:val="auto"/>
          <w:sz w:val="24"/>
          <w:szCs w:val="24"/>
          <w:highlight w:val="none"/>
        </w:rPr>
        <w:t>.4条款予以终止。</w:t>
      </w:r>
    </w:p>
    <w:p w14:paraId="60AC619B">
      <w:pPr>
        <w:pStyle w:val="5"/>
        <w:jc w:val="left"/>
        <w:rPr>
          <w:rFonts w:hint="eastAsia" w:ascii="仿宋" w:hAnsi="仿宋" w:eastAsia="仿宋" w:cs="仿宋"/>
          <w:color w:val="auto"/>
          <w:highlight w:val="none"/>
        </w:rPr>
      </w:pPr>
      <w:r>
        <w:rPr>
          <w:rFonts w:hint="eastAsia" w:ascii="仿宋" w:hAnsi="仿宋" w:cs="仿宋"/>
          <w:color w:val="auto"/>
          <w:highlight w:val="none"/>
          <w:lang w:val="en-US" w:eastAsia="zh-CN"/>
        </w:rPr>
        <w:t>5</w:t>
      </w:r>
      <w:r>
        <w:rPr>
          <w:rFonts w:hint="eastAsia" w:ascii="仿宋" w:hAnsi="仿宋" w:eastAsia="仿宋" w:cs="仿宋"/>
          <w:color w:val="auto"/>
          <w:highlight w:val="none"/>
        </w:rPr>
        <w:t>.委托运营期内各方的权利和义务</w:t>
      </w:r>
    </w:p>
    <w:p w14:paraId="791734EE">
      <w:pPr>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cs="仿宋"/>
          <w:color w:val="auto"/>
          <w:sz w:val="24"/>
          <w:szCs w:val="24"/>
          <w:highlight w:val="none"/>
          <w:lang w:val="en-US" w:eastAsia="zh-CN"/>
        </w:rPr>
        <w:t>5</w:t>
      </w:r>
      <w:r>
        <w:rPr>
          <w:rFonts w:hint="eastAsia" w:ascii="仿宋" w:hAnsi="仿宋" w:eastAsia="仿宋" w:cs="仿宋"/>
          <w:color w:val="auto"/>
          <w:sz w:val="24"/>
          <w:szCs w:val="24"/>
          <w:highlight w:val="none"/>
        </w:rPr>
        <w:t xml:space="preserve">.1 </w:t>
      </w:r>
      <w:r>
        <w:rPr>
          <w:rFonts w:hint="eastAsia" w:ascii="仿宋" w:hAnsi="仿宋" w:eastAsia="仿宋" w:cs="仿宋"/>
          <w:color w:val="auto"/>
          <w:sz w:val="24"/>
          <w:szCs w:val="24"/>
          <w:highlight w:val="none"/>
          <w:lang w:eastAsia="zh-CN"/>
        </w:rPr>
        <w:t>发包人</w:t>
      </w:r>
      <w:r>
        <w:rPr>
          <w:rFonts w:hint="eastAsia" w:ascii="仿宋" w:hAnsi="仿宋" w:eastAsia="仿宋" w:cs="仿宋"/>
          <w:color w:val="auto"/>
          <w:sz w:val="24"/>
          <w:szCs w:val="24"/>
          <w:highlight w:val="none"/>
        </w:rPr>
        <w:t>的权利和义务</w:t>
      </w:r>
    </w:p>
    <w:p w14:paraId="41778051">
      <w:pPr>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cs="仿宋"/>
          <w:color w:val="auto"/>
          <w:sz w:val="24"/>
          <w:szCs w:val="24"/>
          <w:highlight w:val="none"/>
          <w:lang w:val="en-US" w:eastAsia="zh-CN"/>
        </w:rPr>
        <w:t>5</w:t>
      </w:r>
      <w:r>
        <w:rPr>
          <w:rFonts w:hint="eastAsia" w:ascii="仿宋" w:hAnsi="仿宋" w:eastAsia="仿宋" w:cs="仿宋"/>
          <w:color w:val="auto"/>
          <w:sz w:val="24"/>
          <w:szCs w:val="24"/>
          <w:highlight w:val="none"/>
        </w:rPr>
        <w:t>.1.1</w:t>
      </w:r>
      <w:r>
        <w:rPr>
          <w:rFonts w:hint="eastAsia" w:ascii="仿宋" w:hAnsi="仿宋" w:eastAsia="仿宋" w:cs="仿宋"/>
          <w:color w:val="auto"/>
          <w:sz w:val="24"/>
          <w:szCs w:val="24"/>
          <w:highlight w:val="none"/>
          <w:lang w:eastAsia="zh-CN"/>
        </w:rPr>
        <w:t>发包人</w:t>
      </w:r>
      <w:r>
        <w:rPr>
          <w:rFonts w:hint="eastAsia" w:ascii="仿宋" w:hAnsi="仿宋" w:eastAsia="仿宋" w:cs="仿宋"/>
          <w:color w:val="auto"/>
          <w:sz w:val="24"/>
          <w:szCs w:val="24"/>
          <w:highlight w:val="none"/>
        </w:rPr>
        <w:t>根据本条款的规定按时、足额向</w:t>
      </w:r>
      <w:r>
        <w:rPr>
          <w:rFonts w:hint="eastAsia" w:ascii="仿宋" w:hAnsi="仿宋" w:eastAsia="仿宋" w:cs="仿宋"/>
          <w:color w:val="auto"/>
          <w:sz w:val="24"/>
          <w:szCs w:val="24"/>
          <w:highlight w:val="none"/>
          <w:lang w:eastAsia="zh-CN"/>
        </w:rPr>
        <w:t>承包人</w:t>
      </w:r>
      <w:r>
        <w:rPr>
          <w:rFonts w:hint="eastAsia" w:ascii="仿宋" w:hAnsi="仿宋" w:eastAsia="仿宋" w:cs="仿宋"/>
          <w:color w:val="auto"/>
          <w:sz w:val="24"/>
          <w:szCs w:val="24"/>
          <w:highlight w:val="none"/>
        </w:rPr>
        <w:t>支付委托运营服务费。</w:t>
      </w:r>
    </w:p>
    <w:p w14:paraId="05B55633">
      <w:pPr>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cs="仿宋"/>
          <w:color w:val="auto"/>
          <w:sz w:val="24"/>
          <w:szCs w:val="24"/>
          <w:highlight w:val="none"/>
          <w:lang w:val="en-US" w:eastAsia="zh-CN"/>
        </w:rPr>
        <w:t>5</w:t>
      </w:r>
      <w:r>
        <w:rPr>
          <w:rFonts w:hint="eastAsia" w:ascii="仿宋" w:hAnsi="仿宋" w:eastAsia="仿宋" w:cs="仿宋"/>
          <w:color w:val="auto"/>
          <w:sz w:val="24"/>
          <w:szCs w:val="24"/>
          <w:highlight w:val="none"/>
        </w:rPr>
        <w:t>.1.2在委托运营期内，协助</w:t>
      </w:r>
      <w:r>
        <w:rPr>
          <w:rFonts w:hint="eastAsia" w:ascii="仿宋" w:hAnsi="仿宋" w:eastAsia="仿宋" w:cs="仿宋"/>
          <w:color w:val="auto"/>
          <w:sz w:val="24"/>
          <w:szCs w:val="24"/>
          <w:highlight w:val="none"/>
          <w:lang w:eastAsia="zh-CN"/>
        </w:rPr>
        <w:t>承包人</w:t>
      </w:r>
      <w:r>
        <w:rPr>
          <w:rFonts w:hint="eastAsia" w:ascii="仿宋" w:hAnsi="仿宋" w:eastAsia="仿宋" w:cs="仿宋"/>
          <w:color w:val="auto"/>
          <w:sz w:val="24"/>
          <w:szCs w:val="24"/>
          <w:highlight w:val="none"/>
        </w:rPr>
        <w:t>办理有关政府部门要求的各种与本项目有关的批准。</w:t>
      </w:r>
    </w:p>
    <w:p w14:paraId="7177176C">
      <w:pPr>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cs="仿宋"/>
          <w:color w:val="auto"/>
          <w:sz w:val="24"/>
          <w:szCs w:val="24"/>
          <w:highlight w:val="none"/>
          <w:lang w:val="en-US" w:eastAsia="zh-CN"/>
        </w:rPr>
        <w:t>5</w:t>
      </w:r>
      <w:r>
        <w:rPr>
          <w:rFonts w:hint="eastAsia" w:ascii="仿宋" w:hAnsi="仿宋" w:eastAsia="仿宋" w:cs="仿宋"/>
          <w:color w:val="auto"/>
          <w:sz w:val="24"/>
          <w:szCs w:val="24"/>
          <w:highlight w:val="none"/>
        </w:rPr>
        <w:t>.1.3于出水连续</w:t>
      </w:r>
      <w:r>
        <w:rPr>
          <w:rFonts w:hint="eastAsia" w:ascii="仿宋" w:hAnsi="仿宋" w:cs="仿宋"/>
          <w:color w:val="auto"/>
          <w:sz w:val="24"/>
          <w:szCs w:val="24"/>
          <w:highlight w:val="none"/>
          <w:u w:val="single"/>
          <w:lang w:eastAsia="zh-CN"/>
        </w:rPr>
        <w:t xml:space="preserve"> </w:t>
      </w:r>
      <w:r>
        <w:rPr>
          <w:rFonts w:hint="eastAsia" w:ascii="仿宋" w:hAnsi="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rPr>
        <w:t>日达标后，</w:t>
      </w:r>
      <w:r>
        <w:rPr>
          <w:rFonts w:hint="eastAsia" w:ascii="仿宋" w:hAnsi="仿宋" w:eastAsia="仿宋" w:cs="仿宋"/>
          <w:color w:val="auto"/>
          <w:sz w:val="24"/>
          <w:szCs w:val="24"/>
          <w:highlight w:val="none"/>
          <w:lang w:eastAsia="zh-CN"/>
        </w:rPr>
        <w:t>发包人</w:t>
      </w:r>
      <w:r>
        <w:rPr>
          <w:rFonts w:hint="eastAsia" w:ascii="仿宋" w:hAnsi="仿宋" w:eastAsia="仿宋" w:cs="仿宋"/>
          <w:color w:val="auto"/>
          <w:sz w:val="24"/>
          <w:szCs w:val="24"/>
          <w:highlight w:val="none"/>
        </w:rPr>
        <w:t>协调各方将项目设施移交给</w:t>
      </w:r>
      <w:r>
        <w:rPr>
          <w:rFonts w:hint="eastAsia" w:ascii="仿宋" w:hAnsi="仿宋" w:eastAsia="仿宋" w:cs="仿宋"/>
          <w:color w:val="auto"/>
          <w:sz w:val="24"/>
          <w:szCs w:val="24"/>
          <w:highlight w:val="none"/>
          <w:lang w:eastAsia="zh-CN"/>
        </w:rPr>
        <w:t>承包人</w:t>
      </w:r>
      <w:r>
        <w:rPr>
          <w:rFonts w:hint="eastAsia" w:ascii="仿宋" w:hAnsi="仿宋" w:eastAsia="仿宋" w:cs="仿宋"/>
          <w:color w:val="auto"/>
          <w:sz w:val="24"/>
          <w:szCs w:val="24"/>
          <w:highlight w:val="none"/>
        </w:rPr>
        <w:t>管理使用。</w:t>
      </w:r>
    </w:p>
    <w:p w14:paraId="7446AEDB">
      <w:pPr>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cs="仿宋"/>
          <w:color w:val="auto"/>
          <w:sz w:val="24"/>
          <w:szCs w:val="24"/>
          <w:highlight w:val="none"/>
          <w:lang w:val="en-US" w:eastAsia="zh-CN"/>
        </w:rPr>
        <w:t>5</w:t>
      </w:r>
      <w:r>
        <w:rPr>
          <w:rFonts w:hint="eastAsia" w:ascii="仿宋" w:hAnsi="仿宋" w:eastAsia="仿宋" w:cs="仿宋"/>
          <w:color w:val="auto"/>
          <w:sz w:val="24"/>
          <w:szCs w:val="24"/>
          <w:highlight w:val="none"/>
        </w:rPr>
        <w:t>.1.4</w:t>
      </w:r>
      <w:r>
        <w:rPr>
          <w:rFonts w:hint="eastAsia" w:ascii="仿宋" w:hAnsi="仿宋" w:eastAsia="仿宋" w:cs="仿宋"/>
          <w:color w:val="auto"/>
          <w:sz w:val="24"/>
          <w:szCs w:val="24"/>
          <w:highlight w:val="none"/>
          <w:lang w:eastAsia="zh-CN"/>
        </w:rPr>
        <w:t>发包人</w:t>
      </w:r>
      <w:r>
        <w:rPr>
          <w:rFonts w:hint="eastAsia" w:ascii="仿宋" w:hAnsi="仿宋" w:eastAsia="仿宋" w:cs="仿宋"/>
          <w:color w:val="auto"/>
          <w:sz w:val="24"/>
          <w:szCs w:val="24"/>
          <w:highlight w:val="none"/>
        </w:rPr>
        <w:t>及其代表有权在任何时候进入污水处理厂任何区域，按照相关规定对污水处理设施的经营和维护进行监管（包括但不限于服务，经营状况和安全防范措施），</w:t>
      </w:r>
      <w:r>
        <w:rPr>
          <w:rFonts w:hint="eastAsia" w:ascii="仿宋" w:hAnsi="仿宋" w:eastAsia="仿宋" w:cs="仿宋"/>
          <w:color w:val="auto"/>
          <w:sz w:val="24"/>
          <w:szCs w:val="24"/>
          <w:highlight w:val="none"/>
          <w:lang w:eastAsia="zh-CN"/>
        </w:rPr>
        <w:t>发包人</w:t>
      </w:r>
      <w:r>
        <w:rPr>
          <w:rFonts w:hint="eastAsia" w:ascii="仿宋" w:hAnsi="仿宋" w:eastAsia="仿宋" w:cs="仿宋"/>
          <w:color w:val="auto"/>
          <w:sz w:val="24"/>
          <w:szCs w:val="24"/>
          <w:highlight w:val="none"/>
        </w:rPr>
        <w:t>有权对污水处理厂的资产状况进行监督和检查，但</w:t>
      </w:r>
      <w:r>
        <w:rPr>
          <w:rFonts w:hint="eastAsia" w:ascii="仿宋" w:hAnsi="仿宋" w:eastAsia="仿宋" w:cs="仿宋"/>
          <w:color w:val="auto"/>
          <w:sz w:val="24"/>
          <w:szCs w:val="24"/>
          <w:highlight w:val="none"/>
          <w:lang w:eastAsia="zh-CN"/>
        </w:rPr>
        <w:t>发包人</w:t>
      </w:r>
      <w:r>
        <w:rPr>
          <w:rFonts w:hint="eastAsia" w:ascii="仿宋" w:hAnsi="仿宋" w:eastAsia="仿宋" w:cs="仿宋"/>
          <w:color w:val="auto"/>
          <w:sz w:val="24"/>
          <w:szCs w:val="24"/>
          <w:highlight w:val="none"/>
        </w:rPr>
        <w:t>不得干涉、延误或干扰</w:t>
      </w:r>
      <w:r>
        <w:rPr>
          <w:rFonts w:hint="eastAsia" w:ascii="仿宋" w:hAnsi="仿宋" w:eastAsia="仿宋" w:cs="仿宋"/>
          <w:color w:val="auto"/>
          <w:sz w:val="24"/>
          <w:szCs w:val="24"/>
          <w:highlight w:val="none"/>
          <w:lang w:eastAsia="zh-CN"/>
        </w:rPr>
        <w:t>承包人</w:t>
      </w:r>
      <w:r>
        <w:rPr>
          <w:rFonts w:hint="eastAsia" w:ascii="仿宋" w:hAnsi="仿宋" w:eastAsia="仿宋" w:cs="仿宋"/>
          <w:color w:val="auto"/>
          <w:sz w:val="24"/>
          <w:szCs w:val="24"/>
          <w:highlight w:val="none"/>
        </w:rPr>
        <w:t>履行其在本条款下的义务。</w:t>
      </w:r>
      <w:r>
        <w:rPr>
          <w:rFonts w:hint="eastAsia" w:ascii="仿宋" w:hAnsi="仿宋" w:eastAsia="仿宋" w:cs="仿宋"/>
          <w:color w:val="auto"/>
          <w:sz w:val="24"/>
          <w:szCs w:val="24"/>
          <w:highlight w:val="none"/>
          <w:lang w:eastAsia="zh-CN"/>
        </w:rPr>
        <w:t>发包人</w:t>
      </w:r>
      <w:r>
        <w:rPr>
          <w:rFonts w:hint="eastAsia" w:ascii="仿宋" w:hAnsi="仿宋" w:eastAsia="仿宋" w:cs="仿宋"/>
          <w:color w:val="auto"/>
          <w:sz w:val="24"/>
          <w:szCs w:val="24"/>
          <w:highlight w:val="none"/>
        </w:rPr>
        <w:t>有权要求</w:t>
      </w:r>
      <w:r>
        <w:rPr>
          <w:rFonts w:hint="eastAsia" w:ascii="仿宋" w:hAnsi="仿宋" w:eastAsia="仿宋" w:cs="仿宋"/>
          <w:color w:val="auto"/>
          <w:sz w:val="24"/>
          <w:szCs w:val="24"/>
          <w:highlight w:val="none"/>
          <w:lang w:eastAsia="zh-CN"/>
        </w:rPr>
        <w:t>承包人</w:t>
      </w:r>
      <w:r>
        <w:rPr>
          <w:rFonts w:hint="eastAsia" w:ascii="仿宋" w:hAnsi="仿宋" w:eastAsia="仿宋" w:cs="仿宋"/>
          <w:color w:val="auto"/>
          <w:sz w:val="24"/>
          <w:szCs w:val="24"/>
          <w:highlight w:val="none"/>
        </w:rPr>
        <w:t>提交与委托经营有关的报表、报告和资料，但应予保密，不得向任何第三人泄漏（</w:t>
      </w:r>
      <w:r>
        <w:rPr>
          <w:rFonts w:hint="eastAsia" w:ascii="仿宋" w:hAnsi="仿宋" w:eastAsia="仿宋" w:cs="仿宋"/>
          <w:color w:val="auto"/>
          <w:sz w:val="24"/>
          <w:szCs w:val="24"/>
          <w:highlight w:val="none"/>
          <w:lang w:eastAsia="zh-CN"/>
        </w:rPr>
        <w:t>发包人</w:t>
      </w:r>
      <w:r>
        <w:rPr>
          <w:rFonts w:hint="eastAsia" w:ascii="仿宋" w:hAnsi="仿宋" w:eastAsia="仿宋" w:cs="仿宋"/>
          <w:color w:val="auto"/>
          <w:sz w:val="24"/>
          <w:szCs w:val="24"/>
          <w:highlight w:val="none"/>
        </w:rPr>
        <w:t>相关管理机构行使行政职权的除外）。</w:t>
      </w:r>
    </w:p>
    <w:p w14:paraId="4989A361">
      <w:pPr>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cs="仿宋"/>
          <w:color w:val="auto"/>
          <w:sz w:val="24"/>
          <w:szCs w:val="24"/>
          <w:highlight w:val="none"/>
          <w:lang w:val="en-US" w:eastAsia="zh-CN"/>
        </w:rPr>
        <w:t>5</w:t>
      </w:r>
      <w:r>
        <w:rPr>
          <w:rFonts w:hint="eastAsia" w:ascii="仿宋" w:hAnsi="仿宋" w:eastAsia="仿宋" w:cs="仿宋"/>
          <w:color w:val="auto"/>
          <w:sz w:val="24"/>
          <w:szCs w:val="24"/>
          <w:highlight w:val="none"/>
        </w:rPr>
        <w:t>.1.5</w:t>
      </w:r>
      <w:r>
        <w:rPr>
          <w:rFonts w:hint="eastAsia" w:ascii="仿宋" w:hAnsi="仿宋" w:eastAsia="仿宋" w:cs="仿宋"/>
          <w:color w:val="auto"/>
          <w:sz w:val="24"/>
          <w:szCs w:val="24"/>
          <w:highlight w:val="none"/>
          <w:lang w:eastAsia="zh-CN"/>
        </w:rPr>
        <w:t>发包人</w:t>
      </w:r>
      <w:r>
        <w:rPr>
          <w:rFonts w:hint="eastAsia" w:ascii="仿宋" w:hAnsi="仿宋" w:eastAsia="仿宋" w:cs="仿宋"/>
          <w:color w:val="auto"/>
          <w:sz w:val="24"/>
          <w:szCs w:val="24"/>
          <w:highlight w:val="none"/>
        </w:rPr>
        <w:t>本着尊重社会公众的知情权，有权及时将</w:t>
      </w:r>
      <w:r>
        <w:rPr>
          <w:rFonts w:hint="eastAsia" w:ascii="仿宋" w:hAnsi="仿宋" w:eastAsia="仿宋" w:cs="仿宋"/>
          <w:color w:val="auto"/>
          <w:sz w:val="24"/>
          <w:szCs w:val="24"/>
          <w:highlight w:val="none"/>
          <w:lang w:eastAsia="zh-CN"/>
        </w:rPr>
        <w:t>承包人</w:t>
      </w:r>
      <w:r>
        <w:rPr>
          <w:rFonts w:hint="eastAsia" w:ascii="仿宋" w:hAnsi="仿宋" w:eastAsia="仿宋" w:cs="仿宋"/>
          <w:color w:val="auto"/>
          <w:sz w:val="24"/>
          <w:szCs w:val="24"/>
          <w:highlight w:val="none"/>
        </w:rPr>
        <w:t>公司的服务、经营状况、安全防范措施、检查、整改情况以适当的方式向社会公布。</w:t>
      </w:r>
      <w:r>
        <w:rPr>
          <w:rFonts w:hint="eastAsia" w:ascii="仿宋" w:hAnsi="仿宋" w:eastAsia="仿宋" w:cs="仿宋"/>
          <w:color w:val="auto"/>
          <w:sz w:val="24"/>
          <w:szCs w:val="24"/>
          <w:highlight w:val="none"/>
          <w:lang w:eastAsia="zh-CN"/>
        </w:rPr>
        <w:t>承包人</w:t>
      </w:r>
      <w:r>
        <w:rPr>
          <w:rFonts w:hint="eastAsia" w:ascii="仿宋" w:hAnsi="仿宋" w:eastAsia="仿宋" w:cs="仿宋"/>
          <w:color w:val="auto"/>
          <w:sz w:val="24"/>
          <w:szCs w:val="24"/>
          <w:highlight w:val="none"/>
        </w:rPr>
        <w:t>应积极处理运营中各种投诉，</w:t>
      </w:r>
      <w:r>
        <w:rPr>
          <w:rFonts w:hint="eastAsia" w:ascii="仿宋" w:hAnsi="仿宋" w:eastAsia="仿宋" w:cs="仿宋"/>
          <w:color w:val="auto"/>
          <w:sz w:val="24"/>
          <w:szCs w:val="24"/>
          <w:highlight w:val="none"/>
          <w:lang w:eastAsia="zh-CN"/>
        </w:rPr>
        <w:t>发包人</w:t>
      </w:r>
      <w:r>
        <w:rPr>
          <w:rFonts w:hint="eastAsia" w:ascii="仿宋" w:hAnsi="仿宋" w:eastAsia="仿宋" w:cs="仿宋"/>
          <w:color w:val="auto"/>
          <w:sz w:val="24"/>
          <w:szCs w:val="24"/>
          <w:highlight w:val="none"/>
        </w:rPr>
        <w:t>有权核实处理。</w:t>
      </w:r>
    </w:p>
    <w:p w14:paraId="3FE9D3D7">
      <w:pPr>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cs="仿宋"/>
          <w:color w:val="auto"/>
          <w:sz w:val="24"/>
          <w:szCs w:val="24"/>
          <w:highlight w:val="none"/>
          <w:lang w:val="en-US" w:eastAsia="zh-CN"/>
        </w:rPr>
        <w:t>5</w:t>
      </w:r>
      <w:r>
        <w:rPr>
          <w:rFonts w:hint="eastAsia" w:ascii="仿宋" w:hAnsi="仿宋" w:eastAsia="仿宋" w:cs="仿宋"/>
          <w:color w:val="auto"/>
          <w:sz w:val="24"/>
          <w:szCs w:val="24"/>
          <w:highlight w:val="none"/>
        </w:rPr>
        <w:t>.1.6遇紧急情况，在可能严重影响公众利益的情况下，可依法对项目设施进行临时接管，并以书面的形式通知</w:t>
      </w:r>
      <w:r>
        <w:rPr>
          <w:rFonts w:hint="eastAsia" w:ascii="仿宋" w:hAnsi="仿宋" w:eastAsia="仿宋" w:cs="仿宋"/>
          <w:color w:val="auto"/>
          <w:sz w:val="24"/>
          <w:szCs w:val="24"/>
          <w:highlight w:val="none"/>
          <w:lang w:eastAsia="zh-CN"/>
        </w:rPr>
        <w:t>承包人</w:t>
      </w:r>
      <w:r>
        <w:rPr>
          <w:rFonts w:hint="eastAsia" w:ascii="仿宋" w:hAnsi="仿宋" w:eastAsia="仿宋" w:cs="仿宋"/>
          <w:color w:val="auto"/>
          <w:sz w:val="24"/>
          <w:szCs w:val="24"/>
          <w:highlight w:val="none"/>
        </w:rPr>
        <w:t>。</w:t>
      </w:r>
    </w:p>
    <w:p w14:paraId="5459569D">
      <w:pPr>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cs="仿宋"/>
          <w:color w:val="auto"/>
          <w:sz w:val="24"/>
          <w:szCs w:val="24"/>
          <w:highlight w:val="none"/>
          <w:lang w:val="en-US" w:eastAsia="zh-CN"/>
        </w:rPr>
        <w:t>5</w:t>
      </w:r>
      <w:r>
        <w:rPr>
          <w:rFonts w:hint="eastAsia" w:ascii="仿宋" w:hAnsi="仿宋" w:eastAsia="仿宋" w:cs="仿宋"/>
          <w:color w:val="auto"/>
          <w:sz w:val="24"/>
          <w:szCs w:val="24"/>
          <w:highlight w:val="none"/>
        </w:rPr>
        <w:t>.2</w:t>
      </w:r>
      <w:r>
        <w:rPr>
          <w:rFonts w:hint="eastAsia" w:ascii="仿宋" w:hAnsi="仿宋" w:eastAsia="仿宋" w:cs="仿宋"/>
          <w:color w:val="auto"/>
          <w:sz w:val="24"/>
          <w:szCs w:val="24"/>
          <w:highlight w:val="none"/>
          <w:lang w:eastAsia="zh-CN"/>
        </w:rPr>
        <w:t>承包人</w:t>
      </w:r>
      <w:r>
        <w:rPr>
          <w:rFonts w:hint="eastAsia" w:ascii="仿宋" w:hAnsi="仿宋" w:eastAsia="仿宋" w:cs="仿宋"/>
          <w:color w:val="auto"/>
          <w:sz w:val="24"/>
          <w:szCs w:val="24"/>
          <w:highlight w:val="none"/>
        </w:rPr>
        <w:t>的权利和义务</w:t>
      </w:r>
    </w:p>
    <w:p w14:paraId="070262ED">
      <w:pPr>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cs="仿宋"/>
          <w:color w:val="auto"/>
          <w:sz w:val="24"/>
          <w:szCs w:val="24"/>
          <w:highlight w:val="none"/>
          <w:lang w:val="en-US" w:eastAsia="zh-CN"/>
        </w:rPr>
        <w:t>5</w:t>
      </w:r>
      <w:r>
        <w:rPr>
          <w:rFonts w:hint="eastAsia" w:ascii="仿宋" w:hAnsi="仿宋" w:eastAsia="仿宋" w:cs="仿宋"/>
          <w:color w:val="auto"/>
          <w:sz w:val="24"/>
          <w:szCs w:val="24"/>
          <w:highlight w:val="none"/>
        </w:rPr>
        <w:t>.2.1 按照本条款规定的方式取得委托运营服务费。</w:t>
      </w:r>
    </w:p>
    <w:p w14:paraId="10DF8FCB">
      <w:pPr>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cs="仿宋"/>
          <w:color w:val="auto"/>
          <w:sz w:val="24"/>
          <w:szCs w:val="24"/>
          <w:highlight w:val="none"/>
          <w:lang w:val="en-US" w:eastAsia="zh-CN"/>
        </w:rPr>
        <w:t>5</w:t>
      </w:r>
      <w:r>
        <w:rPr>
          <w:rFonts w:hint="eastAsia" w:ascii="仿宋" w:hAnsi="仿宋" w:eastAsia="仿宋" w:cs="仿宋"/>
          <w:color w:val="auto"/>
          <w:sz w:val="24"/>
          <w:szCs w:val="24"/>
          <w:highlight w:val="none"/>
        </w:rPr>
        <w:t>.2.2</w:t>
      </w:r>
      <w:r>
        <w:rPr>
          <w:rFonts w:hint="eastAsia" w:ascii="仿宋" w:hAnsi="仿宋" w:eastAsia="仿宋" w:cs="仿宋"/>
          <w:color w:val="auto"/>
          <w:sz w:val="24"/>
          <w:szCs w:val="24"/>
          <w:highlight w:val="none"/>
          <w:lang w:eastAsia="zh-CN"/>
        </w:rPr>
        <w:t>承包人</w:t>
      </w:r>
      <w:r>
        <w:rPr>
          <w:rFonts w:hint="eastAsia" w:ascii="仿宋" w:hAnsi="仿宋" w:eastAsia="仿宋" w:cs="仿宋"/>
          <w:color w:val="auto"/>
          <w:sz w:val="24"/>
          <w:szCs w:val="24"/>
          <w:highlight w:val="none"/>
        </w:rPr>
        <w:t>在委托运营期内享有经营权，应根据项目运营需要配置相应的管理人员和运行生产人员，制定严格的工艺管理办法和相应的岗位职责。</w:t>
      </w:r>
    </w:p>
    <w:p w14:paraId="33C9321E">
      <w:pPr>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cs="仿宋"/>
          <w:color w:val="auto"/>
          <w:sz w:val="24"/>
          <w:szCs w:val="24"/>
          <w:highlight w:val="none"/>
          <w:lang w:val="en-US" w:eastAsia="zh-CN"/>
        </w:rPr>
        <w:t>5</w:t>
      </w:r>
      <w:r>
        <w:rPr>
          <w:rFonts w:hint="eastAsia" w:ascii="仿宋" w:hAnsi="仿宋" w:eastAsia="仿宋" w:cs="仿宋"/>
          <w:color w:val="auto"/>
          <w:sz w:val="24"/>
          <w:szCs w:val="24"/>
          <w:highlight w:val="none"/>
        </w:rPr>
        <w:t>.2.3根据本条款的规定，</w:t>
      </w:r>
      <w:r>
        <w:rPr>
          <w:rFonts w:hint="eastAsia" w:ascii="仿宋" w:hAnsi="仿宋" w:eastAsia="仿宋" w:cs="仿宋"/>
          <w:color w:val="auto"/>
          <w:sz w:val="24"/>
          <w:szCs w:val="24"/>
          <w:highlight w:val="none"/>
          <w:lang w:eastAsia="zh-CN"/>
        </w:rPr>
        <w:t>承包人</w:t>
      </w:r>
      <w:r>
        <w:rPr>
          <w:rFonts w:hint="eastAsia" w:ascii="仿宋" w:hAnsi="仿宋" w:eastAsia="仿宋" w:cs="仿宋"/>
          <w:color w:val="auto"/>
          <w:sz w:val="24"/>
          <w:szCs w:val="24"/>
          <w:highlight w:val="none"/>
        </w:rPr>
        <w:t>应在委托运营期内自行承担费用、责任和风险。</w:t>
      </w:r>
    </w:p>
    <w:p w14:paraId="436F393D">
      <w:pPr>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cs="仿宋"/>
          <w:color w:val="auto"/>
          <w:sz w:val="24"/>
          <w:szCs w:val="24"/>
          <w:highlight w:val="none"/>
          <w:lang w:val="en-US" w:eastAsia="zh-CN"/>
        </w:rPr>
        <w:t>5</w:t>
      </w:r>
      <w:r>
        <w:rPr>
          <w:rFonts w:hint="eastAsia" w:ascii="仿宋" w:hAnsi="仿宋" w:eastAsia="仿宋" w:cs="仿宋"/>
          <w:color w:val="auto"/>
          <w:sz w:val="24"/>
          <w:szCs w:val="24"/>
          <w:highlight w:val="none"/>
        </w:rPr>
        <w:t>.2.4委托运营期间，</w:t>
      </w:r>
      <w:r>
        <w:rPr>
          <w:rFonts w:hint="eastAsia" w:ascii="仿宋" w:hAnsi="仿宋" w:eastAsia="仿宋" w:cs="仿宋"/>
          <w:color w:val="auto"/>
          <w:sz w:val="24"/>
          <w:szCs w:val="24"/>
          <w:highlight w:val="none"/>
          <w:lang w:eastAsia="zh-CN"/>
        </w:rPr>
        <w:t>承包人</w:t>
      </w:r>
      <w:r>
        <w:rPr>
          <w:rFonts w:hint="eastAsia" w:ascii="仿宋" w:hAnsi="仿宋" w:eastAsia="仿宋" w:cs="仿宋"/>
          <w:color w:val="auto"/>
          <w:sz w:val="24"/>
          <w:szCs w:val="24"/>
          <w:highlight w:val="none"/>
        </w:rPr>
        <w:t>配备相应生产组织架构人员。</w:t>
      </w:r>
    </w:p>
    <w:p w14:paraId="731B2CC1">
      <w:pPr>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cs="仿宋"/>
          <w:color w:val="auto"/>
          <w:sz w:val="24"/>
          <w:szCs w:val="24"/>
          <w:highlight w:val="none"/>
          <w:lang w:val="en-US" w:eastAsia="zh-CN"/>
        </w:rPr>
        <w:t>5</w:t>
      </w:r>
      <w:r>
        <w:rPr>
          <w:rFonts w:hint="eastAsia" w:ascii="仿宋" w:hAnsi="仿宋" w:eastAsia="仿宋" w:cs="仿宋"/>
          <w:color w:val="auto"/>
          <w:sz w:val="24"/>
          <w:szCs w:val="24"/>
          <w:highlight w:val="none"/>
        </w:rPr>
        <w:t>.2.5为保障运营管理人员的人身安全及意外保险，应按社会劳动保险的有关规定，在</w:t>
      </w:r>
      <w:r>
        <w:rPr>
          <w:rFonts w:hint="eastAsia" w:ascii="仿宋" w:hAnsi="仿宋" w:cs="仿宋"/>
          <w:color w:val="auto"/>
          <w:sz w:val="24"/>
          <w:szCs w:val="24"/>
          <w:highlight w:val="none"/>
          <w:lang w:val="en-US" w:eastAsia="zh-CN"/>
        </w:rPr>
        <w:t>运营</w:t>
      </w:r>
      <w:r>
        <w:rPr>
          <w:rFonts w:hint="eastAsia" w:ascii="仿宋" w:hAnsi="仿宋" w:eastAsia="仿宋" w:cs="仿宋"/>
          <w:color w:val="auto"/>
          <w:sz w:val="24"/>
          <w:szCs w:val="24"/>
          <w:highlight w:val="none"/>
        </w:rPr>
        <w:t>期间内，</w:t>
      </w:r>
      <w:r>
        <w:rPr>
          <w:rFonts w:hint="eastAsia" w:ascii="仿宋" w:hAnsi="仿宋" w:eastAsia="仿宋" w:cs="仿宋"/>
          <w:color w:val="auto"/>
          <w:sz w:val="24"/>
          <w:szCs w:val="24"/>
          <w:highlight w:val="none"/>
          <w:lang w:eastAsia="zh-CN"/>
        </w:rPr>
        <w:t>承包人</w:t>
      </w:r>
      <w:r>
        <w:rPr>
          <w:rFonts w:hint="eastAsia" w:ascii="仿宋" w:hAnsi="仿宋" w:eastAsia="仿宋" w:cs="仿宋"/>
          <w:color w:val="auto"/>
          <w:sz w:val="24"/>
          <w:szCs w:val="24"/>
          <w:highlight w:val="none"/>
        </w:rPr>
        <w:t>为员工购买养老、工伤、医疗、失业等保险。</w:t>
      </w:r>
    </w:p>
    <w:p w14:paraId="266FB5B6">
      <w:pPr>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cs="仿宋"/>
          <w:color w:val="auto"/>
          <w:sz w:val="24"/>
          <w:szCs w:val="24"/>
          <w:highlight w:val="none"/>
          <w:lang w:val="en-US" w:eastAsia="zh-CN"/>
        </w:rPr>
        <w:t>5</w:t>
      </w:r>
      <w:r>
        <w:rPr>
          <w:rFonts w:hint="eastAsia" w:ascii="仿宋" w:hAnsi="仿宋" w:eastAsia="仿宋" w:cs="仿宋"/>
          <w:color w:val="auto"/>
          <w:sz w:val="24"/>
          <w:szCs w:val="24"/>
          <w:highlight w:val="none"/>
        </w:rPr>
        <w:t>.2.6在整个委托运营期限内，</w:t>
      </w:r>
      <w:r>
        <w:rPr>
          <w:rFonts w:hint="eastAsia" w:ascii="仿宋" w:hAnsi="仿宋" w:eastAsia="仿宋" w:cs="仿宋"/>
          <w:color w:val="auto"/>
          <w:sz w:val="24"/>
          <w:szCs w:val="24"/>
          <w:highlight w:val="none"/>
          <w:lang w:eastAsia="zh-CN"/>
        </w:rPr>
        <w:t>承包人</w:t>
      </w:r>
      <w:r>
        <w:rPr>
          <w:rFonts w:hint="eastAsia" w:ascii="仿宋" w:hAnsi="仿宋" w:eastAsia="仿宋" w:cs="仿宋"/>
          <w:color w:val="auto"/>
          <w:sz w:val="24"/>
          <w:szCs w:val="24"/>
          <w:highlight w:val="none"/>
        </w:rPr>
        <w:t>应始终谨慎管理、运营和维护所有的项目设施，使其处于良好的运营状态。</w:t>
      </w:r>
    </w:p>
    <w:p w14:paraId="08EDB37E">
      <w:pPr>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cs="仿宋"/>
          <w:color w:val="auto"/>
          <w:sz w:val="24"/>
          <w:szCs w:val="24"/>
          <w:highlight w:val="none"/>
          <w:lang w:val="en-US" w:eastAsia="zh-CN"/>
        </w:rPr>
        <w:t>5</w:t>
      </w:r>
      <w:r>
        <w:rPr>
          <w:rFonts w:hint="eastAsia" w:ascii="仿宋" w:hAnsi="仿宋" w:eastAsia="仿宋" w:cs="仿宋"/>
          <w:color w:val="auto"/>
          <w:sz w:val="24"/>
          <w:szCs w:val="24"/>
          <w:highlight w:val="none"/>
        </w:rPr>
        <w:t>.2.7接受行业监管，服从社会公共利益，履行对社会公益性事业所应尽的义务和服务；</w:t>
      </w:r>
    </w:p>
    <w:p w14:paraId="6591777F">
      <w:pPr>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cs="仿宋"/>
          <w:color w:val="auto"/>
          <w:sz w:val="24"/>
          <w:szCs w:val="24"/>
          <w:highlight w:val="none"/>
          <w:lang w:val="en-US" w:eastAsia="zh-CN"/>
        </w:rPr>
        <w:t>5</w:t>
      </w:r>
      <w:r>
        <w:rPr>
          <w:rFonts w:hint="eastAsia" w:ascii="仿宋" w:hAnsi="仿宋" w:eastAsia="仿宋" w:cs="仿宋"/>
          <w:color w:val="auto"/>
          <w:sz w:val="24"/>
          <w:szCs w:val="24"/>
          <w:highlight w:val="none"/>
        </w:rPr>
        <w:t>.2.</w:t>
      </w:r>
      <w:r>
        <w:rPr>
          <w:rFonts w:hint="eastAsia" w:ascii="仿宋" w:hAnsi="仿宋" w:cs="仿宋"/>
          <w:color w:val="auto"/>
          <w:sz w:val="24"/>
          <w:szCs w:val="24"/>
          <w:highlight w:val="none"/>
          <w:lang w:val="en-US" w:eastAsia="zh-CN"/>
        </w:rPr>
        <w:t>8</w:t>
      </w:r>
      <w:r>
        <w:rPr>
          <w:rFonts w:hint="eastAsia" w:ascii="仿宋" w:hAnsi="仿宋" w:eastAsia="仿宋" w:cs="仿宋"/>
          <w:color w:val="auto"/>
          <w:sz w:val="24"/>
          <w:szCs w:val="24"/>
          <w:highlight w:val="none"/>
          <w:lang w:eastAsia="zh-CN"/>
        </w:rPr>
        <w:t>承包人</w:t>
      </w:r>
      <w:r>
        <w:rPr>
          <w:rFonts w:hint="eastAsia" w:ascii="仿宋" w:hAnsi="仿宋" w:eastAsia="仿宋" w:cs="仿宋"/>
          <w:color w:val="auto"/>
          <w:sz w:val="24"/>
          <w:szCs w:val="24"/>
          <w:highlight w:val="none"/>
        </w:rPr>
        <w:t>应对职能部门在任何时候对</w:t>
      </w:r>
      <w:r>
        <w:rPr>
          <w:rFonts w:hint="eastAsia" w:ascii="仿宋" w:hAnsi="仿宋" w:eastAsia="仿宋" w:cs="仿宋"/>
          <w:color w:val="auto"/>
          <w:sz w:val="24"/>
          <w:szCs w:val="24"/>
          <w:highlight w:val="none"/>
          <w:lang w:eastAsia="zh-CN"/>
        </w:rPr>
        <w:t>承包人</w:t>
      </w:r>
      <w:r>
        <w:rPr>
          <w:rFonts w:hint="eastAsia" w:ascii="仿宋" w:hAnsi="仿宋" w:eastAsia="仿宋" w:cs="仿宋"/>
          <w:color w:val="auto"/>
          <w:sz w:val="24"/>
          <w:szCs w:val="24"/>
          <w:highlight w:val="none"/>
        </w:rPr>
        <w:t>的检测程序、仪器、设备和结果进行检查和检测提供协助。</w:t>
      </w:r>
    </w:p>
    <w:p w14:paraId="182A7FEA">
      <w:pPr>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cs="仿宋"/>
          <w:color w:val="auto"/>
          <w:sz w:val="24"/>
          <w:szCs w:val="24"/>
          <w:highlight w:val="none"/>
          <w:lang w:val="en-US" w:eastAsia="zh-CN"/>
        </w:rPr>
        <w:t>5</w:t>
      </w:r>
      <w:r>
        <w:rPr>
          <w:rFonts w:hint="eastAsia" w:ascii="仿宋" w:hAnsi="仿宋" w:eastAsia="仿宋" w:cs="仿宋"/>
          <w:color w:val="auto"/>
          <w:sz w:val="24"/>
          <w:szCs w:val="24"/>
          <w:highlight w:val="none"/>
        </w:rPr>
        <w:t>.2.</w:t>
      </w:r>
      <w:r>
        <w:rPr>
          <w:rFonts w:hint="eastAsia" w:ascii="仿宋" w:hAnsi="仿宋" w:cs="仿宋"/>
          <w:color w:val="auto"/>
          <w:sz w:val="24"/>
          <w:szCs w:val="24"/>
          <w:highlight w:val="none"/>
          <w:lang w:val="en-US" w:eastAsia="zh-CN"/>
        </w:rPr>
        <w:t>9</w:t>
      </w:r>
      <w:r>
        <w:rPr>
          <w:rFonts w:hint="eastAsia" w:ascii="仿宋" w:hAnsi="仿宋" w:eastAsia="仿宋" w:cs="仿宋"/>
          <w:color w:val="auto"/>
          <w:sz w:val="24"/>
          <w:szCs w:val="24"/>
          <w:highlight w:val="none"/>
        </w:rPr>
        <w:t>在约定的委托运营期间，</w:t>
      </w:r>
      <w:r>
        <w:rPr>
          <w:rFonts w:hint="eastAsia" w:ascii="仿宋" w:hAnsi="仿宋" w:eastAsia="仿宋" w:cs="仿宋"/>
          <w:color w:val="auto"/>
          <w:sz w:val="24"/>
          <w:szCs w:val="24"/>
          <w:highlight w:val="none"/>
          <w:lang w:eastAsia="zh-CN"/>
        </w:rPr>
        <w:t>承包人</w:t>
      </w:r>
      <w:r>
        <w:rPr>
          <w:rFonts w:hint="eastAsia" w:ascii="仿宋" w:hAnsi="仿宋" w:eastAsia="仿宋" w:cs="仿宋"/>
          <w:color w:val="auto"/>
          <w:sz w:val="24"/>
          <w:szCs w:val="24"/>
          <w:highlight w:val="none"/>
        </w:rPr>
        <w:t>应对项目的安全生产负责。</w:t>
      </w:r>
    </w:p>
    <w:p w14:paraId="66CDA88D">
      <w:pPr>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cs="仿宋"/>
          <w:color w:val="auto"/>
          <w:sz w:val="24"/>
          <w:szCs w:val="24"/>
          <w:highlight w:val="none"/>
          <w:lang w:val="en-US" w:eastAsia="zh-CN"/>
        </w:rPr>
        <w:t>5</w:t>
      </w:r>
      <w:r>
        <w:rPr>
          <w:rFonts w:hint="eastAsia" w:ascii="仿宋" w:hAnsi="仿宋" w:eastAsia="仿宋" w:cs="仿宋"/>
          <w:color w:val="auto"/>
          <w:sz w:val="24"/>
          <w:szCs w:val="24"/>
          <w:highlight w:val="none"/>
        </w:rPr>
        <w:t>.2.1</w:t>
      </w:r>
      <w:r>
        <w:rPr>
          <w:rFonts w:hint="eastAsia" w:ascii="仿宋" w:hAnsi="仿宋" w:cs="仿宋"/>
          <w:color w:val="auto"/>
          <w:sz w:val="24"/>
          <w:szCs w:val="24"/>
          <w:highlight w:val="none"/>
          <w:lang w:val="en-US" w:eastAsia="zh-CN"/>
        </w:rPr>
        <w:t>0</w:t>
      </w:r>
      <w:r>
        <w:rPr>
          <w:rFonts w:hint="eastAsia" w:ascii="仿宋" w:hAnsi="仿宋" w:eastAsia="仿宋" w:cs="仿宋"/>
          <w:color w:val="auto"/>
          <w:sz w:val="24"/>
          <w:szCs w:val="24"/>
          <w:highlight w:val="none"/>
          <w:lang w:eastAsia="zh-CN"/>
        </w:rPr>
        <w:t>承包人</w:t>
      </w:r>
      <w:r>
        <w:rPr>
          <w:rFonts w:hint="eastAsia" w:ascii="仿宋" w:hAnsi="仿宋" w:eastAsia="仿宋" w:cs="仿宋"/>
          <w:color w:val="auto"/>
          <w:sz w:val="24"/>
          <w:szCs w:val="24"/>
          <w:highlight w:val="none"/>
        </w:rPr>
        <w:t>在受托期内不得出现偷排污水等违法行为。</w:t>
      </w:r>
    </w:p>
    <w:p w14:paraId="21D29191">
      <w:pPr>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cs="仿宋"/>
          <w:color w:val="auto"/>
          <w:sz w:val="24"/>
          <w:szCs w:val="24"/>
          <w:highlight w:val="none"/>
          <w:lang w:val="en-US" w:eastAsia="zh-CN"/>
        </w:rPr>
        <w:t>5</w:t>
      </w:r>
      <w:r>
        <w:rPr>
          <w:rFonts w:hint="eastAsia" w:ascii="仿宋" w:hAnsi="仿宋" w:eastAsia="仿宋" w:cs="仿宋"/>
          <w:color w:val="auto"/>
          <w:sz w:val="24"/>
          <w:szCs w:val="24"/>
          <w:highlight w:val="none"/>
        </w:rPr>
        <w:t>.2.1</w:t>
      </w:r>
      <w:r>
        <w:rPr>
          <w:rFonts w:hint="eastAsia" w:ascii="仿宋" w:hAnsi="仿宋" w:cs="仿宋"/>
          <w:color w:val="auto"/>
          <w:sz w:val="24"/>
          <w:szCs w:val="24"/>
          <w:highlight w:val="none"/>
          <w:lang w:val="en-US" w:eastAsia="zh-CN"/>
        </w:rPr>
        <w:t>1</w:t>
      </w:r>
      <w:r>
        <w:rPr>
          <w:rFonts w:hint="eastAsia" w:ascii="仿宋" w:hAnsi="仿宋" w:eastAsia="仿宋" w:cs="仿宋"/>
          <w:color w:val="auto"/>
          <w:sz w:val="24"/>
          <w:szCs w:val="24"/>
          <w:highlight w:val="none"/>
        </w:rPr>
        <w:t>从事本项目运营管理人员日常作业时，</w:t>
      </w:r>
      <w:r>
        <w:rPr>
          <w:rFonts w:hint="eastAsia" w:ascii="仿宋" w:hAnsi="仿宋" w:eastAsia="仿宋" w:cs="仿宋"/>
          <w:color w:val="auto"/>
          <w:sz w:val="24"/>
          <w:szCs w:val="24"/>
          <w:highlight w:val="none"/>
          <w:lang w:eastAsia="zh-CN"/>
        </w:rPr>
        <w:t>承包人</w:t>
      </w:r>
      <w:r>
        <w:rPr>
          <w:rFonts w:hint="eastAsia" w:ascii="仿宋" w:hAnsi="仿宋" w:eastAsia="仿宋" w:cs="仿宋"/>
          <w:color w:val="auto"/>
          <w:sz w:val="24"/>
          <w:szCs w:val="24"/>
          <w:highlight w:val="none"/>
        </w:rPr>
        <w:t>应配置安全作业的工具和使用劳动保护产品。</w:t>
      </w:r>
    </w:p>
    <w:p w14:paraId="5407B722">
      <w:pPr>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cs="仿宋"/>
          <w:color w:val="auto"/>
          <w:sz w:val="24"/>
          <w:szCs w:val="24"/>
          <w:highlight w:val="none"/>
          <w:lang w:val="en-US" w:eastAsia="zh-CN"/>
        </w:rPr>
        <w:t>5</w:t>
      </w:r>
      <w:r>
        <w:rPr>
          <w:rFonts w:hint="eastAsia" w:ascii="仿宋" w:hAnsi="仿宋" w:eastAsia="仿宋" w:cs="仿宋"/>
          <w:color w:val="auto"/>
          <w:sz w:val="24"/>
          <w:szCs w:val="24"/>
          <w:highlight w:val="none"/>
        </w:rPr>
        <w:t>.2.1</w:t>
      </w:r>
      <w:r>
        <w:rPr>
          <w:rFonts w:hint="eastAsia" w:ascii="仿宋" w:hAnsi="仿宋" w:cs="仿宋"/>
          <w:color w:val="auto"/>
          <w:sz w:val="24"/>
          <w:szCs w:val="24"/>
          <w:highlight w:val="none"/>
          <w:lang w:val="en-US" w:eastAsia="zh-CN"/>
        </w:rPr>
        <w:t>2</w:t>
      </w:r>
      <w:r>
        <w:rPr>
          <w:rFonts w:hint="eastAsia" w:ascii="仿宋" w:hAnsi="仿宋" w:eastAsia="仿宋" w:cs="仿宋"/>
          <w:color w:val="auto"/>
          <w:sz w:val="24"/>
          <w:szCs w:val="24"/>
          <w:highlight w:val="none"/>
        </w:rPr>
        <w:t>运营人员在上岗前由</w:t>
      </w:r>
      <w:r>
        <w:rPr>
          <w:rFonts w:hint="eastAsia" w:ascii="仿宋" w:hAnsi="仿宋" w:eastAsia="仿宋" w:cs="仿宋"/>
          <w:color w:val="auto"/>
          <w:sz w:val="24"/>
          <w:szCs w:val="24"/>
          <w:highlight w:val="none"/>
          <w:lang w:eastAsia="zh-CN"/>
        </w:rPr>
        <w:t>承包人</w:t>
      </w:r>
      <w:r>
        <w:rPr>
          <w:rFonts w:hint="eastAsia" w:ascii="仿宋" w:hAnsi="仿宋" w:eastAsia="仿宋" w:cs="仿宋"/>
          <w:color w:val="auto"/>
          <w:sz w:val="24"/>
          <w:szCs w:val="24"/>
          <w:highlight w:val="none"/>
        </w:rPr>
        <w:t>组织在有资质的医院进行体检，确保上岗人员身体健康情况满足岗位要求，如</w:t>
      </w:r>
      <w:r>
        <w:rPr>
          <w:rFonts w:hint="eastAsia" w:ascii="仿宋" w:hAnsi="仿宋" w:eastAsia="仿宋" w:cs="仿宋"/>
          <w:color w:val="auto"/>
          <w:sz w:val="24"/>
          <w:szCs w:val="24"/>
          <w:highlight w:val="none"/>
          <w:lang w:eastAsia="zh-CN"/>
        </w:rPr>
        <w:t>承包人</w:t>
      </w:r>
      <w:r>
        <w:rPr>
          <w:rFonts w:hint="eastAsia" w:ascii="仿宋" w:hAnsi="仿宋" w:eastAsia="仿宋" w:cs="仿宋"/>
          <w:color w:val="auto"/>
          <w:sz w:val="24"/>
          <w:szCs w:val="24"/>
          <w:highlight w:val="none"/>
        </w:rPr>
        <w:t>遗漏体检项目，未根据体检情况分析和健康建议违规用工的，导致人员出现安全事故、环保事故的，引起的相关损失全部由</w:t>
      </w:r>
      <w:r>
        <w:rPr>
          <w:rFonts w:hint="eastAsia" w:ascii="仿宋" w:hAnsi="仿宋" w:eastAsia="仿宋" w:cs="仿宋"/>
          <w:color w:val="auto"/>
          <w:sz w:val="24"/>
          <w:szCs w:val="24"/>
          <w:highlight w:val="none"/>
          <w:lang w:eastAsia="zh-CN"/>
        </w:rPr>
        <w:t>承包人</w:t>
      </w:r>
      <w:r>
        <w:rPr>
          <w:rFonts w:hint="eastAsia" w:ascii="仿宋" w:hAnsi="仿宋" w:eastAsia="仿宋" w:cs="仿宋"/>
          <w:color w:val="auto"/>
          <w:sz w:val="24"/>
          <w:szCs w:val="24"/>
          <w:highlight w:val="none"/>
        </w:rPr>
        <w:t>负责。</w:t>
      </w:r>
    </w:p>
    <w:p w14:paraId="09352771">
      <w:pPr>
        <w:pStyle w:val="5"/>
        <w:jc w:val="left"/>
        <w:rPr>
          <w:rFonts w:hint="eastAsia" w:ascii="仿宋" w:hAnsi="仿宋" w:eastAsia="仿宋" w:cs="仿宋"/>
          <w:color w:val="auto"/>
          <w:highlight w:val="none"/>
        </w:rPr>
      </w:pPr>
      <w:r>
        <w:rPr>
          <w:rFonts w:hint="eastAsia" w:ascii="仿宋" w:hAnsi="仿宋" w:cs="仿宋"/>
          <w:color w:val="auto"/>
          <w:highlight w:val="none"/>
          <w:lang w:val="en-US" w:eastAsia="zh-CN"/>
        </w:rPr>
        <w:t>6</w:t>
      </w:r>
      <w:r>
        <w:rPr>
          <w:rFonts w:hint="eastAsia" w:ascii="仿宋" w:hAnsi="仿宋" w:eastAsia="仿宋" w:cs="仿宋"/>
          <w:color w:val="auto"/>
          <w:highlight w:val="none"/>
        </w:rPr>
        <w:t xml:space="preserve">.项目移交 </w:t>
      </w:r>
    </w:p>
    <w:p w14:paraId="4996BB0A">
      <w:pPr>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cs="仿宋"/>
          <w:color w:val="auto"/>
          <w:sz w:val="24"/>
          <w:szCs w:val="24"/>
          <w:highlight w:val="none"/>
          <w:lang w:val="en-US" w:eastAsia="zh-CN"/>
        </w:rPr>
        <w:t>6</w:t>
      </w:r>
      <w:r>
        <w:rPr>
          <w:rFonts w:hint="eastAsia" w:ascii="仿宋" w:hAnsi="仿宋" w:eastAsia="仿宋" w:cs="仿宋"/>
          <w:color w:val="auto"/>
          <w:sz w:val="24"/>
          <w:szCs w:val="24"/>
          <w:highlight w:val="none"/>
        </w:rPr>
        <w:t xml:space="preserve">.1 移交原则 </w:t>
      </w:r>
    </w:p>
    <w:p w14:paraId="7351D677">
      <w:pPr>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（1）移交准备 </w:t>
      </w:r>
    </w:p>
    <w:p w14:paraId="15B350A2">
      <w:pPr>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项目移交时，</w:t>
      </w:r>
      <w:r>
        <w:rPr>
          <w:rFonts w:hint="eastAsia" w:ascii="仿宋" w:hAnsi="仿宋" w:eastAsia="仿宋" w:cs="仿宋"/>
          <w:color w:val="auto"/>
          <w:sz w:val="24"/>
          <w:szCs w:val="24"/>
          <w:highlight w:val="none"/>
          <w:lang w:eastAsia="zh-CN"/>
        </w:rPr>
        <w:t>发包人</w:t>
      </w:r>
      <w:r>
        <w:rPr>
          <w:rFonts w:hint="eastAsia" w:ascii="仿宋" w:hAnsi="仿宋" w:eastAsia="仿宋" w:cs="仿宋"/>
          <w:color w:val="auto"/>
          <w:sz w:val="24"/>
          <w:szCs w:val="24"/>
          <w:highlight w:val="none"/>
        </w:rPr>
        <w:t>前期移交和委托运营期满收回项目合同约定的项目设施。合同期满3个月前</w:t>
      </w:r>
      <w:r>
        <w:rPr>
          <w:rFonts w:hint="eastAsia" w:ascii="仿宋" w:hAnsi="仿宋" w:eastAsia="仿宋" w:cs="仿宋"/>
          <w:color w:val="auto"/>
          <w:sz w:val="24"/>
          <w:szCs w:val="24"/>
          <w:highlight w:val="none"/>
          <w:lang w:eastAsia="zh-CN"/>
        </w:rPr>
        <w:t>发包人</w:t>
      </w:r>
      <w:r>
        <w:rPr>
          <w:rFonts w:hint="eastAsia" w:ascii="仿宋" w:hAnsi="仿宋" w:eastAsia="仿宋" w:cs="仿宋"/>
          <w:color w:val="auto"/>
          <w:sz w:val="24"/>
          <w:szCs w:val="24"/>
          <w:highlight w:val="none"/>
        </w:rPr>
        <w:t>组建项目交接工作组，根据项目合同约定与</w:t>
      </w:r>
      <w:r>
        <w:rPr>
          <w:rFonts w:hint="eastAsia" w:ascii="仿宋" w:hAnsi="仿宋" w:eastAsia="仿宋" w:cs="仿宋"/>
          <w:color w:val="auto"/>
          <w:sz w:val="24"/>
          <w:szCs w:val="24"/>
          <w:highlight w:val="none"/>
          <w:lang w:eastAsia="zh-CN"/>
        </w:rPr>
        <w:t>承包人</w:t>
      </w:r>
      <w:r>
        <w:rPr>
          <w:rFonts w:hint="eastAsia" w:ascii="仿宋" w:hAnsi="仿宋" w:eastAsia="仿宋" w:cs="仿宋"/>
          <w:color w:val="auto"/>
          <w:sz w:val="24"/>
          <w:szCs w:val="24"/>
          <w:highlight w:val="none"/>
        </w:rPr>
        <w:t>确认移交情形，制定性能测试方案。</w:t>
      </w:r>
    </w:p>
    <w:p w14:paraId="60123056">
      <w:pPr>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（2）性能测试 </w:t>
      </w:r>
    </w:p>
    <w:p w14:paraId="0D5D273F">
      <w:pPr>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委托运营期满后，项目交接工作组应严格按照性能测试方案和交还标准对交还设施进行性能测试。性能测试结果不达标的，交接工作组应要求</w:t>
      </w:r>
      <w:r>
        <w:rPr>
          <w:rFonts w:hint="eastAsia" w:ascii="仿宋" w:hAnsi="仿宋" w:eastAsia="仿宋" w:cs="仿宋"/>
          <w:color w:val="auto"/>
          <w:sz w:val="24"/>
          <w:szCs w:val="24"/>
          <w:highlight w:val="none"/>
          <w:lang w:eastAsia="zh-CN"/>
        </w:rPr>
        <w:t>承包人</w:t>
      </w:r>
      <w:r>
        <w:rPr>
          <w:rFonts w:hint="eastAsia" w:ascii="仿宋" w:hAnsi="仿宋" w:eastAsia="仿宋" w:cs="仿宋"/>
          <w:color w:val="auto"/>
          <w:sz w:val="24"/>
          <w:szCs w:val="24"/>
          <w:highlight w:val="none"/>
        </w:rPr>
        <w:t>进行恢复性修理、更新重置或提取交还维修保函，</w:t>
      </w:r>
      <w:r>
        <w:rPr>
          <w:rFonts w:hint="eastAsia" w:ascii="仿宋" w:hAnsi="仿宋" w:eastAsia="仿宋" w:cs="仿宋"/>
          <w:color w:val="auto"/>
          <w:sz w:val="24"/>
          <w:szCs w:val="24"/>
          <w:highlight w:val="none"/>
          <w:lang w:eastAsia="zh-CN"/>
        </w:rPr>
        <w:t>承包人</w:t>
      </w:r>
      <w:r>
        <w:rPr>
          <w:rFonts w:hint="eastAsia" w:ascii="仿宋" w:hAnsi="仿宋" w:eastAsia="仿宋" w:cs="仿宋"/>
          <w:color w:val="auto"/>
          <w:sz w:val="24"/>
          <w:szCs w:val="24"/>
          <w:highlight w:val="none"/>
        </w:rPr>
        <w:t>应当在</w:t>
      </w:r>
      <w:r>
        <w:rPr>
          <w:rFonts w:hint="eastAsia" w:ascii="仿宋" w:hAnsi="仿宋" w:eastAsia="仿宋" w:cs="仿宋"/>
          <w:color w:val="auto"/>
          <w:sz w:val="24"/>
          <w:szCs w:val="24"/>
          <w:highlight w:val="none"/>
          <w:lang w:eastAsia="zh-CN"/>
        </w:rPr>
        <w:t>发包人</w:t>
      </w:r>
      <w:r>
        <w:rPr>
          <w:rFonts w:hint="eastAsia" w:ascii="仿宋" w:hAnsi="仿宋" w:eastAsia="仿宋" w:cs="仿宋"/>
          <w:color w:val="auto"/>
          <w:sz w:val="24"/>
          <w:szCs w:val="24"/>
          <w:highlight w:val="none"/>
        </w:rPr>
        <w:t>许可时间期限内负责补全、维修或更新。</w:t>
      </w:r>
    </w:p>
    <w:p w14:paraId="2EE36E38">
      <w:pPr>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（3）资产处置和交割 </w:t>
      </w:r>
    </w:p>
    <w:p w14:paraId="6875D3C5">
      <w:pPr>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承包人</w:t>
      </w:r>
      <w:r>
        <w:rPr>
          <w:rFonts w:hint="eastAsia" w:ascii="仿宋" w:hAnsi="仿宋" w:eastAsia="仿宋" w:cs="仿宋"/>
          <w:color w:val="auto"/>
          <w:sz w:val="24"/>
          <w:szCs w:val="24"/>
          <w:highlight w:val="none"/>
        </w:rPr>
        <w:t>应将满足性能测试要求的项目设施交还</w:t>
      </w:r>
      <w:r>
        <w:rPr>
          <w:rFonts w:hint="eastAsia" w:ascii="仿宋" w:hAnsi="仿宋" w:eastAsia="仿宋" w:cs="仿宋"/>
          <w:color w:val="auto"/>
          <w:sz w:val="24"/>
          <w:szCs w:val="24"/>
          <w:highlight w:val="none"/>
          <w:lang w:eastAsia="zh-CN"/>
        </w:rPr>
        <w:t>发包人</w:t>
      </w:r>
      <w:r>
        <w:rPr>
          <w:rFonts w:hint="eastAsia" w:ascii="仿宋" w:hAnsi="仿宋" w:eastAsia="仿宋" w:cs="仿宋"/>
          <w:color w:val="auto"/>
          <w:sz w:val="24"/>
          <w:szCs w:val="24"/>
          <w:highlight w:val="none"/>
        </w:rPr>
        <w:t>，办妥管理权交还手续。</w:t>
      </w:r>
      <w:r>
        <w:rPr>
          <w:rFonts w:hint="eastAsia" w:ascii="仿宋" w:hAnsi="仿宋" w:eastAsia="仿宋" w:cs="仿宋"/>
          <w:color w:val="auto"/>
          <w:sz w:val="24"/>
          <w:szCs w:val="24"/>
          <w:highlight w:val="none"/>
          <w:lang w:eastAsia="zh-CN"/>
        </w:rPr>
        <w:t>承包人</w:t>
      </w:r>
      <w:r>
        <w:rPr>
          <w:rFonts w:hint="eastAsia" w:ascii="仿宋" w:hAnsi="仿宋" w:eastAsia="仿宋" w:cs="仿宋"/>
          <w:color w:val="auto"/>
          <w:sz w:val="24"/>
          <w:szCs w:val="24"/>
          <w:highlight w:val="none"/>
        </w:rPr>
        <w:t xml:space="preserve">应配合做好项目运营平稳过渡相关工作。 </w:t>
      </w:r>
    </w:p>
    <w:p w14:paraId="79651146">
      <w:pPr>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（4）双方应于本条款签订后30个工作日内完成正式移交工作，以移交小组书面确认日期为移交完成日期。</w:t>
      </w:r>
    </w:p>
    <w:p w14:paraId="3E0D4FF1">
      <w:pPr>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cs="仿宋"/>
          <w:color w:val="auto"/>
          <w:sz w:val="24"/>
          <w:szCs w:val="24"/>
          <w:highlight w:val="none"/>
          <w:lang w:val="en-US" w:eastAsia="zh-CN"/>
        </w:rPr>
        <w:t>6</w:t>
      </w:r>
      <w:r>
        <w:rPr>
          <w:rFonts w:hint="eastAsia" w:ascii="仿宋" w:hAnsi="仿宋" w:eastAsia="仿宋" w:cs="仿宋"/>
          <w:color w:val="auto"/>
          <w:sz w:val="24"/>
          <w:szCs w:val="24"/>
          <w:highlight w:val="none"/>
        </w:rPr>
        <w:t xml:space="preserve">.2 项目运营前期移交 </w:t>
      </w:r>
    </w:p>
    <w:p w14:paraId="6A85BC87">
      <w:pPr>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项目前期交接，是指</w:t>
      </w:r>
      <w:r>
        <w:rPr>
          <w:rFonts w:hint="eastAsia" w:ascii="仿宋" w:hAnsi="仿宋" w:eastAsia="仿宋" w:cs="仿宋"/>
          <w:color w:val="auto"/>
          <w:sz w:val="24"/>
          <w:szCs w:val="24"/>
          <w:highlight w:val="none"/>
          <w:lang w:eastAsia="zh-CN"/>
        </w:rPr>
        <w:t>发包人</w:t>
      </w:r>
      <w:r>
        <w:rPr>
          <w:rFonts w:hint="eastAsia" w:ascii="仿宋" w:hAnsi="仿宋" w:eastAsia="仿宋" w:cs="仿宋"/>
          <w:color w:val="auto"/>
          <w:sz w:val="24"/>
          <w:szCs w:val="24"/>
          <w:highlight w:val="none"/>
        </w:rPr>
        <w:t>针对前期（建设期、试运营期或调试期间）工作所形成的资产、与运营相关的资料等，依据项目合同的约定向</w:t>
      </w:r>
      <w:r>
        <w:rPr>
          <w:rFonts w:hint="eastAsia" w:ascii="仿宋" w:hAnsi="仿宋" w:eastAsia="仿宋" w:cs="仿宋"/>
          <w:color w:val="auto"/>
          <w:sz w:val="24"/>
          <w:szCs w:val="24"/>
          <w:highlight w:val="none"/>
          <w:lang w:eastAsia="zh-CN"/>
        </w:rPr>
        <w:t>承包人</w:t>
      </w:r>
      <w:r>
        <w:rPr>
          <w:rFonts w:hint="eastAsia" w:ascii="仿宋" w:hAnsi="仿宋" w:eastAsia="仿宋" w:cs="仿宋"/>
          <w:color w:val="auto"/>
          <w:sz w:val="24"/>
          <w:szCs w:val="24"/>
          <w:highlight w:val="none"/>
        </w:rPr>
        <w:t xml:space="preserve">移交。 </w:t>
      </w:r>
    </w:p>
    <w:p w14:paraId="0DABE685">
      <w:pPr>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发包人</w:t>
      </w:r>
      <w:r>
        <w:rPr>
          <w:rFonts w:hint="eastAsia" w:ascii="仿宋" w:hAnsi="仿宋" w:eastAsia="仿宋" w:cs="仿宋"/>
          <w:color w:val="auto"/>
          <w:sz w:val="24"/>
          <w:szCs w:val="24"/>
          <w:highlight w:val="none"/>
        </w:rPr>
        <w:t>作为本项目的业主方，主导与本项目运营前期相关的工作内容，主要包括协调完成项目前期各类审批文件的审批及其他前期工作。</w:t>
      </w:r>
      <w:r>
        <w:rPr>
          <w:rFonts w:hint="eastAsia" w:ascii="仿宋" w:hAnsi="仿宋" w:eastAsia="仿宋" w:cs="仿宋"/>
          <w:color w:val="auto"/>
          <w:sz w:val="24"/>
          <w:szCs w:val="24"/>
          <w:highlight w:val="none"/>
          <w:lang w:eastAsia="zh-CN"/>
        </w:rPr>
        <w:t>承包人</w:t>
      </w:r>
      <w:r>
        <w:rPr>
          <w:rFonts w:hint="eastAsia" w:ascii="仿宋" w:hAnsi="仿宋" w:eastAsia="仿宋" w:cs="仿宋"/>
          <w:color w:val="auto"/>
          <w:sz w:val="24"/>
          <w:szCs w:val="24"/>
          <w:highlight w:val="none"/>
        </w:rPr>
        <w:t>作为本项目运营主体进行运营前期组织、指导、协调。</w:t>
      </w:r>
    </w:p>
    <w:p w14:paraId="7893E144">
      <w:pPr>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（1）交接范围 </w:t>
      </w:r>
    </w:p>
    <w:p w14:paraId="1B4D2E54">
      <w:pPr>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①所涉及项目已完成前期工作所对应的行政审批文件资料；</w:t>
      </w:r>
    </w:p>
    <w:p w14:paraId="236BE9AB">
      <w:pPr>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②所涉及项目已签订的前期批复文件和设计成果文件，包括但不限于勘察设计资料、环评报告及批复、安评报告及批复、环保验收文件、排污许可证等项目合法合规手续（规划、报建、环保、消防、安全等方面政府官方文件）项目正常运营维护相关的所有机械、设备、装置、备品备件，运营所需办公设施等；项目竣工验收的相关图纸、资料、施工图纸、资料；项目相关设施性能检测验收资料，及机械设备制造商提供的说明手册和指导等文件资料（移交清单）； </w:t>
      </w:r>
    </w:p>
    <w:p w14:paraId="3076EE9B">
      <w:pPr>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③已支出投资成本和现有运营商的财务凭证； </w:t>
      </w:r>
    </w:p>
    <w:p w14:paraId="67B2D7C4">
      <w:pPr>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④其他必要的交接资料（运营商设备合同、委托运营合同、人员工资等、设备清单、运营记录、运行数据等）。 </w:t>
      </w:r>
    </w:p>
    <w:p w14:paraId="240C862C">
      <w:pPr>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fldChar w:fldCharType="begin"/>
      </w:r>
      <w:r>
        <w:rPr>
          <w:rFonts w:hint="eastAsia" w:ascii="仿宋" w:hAnsi="仿宋" w:eastAsia="仿宋" w:cs="仿宋"/>
          <w:color w:val="auto"/>
          <w:sz w:val="24"/>
          <w:szCs w:val="24"/>
          <w:highlight w:val="none"/>
        </w:rPr>
        <w:instrText xml:space="preserve"> = 5 \* GB3 \* MERGEFORMAT </w:instrText>
      </w:r>
      <w:r>
        <w:rPr>
          <w:rFonts w:hint="eastAsia" w:ascii="仿宋" w:hAnsi="仿宋" w:eastAsia="仿宋" w:cs="仿宋"/>
          <w:color w:val="auto"/>
          <w:sz w:val="24"/>
          <w:szCs w:val="24"/>
          <w:highlight w:val="none"/>
        </w:rPr>
        <w:fldChar w:fldCharType="separate"/>
      </w:r>
      <w:r>
        <w:rPr>
          <w:rFonts w:hint="eastAsia" w:ascii="仿宋" w:hAnsi="仿宋" w:eastAsia="仿宋" w:cs="仿宋"/>
          <w:color w:val="auto"/>
          <w:sz w:val="24"/>
          <w:szCs w:val="24"/>
          <w:highlight w:val="none"/>
        </w:rPr>
        <w:t>⑤</w:t>
      </w:r>
      <w:r>
        <w:rPr>
          <w:rFonts w:hint="eastAsia" w:ascii="仿宋" w:hAnsi="仿宋" w:eastAsia="仿宋" w:cs="仿宋"/>
          <w:color w:val="auto"/>
          <w:sz w:val="24"/>
          <w:szCs w:val="24"/>
          <w:highlight w:val="none"/>
        </w:rPr>
        <w:fldChar w:fldCharType="end"/>
      </w:r>
      <w:r>
        <w:rPr>
          <w:rFonts w:hint="eastAsia" w:ascii="仿宋" w:hAnsi="仿宋" w:eastAsia="仿宋" w:cs="仿宋"/>
          <w:color w:val="auto"/>
          <w:sz w:val="24"/>
          <w:szCs w:val="24"/>
          <w:highlight w:val="none"/>
        </w:rPr>
        <w:t>移交</w:t>
      </w:r>
      <w:r>
        <w:rPr>
          <w:rFonts w:hint="eastAsia" w:ascii="仿宋" w:hAnsi="仿宋" w:eastAsia="仿宋" w:cs="仿宋"/>
          <w:color w:val="auto"/>
          <w:sz w:val="24"/>
          <w:szCs w:val="24"/>
          <w:highlight w:val="none"/>
          <w:lang w:eastAsia="zh-CN"/>
        </w:rPr>
        <w:t>承包人</w:t>
      </w:r>
      <w:r>
        <w:rPr>
          <w:rFonts w:hint="eastAsia" w:ascii="仿宋" w:hAnsi="仿宋" w:eastAsia="仿宋" w:cs="仿宋"/>
          <w:color w:val="auto"/>
          <w:sz w:val="24"/>
          <w:szCs w:val="24"/>
          <w:highlight w:val="none"/>
        </w:rPr>
        <w:t>人员，包括不限于</w:t>
      </w:r>
      <w:r>
        <w:rPr>
          <w:rFonts w:hint="eastAsia" w:ascii="仿宋" w:hAnsi="仿宋" w:eastAsia="仿宋" w:cs="仿宋"/>
          <w:color w:val="auto"/>
          <w:sz w:val="24"/>
          <w:szCs w:val="24"/>
          <w:highlight w:val="none"/>
          <w:lang w:eastAsia="zh-CN"/>
        </w:rPr>
        <w:t>承包人</w:t>
      </w:r>
      <w:r>
        <w:rPr>
          <w:rFonts w:hint="eastAsia" w:ascii="仿宋" w:hAnsi="仿宋" w:eastAsia="仿宋" w:cs="仿宋"/>
          <w:color w:val="auto"/>
          <w:sz w:val="24"/>
          <w:szCs w:val="24"/>
          <w:highlight w:val="none"/>
        </w:rPr>
        <w:t>运营人员的档案、合同，工资信息等资料。</w:t>
      </w:r>
    </w:p>
    <w:p w14:paraId="63A05160">
      <w:pPr>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（2）交接标准 </w:t>
      </w:r>
    </w:p>
    <w:p w14:paraId="54F23DA4">
      <w:pPr>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分资料移交和现场交接的部分，按现状移交，以交接单双方签收为准。</w:t>
      </w:r>
    </w:p>
    <w:p w14:paraId="18A5F66A">
      <w:pPr>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（3）交接程序 </w:t>
      </w:r>
    </w:p>
    <w:p w14:paraId="152175F4">
      <w:pPr>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①</w:t>
      </w:r>
      <w:r>
        <w:rPr>
          <w:rFonts w:hint="eastAsia" w:ascii="仿宋" w:hAnsi="仿宋" w:eastAsia="仿宋" w:cs="仿宋"/>
          <w:color w:val="auto"/>
          <w:sz w:val="24"/>
          <w:szCs w:val="24"/>
          <w:highlight w:val="none"/>
          <w:lang w:eastAsia="zh-CN"/>
        </w:rPr>
        <w:t>发包人</w:t>
      </w:r>
      <w:r>
        <w:rPr>
          <w:rFonts w:hint="eastAsia" w:ascii="仿宋" w:hAnsi="仿宋" w:eastAsia="仿宋" w:cs="仿宋"/>
          <w:color w:val="auto"/>
          <w:sz w:val="24"/>
          <w:szCs w:val="24"/>
          <w:highlight w:val="none"/>
        </w:rPr>
        <w:t>与</w:t>
      </w:r>
      <w:r>
        <w:rPr>
          <w:rFonts w:hint="eastAsia" w:ascii="仿宋" w:hAnsi="仿宋" w:eastAsia="仿宋" w:cs="仿宋"/>
          <w:color w:val="auto"/>
          <w:sz w:val="24"/>
          <w:szCs w:val="24"/>
          <w:highlight w:val="none"/>
          <w:lang w:eastAsia="zh-CN"/>
        </w:rPr>
        <w:t>承包人</w:t>
      </w:r>
      <w:r>
        <w:rPr>
          <w:rFonts w:hint="eastAsia" w:ascii="仿宋" w:hAnsi="仿宋" w:eastAsia="仿宋" w:cs="仿宋"/>
          <w:color w:val="auto"/>
          <w:sz w:val="24"/>
          <w:szCs w:val="24"/>
          <w:highlight w:val="none"/>
        </w:rPr>
        <w:t xml:space="preserve">已签署委托运营合作协议； </w:t>
      </w:r>
    </w:p>
    <w:p w14:paraId="5FE671C9">
      <w:pPr>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②</w:t>
      </w:r>
      <w:r>
        <w:rPr>
          <w:rFonts w:hint="eastAsia" w:ascii="仿宋" w:hAnsi="仿宋" w:eastAsia="仿宋" w:cs="仿宋"/>
          <w:color w:val="auto"/>
          <w:sz w:val="24"/>
          <w:szCs w:val="24"/>
          <w:highlight w:val="none"/>
          <w:lang w:eastAsia="zh-CN"/>
        </w:rPr>
        <w:t>发包人</w:t>
      </w:r>
      <w:r>
        <w:rPr>
          <w:rFonts w:hint="eastAsia" w:ascii="仿宋" w:hAnsi="仿宋" w:eastAsia="仿宋" w:cs="仿宋"/>
          <w:color w:val="auto"/>
          <w:sz w:val="24"/>
          <w:szCs w:val="24"/>
          <w:highlight w:val="none"/>
        </w:rPr>
        <w:t>应在正式运营期前2个月内，整理对待交接文档资料，编制交接清单，甲乙双方移交工作小组根据移交清单，在交接过程中按交接清单逐一核对。</w:t>
      </w:r>
    </w:p>
    <w:p w14:paraId="3BB8ED8C">
      <w:pPr>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③确认无误签署交接确认书； </w:t>
      </w:r>
    </w:p>
    <w:p w14:paraId="4A3F6C3C">
      <w:pPr>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④交接过程中发生的费用由甲乙双方共同承担。 </w:t>
      </w:r>
    </w:p>
    <w:p w14:paraId="35FF887F">
      <w:pPr>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（4）交接责任 </w:t>
      </w:r>
    </w:p>
    <w:p w14:paraId="7D06D609">
      <w:pPr>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移交过程中，如发现资料不全的，</w:t>
      </w:r>
      <w:r>
        <w:rPr>
          <w:rFonts w:hint="eastAsia" w:ascii="仿宋" w:hAnsi="仿宋" w:eastAsia="仿宋" w:cs="仿宋"/>
          <w:color w:val="auto"/>
          <w:sz w:val="24"/>
          <w:szCs w:val="24"/>
          <w:highlight w:val="none"/>
          <w:lang w:eastAsia="zh-CN"/>
        </w:rPr>
        <w:t>发包人</w:t>
      </w:r>
      <w:r>
        <w:rPr>
          <w:rFonts w:hint="eastAsia" w:ascii="仿宋" w:hAnsi="仿宋" w:eastAsia="仿宋" w:cs="仿宋"/>
          <w:color w:val="auto"/>
          <w:sz w:val="24"/>
          <w:szCs w:val="24"/>
          <w:highlight w:val="none"/>
        </w:rPr>
        <w:t>应在双方约定的时间内负责补全，</w:t>
      </w:r>
      <w:r>
        <w:rPr>
          <w:rFonts w:hint="eastAsia" w:ascii="仿宋" w:hAnsi="仿宋" w:eastAsia="仿宋" w:cs="仿宋"/>
          <w:color w:val="auto"/>
          <w:sz w:val="24"/>
          <w:szCs w:val="24"/>
          <w:highlight w:val="none"/>
          <w:lang w:eastAsia="zh-CN"/>
        </w:rPr>
        <w:t>承包人</w:t>
      </w:r>
      <w:r>
        <w:rPr>
          <w:rFonts w:hint="eastAsia" w:ascii="仿宋" w:hAnsi="仿宋" w:eastAsia="仿宋" w:cs="仿宋"/>
          <w:color w:val="auto"/>
          <w:sz w:val="24"/>
          <w:szCs w:val="24"/>
          <w:highlight w:val="none"/>
        </w:rPr>
        <w:t>予以协助。</w:t>
      </w:r>
    </w:p>
    <w:p w14:paraId="16E76D11">
      <w:pPr>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cs="仿宋"/>
          <w:color w:val="auto"/>
          <w:sz w:val="24"/>
          <w:szCs w:val="24"/>
          <w:highlight w:val="none"/>
          <w:lang w:val="en-US" w:eastAsia="zh-CN"/>
        </w:rPr>
        <w:t>6</w:t>
      </w:r>
      <w:r>
        <w:rPr>
          <w:rFonts w:hint="eastAsia" w:ascii="仿宋" w:hAnsi="仿宋" w:eastAsia="仿宋" w:cs="仿宋"/>
          <w:color w:val="auto"/>
          <w:sz w:val="24"/>
          <w:szCs w:val="24"/>
          <w:highlight w:val="none"/>
        </w:rPr>
        <w:t xml:space="preserve">.3 运营期满交还 </w:t>
      </w:r>
    </w:p>
    <w:p w14:paraId="5D2B03DA">
      <w:pPr>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本项目运营期满后交还，是指</w:t>
      </w:r>
      <w:r>
        <w:rPr>
          <w:rFonts w:hint="eastAsia" w:ascii="仿宋" w:hAnsi="仿宋" w:eastAsia="仿宋" w:cs="仿宋"/>
          <w:color w:val="auto"/>
          <w:sz w:val="24"/>
          <w:szCs w:val="24"/>
          <w:highlight w:val="none"/>
          <w:lang w:eastAsia="zh-CN"/>
        </w:rPr>
        <w:t>承包人</w:t>
      </w:r>
      <w:r>
        <w:rPr>
          <w:rFonts w:hint="eastAsia" w:ascii="仿宋" w:hAnsi="仿宋" w:eastAsia="仿宋" w:cs="仿宋"/>
          <w:color w:val="auto"/>
          <w:sz w:val="24"/>
          <w:szCs w:val="24"/>
          <w:highlight w:val="none"/>
        </w:rPr>
        <w:t>将本项目资产及运营资料向</w:t>
      </w:r>
      <w:r>
        <w:rPr>
          <w:rFonts w:hint="eastAsia" w:ascii="仿宋" w:hAnsi="仿宋" w:eastAsia="仿宋" w:cs="仿宋"/>
          <w:color w:val="auto"/>
          <w:sz w:val="24"/>
          <w:szCs w:val="24"/>
          <w:highlight w:val="none"/>
          <w:lang w:eastAsia="zh-CN"/>
        </w:rPr>
        <w:t>发包人</w:t>
      </w:r>
      <w:r>
        <w:rPr>
          <w:rFonts w:hint="eastAsia" w:ascii="仿宋" w:hAnsi="仿宋" w:eastAsia="仿宋" w:cs="仿宋"/>
          <w:color w:val="auto"/>
          <w:sz w:val="24"/>
          <w:szCs w:val="24"/>
          <w:highlight w:val="none"/>
        </w:rPr>
        <w:t>交还。</w:t>
      </w:r>
      <w:r>
        <w:rPr>
          <w:rFonts w:hint="eastAsia" w:ascii="仿宋" w:hAnsi="仿宋" w:eastAsia="仿宋" w:cs="仿宋"/>
          <w:color w:val="auto"/>
          <w:sz w:val="24"/>
          <w:szCs w:val="24"/>
          <w:highlight w:val="none"/>
          <w:lang w:eastAsia="zh-CN"/>
        </w:rPr>
        <w:t>承包人</w:t>
      </w:r>
      <w:r>
        <w:rPr>
          <w:rFonts w:hint="eastAsia" w:ascii="仿宋" w:hAnsi="仿宋" w:eastAsia="仿宋" w:cs="仿宋"/>
          <w:color w:val="auto"/>
          <w:sz w:val="24"/>
          <w:szCs w:val="24"/>
          <w:highlight w:val="none"/>
        </w:rPr>
        <w:t>根据</w:t>
      </w:r>
      <w:r>
        <w:rPr>
          <w:rFonts w:hint="eastAsia" w:ascii="仿宋" w:hAnsi="仿宋" w:cs="仿宋"/>
          <w:color w:val="auto"/>
          <w:sz w:val="24"/>
          <w:szCs w:val="24"/>
          <w:highlight w:val="none"/>
          <w:lang w:val="en-US" w:eastAsia="zh-CN"/>
        </w:rPr>
        <w:t>6</w:t>
      </w:r>
      <w:r>
        <w:rPr>
          <w:rFonts w:hint="eastAsia" w:ascii="仿宋" w:hAnsi="仿宋" w:eastAsia="仿宋" w:cs="仿宋"/>
          <w:color w:val="auto"/>
          <w:sz w:val="24"/>
          <w:szCs w:val="24"/>
          <w:highlight w:val="none"/>
        </w:rPr>
        <w:t>.2约定，根据移交清单及委托运营运营期间生产运营资料，依据合同约定向</w:t>
      </w:r>
      <w:r>
        <w:rPr>
          <w:rFonts w:hint="eastAsia" w:ascii="仿宋" w:hAnsi="仿宋" w:eastAsia="仿宋" w:cs="仿宋"/>
          <w:color w:val="auto"/>
          <w:sz w:val="24"/>
          <w:szCs w:val="24"/>
          <w:highlight w:val="none"/>
          <w:lang w:eastAsia="zh-CN"/>
        </w:rPr>
        <w:t>发包人</w:t>
      </w:r>
      <w:r>
        <w:rPr>
          <w:rFonts w:hint="eastAsia" w:ascii="仿宋" w:hAnsi="仿宋" w:eastAsia="仿宋" w:cs="仿宋"/>
          <w:color w:val="auto"/>
          <w:sz w:val="24"/>
          <w:szCs w:val="24"/>
          <w:highlight w:val="none"/>
        </w:rPr>
        <w:t xml:space="preserve">移交。 </w:t>
      </w:r>
    </w:p>
    <w:p w14:paraId="72A1B61D">
      <w:pPr>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（1）交还范围 </w:t>
      </w:r>
    </w:p>
    <w:p w14:paraId="6F25EEAA">
      <w:pPr>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①项目前期移交相关文件、运营期内运行数据、记录等相关档案资料文本原件（包含相关电子版资料）； </w:t>
      </w:r>
    </w:p>
    <w:p w14:paraId="17560C1E">
      <w:pPr>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②本项目所包含的全部资产产权，包括但不限于固定资产等，以及这些资产的产权证明文件。</w:t>
      </w:r>
      <w:r>
        <w:rPr>
          <w:rFonts w:hint="eastAsia" w:ascii="仿宋" w:hAnsi="仿宋" w:eastAsia="仿宋" w:cs="仿宋"/>
          <w:color w:val="auto"/>
          <w:sz w:val="24"/>
          <w:szCs w:val="24"/>
          <w:highlight w:val="none"/>
          <w:lang w:eastAsia="zh-CN"/>
        </w:rPr>
        <w:t>承包人</w:t>
      </w:r>
      <w:r>
        <w:rPr>
          <w:rFonts w:hint="eastAsia" w:ascii="仿宋" w:hAnsi="仿宋" w:eastAsia="仿宋" w:cs="仿宋"/>
          <w:color w:val="auto"/>
          <w:sz w:val="24"/>
          <w:szCs w:val="24"/>
          <w:highlight w:val="none"/>
        </w:rPr>
        <w:t>应确保所有资产处于合同约定的状态（如完好、无抵押等），并配合</w:t>
      </w:r>
      <w:r>
        <w:rPr>
          <w:rFonts w:hint="eastAsia" w:ascii="仿宋" w:hAnsi="仿宋" w:eastAsia="仿宋" w:cs="仿宋"/>
          <w:color w:val="auto"/>
          <w:sz w:val="24"/>
          <w:szCs w:val="24"/>
          <w:highlight w:val="none"/>
          <w:lang w:eastAsia="zh-CN"/>
        </w:rPr>
        <w:t>发包人</w:t>
      </w:r>
      <w:r>
        <w:rPr>
          <w:rFonts w:hint="eastAsia" w:ascii="仿宋" w:hAnsi="仿宋" w:eastAsia="仿宋" w:cs="仿宋"/>
          <w:color w:val="auto"/>
          <w:sz w:val="24"/>
          <w:szCs w:val="24"/>
          <w:highlight w:val="none"/>
        </w:rPr>
        <w:t xml:space="preserve">进行资产的盘点和验收。  </w:t>
      </w:r>
    </w:p>
    <w:p w14:paraId="221AE4A4">
      <w:pPr>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（2）交还标准 </w:t>
      </w:r>
    </w:p>
    <w:p w14:paraId="27594801">
      <w:pPr>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全部文档资料均真实、完整、清晰，文档资料包括但不限于前期移交的相关文件、运营期内的运行数据、记录及相关档案资料文本原件及其电子版，文档资料应按照</w:t>
      </w:r>
      <w:r>
        <w:rPr>
          <w:rFonts w:hint="eastAsia" w:ascii="仿宋" w:hAnsi="仿宋" w:eastAsia="仿宋" w:cs="仿宋"/>
          <w:color w:val="auto"/>
          <w:sz w:val="24"/>
          <w:szCs w:val="24"/>
          <w:highlight w:val="none"/>
          <w:lang w:eastAsia="zh-CN"/>
        </w:rPr>
        <w:t>发包人</w:t>
      </w:r>
      <w:r>
        <w:rPr>
          <w:rFonts w:hint="eastAsia" w:ascii="仿宋" w:hAnsi="仿宋" w:eastAsia="仿宋" w:cs="仿宋"/>
          <w:color w:val="auto"/>
          <w:sz w:val="24"/>
          <w:szCs w:val="24"/>
          <w:highlight w:val="none"/>
        </w:rPr>
        <w:t>的要求进行整理和提交，确保其符合法定要求和行业标准；项目资产完好，应经过双方认可的第三方检验机构的检验，并出具合格证明，应证明其符合继续运营标准。</w:t>
      </w:r>
    </w:p>
    <w:p w14:paraId="19759B80">
      <w:pPr>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（3）交还程序 </w:t>
      </w:r>
    </w:p>
    <w:p w14:paraId="7933481C">
      <w:pPr>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①前提条件：项目运营期满； </w:t>
      </w:r>
    </w:p>
    <w:p w14:paraId="25FDA61A">
      <w:pPr>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②</w:t>
      </w:r>
      <w:r>
        <w:rPr>
          <w:rFonts w:hint="eastAsia" w:ascii="仿宋" w:hAnsi="仿宋" w:eastAsia="仿宋" w:cs="仿宋"/>
          <w:color w:val="auto"/>
          <w:sz w:val="24"/>
          <w:szCs w:val="24"/>
          <w:highlight w:val="none"/>
          <w:lang w:eastAsia="zh-CN"/>
        </w:rPr>
        <w:t>承包人</w:t>
      </w:r>
      <w:r>
        <w:rPr>
          <w:rFonts w:hint="eastAsia" w:ascii="仿宋" w:hAnsi="仿宋" w:eastAsia="仿宋" w:cs="仿宋"/>
          <w:color w:val="auto"/>
          <w:sz w:val="24"/>
          <w:szCs w:val="24"/>
          <w:highlight w:val="none"/>
        </w:rPr>
        <w:t xml:space="preserve">应在运营期满前3个月内，整理并核对相关文档资料，编制交接清单； </w:t>
      </w:r>
    </w:p>
    <w:p w14:paraId="2E06708F">
      <w:pPr>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③</w:t>
      </w:r>
      <w:r>
        <w:rPr>
          <w:rFonts w:hint="eastAsia" w:ascii="仿宋" w:hAnsi="仿宋" w:eastAsia="仿宋" w:cs="仿宋"/>
          <w:color w:val="auto"/>
          <w:sz w:val="24"/>
          <w:szCs w:val="24"/>
          <w:highlight w:val="none"/>
          <w:lang w:eastAsia="zh-CN"/>
        </w:rPr>
        <w:t>发包人</w:t>
      </w:r>
      <w:r>
        <w:rPr>
          <w:rFonts w:hint="eastAsia" w:ascii="仿宋" w:hAnsi="仿宋" w:eastAsia="仿宋" w:cs="仿宋"/>
          <w:color w:val="auto"/>
          <w:sz w:val="24"/>
          <w:szCs w:val="24"/>
          <w:highlight w:val="none"/>
        </w:rPr>
        <w:t>与</w:t>
      </w:r>
      <w:r>
        <w:rPr>
          <w:rFonts w:hint="eastAsia" w:ascii="仿宋" w:hAnsi="仿宋" w:eastAsia="仿宋" w:cs="仿宋"/>
          <w:color w:val="auto"/>
          <w:sz w:val="24"/>
          <w:szCs w:val="24"/>
          <w:highlight w:val="none"/>
          <w:lang w:eastAsia="zh-CN"/>
        </w:rPr>
        <w:t>承包人</w:t>
      </w:r>
      <w:r>
        <w:rPr>
          <w:rFonts w:hint="eastAsia" w:ascii="仿宋" w:hAnsi="仿宋" w:eastAsia="仿宋" w:cs="仿宋"/>
          <w:color w:val="auto"/>
          <w:sz w:val="24"/>
          <w:szCs w:val="24"/>
          <w:highlight w:val="none"/>
        </w:rPr>
        <w:t xml:space="preserve">就所交接文档资料，按交接清单逐一核对，确认无误签署交接确认书； </w:t>
      </w:r>
    </w:p>
    <w:p w14:paraId="35D9738A">
      <w:pPr>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④</w:t>
      </w:r>
      <w:r>
        <w:rPr>
          <w:rFonts w:hint="eastAsia" w:ascii="仿宋" w:hAnsi="仿宋" w:eastAsia="仿宋" w:cs="仿宋"/>
          <w:color w:val="auto"/>
          <w:sz w:val="24"/>
          <w:szCs w:val="24"/>
          <w:highlight w:val="none"/>
          <w:lang w:eastAsia="zh-CN"/>
        </w:rPr>
        <w:t>承包人</w:t>
      </w:r>
      <w:r>
        <w:rPr>
          <w:rFonts w:hint="eastAsia" w:ascii="仿宋" w:hAnsi="仿宋" w:eastAsia="仿宋" w:cs="仿宋"/>
          <w:color w:val="auto"/>
          <w:sz w:val="24"/>
          <w:szCs w:val="24"/>
          <w:highlight w:val="none"/>
        </w:rPr>
        <w:t>自行完成必要的财务处理，包括但不限于结算费用、缴纳税款、清理债权债务等，并向</w:t>
      </w:r>
      <w:r>
        <w:rPr>
          <w:rFonts w:hint="eastAsia" w:ascii="仿宋" w:hAnsi="仿宋" w:eastAsia="仿宋" w:cs="仿宋"/>
          <w:color w:val="auto"/>
          <w:sz w:val="24"/>
          <w:szCs w:val="24"/>
          <w:highlight w:val="none"/>
          <w:lang w:eastAsia="zh-CN"/>
        </w:rPr>
        <w:t>发包人</w:t>
      </w:r>
      <w:r>
        <w:rPr>
          <w:rFonts w:hint="eastAsia" w:ascii="仿宋" w:hAnsi="仿宋" w:eastAsia="仿宋" w:cs="仿宋"/>
          <w:color w:val="auto"/>
          <w:sz w:val="24"/>
          <w:szCs w:val="24"/>
          <w:highlight w:val="none"/>
        </w:rPr>
        <w:t>提供相关的财务处理报告或证明文件；</w:t>
      </w:r>
    </w:p>
    <w:p w14:paraId="7A0B0A43">
      <w:pPr>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⑤</w:t>
      </w:r>
      <w:r>
        <w:rPr>
          <w:rFonts w:hint="eastAsia" w:ascii="仿宋" w:hAnsi="仿宋" w:eastAsia="仿宋" w:cs="仿宋"/>
          <w:color w:val="auto"/>
          <w:sz w:val="24"/>
          <w:szCs w:val="24"/>
          <w:highlight w:val="none"/>
          <w:lang w:eastAsia="zh-CN"/>
        </w:rPr>
        <w:t>承包人</w:t>
      </w:r>
      <w:r>
        <w:rPr>
          <w:rFonts w:hint="eastAsia" w:ascii="仿宋" w:hAnsi="仿宋" w:eastAsia="仿宋" w:cs="仿宋"/>
          <w:color w:val="auto"/>
          <w:sz w:val="24"/>
          <w:szCs w:val="24"/>
          <w:highlight w:val="none"/>
        </w:rPr>
        <w:t>应积极主动配合</w:t>
      </w:r>
      <w:r>
        <w:rPr>
          <w:rFonts w:hint="eastAsia" w:ascii="仿宋" w:hAnsi="仿宋" w:eastAsia="仿宋" w:cs="仿宋"/>
          <w:color w:val="auto"/>
          <w:sz w:val="24"/>
          <w:szCs w:val="24"/>
          <w:highlight w:val="none"/>
          <w:lang w:eastAsia="zh-CN"/>
        </w:rPr>
        <w:t>发包人</w:t>
      </w:r>
      <w:r>
        <w:rPr>
          <w:rFonts w:hint="eastAsia" w:ascii="仿宋" w:hAnsi="仿宋" w:eastAsia="仿宋" w:cs="仿宋"/>
          <w:color w:val="auto"/>
          <w:sz w:val="24"/>
          <w:szCs w:val="24"/>
          <w:highlight w:val="none"/>
        </w:rPr>
        <w:t>完成项目内全部资产、运营资料及人员的交还。如以变更</w:t>
      </w:r>
      <w:r>
        <w:rPr>
          <w:rFonts w:hint="eastAsia" w:ascii="仿宋" w:hAnsi="仿宋" w:eastAsia="仿宋" w:cs="仿宋"/>
          <w:color w:val="auto"/>
          <w:sz w:val="24"/>
          <w:szCs w:val="24"/>
          <w:highlight w:val="none"/>
          <w:lang w:eastAsia="zh-CN"/>
        </w:rPr>
        <w:t>承包人</w:t>
      </w:r>
      <w:r>
        <w:rPr>
          <w:rFonts w:hint="eastAsia" w:ascii="仿宋" w:hAnsi="仿宋" w:eastAsia="仿宋" w:cs="仿宋"/>
          <w:color w:val="auto"/>
          <w:sz w:val="24"/>
          <w:szCs w:val="24"/>
          <w:highlight w:val="none"/>
        </w:rPr>
        <w:t>股权方式完成交还的，</w:t>
      </w:r>
      <w:r>
        <w:rPr>
          <w:rFonts w:hint="eastAsia" w:ascii="仿宋" w:hAnsi="仿宋" w:eastAsia="仿宋" w:cs="仿宋"/>
          <w:color w:val="auto"/>
          <w:sz w:val="24"/>
          <w:szCs w:val="24"/>
          <w:highlight w:val="none"/>
          <w:lang w:eastAsia="zh-CN"/>
        </w:rPr>
        <w:t>承包人</w:t>
      </w:r>
      <w:r>
        <w:rPr>
          <w:rFonts w:hint="eastAsia" w:ascii="仿宋" w:hAnsi="仿宋" w:eastAsia="仿宋" w:cs="仿宋"/>
          <w:color w:val="auto"/>
          <w:sz w:val="24"/>
          <w:szCs w:val="24"/>
          <w:highlight w:val="none"/>
        </w:rPr>
        <w:t>应积极主动配合，转入</w:t>
      </w:r>
      <w:r>
        <w:rPr>
          <w:rFonts w:hint="eastAsia" w:ascii="仿宋" w:hAnsi="仿宋" w:eastAsia="仿宋" w:cs="仿宋"/>
          <w:color w:val="auto"/>
          <w:sz w:val="24"/>
          <w:szCs w:val="24"/>
          <w:highlight w:val="none"/>
          <w:lang w:eastAsia="zh-CN"/>
        </w:rPr>
        <w:t>发包人</w:t>
      </w:r>
      <w:r>
        <w:rPr>
          <w:rFonts w:hint="eastAsia" w:ascii="仿宋" w:hAnsi="仿宋" w:eastAsia="仿宋" w:cs="仿宋"/>
          <w:color w:val="auto"/>
          <w:sz w:val="24"/>
          <w:szCs w:val="24"/>
          <w:highlight w:val="none"/>
        </w:rPr>
        <w:t>的名下，在此过程中，</w:t>
      </w:r>
      <w:r>
        <w:rPr>
          <w:rFonts w:hint="eastAsia" w:ascii="仿宋" w:hAnsi="仿宋" w:eastAsia="仿宋" w:cs="仿宋"/>
          <w:color w:val="auto"/>
          <w:sz w:val="24"/>
          <w:szCs w:val="24"/>
          <w:highlight w:val="none"/>
          <w:lang w:eastAsia="zh-CN"/>
        </w:rPr>
        <w:t>承包人</w:t>
      </w:r>
      <w:r>
        <w:rPr>
          <w:rFonts w:hint="eastAsia" w:ascii="仿宋" w:hAnsi="仿宋" w:eastAsia="仿宋" w:cs="仿宋"/>
          <w:color w:val="auto"/>
          <w:sz w:val="24"/>
          <w:szCs w:val="24"/>
          <w:highlight w:val="none"/>
        </w:rPr>
        <w:t>应承担因股权变更产生的所有税费及其他相关费用。</w:t>
      </w:r>
    </w:p>
    <w:p w14:paraId="67C3B291">
      <w:pPr>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（4）交还责任 </w:t>
      </w:r>
    </w:p>
    <w:p w14:paraId="2CF15B4B">
      <w:pPr>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交还过程中，如发现资料不全的，</w:t>
      </w:r>
      <w:r>
        <w:rPr>
          <w:rFonts w:hint="eastAsia" w:ascii="仿宋" w:hAnsi="仿宋" w:eastAsia="仿宋" w:cs="仿宋"/>
          <w:color w:val="auto"/>
          <w:sz w:val="24"/>
          <w:szCs w:val="24"/>
          <w:highlight w:val="none"/>
          <w:lang w:eastAsia="zh-CN"/>
        </w:rPr>
        <w:t>承包人</w:t>
      </w:r>
      <w:r>
        <w:rPr>
          <w:rFonts w:hint="eastAsia" w:ascii="仿宋" w:hAnsi="仿宋" w:eastAsia="仿宋" w:cs="仿宋"/>
          <w:color w:val="auto"/>
          <w:sz w:val="24"/>
          <w:szCs w:val="24"/>
          <w:highlight w:val="none"/>
        </w:rPr>
        <w:t>应负责在</w:t>
      </w:r>
      <w:r>
        <w:rPr>
          <w:rFonts w:hint="eastAsia" w:ascii="仿宋" w:hAnsi="仿宋" w:eastAsia="仿宋" w:cs="仿宋"/>
          <w:color w:val="auto"/>
          <w:sz w:val="24"/>
          <w:szCs w:val="24"/>
          <w:highlight w:val="none"/>
          <w:lang w:eastAsia="zh-CN"/>
        </w:rPr>
        <w:t>发包人</w:t>
      </w:r>
      <w:r>
        <w:rPr>
          <w:rFonts w:hint="eastAsia" w:ascii="仿宋" w:hAnsi="仿宋" w:eastAsia="仿宋" w:cs="仿宋"/>
          <w:color w:val="auto"/>
          <w:sz w:val="24"/>
          <w:szCs w:val="24"/>
          <w:highlight w:val="none"/>
        </w:rPr>
        <w:t>指定的时间内补全。如发现资产出现瑕疵，无法满足交还标准的，</w:t>
      </w:r>
      <w:r>
        <w:rPr>
          <w:rFonts w:hint="eastAsia" w:ascii="仿宋" w:hAnsi="仿宋" w:eastAsia="仿宋" w:cs="仿宋"/>
          <w:color w:val="auto"/>
          <w:sz w:val="24"/>
          <w:szCs w:val="24"/>
          <w:highlight w:val="none"/>
          <w:lang w:eastAsia="zh-CN"/>
        </w:rPr>
        <w:t>承包人</w:t>
      </w:r>
      <w:r>
        <w:rPr>
          <w:rFonts w:hint="eastAsia" w:ascii="仿宋" w:hAnsi="仿宋" w:eastAsia="仿宋" w:cs="仿宋"/>
          <w:color w:val="auto"/>
          <w:sz w:val="24"/>
          <w:szCs w:val="24"/>
          <w:highlight w:val="none"/>
        </w:rPr>
        <w:t>应当在</w:t>
      </w:r>
      <w:r>
        <w:rPr>
          <w:rFonts w:hint="eastAsia" w:ascii="仿宋" w:hAnsi="仿宋" w:eastAsia="仿宋" w:cs="仿宋"/>
          <w:color w:val="auto"/>
          <w:sz w:val="24"/>
          <w:szCs w:val="24"/>
          <w:highlight w:val="none"/>
          <w:lang w:eastAsia="zh-CN"/>
        </w:rPr>
        <w:t>发包人</w:t>
      </w:r>
      <w:r>
        <w:rPr>
          <w:rFonts w:hint="eastAsia" w:ascii="仿宋" w:hAnsi="仿宋" w:eastAsia="仿宋" w:cs="仿宋"/>
          <w:color w:val="auto"/>
          <w:sz w:val="24"/>
          <w:szCs w:val="24"/>
          <w:highlight w:val="none"/>
        </w:rPr>
        <w:t>许可时间期限内负责维修或更新资产，使其达到交还标准；维修或更换后的资产应经过</w:t>
      </w:r>
      <w:r>
        <w:rPr>
          <w:rFonts w:hint="eastAsia" w:ascii="仿宋" w:hAnsi="仿宋" w:eastAsia="仿宋" w:cs="仿宋"/>
          <w:color w:val="auto"/>
          <w:sz w:val="24"/>
          <w:szCs w:val="24"/>
          <w:highlight w:val="none"/>
          <w:lang w:eastAsia="zh-CN"/>
        </w:rPr>
        <w:t>发包人</w:t>
      </w:r>
      <w:r>
        <w:rPr>
          <w:rFonts w:hint="eastAsia" w:ascii="仿宋" w:hAnsi="仿宋" w:eastAsia="仿宋" w:cs="仿宋"/>
          <w:color w:val="auto"/>
          <w:sz w:val="24"/>
          <w:szCs w:val="24"/>
          <w:highlight w:val="none"/>
        </w:rPr>
        <w:t>或双方认可的第三方检验机构的检验，并出具合格证明；如果</w:t>
      </w:r>
      <w:r>
        <w:rPr>
          <w:rFonts w:hint="eastAsia" w:ascii="仿宋" w:hAnsi="仿宋" w:eastAsia="仿宋" w:cs="仿宋"/>
          <w:color w:val="auto"/>
          <w:sz w:val="24"/>
          <w:szCs w:val="24"/>
          <w:highlight w:val="none"/>
          <w:lang w:eastAsia="zh-CN"/>
        </w:rPr>
        <w:t>承包人</w:t>
      </w:r>
      <w:r>
        <w:rPr>
          <w:rFonts w:hint="eastAsia" w:ascii="仿宋" w:hAnsi="仿宋" w:eastAsia="仿宋" w:cs="仿宋"/>
          <w:color w:val="auto"/>
          <w:sz w:val="24"/>
          <w:szCs w:val="24"/>
          <w:highlight w:val="none"/>
        </w:rPr>
        <w:t>无法在</w:t>
      </w:r>
      <w:r>
        <w:rPr>
          <w:rFonts w:hint="eastAsia" w:ascii="仿宋" w:hAnsi="仿宋" w:eastAsia="仿宋" w:cs="仿宋"/>
          <w:color w:val="auto"/>
          <w:sz w:val="24"/>
          <w:szCs w:val="24"/>
          <w:highlight w:val="none"/>
          <w:lang w:eastAsia="zh-CN"/>
        </w:rPr>
        <w:t>发包人</w:t>
      </w:r>
      <w:r>
        <w:rPr>
          <w:rFonts w:hint="eastAsia" w:ascii="仿宋" w:hAnsi="仿宋" w:eastAsia="仿宋" w:cs="仿宋"/>
          <w:color w:val="auto"/>
          <w:sz w:val="24"/>
          <w:szCs w:val="24"/>
          <w:highlight w:val="none"/>
        </w:rPr>
        <w:t>指定的时间内完成维修或更换，</w:t>
      </w:r>
      <w:r>
        <w:rPr>
          <w:rFonts w:hint="eastAsia" w:ascii="仿宋" w:hAnsi="仿宋" w:eastAsia="仿宋" w:cs="仿宋"/>
          <w:color w:val="auto"/>
          <w:sz w:val="24"/>
          <w:szCs w:val="24"/>
          <w:highlight w:val="none"/>
          <w:lang w:eastAsia="zh-CN"/>
        </w:rPr>
        <w:t>承包人</w:t>
      </w:r>
      <w:r>
        <w:rPr>
          <w:rFonts w:hint="eastAsia" w:ascii="仿宋" w:hAnsi="仿宋" w:eastAsia="仿宋" w:cs="仿宋"/>
          <w:color w:val="auto"/>
          <w:sz w:val="24"/>
          <w:szCs w:val="24"/>
          <w:highlight w:val="none"/>
        </w:rPr>
        <w:t>应承担因此产生的任何额外费用或损失，并按照合同约定支付</w:t>
      </w:r>
      <w:r>
        <w:rPr>
          <w:rFonts w:hint="eastAsia" w:ascii="仿宋" w:hAnsi="仿宋" w:eastAsia="仿宋" w:cs="仿宋"/>
          <w:color w:val="auto"/>
          <w:sz w:val="24"/>
          <w:szCs w:val="24"/>
          <w:highlight w:val="none"/>
          <w:lang w:eastAsia="zh-CN"/>
        </w:rPr>
        <w:t>发包人</w:t>
      </w:r>
      <w:r>
        <w:rPr>
          <w:rFonts w:hint="eastAsia" w:ascii="仿宋" w:hAnsi="仿宋" w:eastAsia="仿宋" w:cs="仿宋"/>
          <w:color w:val="auto"/>
          <w:sz w:val="24"/>
          <w:szCs w:val="24"/>
          <w:highlight w:val="none"/>
        </w:rPr>
        <w:t>1000元/日违约金。</w:t>
      </w:r>
    </w:p>
    <w:p w14:paraId="28614DF1">
      <w:pPr>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cs="仿宋"/>
          <w:color w:val="auto"/>
          <w:sz w:val="24"/>
          <w:szCs w:val="24"/>
          <w:highlight w:val="none"/>
          <w:lang w:val="en-US" w:eastAsia="zh-CN"/>
        </w:rPr>
        <w:t>6</w:t>
      </w:r>
      <w:r>
        <w:rPr>
          <w:rFonts w:hint="eastAsia" w:ascii="仿宋" w:hAnsi="仿宋" w:eastAsia="仿宋" w:cs="仿宋"/>
          <w:color w:val="auto"/>
          <w:sz w:val="24"/>
          <w:szCs w:val="24"/>
          <w:highlight w:val="none"/>
        </w:rPr>
        <w:t xml:space="preserve">.4 委托运营期未满的交还 </w:t>
      </w:r>
    </w:p>
    <w:p w14:paraId="012D2E38">
      <w:pPr>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在运营期满前，如果由于政策、法律或不可抗力事件致使委托运营需提前终止，双方应当对委托运营期间的费用按实结算；在运营期满后，</w:t>
      </w:r>
      <w:r>
        <w:rPr>
          <w:rFonts w:hint="eastAsia" w:ascii="仿宋" w:hAnsi="仿宋" w:eastAsia="仿宋" w:cs="仿宋"/>
          <w:color w:val="auto"/>
          <w:sz w:val="24"/>
          <w:szCs w:val="24"/>
          <w:highlight w:val="none"/>
          <w:lang w:eastAsia="zh-CN"/>
        </w:rPr>
        <w:t>承包人</w:t>
      </w:r>
      <w:r>
        <w:rPr>
          <w:rFonts w:hint="eastAsia" w:ascii="仿宋" w:hAnsi="仿宋" w:eastAsia="仿宋" w:cs="仿宋"/>
          <w:color w:val="auto"/>
          <w:sz w:val="24"/>
          <w:szCs w:val="24"/>
          <w:highlight w:val="none"/>
        </w:rPr>
        <w:t>将运营期内的资产及运营资料无偿交还</w:t>
      </w:r>
      <w:r>
        <w:rPr>
          <w:rFonts w:hint="eastAsia" w:ascii="仿宋" w:hAnsi="仿宋" w:eastAsia="仿宋" w:cs="仿宋"/>
          <w:color w:val="auto"/>
          <w:sz w:val="24"/>
          <w:szCs w:val="24"/>
          <w:highlight w:val="none"/>
          <w:lang w:eastAsia="zh-CN"/>
        </w:rPr>
        <w:t>发包人</w:t>
      </w:r>
      <w:r>
        <w:rPr>
          <w:rFonts w:hint="eastAsia" w:ascii="仿宋" w:hAnsi="仿宋" w:eastAsia="仿宋" w:cs="仿宋"/>
          <w:color w:val="auto"/>
          <w:sz w:val="24"/>
          <w:szCs w:val="24"/>
          <w:highlight w:val="none"/>
        </w:rPr>
        <w:t>。若在运营期内合同提前终止，项目运营所需的项目设施均应列入交还范围。若非属于项目运营必要的资产，但可以辅助或加强运营效能的，接收人可向</w:t>
      </w:r>
      <w:r>
        <w:rPr>
          <w:rFonts w:hint="eastAsia" w:ascii="仿宋" w:hAnsi="仿宋" w:eastAsia="仿宋" w:cs="仿宋"/>
          <w:color w:val="auto"/>
          <w:sz w:val="24"/>
          <w:szCs w:val="24"/>
          <w:highlight w:val="none"/>
          <w:lang w:eastAsia="zh-CN"/>
        </w:rPr>
        <w:t>承包人</w:t>
      </w:r>
      <w:r>
        <w:rPr>
          <w:rFonts w:hint="eastAsia" w:ascii="仿宋" w:hAnsi="仿宋" w:eastAsia="仿宋" w:cs="仿宋"/>
          <w:color w:val="auto"/>
          <w:sz w:val="24"/>
          <w:szCs w:val="24"/>
          <w:highlight w:val="none"/>
        </w:rPr>
        <w:t xml:space="preserve">协商购买。  </w:t>
      </w:r>
    </w:p>
    <w:p w14:paraId="1134FDC8">
      <w:pPr>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cs="仿宋"/>
          <w:color w:val="auto"/>
          <w:sz w:val="24"/>
          <w:szCs w:val="24"/>
          <w:highlight w:val="none"/>
          <w:lang w:val="en-US" w:eastAsia="zh-CN"/>
        </w:rPr>
        <w:t>6</w:t>
      </w:r>
      <w:r>
        <w:rPr>
          <w:rFonts w:hint="eastAsia" w:ascii="仿宋" w:hAnsi="仿宋" w:eastAsia="仿宋" w:cs="仿宋"/>
          <w:color w:val="auto"/>
          <w:sz w:val="24"/>
          <w:szCs w:val="24"/>
          <w:highlight w:val="none"/>
        </w:rPr>
        <w:t xml:space="preserve">.5 </w:t>
      </w:r>
      <w:r>
        <w:rPr>
          <w:rFonts w:hint="eastAsia" w:ascii="仿宋" w:hAnsi="仿宋" w:eastAsia="仿宋" w:cs="仿宋"/>
          <w:color w:val="auto"/>
          <w:sz w:val="24"/>
          <w:szCs w:val="24"/>
          <w:highlight w:val="none"/>
          <w:lang w:eastAsia="zh-CN"/>
        </w:rPr>
        <w:t>承包人</w:t>
      </w:r>
      <w:r>
        <w:rPr>
          <w:rFonts w:hint="eastAsia" w:ascii="仿宋" w:hAnsi="仿宋" w:eastAsia="仿宋" w:cs="仿宋"/>
          <w:color w:val="auto"/>
          <w:sz w:val="24"/>
          <w:szCs w:val="24"/>
          <w:highlight w:val="none"/>
        </w:rPr>
        <w:t>向</w:t>
      </w:r>
      <w:r>
        <w:rPr>
          <w:rFonts w:hint="eastAsia" w:ascii="仿宋" w:hAnsi="仿宋" w:eastAsia="仿宋" w:cs="仿宋"/>
          <w:color w:val="auto"/>
          <w:sz w:val="24"/>
          <w:szCs w:val="24"/>
          <w:highlight w:val="none"/>
          <w:lang w:eastAsia="zh-CN"/>
        </w:rPr>
        <w:t>发包人</w:t>
      </w:r>
      <w:r>
        <w:rPr>
          <w:rFonts w:hint="eastAsia" w:ascii="仿宋" w:hAnsi="仿宋" w:eastAsia="仿宋" w:cs="仿宋"/>
          <w:color w:val="auto"/>
          <w:sz w:val="24"/>
          <w:szCs w:val="24"/>
          <w:highlight w:val="none"/>
        </w:rPr>
        <w:t>交还时应不存在任何留置权、债权、抵押、担保物权或任何种类的其它请求权。如存在上述负担，</w:t>
      </w:r>
      <w:r>
        <w:rPr>
          <w:rFonts w:hint="eastAsia" w:ascii="仿宋" w:hAnsi="仿宋" w:eastAsia="仿宋" w:cs="仿宋"/>
          <w:color w:val="auto"/>
          <w:sz w:val="24"/>
          <w:szCs w:val="24"/>
          <w:highlight w:val="none"/>
          <w:lang w:eastAsia="zh-CN"/>
        </w:rPr>
        <w:t>承包人</w:t>
      </w:r>
      <w:r>
        <w:rPr>
          <w:rFonts w:hint="eastAsia" w:ascii="仿宋" w:hAnsi="仿宋" w:eastAsia="仿宋" w:cs="仿宋"/>
          <w:color w:val="auto"/>
          <w:sz w:val="24"/>
          <w:szCs w:val="24"/>
          <w:highlight w:val="none"/>
        </w:rPr>
        <w:t>应负责解除这些负担，并确保交还的资产及运营资料处于完全无负担的状态。若因</w:t>
      </w:r>
      <w:r>
        <w:rPr>
          <w:rFonts w:hint="eastAsia" w:ascii="仿宋" w:hAnsi="仿宋" w:eastAsia="仿宋" w:cs="仿宋"/>
          <w:color w:val="auto"/>
          <w:sz w:val="24"/>
          <w:szCs w:val="24"/>
          <w:highlight w:val="none"/>
          <w:lang w:eastAsia="zh-CN"/>
        </w:rPr>
        <w:t>承包人</w:t>
      </w:r>
      <w:r>
        <w:rPr>
          <w:rFonts w:hint="eastAsia" w:ascii="仿宋" w:hAnsi="仿宋" w:eastAsia="仿宋" w:cs="仿宋"/>
          <w:color w:val="auto"/>
          <w:sz w:val="24"/>
          <w:szCs w:val="24"/>
          <w:highlight w:val="none"/>
        </w:rPr>
        <w:t>未履行该义务而导致</w:t>
      </w:r>
      <w:r>
        <w:rPr>
          <w:rFonts w:hint="eastAsia" w:ascii="仿宋" w:hAnsi="仿宋" w:eastAsia="仿宋" w:cs="仿宋"/>
          <w:color w:val="auto"/>
          <w:sz w:val="24"/>
          <w:szCs w:val="24"/>
          <w:highlight w:val="none"/>
          <w:lang w:eastAsia="zh-CN"/>
        </w:rPr>
        <w:t>发包人</w:t>
      </w:r>
      <w:r>
        <w:rPr>
          <w:rFonts w:hint="eastAsia" w:ascii="仿宋" w:hAnsi="仿宋" w:eastAsia="仿宋" w:cs="仿宋"/>
          <w:color w:val="auto"/>
          <w:sz w:val="24"/>
          <w:szCs w:val="24"/>
          <w:highlight w:val="none"/>
        </w:rPr>
        <w:t>遭受损失的，</w:t>
      </w:r>
      <w:r>
        <w:rPr>
          <w:rFonts w:hint="eastAsia" w:ascii="仿宋" w:hAnsi="仿宋" w:eastAsia="仿宋" w:cs="仿宋"/>
          <w:color w:val="auto"/>
          <w:sz w:val="24"/>
          <w:szCs w:val="24"/>
          <w:highlight w:val="none"/>
          <w:lang w:eastAsia="zh-CN"/>
        </w:rPr>
        <w:t>承包人</w:t>
      </w:r>
      <w:r>
        <w:rPr>
          <w:rFonts w:hint="eastAsia" w:ascii="仿宋" w:hAnsi="仿宋" w:eastAsia="仿宋" w:cs="仿宋"/>
          <w:color w:val="auto"/>
          <w:sz w:val="24"/>
          <w:szCs w:val="24"/>
          <w:highlight w:val="none"/>
        </w:rPr>
        <w:t>应承担相应的赔偿责任。</w:t>
      </w:r>
    </w:p>
    <w:p w14:paraId="754C7F6B">
      <w:pPr>
        <w:pStyle w:val="5"/>
        <w:jc w:val="left"/>
        <w:rPr>
          <w:rFonts w:hint="eastAsia" w:ascii="仿宋" w:hAnsi="仿宋" w:eastAsia="仿宋" w:cs="仿宋"/>
          <w:color w:val="auto"/>
          <w:highlight w:val="none"/>
        </w:rPr>
      </w:pPr>
      <w:r>
        <w:rPr>
          <w:rFonts w:hint="eastAsia" w:ascii="仿宋" w:hAnsi="仿宋" w:cs="仿宋"/>
          <w:color w:val="auto"/>
          <w:highlight w:val="none"/>
          <w:lang w:val="en-US" w:eastAsia="zh-CN"/>
        </w:rPr>
        <w:t>7</w:t>
      </w:r>
      <w:r>
        <w:rPr>
          <w:rFonts w:hint="eastAsia" w:ascii="仿宋" w:hAnsi="仿宋" w:eastAsia="仿宋" w:cs="仿宋"/>
          <w:color w:val="auto"/>
          <w:highlight w:val="none"/>
        </w:rPr>
        <w:t xml:space="preserve">.不可抗力与保密 </w:t>
      </w:r>
    </w:p>
    <w:p w14:paraId="2DFE3C15">
      <w:pPr>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cs="仿宋"/>
          <w:color w:val="auto"/>
          <w:sz w:val="24"/>
          <w:szCs w:val="24"/>
          <w:highlight w:val="none"/>
          <w:lang w:val="en-US" w:eastAsia="zh-CN"/>
        </w:rPr>
        <w:t>7</w:t>
      </w:r>
      <w:r>
        <w:rPr>
          <w:rFonts w:hint="eastAsia" w:ascii="仿宋" w:hAnsi="仿宋" w:eastAsia="仿宋" w:cs="仿宋"/>
          <w:color w:val="auto"/>
          <w:sz w:val="24"/>
          <w:szCs w:val="24"/>
          <w:highlight w:val="none"/>
        </w:rPr>
        <w:t xml:space="preserve">.1不可抗力 </w:t>
      </w:r>
    </w:p>
    <w:p w14:paraId="5CF9B6E0">
      <w:pPr>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（1）不可抗力 </w:t>
      </w:r>
    </w:p>
    <w:p w14:paraId="02AA2DB8">
      <w:pPr>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不可抗力是指在签订本条款时不能合理预见的、不能克服和不能避免的事件或情形，其直接影响本条款的履行或不能按约定条件履行。以满足上述条件为前提，不可抗力包括但不限于： </w:t>
      </w:r>
    </w:p>
    <w:p w14:paraId="3EB4BB1A">
      <w:pPr>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1）雷电、地震、火山爆发、滑坡、水灾、暴雨、海啸、台风、龙卷风或旱灾； </w:t>
      </w:r>
    </w:p>
    <w:p w14:paraId="331EFDA7">
      <w:pPr>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2）流行病、瘟疫爆发； </w:t>
      </w:r>
    </w:p>
    <w:p w14:paraId="4C4AE88D">
      <w:pPr>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3）战争行为、入侵、武装冲突或外敌行为、封锁或军事力量的使用，暴乱或恐怖行为； </w:t>
      </w:r>
    </w:p>
    <w:p w14:paraId="74E09B8B">
      <w:pPr>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4）全国性、地区性、城市性或行业性罢工； </w:t>
      </w:r>
    </w:p>
    <w:p w14:paraId="6D460F67">
      <w:pPr>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5）由于不能归因于</w:t>
      </w:r>
      <w:r>
        <w:rPr>
          <w:rFonts w:hint="eastAsia" w:ascii="仿宋" w:hAnsi="仿宋" w:eastAsia="仿宋" w:cs="仿宋"/>
          <w:color w:val="auto"/>
          <w:sz w:val="24"/>
          <w:szCs w:val="24"/>
          <w:highlight w:val="none"/>
          <w:lang w:val="en-US" w:eastAsia="zh-CN"/>
        </w:rPr>
        <w:t>发包人和</w:t>
      </w:r>
      <w:r>
        <w:rPr>
          <w:rFonts w:hint="eastAsia" w:ascii="仿宋" w:hAnsi="仿宋" w:eastAsia="仿宋" w:cs="仿宋"/>
          <w:color w:val="auto"/>
          <w:sz w:val="24"/>
          <w:szCs w:val="24"/>
          <w:highlight w:val="none"/>
          <w:lang w:eastAsia="zh-CN"/>
        </w:rPr>
        <w:t>承包人</w:t>
      </w:r>
      <w:r>
        <w:rPr>
          <w:rFonts w:hint="eastAsia" w:ascii="仿宋" w:hAnsi="仿宋" w:eastAsia="仿宋" w:cs="仿宋"/>
          <w:color w:val="auto"/>
          <w:sz w:val="24"/>
          <w:szCs w:val="24"/>
          <w:highlight w:val="none"/>
        </w:rPr>
        <w:t xml:space="preserve">的原因引起的废水处理工程供电中断。 </w:t>
      </w:r>
    </w:p>
    <w:p w14:paraId="0CD24F64">
      <w:pPr>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（2）积极补救不可抗力的义务 </w:t>
      </w:r>
    </w:p>
    <w:p w14:paraId="35FC16C1">
      <w:pPr>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r>
        <w:rPr>
          <w:rFonts w:hint="eastAsia" w:ascii="仿宋" w:hAnsi="仿宋" w:eastAsia="仿宋" w:cs="仿宋"/>
          <w:color w:val="auto"/>
          <w:sz w:val="24"/>
          <w:szCs w:val="24"/>
          <w:highlight w:val="none"/>
          <w:lang w:eastAsia="zh-CN"/>
        </w:rPr>
        <w:t>承包人</w:t>
      </w:r>
      <w:r>
        <w:rPr>
          <w:rFonts w:hint="eastAsia" w:ascii="仿宋" w:hAnsi="仿宋" w:eastAsia="仿宋" w:cs="仿宋"/>
          <w:color w:val="auto"/>
          <w:sz w:val="24"/>
          <w:szCs w:val="24"/>
          <w:highlight w:val="none"/>
        </w:rPr>
        <w:t>尽快向</w:t>
      </w:r>
      <w:r>
        <w:rPr>
          <w:rFonts w:hint="eastAsia" w:ascii="仿宋" w:hAnsi="仿宋" w:eastAsia="仿宋" w:cs="仿宋"/>
          <w:color w:val="auto"/>
          <w:sz w:val="24"/>
          <w:szCs w:val="24"/>
          <w:highlight w:val="none"/>
          <w:lang w:eastAsia="zh-CN"/>
        </w:rPr>
        <w:t>发包人</w:t>
      </w:r>
      <w:r>
        <w:rPr>
          <w:rFonts w:hint="eastAsia" w:ascii="仿宋" w:hAnsi="仿宋" w:eastAsia="仿宋" w:cs="仿宋"/>
          <w:color w:val="auto"/>
          <w:sz w:val="24"/>
          <w:szCs w:val="24"/>
          <w:highlight w:val="none"/>
        </w:rPr>
        <w:t>通告事件或情况的发生，对事件或情况的预计持续时间和其在本条款下履行义务的可能影响作出合理估计，</w:t>
      </w:r>
      <w:r>
        <w:rPr>
          <w:rFonts w:hint="eastAsia" w:ascii="仿宋" w:hAnsi="仿宋" w:eastAsia="仿宋" w:cs="仿宋"/>
          <w:color w:val="auto"/>
          <w:sz w:val="24"/>
          <w:szCs w:val="24"/>
          <w:highlight w:val="none"/>
          <w:lang w:eastAsia="zh-CN"/>
        </w:rPr>
        <w:t>承包人</w:t>
      </w:r>
      <w:r>
        <w:rPr>
          <w:rFonts w:hint="eastAsia" w:ascii="仿宋" w:hAnsi="仿宋" w:eastAsia="仿宋" w:cs="仿宋"/>
          <w:color w:val="auto"/>
          <w:sz w:val="24"/>
          <w:szCs w:val="24"/>
          <w:highlight w:val="none"/>
        </w:rPr>
        <w:t>应在事件发生后24小时内通知</w:t>
      </w:r>
      <w:r>
        <w:rPr>
          <w:rFonts w:hint="eastAsia" w:ascii="仿宋" w:hAnsi="仿宋" w:eastAsia="仿宋" w:cs="仿宋"/>
          <w:color w:val="auto"/>
          <w:sz w:val="24"/>
          <w:szCs w:val="24"/>
          <w:highlight w:val="none"/>
          <w:lang w:eastAsia="zh-CN"/>
        </w:rPr>
        <w:t>发包人</w:t>
      </w:r>
      <w:r>
        <w:rPr>
          <w:rFonts w:hint="eastAsia" w:ascii="仿宋" w:hAnsi="仿宋" w:eastAsia="仿宋" w:cs="仿宋"/>
          <w:color w:val="auto"/>
          <w:sz w:val="24"/>
          <w:szCs w:val="24"/>
          <w:highlight w:val="none"/>
        </w:rPr>
        <w:t xml:space="preserve">； </w:t>
      </w:r>
    </w:p>
    <w:p w14:paraId="6254B737">
      <w:pPr>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w:t>
      </w:r>
      <w:r>
        <w:rPr>
          <w:rFonts w:hint="eastAsia" w:ascii="仿宋" w:hAnsi="仿宋" w:eastAsia="仿宋" w:cs="仿宋"/>
          <w:color w:val="auto"/>
          <w:sz w:val="24"/>
          <w:szCs w:val="24"/>
          <w:highlight w:val="none"/>
          <w:lang w:eastAsia="zh-CN"/>
        </w:rPr>
        <w:t>承包人</w:t>
      </w:r>
      <w:r>
        <w:rPr>
          <w:rFonts w:hint="eastAsia" w:ascii="仿宋" w:hAnsi="仿宋" w:eastAsia="仿宋" w:cs="仿宋"/>
          <w:color w:val="auto"/>
          <w:sz w:val="24"/>
          <w:szCs w:val="24"/>
          <w:highlight w:val="none"/>
        </w:rPr>
        <w:t xml:space="preserve">应尽最大努力采取一切合理措施，继续履行其在本条款下的义务，或者至少将其受不可抗力影响的部分减至最小； </w:t>
      </w:r>
    </w:p>
    <w:p w14:paraId="057BC4CA">
      <w:pPr>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w:t>
      </w:r>
      <w:r>
        <w:rPr>
          <w:rFonts w:hint="eastAsia" w:ascii="仿宋" w:hAnsi="仿宋" w:eastAsia="仿宋" w:cs="仿宋"/>
          <w:color w:val="auto"/>
          <w:sz w:val="24"/>
          <w:szCs w:val="24"/>
          <w:highlight w:val="none"/>
          <w:lang w:eastAsia="zh-CN"/>
        </w:rPr>
        <w:t>承包人</w:t>
      </w:r>
      <w:r>
        <w:rPr>
          <w:rFonts w:hint="eastAsia" w:ascii="仿宋" w:hAnsi="仿宋" w:eastAsia="仿宋" w:cs="仿宋"/>
          <w:color w:val="auto"/>
          <w:sz w:val="24"/>
          <w:szCs w:val="24"/>
          <w:highlight w:val="none"/>
        </w:rPr>
        <w:t>尽快采取行动纠正或补救造成免于履行义务的事件或情况，或寻找替代方案以继续履行义务；</w:t>
      </w:r>
    </w:p>
    <w:p w14:paraId="28DD806D">
      <w:pPr>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w:t>
      </w:r>
      <w:r>
        <w:rPr>
          <w:rFonts w:hint="eastAsia" w:ascii="仿宋" w:hAnsi="仿宋" w:eastAsia="仿宋" w:cs="仿宋"/>
          <w:color w:val="auto"/>
          <w:sz w:val="24"/>
          <w:szCs w:val="24"/>
          <w:highlight w:val="none"/>
          <w:lang w:eastAsia="zh-CN"/>
        </w:rPr>
        <w:t>承包人</w:t>
      </w:r>
      <w:r>
        <w:rPr>
          <w:rFonts w:hint="eastAsia" w:ascii="仿宋" w:hAnsi="仿宋" w:eastAsia="仿宋" w:cs="仿宋"/>
          <w:color w:val="auto"/>
          <w:sz w:val="24"/>
          <w:szCs w:val="24"/>
          <w:highlight w:val="none"/>
        </w:rPr>
        <w:t xml:space="preserve">应尽最大努力以减轻或限制因不可抗力事件给对方造成的损害，包括但不限于采取预防措施、减少损失等； </w:t>
      </w:r>
    </w:p>
    <w:p w14:paraId="20C119CD">
      <w:pPr>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w:t>
      </w:r>
      <w:r>
        <w:rPr>
          <w:rFonts w:hint="eastAsia" w:ascii="仿宋" w:hAnsi="仿宋" w:eastAsia="仿宋" w:cs="仿宋"/>
          <w:color w:val="auto"/>
          <w:sz w:val="24"/>
          <w:szCs w:val="24"/>
          <w:highlight w:val="none"/>
          <w:lang w:eastAsia="zh-CN"/>
        </w:rPr>
        <w:t>承包人</w:t>
      </w:r>
      <w:r>
        <w:rPr>
          <w:rFonts w:hint="eastAsia" w:ascii="仿宋" w:hAnsi="仿宋" w:eastAsia="仿宋" w:cs="仿宋"/>
          <w:color w:val="auto"/>
          <w:sz w:val="24"/>
          <w:szCs w:val="24"/>
          <w:highlight w:val="none"/>
        </w:rPr>
        <w:t>将其根据上述2）3）和4）采取的行动或行动计划定期通告</w:t>
      </w:r>
      <w:r>
        <w:rPr>
          <w:rFonts w:hint="eastAsia" w:ascii="仿宋" w:hAnsi="仿宋" w:eastAsia="仿宋" w:cs="仿宋"/>
          <w:color w:val="auto"/>
          <w:sz w:val="24"/>
          <w:szCs w:val="24"/>
          <w:highlight w:val="none"/>
          <w:lang w:eastAsia="zh-CN"/>
        </w:rPr>
        <w:t>发包人</w:t>
      </w:r>
      <w:r>
        <w:rPr>
          <w:rFonts w:hint="eastAsia" w:ascii="仿宋" w:hAnsi="仿宋" w:eastAsia="仿宋" w:cs="仿宋"/>
          <w:color w:val="auto"/>
          <w:sz w:val="24"/>
          <w:szCs w:val="24"/>
          <w:highlight w:val="none"/>
        </w:rPr>
        <w:t xml:space="preserve">，并在以上事件或情况不再存在时立即通知对方。 </w:t>
      </w:r>
    </w:p>
    <w:p w14:paraId="6302EDCC">
      <w:pPr>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（3）不可抗力的处理程序 </w:t>
      </w:r>
    </w:p>
    <w:p w14:paraId="009DBACB">
      <w:pPr>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不可抗力事件发生后，双方应本着诚信平等的原则，立即就此等不可抗力事件进行协商： </w:t>
      </w:r>
    </w:p>
    <w:p w14:paraId="147ED255">
      <w:pPr>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1）如果双方在不可抗力事件发生后90日内达成一致意见，继续履行在本条款下的义务。 </w:t>
      </w:r>
    </w:p>
    <w:p w14:paraId="3B5F1B55">
      <w:pPr>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2）如果双方不能够在上述90日期限内达成一致意见，则任何一方可送达终止通知。终止通知应以书面形式送达对方，并应说明终止的理由。</w:t>
      </w:r>
    </w:p>
    <w:p w14:paraId="4E9E29F6">
      <w:pPr>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（4）发生不可抗力事件时，任一方必须各自承担由于不可抗力事件造成的支出和费用。</w:t>
      </w:r>
      <w:r>
        <w:rPr>
          <w:rFonts w:hint="eastAsia" w:ascii="仿宋" w:hAnsi="仿宋" w:eastAsia="仿宋" w:cs="仿宋"/>
          <w:color w:val="auto"/>
          <w:sz w:val="24"/>
          <w:szCs w:val="24"/>
          <w:highlight w:val="none"/>
          <w:lang w:eastAsia="zh-CN"/>
        </w:rPr>
        <w:t>承包人</w:t>
      </w:r>
      <w:r>
        <w:rPr>
          <w:rFonts w:hint="eastAsia" w:ascii="仿宋" w:hAnsi="仿宋" w:eastAsia="仿宋" w:cs="仿宋"/>
          <w:color w:val="auto"/>
          <w:sz w:val="24"/>
          <w:szCs w:val="24"/>
          <w:highlight w:val="none"/>
        </w:rPr>
        <w:t>因不可抗力造成的损失，应由保险获得补偿，</w:t>
      </w:r>
      <w:r>
        <w:rPr>
          <w:rFonts w:hint="eastAsia" w:ascii="仿宋" w:hAnsi="仿宋" w:eastAsia="仿宋" w:cs="仿宋"/>
          <w:color w:val="auto"/>
          <w:sz w:val="24"/>
          <w:szCs w:val="24"/>
          <w:highlight w:val="none"/>
          <w:lang w:eastAsia="zh-CN"/>
        </w:rPr>
        <w:t>发包人</w:t>
      </w:r>
      <w:r>
        <w:rPr>
          <w:rFonts w:hint="eastAsia" w:ascii="仿宋" w:hAnsi="仿宋" w:eastAsia="仿宋" w:cs="仿宋"/>
          <w:color w:val="auto"/>
          <w:sz w:val="24"/>
          <w:szCs w:val="24"/>
          <w:highlight w:val="none"/>
        </w:rPr>
        <w:t xml:space="preserve">可依不可抗力造成的时间损失给予延期并相应延长经营期。 </w:t>
      </w:r>
    </w:p>
    <w:p w14:paraId="6514D605">
      <w:pPr>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（5）不可抗力造成的终止 </w:t>
      </w:r>
    </w:p>
    <w:p w14:paraId="56D14770">
      <w:pPr>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如果任何不可抗力事件阻止一方履行其义务的时间自该不可抗力发生日起连续超过30日，双方应协商继续履行本条款的条件和重新履行本条款的时间，并在90日内达成一致意见。如果自不可抗力发生后90日之内双方不能就继续履行的条件和时间达成一致意见，并且该不可抗力事件如果不能一致解决将会对项目的顺利进行造成实质性影响时，任何一方均可以通知另一方终止本条款。终止通知应以书面形式送达，并说明终止的理由。</w:t>
      </w:r>
    </w:p>
    <w:p w14:paraId="79DC3C39">
      <w:pPr>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cs="仿宋"/>
          <w:color w:val="auto"/>
          <w:sz w:val="24"/>
          <w:szCs w:val="24"/>
          <w:highlight w:val="none"/>
          <w:lang w:val="en-US" w:eastAsia="zh-CN"/>
        </w:rPr>
        <w:t>7</w:t>
      </w:r>
      <w:r>
        <w:rPr>
          <w:rFonts w:hint="eastAsia" w:ascii="仿宋" w:hAnsi="仿宋" w:eastAsia="仿宋" w:cs="仿宋"/>
          <w:color w:val="auto"/>
          <w:sz w:val="24"/>
          <w:szCs w:val="24"/>
          <w:highlight w:val="none"/>
        </w:rPr>
        <w:t xml:space="preserve">.2 保密 </w:t>
      </w:r>
    </w:p>
    <w:p w14:paraId="1B3858F2">
      <w:pPr>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本条款下，任何一方（“接收方”）从另一方（“披露方”）或其雇员、承包商、顾问或代理人获得的所有资料和文件，如果尚未公布即应保密，未经另一方事先书面同意，在</w:t>
      </w:r>
      <w:r>
        <w:rPr>
          <w:rFonts w:hint="eastAsia" w:ascii="仿宋" w:hAnsi="仿宋" w:cs="仿宋"/>
          <w:color w:val="auto"/>
          <w:sz w:val="24"/>
          <w:szCs w:val="24"/>
          <w:highlight w:val="none"/>
          <w:lang w:val="en-US" w:eastAsia="zh-CN"/>
        </w:rPr>
        <w:t>运营</w:t>
      </w:r>
      <w:r>
        <w:rPr>
          <w:rFonts w:hint="eastAsia" w:ascii="仿宋" w:hAnsi="仿宋" w:eastAsia="仿宋" w:cs="仿宋"/>
          <w:color w:val="auto"/>
          <w:sz w:val="24"/>
          <w:szCs w:val="24"/>
          <w:highlight w:val="none"/>
        </w:rPr>
        <w:t>期满之后的 1 年期间不得向第三方（包括但不限于其关联公司、雇员、承包商、顾问或代理人）透露或公开保密信息，但是法律要求的信息除外。本承诺在本条款终止后仍然有效，直至保密信息成为公知信息为止。若接收方违反本保密条款，应赔偿披露方因此遭受的所有损失，包括但不限于直接经济损失、律师费、诉讼费等。</w:t>
      </w:r>
    </w:p>
    <w:p w14:paraId="6B234018">
      <w:pPr>
        <w:pStyle w:val="5"/>
        <w:jc w:val="left"/>
        <w:rPr>
          <w:rFonts w:hint="eastAsia" w:ascii="仿宋" w:hAnsi="仿宋" w:eastAsia="仿宋" w:cs="仿宋"/>
          <w:color w:val="auto"/>
          <w:highlight w:val="none"/>
        </w:rPr>
      </w:pPr>
      <w:r>
        <w:rPr>
          <w:rFonts w:hint="eastAsia" w:ascii="仿宋" w:hAnsi="仿宋" w:cs="仿宋"/>
          <w:color w:val="auto"/>
          <w:highlight w:val="none"/>
          <w:lang w:val="en-US" w:eastAsia="zh-CN"/>
        </w:rPr>
        <w:t>8</w:t>
      </w:r>
      <w:r>
        <w:rPr>
          <w:rFonts w:hint="eastAsia" w:ascii="仿宋" w:hAnsi="仿宋" w:eastAsia="仿宋" w:cs="仿宋"/>
          <w:color w:val="auto"/>
          <w:highlight w:val="none"/>
        </w:rPr>
        <w:t xml:space="preserve">.违约赔偿 </w:t>
      </w:r>
    </w:p>
    <w:p w14:paraId="47FAA5F2">
      <w:pPr>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cs="仿宋"/>
          <w:color w:val="auto"/>
          <w:sz w:val="24"/>
          <w:szCs w:val="24"/>
          <w:highlight w:val="none"/>
          <w:lang w:val="en-US" w:eastAsia="zh-CN"/>
        </w:rPr>
        <w:t>8</w:t>
      </w:r>
      <w:r>
        <w:rPr>
          <w:rFonts w:hint="eastAsia" w:ascii="仿宋" w:hAnsi="仿宋" w:eastAsia="仿宋" w:cs="仿宋"/>
          <w:color w:val="auto"/>
          <w:sz w:val="24"/>
          <w:szCs w:val="24"/>
          <w:highlight w:val="none"/>
        </w:rPr>
        <w:t xml:space="preserve">.1赔偿 </w:t>
      </w:r>
    </w:p>
    <w:p w14:paraId="1705E149">
      <w:pPr>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cs="仿宋"/>
          <w:color w:val="auto"/>
          <w:sz w:val="24"/>
          <w:szCs w:val="24"/>
          <w:highlight w:val="none"/>
          <w:lang w:val="en-US" w:eastAsia="zh-CN"/>
        </w:rPr>
        <w:t>8</w:t>
      </w:r>
      <w:r>
        <w:rPr>
          <w:rFonts w:hint="eastAsia" w:ascii="仿宋" w:hAnsi="仿宋" w:eastAsia="仿宋" w:cs="仿宋"/>
          <w:color w:val="auto"/>
          <w:sz w:val="24"/>
          <w:szCs w:val="24"/>
          <w:highlight w:val="none"/>
        </w:rPr>
        <w:t>.1 关于</w:t>
      </w:r>
      <w:r>
        <w:rPr>
          <w:rFonts w:hint="eastAsia" w:ascii="仿宋" w:hAnsi="仿宋" w:eastAsia="仿宋" w:cs="仿宋"/>
          <w:color w:val="auto"/>
          <w:sz w:val="24"/>
          <w:szCs w:val="24"/>
          <w:highlight w:val="none"/>
          <w:lang w:eastAsia="zh-CN"/>
        </w:rPr>
        <w:t>发包人</w:t>
      </w:r>
      <w:r>
        <w:rPr>
          <w:rFonts w:hint="eastAsia" w:ascii="仿宋" w:hAnsi="仿宋" w:eastAsia="仿宋" w:cs="仿宋"/>
          <w:color w:val="auto"/>
          <w:sz w:val="24"/>
          <w:szCs w:val="24"/>
          <w:highlight w:val="none"/>
        </w:rPr>
        <w:t>的违约责任：</w:t>
      </w:r>
    </w:p>
    <w:p w14:paraId="1277D890">
      <w:pPr>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cs="仿宋"/>
          <w:color w:val="auto"/>
          <w:sz w:val="24"/>
          <w:szCs w:val="24"/>
          <w:highlight w:val="none"/>
          <w:lang w:val="en-US" w:eastAsia="zh-CN"/>
        </w:rPr>
        <w:t>8</w:t>
      </w:r>
      <w:r>
        <w:rPr>
          <w:rFonts w:hint="eastAsia" w:ascii="仿宋" w:hAnsi="仿宋" w:eastAsia="仿宋" w:cs="仿宋"/>
          <w:color w:val="auto"/>
          <w:sz w:val="24"/>
          <w:szCs w:val="24"/>
          <w:highlight w:val="none"/>
        </w:rPr>
        <w:t>.1.1 如因</w:t>
      </w:r>
      <w:r>
        <w:rPr>
          <w:rFonts w:hint="eastAsia" w:ascii="仿宋" w:hAnsi="仿宋" w:eastAsia="仿宋" w:cs="仿宋"/>
          <w:color w:val="auto"/>
          <w:sz w:val="24"/>
          <w:szCs w:val="24"/>
          <w:highlight w:val="none"/>
          <w:lang w:eastAsia="zh-CN"/>
        </w:rPr>
        <w:t>发包人</w:t>
      </w:r>
      <w:r>
        <w:rPr>
          <w:rFonts w:hint="eastAsia" w:ascii="仿宋" w:hAnsi="仿宋" w:eastAsia="仿宋" w:cs="仿宋"/>
          <w:color w:val="auto"/>
          <w:sz w:val="24"/>
          <w:szCs w:val="24"/>
          <w:highlight w:val="none"/>
        </w:rPr>
        <w:t>违约行为造成</w:t>
      </w:r>
      <w:r>
        <w:rPr>
          <w:rFonts w:hint="eastAsia" w:ascii="仿宋" w:hAnsi="仿宋" w:eastAsia="仿宋" w:cs="仿宋"/>
          <w:color w:val="auto"/>
          <w:sz w:val="24"/>
          <w:szCs w:val="24"/>
          <w:highlight w:val="none"/>
          <w:lang w:eastAsia="zh-CN"/>
        </w:rPr>
        <w:t>承包人</w:t>
      </w:r>
      <w:r>
        <w:rPr>
          <w:rFonts w:hint="eastAsia" w:ascii="仿宋" w:hAnsi="仿宋" w:eastAsia="仿宋" w:cs="仿宋"/>
          <w:color w:val="auto"/>
          <w:sz w:val="24"/>
          <w:szCs w:val="24"/>
          <w:highlight w:val="none"/>
        </w:rPr>
        <w:t>经济损失（包括但不限于</w:t>
      </w:r>
      <w:r>
        <w:rPr>
          <w:rFonts w:hint="eastAsia" w:ascii="仿宋" w:hAnsi="仿宋" w:eastAsia="仿宋" w:cs="仿宋"/>
          <w:color w:val="auto"/>
          <w:sz w:val="24"/>
          <w:szCs w:val="24"/>
          <w:highlight w:val="none"/>
          <w:lang w:eastAsia="zh-CN"/>
        </w:rPr>
        <w:t>承包人</w:t>
      </w:r>
      <w:r>
        <w:rPr>
          <w:rFonts w:hint="eastAsia" w:ascii="仿宋" w:hAnsi="仿宋" w:eastAsia="仿宋" w:cs="仿宋"/>
          <w:color w:val="auto"/>
          <w:sz w:val="24"/>
          <w:szCs w:val="24"/>
          <w:highlight w:val="none"/>
        </w:rPr>
        <w:t>的行政处罚罚款、对第三方承担违约金或赔偿损失，由此产生的律师费、诉讼费等），</w:t>
      </w:r>
      <w:r>
        <w:rPr>
          <w:rFonts w:hint="eastAsia" w:ascii="仿宋" w:hAnsi="仿宋" w:eastAsia="仿宋" w:cs="仿宋"/>
          <w:color w:val="auto"/>
          <w:sz w:val="24"/>
          <w:szCs w:val="24"/>
          <w:highlight w:val="none"/>
          <w:lang w:eastAsia="zh-CN"/>
        </w:rPr>
        <w:t>承包人</w:t>
      </w:r>
      <w:r>
        <w:rPr>
          <w:rFonts w:hint="eastAsia" w:ascii="仿宋" w:hAnsi="仿宋" w:eastAsia="仿宋" w:cs="仿宋"/>
          <w:color w:val="auto"/>
          <w:sz w:val="24"/>
          <w:szCs w:val="24"/>
          <w:highlight w:val="none"/>
        </w:rPr>
        <w:t>有权要求</w:t>
      </w:r>
      <w:r>
        <w:rPr>
          <w:rFonts w:hint="eastAsia" w:ascii="仿宋" w:hAnsi="仿宋" w:eastAsia="仿宋" w:cs="仿宋"/>
          <w:color w:val="auto"/>
          <w:sz w:val="24"/>
          <w:szCs w:val="24"/>
          <w:highlight w:val="none"/>
          <w:lang w:eastAsia="zh-CN"/>
        </w:rPr>
        <w:t>发包人</w:t>
      </w:r>
      <w:r>
        <w:rPr>
          <w:rFonts w:hint="eastAsia" w:ascii="仿宋" w:hAnsi="仿宋" w:eastAsia="仿宋" w:cs="仿宋"/>
          <w:color w:val="auto"/>
          <w:sz w:val="24"/>
          <w:szCs w:val="24"/>
          <w:highlight w:val="none"/>
        </w:rPr>
        <w:t>予以赔偿。</w:t>
      </w:r>
      <w:r>
        <w:rPr>
          <w:rFonts w:hint="eastAsia" w:ascii="仿宋" w:hAnsi="仿宋" w:eastAsia="仿宋" w:cs="仿宋"/>
          <w:color w:val="auto"/>
          <w:sz w:val="24"/>
          <w:szCs w:val="24"/>
          <w:highlight w:val="none"/>
          <w:lang w:eastAsia="zh-CN"/>
        </w:rPr>
        <w:t>发包人</w:t>
      </w:r>
      <w:r>
        <w:rPr>
          <w:rFonts w:hint="eastAsia" w:ascii="仿宋" w:hAnsi="仿宋" w:eastAsia="仿宋" w:cs="仿宋"/>
          <w:color w:val="auto"/>
          <w:sz w:val="24"/>
          <w:szCs w:val="24"/>
          <w:highlight w:val="none"/>
        </w:rPr>
        <w:t>对违约行为的改正并不免除</w:t>
      </w:r>
      <w:r>
        <w:rPr>
          <w:rFonts w:hint="eastAsia" w:ascii="仿宋" w:hAnsi="仿宋" w:eastAsia="仿宋" w:cs="仿宋"/>
          <w:color w:val="auto"/>
          <w:sz w:val="24"/>
          <w:szCs w:val="24"/>
          <w:highlight w:val="none"/>
          <w:lang w:eastAsia="zh-CN"/>
        </w:rPr>
        <w:t>发包人</w:t>
      </w:r>
      <w:r>
        <w:rPr>
          <w:rFonts w:hint="eastAsia" w:ascii="仿宋" w:hAnsi="仿宋" w:eastAsia="仿宋" w:cs="仿宋"/>
          <w:color w:val="auto"/>
          <w:sz w:val="24"/>
          <w:szCs w:val="24"/>
          <w:highlight w:val="none"/>
        </w:rPr>
        <w:t>先前需要承担的违约责任。</w:t>
      </w:r>
    </w:p>
    <w:p w14:paraId="4E2087C4">
      <w:pPr>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cs="仿宋"/>
          <w:color w:val="auto"/>
          <w:sz w:val="24"/>
          <w:szCs w:val="24"/>
          <w:highlight w:val="none"/>
          <w:lang w:val="en-US" w:eastAsia="zh-CN"/>
        </w:rPr>
        <w:t>8</w:t>
      </w:r>
      <w:r>
        <w:rPr>
          <w:rFonts w:hint="eastAsia" w:ascii="仿宋" w:hAnsi="仿宋" w:eastAsia="仿宋" w:cs="仿宋"/>
          <w:color w:val="auto"/>
          <w:sz w:val="24"/>
          <w:szCs w:val="24"/>
          <w:highlight w:val="none"/>
        </w:rPr>
        <w:t>.2 关于</w:t>
      </w:r>
      <w:r>
        <w:rPr>
          <w:rFonts w:hint="eastAsia" w:ascii="仿宋" w:hAnsi="仿宋" w:eastAsia="仿宋" w:cs="仿宋"/>
          <w:color w:val="auto"/>
          <w:sz w:val="24"/>
          <w:szCs w:val="24"/>
          <w:highlight w:val="none"/>
          <w:lang w:eastAsia="zh-CN"/>
        </w:rPr>
        <w:t>承包人</w:t>
      </w:r>
      <w:r>
        <w:rPr>
          <w:rFonts w:hint="eastAsia" w:ascii="仿宋" w:hAnsi="仿宋" w:eastAsia="仿宋" w:cs="仿宋"/>
          <w:color w:val="auto"/>
          <w:sz w:val="24"/>
          <w:szCs w:val="24"/>
          <w:highlight w:val="none"/>
        </w:rPr>
        <w:t>的违约责任：</w:t>
      </w:r>
    </w:p>
    <w:p w14:paraId="0E9FD92E">
      <w:pPr>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cs="仿宋"/>
          <w:color w:val="auto"/>
          <w:sz w:val="24"/>
          <w:szCs w:val="24"/>
          <w:highlight w:val="none"/>
          <w:lang w:val="en-US" w:eastAsia="zh-CN"/>
        </w:rPr>
        <w:t>8</w:t>
      </w:r>
      <w:r>
        <w:rPr>
          <w:rFonts w:hint="eastAsia" w:ascii="仿宋" w:hAnsi="仿宋" w:eastAsia="仿宋" w:cs="仿宋"/>
          <w:color w:val="auto"/>
          <w:sz w:val="24"/>
          <w:szCs w:val="24"/>
          <w:highlight w:val="none"/>
        </w:rPr>
        <w:t xml:space="preserve">.2.1 </w:t>
      </w:r>
      <w:r>
        <w:rPr>
          <w:rFonts w:hint="eastAsia" w:ascii="仿宋" w:hAnsi="仿宋" w:eastAsia="仿宋" w:cs="仿宋"/>
          <w:color w:val="auto"/>
          <w:sz w:val="24"/>
          <w:szCs w:val="24"/>
          <w:highlight w:val="none"/>
          <w:lang w:eastAsia="zh-CN"/>
        </w:rPr>
        <w:t>承包人</w:t>
      </w:r>
      <w:r>
        <w:rPr>
          <w:rFonts w:hint="eastAsia" w:ascii="仿宋" w:hAnsi="仿宋" w:eastAsia="仿宋" w:cs="仿宋"/>
          <w:color w:val="auto"/>
          <w:sz w:val="24"/>
          <w:szCs w:val="24"/>
          <w:highlight w:val="none"/>
        </w:rPr>
        <w:t>在运营期内未履行其在本条款下的义务，即视为</w:t>
      </w:r>
      <w:r>
        <w:rPr>
          <w:rFonts w:hint="eastAsia" w:ascii="仿宋" w:hAnsi="仿宋" w:eastAsia="仿宋" w:cs="仿宋"/>
          <w:color w:val="auto"/>
          <w:sz w:val="24"/>
          <w:szCs w:val="24"/>
          <w:highlight w:val="none"/>
          <w:lang w:eastAsia="zh-CN"/>
        </w:rPr>
        <w:t>承包人</w:t>
      </w:r>
      <w:r>
        <w:rPr>
          <w:rFonts w:hint="eastAsia" w:ascii="仿宋" w:hAnsi="仿宋" w:eastAsia="仿宋" w:cs="仿宋"/>
          <w:color w:val="auto"/>
          <w:sz w:val="24"/>
          <w:szCs w:val="24"/>
          <w:highlight w:val="none"/>
        </w:rPr>
        <w:t>违约。</w:t>
      </w:r>
      <w:r>
        <w:rPr>
          <w:rFonts w:hint="eastAsia" w:ascii="仿宋" w:hAnsi="仿宋" w:eastAsia="仿宋" w:cs="仿宋"/>
          <w:color w:val="auto"/>
          <w:sz w:val="24"/>
          <w:szCs w:val="24"/>
          <w:highlight w:val="none"/>
          <w:lang w:eastAsia="zh-CN"/>
        </w:rPr>
        <w:t>承包人</w:t>
      </w:r>
      <w:r>
        <w:rPr>
          <w:rFonts w:hint="eastAsia" w:ascii="仿宋" w:hAnsi="仿宋" w:eastAsia="仿宋" w:cs="仿宋"/>
          <w:color w:val="auto"/>
          <w:sz w:val="24"/>
          <w:szCs w:val="24"/>
          <w:highlight w:val="none"/>
        </w:rPr>
        <w:t>应承担因其违约行为给</w:t>
      </w:r>
      <w:r>
        <w:rPr>
          <w:rFonts w:hint="eastAsia" w:ascii="仿宋" w:hAnsi="仿宋" w:eastAsia="仿宋" w:cs="仿宋"/>
          <w:color w:val="auto"/>
          <w:sz w:val="24"/>
          <w:szCs w:val="24"/>
          <w:highlight w:val="none"/>
          <w:lang w:eastAsia="zh-CN"/>
        </w:rPr>
        <w:t>发包人</w:t>
      </w:r>
      <w:r>
        <w:rPr>
          <w:rFonts w:hint="eastAsia" w:ascii="仿宋" w:hAnsi="仿宋" w:eastAsia="仿宋" w:cs="仿宋"/>
          <w:color w:val="auto"/>
          <w:sz w:val="24"/>
          <w:szCs w:val="24"/>
          <w:highlight w:val="none"/>
        </w:rPr>
        <w:t>造成的全部经济损失的赔偿责任，包括但不限于直接经济损失、间接经济损失及</w:t>
      </w:r>
      <w:r>
        <w:rPr>
          <w:rFonts w:hint="eastAsia" w:ascii="仿宋" w:hAnsi="仿宋" w:eastAsia="仿宋" w:cs="仿宋"/>
          <w:color w:val="auto"/>
          <w:sz w:val="24"/>
          <w:szCs w:val="24"/>
          <w:highlight w:val="none"/>
          <w:lang w:eastAsia="zh-CN"/>
        </w:rPr>
        <w:t>发包人</w:t>
      </w:r>
      <w:r>
        <w:rPr>
          <w:rFonts w:hint="eastAsia" w:ascii="仿宋" w:hAnsi="仿宋" w:eastAsia="仿宋" w:cs="仿宋"/>
          <w:color w:val="auto"/>
          <w:sz w:val="24"/>
          <w:szCs w:val="24"/>
          <w:highlight w:val="none"/>
        </w:rPr>
        <w:t>为处理违约事宜所支付的费用（如律师费、诉讼费等）。</w:t>
      </w:r>
    </w:p>
    <w:p w14:paraId="7C086708">
      <w:pPr>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cs="仿宋"/>
          <w:color w:val="auto"/>
          <w:sz w:val="24"/>
          <w:szCs w:val="24"/>
          <w:highlight w:val="none"/>
          <w:lang w:val="en-US" w:eastAsia="zh-CN"/>
        </w:rPr>
        <w:t>8</w:t>
      </w:r>
      <w:r>
        <w:rPr>
          <w:rFonts w:hint="eastAsia" w:ascii="仿宋" w:hAnsi="仿宋" w:eastAsia="仿宋" w:cs="仿宋"/>
          <w:color w:val="auto"/>
          <w:sz w:val="24"/>
          <w:szCs w:val="24"/>
          <w:highlight w:val="none"/>
        </w:rPr>
        <w:t>.2.2 如</w:t>
      </w:r>
      <w:r>
        <w:rPr>
          <w:rFonts w:hint="eastAsia" w:ascii="仿宋" w:hAnsi="仿宋" w:eastAsia="仿宋" w:cs="仿宋"/>
          <w:color w:val="auto"/>
          <w:sz w:val="24"/>
          <w:szCs w:val="24"/>
          <w:highlight w:val="none"/>
          <w:lang w:eastAsia="zh-CN"/>
        </w:rPr>
        <w:t>承包人</w:t>
      </w:r>
      <w:r>
        <w:rPr>
          <w:rFonts w:hint="eastAsia" w:ascii="仿宋" w:hAnsi="仿宋" w:eastAsia="仿宋" w:cs="仿宋"/>
          <w:color w:val="auto"/>
          <w:sz w:val="24"/>
          <w:szCs w:val="24"/>
          <w:highlight w:val="none"/>
        </w:rPr>
        <w:t>违反国家法律、法规，必须承担由此造成的经济损失。</w:t>
      </w:r>
      <w:r>
        <w:rPr>
          <w:rFonts w:hint="eastAsia" w:ascii="仿宋" w:hAnsi="仿宋" w:eastAsia="仿宋" w:cs="仿宋"/>
          <w:color w:val="auto"/>
          <w:sz w:val="24"/>
          <w:szCs w:val="24"/>
          <w:highlight w:val="none"/>
          <w:lang w:eastAsia="zh-CN"/>
        </w:rPr>
        <w:t>承包人</w:t>
      </w:r>
      <w:r>
        <w:rPr>
          <w:rFonts w:hint="eastAsia" w:ascii="仿宋" w:hAnsi="仿宋" w:eastAsia="仿宋" w:cs="仿宋"/>
          <w:color w:val="auto"/>
          <w:sz w:val="24"/>
          <w:szCs w:val="24"/>
          <w:highlight w:val="none"/>
        </w:rPr>
        <w:t>除需承担国家法律法规规定的相应责任外，还应赔偿</w:t>
      </w:r>
      <w:r>
        <w:rPr>
          <w:rFonts w:hint="eastAsia" w:ascii="仿宋" w:hAnsi="仿宋" w:eastAsia="仿宋" w:cs="仿宋"/>
          <w:color w:val="auto"/>
          <w:sz w:val="24"/>
          <w:szCs w:val="24"/>
          <w:highlight w:val="none"/>
          <w:lang w:eastAsia="zh-CN"/>
        </w:rPr>
        <w:t>发包人</w:t>
      </w:r>
      <w:r>
        <w:rPr>
          <w:rFonts w:hint="eastAsia" w:ascii="仿宋" w:hAnsi="仿宋" w:eastAsia="仿宋" w:cs="仿宋"/>
          <w:color w:val="auto"/>
          <w:sz w:val="24"/>
          <w:szCs w:val="24"/>
          <w:highlight w:val="none"/>
        </w:rPr>
        <w:t>因此遭受的全部经济损失。具体赔偿标准以相关法律法规的规定为准，但不得低于</w:t>
      </w:r>
      <w:r>
        <w:rPr>
          <w:rFonts w:hint="eastAsia" w:ascii="仿宋" w:hAnsi="仿宋" w:eastAsia="仿宋" w:cs="仿宋"/>
          <w:color w:val="auto"/>
          <w:sz w:val="24"/>
          <w:szCs w:val="24"/>
          <w:highlight w:val="none"/>
          <w:lang w:eastAsia="zh-CN"/>
        </w:rPr>
        <w:t>发包人</w:t>
      </w:r>
      <w:r>
        <w:rPr>
          <w:rFonts w:hint="eastAsia" w:ascii="仿宋" w:hAnsi="仿宋" w:eastAsia="仿宋" w:cs="仿宋"/>
          <w:color w:val="auto"/>
          <w:sz w:val="24"/>
          <w:szCs w:val="24"/>
          <w:highlight w:val="none"/>
        </w:rPr>
        <w:t xml:space="preserve">实际遭受的损失。 </w:t>
      </w:r>
    </w:p>
    <w:p w14:paraId="5F3A7AFE">
      <w:pPr>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cs="仿宋"/>
          <w:color w:val="auto"/>
          <w:sz w:val="24"/>
          <w:szCs w:val="24"/>
          <w:highlight w:val="none"/>
          <w:lang w:val="en-US" w:eastAsia="zh-CN"/>
        </w:rPr>
        <w:t>8</w:t>
      </w:r>
      <w:r>
        <w:rPr>
          <w:rFonts w:hint="eastAsia" w:ascii="仿宋" w:hAnsi="仿宋" w:eastAsia="仿宋" w:cs="仿宋"/>
          <w:color w:val="auto"/>
          <w:sz w:val="24"/>
          <w:szCs w:val="24"/>
          <w:highlight w:val="none"/>
        </w:rPr>
        <w:t xml:space="preserve">.2.3 </w:t>
      </w:r>
      <w:r>
        <w:rPr>
          <w:rFonts w:hint="eastAsia" w:ascii="仿宋" w:hAnsi="仿宋" w:eastAsia="仿宋" w:cs="仿宋"/>
          <w:color w:val="auto"/>
          <w:sz w:val="24"/>
          <w:szCs w:val="24"/>
          <w:highlight w:val="none"/>
          <w:lang w:eastAsia="zh-CN"/>
        </w:rPr>
        <w:t>承包人</w:t>
      </w:r>
      <w:r>
        <w:rPr>
          <w:rFonts w:hint="eastAsia" w:ascii="仿宋" w:hAnsi="仿宋" w:eastAsia="仿宋" w:cs="仿宋"/>
          <w:color w:val="auto"/>
          <w:sz w:val="24"/>
          <w:szCs w:val="24"/>
          <w:highlight w:val="none"/>
        </w:rPr>
        <w:t>在运营期内负责管理</w:t>
      </w:r>
      <w:r>
        <w:rPr>
          <w:rFonts w:hint="eastAsia" w:ascii="仿宋" w:hAnsi="仿宋" w:eastAsia="仿宋" w:cs="仿宋"/>
          <w:color w:val="auto"/>
          <w:sz w:val="24"/>
          <w:szCs w:val="24"/>
          <w:highlight w:val="none"/>
          <w:lang w:eastAsia="zh-CN"/>
        </w:rPr>
        <w:t>发包人</w:t>
      </w:r>
      <w:r>
        <w:rPr>
          <w:rFonts w:hint="eastAsia" w:ascii="仿宋" w:hAnsi="仿宋" w:eastAsia="仿宋" w:cs="仿宋"/>
          <w:color w:val="auto"/>
          <w:sz w:val="24"/>
          <w:szCs w:val="24"/>
          <w:highlight w:val="none"/>
        </w:rPr>
        <w:t>移交的资产、设施等时，应妥善保管，防止遗失或损坏。如</w:t>
      </w:r>
      <w:r>
        <w:rPr>
          <w:rFonts w:hint="eastAsia" w:ascii="仿宋" w:hAnsi="仿宋" w:eastAsia="仿宋" w:cs="仿宋"/>
          <w:color w:val="auto"/>
          <w:sz w:val="24"/>
          <w:szCs w:val="24"/>
          <w:highlight w:val="none"/>
          <w:lang w:eastAsia="zh-CN"/>
        </w:rPr>
        <w:t>承包人</w:t>
      </w:r>
      <w:r>
        <w:rPr>
          <w:rFonts w:hint="eastAsia" w:ascii="仿宋" w:hAnsi="仿宋" w:eastAsia="仿宋" w:cs="仿宋"/>
          <w:color w:val="auto"/>
          <w:sz w:val="24"/>
          <w:szCs w:val="24"/>
          <w:highlight w:val="none"/>
        </w:rPr>
        <w:t>原因造成</w:t>
      </w:r>
      <w:r>
        <w:rPr>
          <w:rFonts w:hint="eastAsia" w:ascii="仿宋" w:hAnsi="仿宋" w:eastAsia="仿宋" w:cs="仿宋"/>
          <w:color w:val="auto"/>
          <w:sz w:val="24"/>
          <w:szCs w:val="24"/>
          <w:highlight w:val="none"/>
          <w:lang w:eastAsia="zh-CN"/>
        </w:rPr>
        <w:t>发包人</w:t>
      </w:r>
      <w:r>
        <w:rPr>
          <w:rFonts w:hint="eastAsia" w:ascii="仿宋" w:hAnsi="仿宋" w:eastAsia="仿宋" w:cs="仿宋"/>
          <w:color w:val="auto"/>
          <w:sz w:val="24"/>
          <w:szCs w:val="24"/>
          <w:highlight w:val="none"/>
        </w:rPr>
        <w:t>资产、设施等遗失、损坏的，</w:t>
      </w:r>
      <w:r>
        <w:rPr>
          <w:rFonts w:hint="eastAsia" w:ascii="仿宋" w:hAnsi="仿宋" w:eastAsia="仿宋" w:cs="仿宋"/>
          <w:color w:val="auto"/>
          <w:sz w:val="24"/>
          <w:szCs w:val="24"/>
          <w:highlight w:val="none"/>
          <w:lang w:eastAsia="zh-CN"/>
        </w:rPr>
        <w:t>承包人</w:t>
      </w:r>
      <w:r>
        <w:rPr>
          <w:rFonts w:hint="eastAsia" w:ascii="仿宋" w:hAnsi="仿宋" w:eastAsia="仿宋" w:cs="仿宋"/>
          <w:color w:val="auto"/>
          <w:sz w:val="24"/>
          <w:szCs w:val="24"/>
          <w:highlight w:val="none"/>
        </w:rPr>
        <w:t>应按照资产、设施的账面价值或修复费用进行赔偿。</w:t>
      </w:r>
    </w:p>
    <w:p w14:paraId="2E44C30E">
      <w:pPr>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cs="仿宋"/>
          <w:color w:val="auto"/>
          <w:sz w:val="24"/>
          <w:szCs w:val="24"/>
          <w:highlight w:val="none"/>
          <w:lang w:val="en-US" w:eastAsia="zh-CN"/>
        </w:rPr>
        <w:t>8</w:t>
      </w:r>
      <w:r>
        <w:rPr>
          <w:rFonts w:hint="eastAsia" w:ascii="仿宋" w:hAnsi="仿宋" w:eastAsia="仿宋" w:cs="仿宋"/>
          <w:color w:val="auto"/>
          <w:sz w:val="24"/>
          <w:szCs w:val="24"/>
          <w:highlight w:val="none"/>
        </w:rPr>
        <w:t>.2.4 出水水质不合格的违约金</w:t>
      </w:r>
    </w:p>
    <w:p w14:paraId="03D54C4E">
      <w:pPr>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（1)当进水水质符合本条款约定的前提下，如处理后的出厂水水质未能达到本条款约定标准，则违约金为</w:t>
      </w:r>
      <w:r>
        <w:rPr>
          <w:rFonts w:hint="eastAsia" w:ascii="仿宋" w:hAnsi="仿宋" w:eastAsia="仿宋" w:cs="仿宋"/>
          <w:color w:val="auto"/>
          <w:sz w:val="24"/>
          <w:szCs w:val="24"/>
          <w:highlight w:val="none"/>
          <w:u w:val="single"/>
        </w:rPr>
        <w:t xml:space="preserve"> </w:t>
      </w:r>
      <w:r>
        <w:rPr>
          <w:rFonts w:hint="eastAsia" w:ascii="仿宋" w:hAnsi="仿宋" w:cs="仿宋"/>
          <w:color w:val="auto"/>
          <w:sz w:val="24"/>
          <w:szCs w:val="24"/>
          <w:highlight w:val="none"/>
          <w:u w:val="single"/>
          <w:lang w:eastAsia="zh-CN"/>
        </w:rPr>
        <w:t>1</w:t>
      </w:r>
      <w:r>
        <w:rPr>
          <w:rFonts w:hint="eastAsia" w:ascii="仿宋" w:hAnsi="仿宋" w:cs="仿宋"/>
          <w:color w:val="auto"/>
          <w:sz w:val="24"/>
          <w:szCs w:val="24"/>
          <w:highlight w:val="none"/>
          <w:u w:val="single"/>
          <w:lang w:val="en-US" w:eastAsia="zh-CN"/>
        </w:rPr>
        <w:t>0000.00</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元/日，在线检测指标日均值不达标（在线监测设备故障除外），扣除当日应付的全部的委托运营服务费。当日应付的委托运营服务费=当月委托运营服务费/当月运营天数。</w:t>
      </w:r>
    </w:p>
    <w:p w14:paraId="7694B8AA">
      <w:pPr>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(2)当进水水质的某一项或多项污染物浓度指标超过本条款约定标准时，</w:t>
      </w:r>
      <w:r>
        <w:rPr>
          <w:rFonts w:hint="eastAsia" w:ascii="仿宋" w:hAnsi="仿宋" w:eastAsia="仿宋" w:cs="仿宋"/>
          <w:color w:val="auto"/>
          <w:sz w:val="24"/>
          <w:szCs w:val="24"/>
          <w:highlight w:val="none"/>
          <w:lang w:eastAsia="zh-CN"/>
        </w:rPr>
        <w:t>承包人</w:t>
      </w:r>
      <w:r>
        <w:rPr>
          <w:rFonts w:hint="eastAsia" w:ascii="仿宋" w:hAnsi="仿宋" w:eastAsia="仿宋" w:cs="仿宋"/>
          <w:color w:val="auto"/>
          <w:sz w:val="24"/>
          <w:szCs w:val="24"/>
          <w:highlight w:val="none"/>
        </w:rPr>
        <w:t>应做出相应应急处理措施，</w:t>
      </w:r>
      <w:r>
        <w:rPr>
          <w:rFonts w:hint="eastAsia" w:ascii="仿宋" w:hAnsi="仿宋" w:eastAsia="仿宋" w:cs="仿宋"/>
          <w:color w:val="auto"/>
          <w:sz w:val="24"/>
          <w:szCs w:val="24"/>
          <w:highlight w:val="none"/>
          <w:lang w:eastAsia="zh-CN"/>
        </w:rPr>
        <w:t>承包人</w:t>
      </w:r>
      <w:r>
        <w:rPr>
          <w:rFonts w:hint="eastAsia" w:ascii="仿宋" w:hAnsi="仿宋" w:eastAsia="仿宋" w:cs="仿宋"/>
          <w:color w:val="auto"/>
          <w:sz w:val="24"/>
          <w:szCs w:val="24"/>
          <w:highlight w:val="none"/>
        </w:rPr>
        <w:t>应谨慎原则，尽最大努力争取出水水质标准稳定达标。</w:t>
      </w:r>
      <w:r>
        <w:rPr>
          <w:rFonts w:hint="eastAsia" w:ascii="仿宋" w:hAnsi="仿宋" w:eastAsia="仿宋" w:cs="仿宋"/>
          <w:color w:val="auto"/>
          <w:sz w:val="24"/>
          <w:szCs w:val="24"/>
          <w:highlight w:val="none"/>
          <w:lang w:eastAsia="zh-CN"/>
        </w:rPr>
        <w:t>承包人</w:t>
      </w:r>
      <w:r>
        <w:rPr>
          <w:rFonts w:hint="eastAsia" w:ascii="仿宋" w:hAnsi="仿宋" w:eastAsia="仿宋" w:cs="仿宋"/>
          <w:color w:val="auto"/>
          <w:sz w:val="24"/>
          <w:szCs w:val="24"/>
          <w:highlight w:val="none"/>
        </w:rPr>
        <w:t>应事先将应急预案提交</w:t>
      </w:r>
      <w:r>
        <w:rPr>
          <w:rFonts w:hint="eastAsia" w:ascii="仿宋" w:hAnsi="仿宋" w:eastAsia="仿宋" w:cs="仿宋"/>
          <w:color w:val="auto"/>
          <w:sz w:val="24"/>
          <w:szCs w:val="24"/>
          <w:highlight w:val="none"/>
          <w:lang w:eastAsia="zh-CN"/>
        </w:rPr>
        <w:t>发包人</w:t>
      </w:r>
      <w:r>
        <w:rPr>
          <w:rFonts w:hint="eastAsia" w:ascii="仿宋" w:hAnsi="仿宋" w:eastAsia="仿宋" w:cs="仿宋"/>
          <w:color w:val="auto"/>
          <w:sz w:val="24"/>
          <w:szCs w:val="24"/>
          <w:highlight w:val="none"/>
        </w:rPr>
        <w:t>审核备案，并在发生进水水质超标时及时向</w:t>
      </w:r>
      <w:r>
        <w:rPr>
          <w:rFonts w:hint="eastAsia" w:ascii="仿宋" w:hAnsi="仿宋" w:eastAsia="仿宋" w:cs="仿宋"/>
          <w:color w:val="auto"/>
          <w:sz w:val="24"/>
          <w:szCs w:val="24"/>
          <w:highlight w:val="none"/>
          <w:lang w:eastAsia="zh-CN"/>
        </w:rPr>
        <w:t>发包人</w:t>
      </w:r>
      <w:r>
        <w:rPr>
          <w:rFonts w:hint="eastAsia" w:ascii="仿宋" w:hAnsi="仿宋" w:eastAsia="仿宋" w:cs="仿宋"/>
          <w:color w:val="auto"/>
          <w:sz w:val="24"/>
          <w:szCs w:val="24"/>
          <w:highlight w:val="none"/>
        </w:rPr>
        <w:t>报告。</w:t>
      </w:r>
    </w:p>
    <w:p w14:paraId="07CD81B8">
      <w:pPr>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(3)如因实际进水水质任何一项指标超过本合同规定的标准导致污水处理工艺造成损害，</w:t>
      </w:r>
      <w:r>
        <w:rPr>
          <w:rFonts w:hint="eastAsia" w:ascii="仿宋" w:hAnsi="仿宋" w:eastAsia="仿宋" w:cs="仿宋"/>
          <w:color w:val="auto"/>
          <w:sz w:val="24"/>
          <w:szCs w:val="24"/>
          <w:highlight w:val="none"/>
          <w:lang w:eastAsia="zh-CN"/>
        </w:rPr>
        <w:t>发包人</w:t>
      </w:r>
      <w:r>
        <w:rPr>
          <w:rFonts w:hint="eastAsia" w:ascii="仿宋" w:hAnsi="仿宋" w:eastAsia="仿宋" w:cs="仿宋"/>
          <w:color w:val="auto"/>
          <w:sz w:val="24"/>
          <w:szCs w:val="24"/>
          <w:highlight w:val="none"/>
        </w:rPr>
        <w:t>应给予</w:t>
      </w:r>
      <w:r>
        <w:rPr>
          <w:rFonts w:hint="eastAsia" w:ascii="仿宋" w:hAnsi="仿宋" w:eastAsia="仿宋" w:cs="仿宋"/>
          <w:color w:val="auto"/>
          <w:sz w:val="24"/>
          <w:szCs w:val="24"/>
          <w:highlight w:val="none"/>
          <w:lang w:eastAsia="zh-CN"/>
        </w:rPr>
        <w:t>承包人</w:t>
      </w:r>
      <w:r>
        <w:rPr>
          <w:rFonts w:hint="eastAsia" w:ascii="仿宋" w:hAnsi="仿宋" w:eastAsia="仿宋" w:cs="仿宋"/>
          <w:color w:val="auto"/>
          <w:sz w:val="24"/>
          <w:szCs w:val="24"/>
          <w:highlight w:val="none"/>
        </w:rPr>
        <w:t>不少于20日的恢复期。在恢复期间，</w:t>
      </w:r>
      <w:r>
        <w:rPr>
          <w:rFonts w:hint="eastAsia" w:ascii="仿宋" w:hAnsi="仿宋" w:eastAsia="仿宋" w:cs="仿宋"/>
          <w:color w:val="auto"/>
          <w:sz w:val="24"/>
          <w:szCs w:val="24"/>
          <w:highlight w:val="none"/>
          <w:lang w:eastAsia="zh-CN"/>
        </w:rPr>
        <w:t>承包人</w:t>
      </w:r>
      <w:r>
        <w:rPr>
          <w:rFonts w:hint="eastAsia" w:ascii="仿宋" w:hAnsi="仿宋" w:eastAsia="仿宋" w:cs="仿宋"/>
          <w:color w:val="auto"/>
          <w:sz w:val="24"/>
          <w:szCs w:val="24"/>
          <w:highlight w:val="none"/>
        </w:rPr>
        <w:t>应做出相应应急处理措施，按照谨慎运营惯例进行污水处理运营，尽最大努力争取出水水质标准达标。</w:t>
      </w:r>
      <w:r>
        <w:rPr>
          <w:rFonts w:hint="eastAsia" w:ascii="仿宋" w:hAnsi="仿宋" w:eastAsia="仿宋" w:cs="仿宋"/>
          <w:color w:val="auto"/>
          <w:sz w:val="24"/>
          <w:szCs w:val="24"/>
          <w:highlight w:val="none"/>
          <w:lang w:eastAsia="zh-CN"/>
        </w:rPr>
        <w:t>承包人</w:t>
      </w:r>
      <w:r>
        <w:rPr>
          <w:rFonts w:hint="eastAsia" w:ascii="仿宋" w:hAnsi="仿宋" w:eastAsia="仿宋" w:cs="仿宋"/>
          <w:color w:val="auto"/>
          <w:sz w:val="24"/>
          <w:szCs w:val="24"/>
          <w:highlight w:val="none"/>
        </w:rPr>
        <w:t>应定期向</w:t>
      </w:r>
      <w:r>
        <w:rPr>
          <w:rFonts w:hint="eastAsia" w:ascii="仿宋" w:hAnsi="仿宋" w:eastAsia="仿宋" w:cs="仿宋"/>
          <w:color w:val="auto"/>
          <w:sz w:val="24"/>
          <w:szCs w:val="24"/>
          <w:highlight w:val="none"/>
          <w:lang w:eastAsia="zh-CN"/>
        </w:rPr>
        <w:t>发包人</w:t>
      </w:r>
      <w:r>
        <w:rPr>
          <w:rFonts w:hint="eastAsia" w:ascii="仿宋" w:hAnsi="仿宋" w:eastAsia="仿宋" w:cs="仿宋"/>
          <w:color w:val="auto"/>
          <w:sz w:val="24"/>
          <w:szCs w:val="24"/>
          <w:highlight w:val="none"/>
        </w:rPr>
        <w:t xml:space="preserve">报告恢复进展及出水水质情况。  </w:t>
      </w:r>
    </w:p>
    <w:p w14:paraId="3E6FAEE0">
      <w:pPr>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cs="仿宋"/>
          <w:color w:val="auto"/>
          <w:sz w:val="24"/>
          <w:szCs w:val="24"/>
          <w:highlight w:val="none"/>
          <w:lang w:val="en-US" w:eastAsia="zh-CN"/>
        </w:rPr>
        <w:t>8</w:t>
      </w:r>
      <w:r>
        <w:rPr>
          <w:rFonts w:hint="eastAsia" w:ascii="仿宋" w:hAnsi="仿宋" w:eastAsia="仿宋" w:cs="仿宋"/>
          <w:color w:val="auto"/>
          <w:sz w:val="24"/>
          <w:szCs w:val="24"/>
          <w:highlight w:val="none"/>
        </w:rPr>
        <w:t xml:space="preserve">.2.5 不可抗力导致的违约 </w:t>
      </w:r>
    </w:p>
    <w:p w14:paraId="2FCBF86F">
      <w:pPr>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如果</w:t>
      </w:r>
      <w:r>
        <w:rPr>
          <w:rFonts w:hint="eastAsia" w:ascii="仿宋" w:hAnsi="仿宋" w:eastAsia="仿宋" w:cs="仿宋"/>
          <w:color w:val="auto"/>
          <w:sz w:val="24"/>
          <w:szCs w:val="24"/>
          <w:highlight w:val="none"/>
          <w:lang w:eastAsia="zh-CN"/>
        </w:rPr>
        <w:t>承包人</w:t>
      </w:r>
      <w:r>
        <w:rPr>
          <w:rFonts w:hint="eastAsia" w:ascii="仿宋" w:hAnsi="仿宋" w:eastAsia="仿宋" w:cs="仿宋"/>
          <w:color w:val="auto"/>
          <w:sz w:val="24"/>
          <w:szCs w:val="24"/>
          <w:highlight w:val="none"/>
        </w:rPr>
        <w:t>违约是因为不可抗力导致的，</w:t>
      </w:r>
      <w:r>
        <w:rPr>
          <w:rFonts w:hint="eastAsia" w:ascii="仿宋" w:hAnsi="仿宋" w:eastAsia="仿宋" w:cs="仿宋"/>
          <w:color w:val="auto"/>
          <w:sz w:val="24"/>
          <w:szCs w:val="24"/>
          <w:highlight w:val="none"/>
          <w:lang w:eastAsia="zh-CN"/>
        </w:rPr>
        <w:t>承包人</w:t>
      </w:r>
      <w:r>
        <w:rPr>
          <w:rFonts w:hint="eastAsia" w:ascii="仿宋" w:hAnsi="仿宋" w:eastAsia="仿宋" w:cs="仿宋"/>
          <w:color w:val="auto"/>
          <w:sz w:val="24"/>
          <w:szCs w:val="24"/>
          <w:highlight w:val="none"/>
        </w:rPr>
        <w:t>运营受到该等不可抗力事件影响的限度内免除因该等不可抗力事件导致的</w:t>
      </w:r>
      <w:r>
        <w:rPr>
          <w:rFonts w:hint="eastAsia" w:ascii="仿宋" w:hAnsi="仿宋" w:eastAsia="仿宋" w:cs="仿宋"/>
          <w:color w:val="auto"/>
          <w:sz w:val="24"/>
          <w:szCs w:val="24"/>
          <w:highlight w:val="none"/>
          <w:lang w:eastAsia="zh-CN"/>
        </w:rPr>
        <w:t>承包人</w:t>
      </w:r>
      <w:r>
        <w:rPr>
          <w:rFonts w:hint="eastAsia" w:ascii="仿宋" w:hAnsi="仿宋" w:eastAsia="仿宋" w:cs="仿宋"/>
          <w:color w:val="auto"/>
          <w:sz w:val="24"/>
          <w:szCs w:val="24"/>
          <w:highlight w:val="none"/>
        </w:rPr>
        <w:t>实际处理污水出水水质的违约金。</w:t>
      </w:r>
      <w:r>
        <w:rPr>
          <w:rFonts w:hint="eastAsia" w:ascii="仿宋" w:hAnsi="仿宋" w:eastAsia="仿宋" w:cs="仿宋"/>
          <w:color w:val="auto"/>
          <w:sz w:val="24"/>
          <w:szCs w:val="24"/>
          <w:highlight w:val="none"/>
          <w:lang w:eastAsia="zh-CN"/>
        </w:rPr>
        <w:t>承包人</w:t>
      </w:r>
      <w:r>
        <w:rPr>
          <w:rFonts w:hint="eastAsia" w:ascii="仿宋" w:hAnsi="仿宋" w:eastAsia="仿宋" w:cs="仿宋"/>
          <w:color w:val="auto"/>
          <w:sz w:val="24"/>
          <w:szCs w:val="24"/>
          <w:highlight w:val="none"/>
        </w:rPr>
        <w:t>应当在不可抗力事件发生后尽快通知</w:t>
      </w:r>
      <w:r>
        <w:rPr>
          <w:rFonts w:hint="eastAsia" w:ascii="仿宋" w:hAnsi="仿宋" w:eastAsia="仿宋" w:cs="仿宋"/>
          <w:color w:val="auto"/>
          <w:sz w:val="24"/>
          <w:szCs w:val="24"/>
          <w:highlight w:val="none"/>
          <w:lang w:eastAsia="zh-CN"/>
        </w:rPr>
        <w:t>发包人</w:t>
      </w:r>
      <w:r>
        <w:rPr>
          <w:rFonts w:hint="eastAsia" w:ascii="仿宋" w:hAnsi="仿宋" w:eastAsia="仿宋" w:cs="仿宋"/>
          <w:color w:val="auto"/>
          <w:sz w:val="24"/>
          <w:szCs w:val="24"/>
          <w:highlight w:val="none"/>
        </w:rPr>
        <w:t>，并提供相应的证据材料证明该不可抗力事件的存在及其对</w:t>
      </w:r>
      <w:r>
        <w:rPr>
          <w:rFonts w:hint="eastAsia" w:ascii="仿宋" w:hAnsi="仿宋" w:eastAsia="仿宋" w:cs="仿宋"/>
          <w:color w:val="auto"/>
          <w:sz w:val="24"/>
          <w:szCs w:val="24"/>
          <w:highlight w:val="none"/>
          <w:lang w:eastAsia="zh-CN"/>
        </w:rPr>
        <w:t>承包人</w:t>
      </w:r>
      <w:r>
        <w:rPr>
          <w:rFonts w:hint="eastAsia" w:ascii="仿宋" w:hAnsi="仿宋" w:eastAsia="仿宋" w:cs="仿宋"/>
          <w:color w:val="auto"/>
          <w:sz w:val="24"/>
          <w:szCs w:val="24"/>
          <w:highlight w:val="none"/>
        </w:rPr>
        <w:t>运营的影响。</w:t>
      </w:r>
      <w:r>
        <w:rPr>
          <w:rFonts w:hint="eastAsia" w:ascii="仿宋" w:hAnsi="仿宋" w:eastAsia="仿宋" w:cs="仿宋"/>
          <w:color w:val="auto"/>
          <w:sz w:val="24"/>
          <w:szCs w:val="24"/>
          <w:highlight w:val="none"/>
          <w:lang w:eastAsia="zh-CN"/>
        </w:rPr>
        <w:t>承包人</w:t>
      </w:r>
      <w:r>
        <w:rPr>
          <w:rFonts w:hint="eastAsia" w:ascii="仿宋" w:hAnsi="仿宋" w:eastAsia="仿宋" w:cs="仿宋"/>
          <w:color w:val="auto"/>
          <w:sz w:val="24"/>
          <w:szCs w:val="24"/>
          <w:highlight w:val="none"/>
        </w:rPr>
        <w:t>应当采取合理的措施减轻不可抗力事件对其运营的影响，并尽可能恢复正常运营。若</w:t>
      </w:r>
      <w:r>
        <w:rPr>
          <w:rFonts w:hint="eastAsia" w:ascii="仿宋" w:hAnsi="仿宋" w:eastAsia="仿宋" w:cs="仿宋"/>
          <w:color w:val="auto"/>
          <w:sz w:val="24"/>
          <w:szCs w:val="24"/>
          <w:highlight w:val="none"/>
          <w:lang w:eastAsia="zh-CN"/>
        </w:rPr>
        <w:t>承包人</w:t>
      </w:r>
      <w:r>
        <w:rPr>
          <w:rFonts w:hint="eastAsia" w:ascii="仿宋" w:hAnsi="仿宋" w:eastAsia="仿宋" w:cs="仿宋"/>
          <w:color w:val="auto"/>
          <w:sz w:val="24"/>
          <w:szCs w:val="24"/>
          <w:highlight w:val="none"/>
        </w:rPr>
        <w:t>未能在不可抗力事件发生后采取合理且必要的措施来减轻影响并恢复正常运营，或者</w:t>
      </w:r>
      <w:r>
        <w:rPr>
          <w:rFonts w:hint="eastAsia" w:ascii="仿宋" w:hAnsi="仿宋" w:eastAsia="仿宋" w:cs="仿宋"/>
          <w:color w:val="auto"/>
          <w:sz w:val="24"/>
          <w:szCs w:val="24"/>
          <w:highlight w:val="none"/>
          <w:lang w:eastAsia="zh-CN"/>
        </w:rPr>
        <w:t>承包人</w:t>
      </w:r>
      <w:r>
        <w:rPr>
          <w:rFonts w:hint="eastAsia" w:ascii="仿宋" w:hAnsi="仿宋" w:eastAsia="仿宋" w:cs="仿宋"/>
          <w:color w:val="auto"/>
          <w:sz w:val="24"/>
          <w:szCs w:val="24"/>
          <w:highlight w:val="none"/>
        </w:rPr>
        <w:t>未能在合理时间内通知</w:t>
      </w:r>
      <w:r>
        <w:rPr>
          <w:rFonts w:hint="eastAsia" w:ascii="仿宋" w:hAnsi="仿宋" w:eastAsia="仿宋" w:cs="仿宋"/>
          <w:color w:val="auto"/>
          <w:sz w:val="24"/>
          <w:szCs w:val="24"/>
          <w:highlight w:val="none"/>
          <w:lang w:eastAsia="zh-CN"/>
        </w:rPr>
        <w:t>发包人</w:t>
      </w:r>
      <w:r>
        <w:rPr>
          <w:rFonts w:hint="eastAsia" w:ascii="仿宋" w:hAnsi="仿宋" w:eastAsia="仿宋" w:cs="仿宋"/>
          <w:color w:val="auto"/>
          <w:sz w:val="24"/>
          <w:szCs w:val="24"/>
          <w:highlight w:val="none"/>
        </w:rPr>
        <w:t>并提供相关证明文件，则</w:t>
      </w:r>
      <w:r>
        <w:rPr>
          <w:rFonts w:hint="eastAsia" w:ascii="仿宋" w:hAnsi="仿宋" w:eastAsia="仿宋" w:cs="仿宋"/>
          <w:color w:val="auto"/>
          <w:sz w:val="24"/>
          <w:szCs w:val="24"/>
          <w:highlight w:val="none"/>
          <w:lang w:eastAsia="zh-CN"/>
        </w:rPr>
        <w:t>承包人</w:t>
      </w:r>
      <w:r>
        <w:rPr>
          <w:rFonts w:hint="eastAsia" w:ascii="仿宋" w:hAnsi="仿宋" w:eastAsia="仿宋" w:cs="仿宋"/>
          <w:color w:val="auto"/>
          <w:sz w:val="24"/>
          <w:szCs w:val="24"/>
          <w:highlight w:val="none"/>
        </w:rPr>
        <w:t>不得享受因不可抗力导致的违约金免除权利。此外，</w:t>
      </w:r>
      <w:r>
        <w:rPr>
          <w:rFonts w:hint="eastAsia" w:ascii="仿宋" w:hAnsi="仿宋" w:eastAsia="仿宋" w:cs="仿宋"/>
          <w:color w:val="auto"/>
          <w:sz w:val="24"/>
          <w:szCs w:val="24"/>
          <w:highlight w:val="none"/>
          <w:lang w:eastAsia="zh-CN"/>
        </w:rPr>
        <w:t>承包人</w:t>
      </w:r>
      <w:r>
        <w:rPr>
          <w:rFonts w:hint="eastAsia" w:ascii="仿宋" w:hAnsi="仿宋" w:eastAsia="仿宋" w:cs="仿宋"/>
          <w:color w:val="auto"/>
          <w:sz w:val="24"/>
          <w:szCs w:val="24"/>
          <w:highlight w:val="none"/>
        </w:rPr>
        <w:t>还应就因其未履行减轻与恢复义务而给</w:t>
      </w:r>
      <w:r>
        <w:rPr>
          <w:rFonts w:hint="eastAsia" w:ascii="仿宋" w:hAnsi="仿宋" w:eastAsia="仿宋" w:cs="仿宋"/>
          <w:color w:val="auto"/>
          <w:sz w:val="24"/>
          <w:szCs w:val="24"/>
          <w:highlight w:val="none"/>
          <w:lang w:eastAsia="zh-CN"/>
        </w:rPr>
        <w:t>发包人</w:t>
      </w:r>
      <w:r>
        <w:rPr>
          <w:rFonts w:hint="eastAsia" w:ascii="仿宋" w:hAnsi="仿宋" w:eastAsia="仿宋" w:cs="仿宋"/>
          <w:color w:val="auto"/>
          <w:sz w:val="24"/>
          <w:szCs w:val="24"/>
          <w:highlight w:val="none"/>
        </w:rPr>
        <w:t xml:space="preserve">造成的额外损失承担赔偿责任。  </w:t>
      </w:r>
    </w:p>
    <w:p w14:paraId="6F1D7BBD">
      <w:pPr>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cs="仿宋"/>
          <w:color w:val="auto"/>
          <w:sz w:val="24"/>
          <w:szCs w:val="24"/>
          <w:highlight w:val="none"/>
          <w:lang w:val="en-US" w:eastAsia="zh-CN"/>
        </w:rPr>
        <w:t>8</w:t>
      </w:r>
      <w:r>
        <w:rPr>
          <w:rFonts w:hint="eastAsia" w:ascii="仿宋" w:hAnsi="仿宋" w:eastAsia="仿宋" w:cs="仿宋"/>
          <w:color w:val="auto"/>
          <w:sz w:val="24"/>
          <w:szCs w:val="24"/>
          <w:highlight w:val="none"/>
        </w:rPr>
        <w:t xml:space="preserve">.2.6 </w:t>
      </w:r>
      <w:r>
        <w:rPr>
          <w:rFonts w:hint="eastAsia" w:ascii="仿宋" w:hAnsi="仿宋" w:eastAsia="仿宋" w:cs="仿宋"/>
          <w:color w:val="auto"/>
          <w:sz w:val="24"/>
          <w:szCs w:val="24"/>
          <w:highlight w:val="none"/>
          <w:lang w:eastAsia="zh-CN"/>
        </w:rPr>
        <w:t>承包人</w:t>
      </w:r>
      <w:r>
        <w:rPr>
          <w:rFonts w:hint="eastAsia" w:ascii="仿宋" w:hAnsi="仿宋" w:eastAsia="仿宋" w:cs="仿宋"/>
          <w:color w:val="auto"/>
          <w:sz w:val="24"/>
          <w:szCs w:val="24"/>
          <w:highlight w:val="none"/>
        </w:rPr>
        <w:t>违约金的支付，经</w:t>
      </w:r>
      <w:r>
        <w:rPr>
          <w:rFonts w:hint="eastAsia" w:ascii="仿宋" w:hAnsi="仿宋" w:eastAsia="仿宋" w:cs="仿宋"/>
          <w:color w:val="auto"/>
          <w:sz w:val="24"/>
          <w:szCs w:val="24"/>
          <w:highlight w:val="none"/>
          <w:lang w:eastAsia="zh-CN"/>
        </w:rPr>
        <w:t>承包人</w:t>
      </w:r>
      <w:r>
        <w:rPr>
          <w:rFonts w:hint="eastAsia" w:ascii="仿宋" w:hAnsi="仿宋" w:eastAsia="仿宋" w:cs="仿宋"/>
          <w:color w:val="auto"/>
          <w:sz w:val="24"/>
          <w:szCs w:val="24"/>
          <w:highlight w:val="none"/>
        </w:rPr>
        <w:t>书面确认后根据本条款应向</w:t>
      </w:r>
      <w:r>
        <w:rPr>
          <w:rFonts w:hint="eastAsia" w:ascii="仿宋" w:hAnsi="仿宋" w:eastAsia="仿宋" w:cs="仿宋"/>
          <w:color w:val="auto"/>
          <w:sz w:val="24"/>
          <w:szCs w:val="24"/>
          <w:highlight w:val="none"/>
          <w:lang w:eastAsia="zh-CN"/>
        </w:rPr>
        <w:t>发包人</w:t>
      </w:r>
      <w:r>
        <w:rPr>
          <w:rFonts w:hint="eastAsia" w:ascii="仿宋" w:hAnsi="仿宋" w:eastAsia="仿宋" w:cs="仿宋"/>
          <w:color w:val="auto"/>
          <w:sz w:val="24"/>
          <w:szCs w:val="24"/>
          <w:highlight w:val="none"/>
        </w:rPr>
        <w:t>支付的违约金，在向</w:t>
      </w:r>
      <w:r>
        <w:rPr>
          <w:rFonts w:hint="eastAsia" w:ascii="仿宋" w:hAnsi="仿宋" w:eastAsia="仿宋" w:cs="仿宋"/>
          <w:color w:val="auto"/>
          <w:sz w:val="24"/>
          <w:szCs w:val="24"/>
          <w:highlight w:val="none"/>
          <w:lang w:eastAsia="zh-CN"/>
        </w:rPr>
        <w:t>发包人</w:t>
      </w:r>
      <w:r>
        <w:rPr>
          <w:rFonts w:hint="eastAsia" w:ascii="仿宋" w:hAnsi="仿宋" w:eastAsia="仿宋" w:cs="仿宋"/>
          <w:color w:val="auto"/>
          <w:sz w:val="24"/>
          <w:szCs w:val="24"/>
          <w:highlight w:val="none"/>
        </w:rPr>
        <w:t>开具账单时将该等违约金金额从委托运营服务费的当次支付费用中扣除。若当次委托运营服务费不足以扣除全部违约金，则剩余部分违约金应作为</w:t>
      </w:r>
      <w:r>
        <w:rPr>
          <w:rFonts w:hint="eastAsia" w:ascii="仿宋" w:hAnsi="仿宋" w:eastAsia="仿宋" w:cs="仿宋"/>
          <w:color w:val="auto"/>
          <w:sz w:val="24"/>
          <w:szCs w:val="24"/>
          <w:highlight w:val="none"/>
          <w:lang w:eastAsia="zh-CN"/>
        </w:rPr>
        <w:t>承包人</w:t>
      </w:r>
      <w:r>
        <w:rPr>
          <w:rFonts w:hint="eastAsia" w:ascii="仿宋" w:hAnsi="仿宋" w:eastAsia="仿宋" w:cs="仿宋"/>
          <w:color w:val="auto"/>
          <w:sz w:val="24"/>
          <w:szCs w:val="24"/>
          <w:highlight w:val="none"/>
        </w:rPr>
        <w:t>对</w:t>
      </w:r>
      <w:r>
        <w:rPr>
          <w:rFonts w:hint="eastAsia" w:ascii="仿宋" w:hAnsi="仿宋" w:eastAsia="仿宋" w:cs="仿宋"/>
          <w:color w:val="auto"/>
          <w:sz w:val="24"/>
          <w:szCs w:val="24"/>
          <w:highlight w:val="none"/>
          <w:lang w:eastAsia="zh-CN"/>
        </w:rPr>
        <w:t>发包人</w:t>
      </w:r>
      <w:r>
        <w:rPr>
          <w:rFonts w:hint="eastAsia" w:ascii="仿宋" w:hAnsi="仿宋" w:eastAsia="仿宋" w:cs="仿宋"/>
          <w:color w:val="auto"/>
          <w:sz w:val="24"/>
          <w:szCs w:val="24"/>
          <w:highlight w:val="none"/>
        </w:rPr>
        <w:t>的债务，</w:t>
      </w:r>
      <w:r>
        <w:rPr>
          <w:rFonts w:hint="eastAsia" w:ascii="仿宋" w:hAnsi="仿宋" w:eastAsia="仿宋" w:cs="仿宋"/>
          <w:color w:val="auto"/>
          <w:sz w:val="24"/>
          <w:szCs w:val="24"/>
          <w:highlight w:val="none"/>
          <w:lang w:eastAsia="zh-CN"/>
        </w:rPr>
        <w:t>承包人</w:t>
      </w:r>
      <w:r>
        <w:rPr>
          <w:rFonts w:hint="eastAsia" w:ascii="仿宋" w:hAnsi="仿宋" w:eastAsia="仿宋" w:cs="仿宋"/>
          <w:color w:val="auto"/>
          <w:sz w:val="24"/>
          <w:szCs w:val="24"/>
          <w:highlight w:val="none"/>
        </w:rPr>
        <w:t>应在</w:t>
      </w:r>
      <w:r>
        <w:rPr>
          <w:rFonts w:hint="eastAsia" w:ascii="仿宋" w:hAnsi="仿宋" w:eastAsia="仿宋" w:cs="仿宋"/>
          <w:color w:val="auto"/>
          <w:sz w:val="24"/>
          <w:szCs w:val="24"/>
          <w:highlight w:val="none"/>
          <w:lang w:eastAsia="zh-CN"/>
        </w:rPr>
        <w:t>发包人</w:t>
      </w:r>
      <w:r>
        <w:rPr>
          <w:rFonts w:hint="eastAsia" w:ascii="仿宋" w:hAnsi="仿宋" w:eastAsia="仿宋" w:cs="仿宋"/>
          <w:color w:val="auto"/>
          <w:sz w:val="24"/>
          <w:szCs w:val="24"/>
          <w:highlight w:val="none"/>
        </w:rPr>
        <w:t>发出书面通知后的30日内补足差额。</w:t>
      </w:r>
    </w:p>
    <w:p w14:paraId="1B669744">
      <w:pPr>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cs="仿宋"/>
          <w:color w:val="auto"/>
          <w:sz w:val="24"/>
          <w:szCs w:val="24"/>
          <w:highlight w:val="none"/>
          <w:lang w:val="en-US" w:eastAsia="zh-CN"/>
        </w:rPr>
        <w:t>8</w:t>
      </w:r>
      <w:r>
        <w:rPr>
          <w:rFonts w:hint="eastAsia" w:ascii="仿宋" w:hAnsi="仿宋" w:eastAsia="仿宋" w:cs="仿宋"/>
          <w:color w:val="auto"/>
          <w:sz w:val="24"/>
          <w:szCs w:val="24"/>
          <w:highlight w:val="none"/>
        </w:rPr>
        <w:t>.2.7</w:t>
      </w:r>
      <w:r>
        <w:rPr>
          <w:rFonts w:hint="eastAsia" w:ascii="仿宋" w:hAnsi="仿宋" w:eastAsia="仿宋" w:cs="仿宋"/>
          <w:color w:val="auto"/>
          <w:sz w:val="24"/>
          <w:szCs w:val="24"/>
          <w:highlight w:val="none"/>
          <w:lang w:eastAsia="zh-CN"/>
        </w:rPr>
        <w:t>发包人</w:t>
      </w:r>
      <w:r>
        <w:rPr>
          <w:rFonts w:hint="eastAsia" w:ascii="仿宋" w:hAnsi="仿宋" w:eastAsia="仿宋" w:cs="仿宋"/>
          <w:color w:val="auto"/>
          <w:sz w:val="24"/>
          <w:szCs w:val="24"/>
          <w:highlight w:val="none"/>
        </w:rPr>
        <w:t>违约金的支付，经</w:t>
      </w:r>
      <w:r>
        <w:rPr>
          <w:rFonts w:hint="eastAsia" w:ascii="仿宋" w:hAnsi="仿宋" w:eastAsia="仿宋" w:cs="仿宋"/>
          <w:color w:val="auto"/>
          <w:sz w:val="24"/>
          <w:szCs w:val="24"/>
          <w:highlight w:val="none"/>
          <w:lang w:eastAsia="zh-CN"/>
        </w:rPr>
        <w:t>发包人</w:t>
      </w:r>
      <w:r>
        <w:rPr>
          <w:rFonts w:hint="eastAsia" w:ascii="仿宋" w:hAnsi="仿宋" w:eastAsia="仿宋" w:cs="仿宋"/>
          <w:color w:val="auto"/>
          <w:sz w:val="24"/>
          <w:szCs w:val="24"/>
          <w:highlight w:val="none"/>
        </w:rPr>
        <w:t>书面确认后根据本条款应向</w:t>
      </w:r>
      <w:r>
        <w:rPr>
          <w:rFonts w:hint="eastAsia" w:ascii="仿宋" w:hAnsi="仿宋" w:eastAsia="仿宋" w:cs="仿宋"/>
          <w:color w:val="auto"/>
          <w:sz w:val="24"/>
          <w:szCs w:val="24"/>
          <w:highlight w:val="none"/>
          <w:lang w:eastAsia="zh-CN"/>
        </w:rPr>
        <w:t>承包人</w:t>
      </w:r>
      <w:r>
        <w:rPr>
          <w:rFonts w:hint="eastAsia" w:ascii="仿宋" w:hAnsi="仿宋" w:eastAsia="仿宋" w:cs="仿宋"/>
          <w:color w:val="auto"/>
          <w:sz w:val="24"/>
          <w:szCs w:val="24"/>
          <w:highlight w:val="none"/>
        </w:rPr>
        <w:t>支付的违约金，随次月的污水处理服务费一同向</w:t>
      </w:r>
      <w:r>
        <w:rPr>
          <w:rFonts w:hint="eastAsia" w:ascii="仿宋" w:hAnsi="仿宋" w:eastAsia="仿宋" w:cs="仿宋"/>
          <w:color w:val="auto"/>
          <w:sz w:val="24"/>
          <w:szCs w:val="24"/>
          <w:highlight w:val="none"/>
          <w:lang w:eastAsia="zh-CN"/>
        </w:rPr>
        <w:t>承包人</w:t>
      </w:r>
      <w:r>
        <w:rPr>
          <w:rFonts w:hint="eastAsia" w:ascii="仿宋" w:hAnsi="仿宋" w:eastAsia="仿宋" w:cs="仿宋"/>
          <w:color w:val="auto"/>
          <w:sz w:val="24"/>
          <w:szCs w:val="24"/>
          <w:highlight w:val="none"/>
        </w:rPr>
        <w:t>全额支付。若未支付，</w:t>
      </w:r>
      <w:r>
        <w:rPr>
          <w:rFonts w:hint="eastAsia" w:ascii="仿宋" w:hAnsi="仿宋" w:eastAsia="仿宋" w:cs="仿宋"/>
          <w:color w:val="auto"/>
          <w:sz w:val="24"/>
          <w:szCs w:val="24"/>
          <w:highlight w:val="none"/>
          <w:lang w:eastAsia="zh-CN"/>
        </w:rPr>
        <w:t>发包人</w:t>
      </w:r>
      <w:r>
        <w:rPr>
          <w:rFonts w:hint="eastAsia" w:ascii="仿宋" w:hAnsi="仿宋" w:eastAsia="仿宋" w:cs="仿宋"/>
          <w:color w:val="auto"/>
          <w:sz w:val="24"/>
          <w:szCs w:val="24"/>
          <w:highlight w:val="none"/>
        </w:rPr>
        <w:t>应在</w:t>
      </w:r>
      <w:r>
        <w:rPr>
          <w:rFonts w:hint="eastAsia" w:ascii="仿宋" w:hAnsi="仿宋" w:eastAsia="仿宋" w:cs="仿宋"/>
          <w:color w:val="auto"/>
          <w:sz w:val="24"/>
          <w:szCs w:val="24"/>
          <w:highlight w:val="none"/>
          <w:lang w:eastAsia="zh-CN"/>
        </w:rPr>
        <w:t>承包人</w:t>
      </w:r>
      <w:r>
        <w:rPr>
          <w:rFonts w:hint="eastAsia" w:ascii="仿宋" w:hAnsi="仿宋" w:eastAsia="仿宋" w:cs="仿宋"/>
          <w:color w:val="auto"/>
          <w:sz w:val="24"/>
          <w:szCs w:val="24"/>
          <w:highlight w:val="none"/>
        </w:rPr>
        <w:t>发出书面通知后的30日内补足差额。</w:t>
      </w:r>
    </w:p>
    <w:p w14:paraId="15D36555">
      <w:pPr>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cs="仿宋"/>
          <w:color w:val="auto"/>
          <w:sz w:val="24"/>
          <w:szCs w:val="24"/>
          <w:highlight w:val="none"/>
          <w:lang w:val="en-US" w:eastAsia="zh-CN"/>
        </w:rPr>
        <w:t>8</w:t>
      </w:r>
      <w:r>
        <w:rPr>
          <w:rFonts w:hint="eastAsia" w:ascii="仿宋" w:hAnsi="仿宋" w:eastAsia="仿宋" w:cs="仿宋"/>
          <w:color w:val="auto"/>
          <w:sz w:val="24"/>
          <w:szCs w:val="24"/>
          <w:highlight w:val="none"/>
        </w:rPr>
        <w:t xml:space="preserve">.3 减轻损失的措施 </w:t>
      </w:r>
    </w:p>
    <w:p w14:paraId="1D2A590D">
      <w:pPr>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由于另一方违约而遭受损失的一方应积极采取合理行动减轻损失，避免损失不当扩大。如果受损一方未能采取此类措施，违约方可以请求从赔偿金额中扣除应能够减轻或减少的损失金额。违约方请求扣除损失金额时，应当提供充分的证据证明受损方未能采取合理措施的事实及其对损失的影响；损失金额的扣除应当基于受损方未能采取合理措施所导致的损失扩大部分。</w:t>
      </w:r>
    </w:p>
    <w:p w14:paraId="3E54CC91">
      <w:pPr>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cs="仿宋"/>
          <w:color w:val="auto"/>
          <w:sz w:val="24"/>
          <w:szCs w:val="24"/>
          <w:highlight w:val="none"/>
          <w:lang w:val="en-US" w:eastAsia="zh-CN"/>
        </w:rPr>
        <w:t>8</w:t>
      </w:r>
      <w:r>
        <w:rPr>
          <w:rFonts w:hint="eastAsia" w:ascii="仿宋" w:hAnsi="仿宋" w:eastAsia="仿宋" w:cs="仿宋"/>
          <w:color w:val="auto"/>
          <w:sz w:val="24"/>
          <w:szCs w:val="24"/>
          <w:highlight w:val="none"/>
        </w:rPr>
        <w:t xml:space="preserve">.4 对间接损失不负责任 </w:t>
      </w:r>
    </w:p>
    <w:p w14:paraId="790B8605">
      <w:pPr>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除非本条款另有规定，各方均不应对由于或根据本条款产生的或与其相关的任何索赔为对方的任何间接、特殊、利润损失或附带损失或惩罚性损害赔偿负责。</w:t>
      </w:r>
    </w:p>
    <w:p w14:paraId="4D0CC56D">
      <w:pPr>
        <w:pStyle w:val="5"/>
        <w:jc w:val="left"/>
        <w:rPr>
          <w:rFonts w:hint="eastAsia" w:ascii="仿宋" w:hAnsi="仿宋" w:eastAsia="仿宋" w:cs="仿宋"/>
          <w:color w:val="auto"/>
          <w:highlight w:val="none"/>
        </w:rPr>
      </w:pPr>
      <w:r>
        <w:rPr>
          <w:rFonts w:hint="eastAsia" w:ascii="仿宋" w:hAnsi="仿宋" w:cs="仿宋"/>
          <w:color w:val="auto"/>
          <w:highlight w:val="none"/>
          <w:lang w:val="en-US" w:eastAsia="zh-CN"/>
        </w:rPr>
        <w:t>9</w:t>
      </w:r>
      <w:r>
        <w:rPr>
          <w:rFonts w:hint="eastAsia" w:ascii="仿宋" w:hAnsi="仿宋" w:eastAsia="仿宋" w:cs="仿宋"/>
          <w:color w:val="auto"/>
          <w:highlight w:val="none"/>
        </w:rPr>
        <w:t>. 设施维护和更新改造</w:t>
      </w:r>
    </w:p>
    <w:p w14:paraId="411D0801">
      <w:pPr>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cs="仿宋"/>
          <w:color w:val="auto"/>
          <w:sz w:val="24"/>
          <w:szCs w:val="24"/>
          <w:highlight w:val="none"/>
          <w:lang w:val="en-US" w:eastAsia="zh-CN"/>
        </w:rPr>
        <w:t>9</w:t>
      </w:r>
      <w:r>
        <w:rPr>
          <w:rFonts w:hint="eastAsia" w:ascii="仿宋" w:hAnsi="仿宋" w:eastAsia="仿宋" w:cs="仿宋"/>
          <w:color w:val="auto"/>
          <w:sz w:val="24"/>
          <w:szCs w:val="24"/>
          <w:highlight w:val="none"/>
        </w:rPr>
        <w:t>.1 设施、设备的运行维护和大修，</w:t>
      </w:r>
      <w:r>
        <w:rPr>
          <w:rFonts w:hint="eastAsia" w:ascii="仿宋" w:hAnsi="仿宋" w:eastAsia="仿宋" w:cs="仿宋"/>
          <w:color w:val="auto"/>
          <w:sz w:val="24"/>
          <w:szCs w:val="24"/>
          <w:highlight w:val="none"/>
          <w:lang w:eastAsia="zh-CN"/>
        </w:rPr>
        <w:t>承包人</w:t>
      </w:r>
      <w:r>
        <w:rPr>
          <w:rFonts w:hint="eastAsia" w:ascii="仿宋" w:hAnsi="仿宋" w:eastAsia="仿宋" w:cs="仿宋"/>
          <w:color w:val="auto"/>
          <w:sz w:val="24"/>
          <w:szCs w:val="24"/>
          <w:highlight w:val="none"/>
        </w:rPr>
        <w:t>在运营过程中，有义务根据适用法律和本条款的约定，负责污水处理设施、设备的日常维护保证污水处理设施、设备处于良好运行状态。正常使用情况下，污水处理厂内日常设备设施的维护，由</w:t>
      </w:r>
      <w:r>
        <w:rPr>
          <w:rFonts w:hint="eastAsia" w:ascii="仿宋" w:hAnsi="仿宋" w:eastAsia="仿宋" w:cs="仿宋"/>
          <w:color w:val="auto"/>
          <w:sz w:val="24"/>
          <w:szCs w:val="24"/>
          <w:highlight w:val="none"/>
          <w:lang w:eastAsia="zh-CN"/>
        </w:rPr>
        <w:t>发包人</w:t>
      </w:r>
      <w:r>
        <w:rPr>
          <w:rFonts w:hint="eastAsia" w:ascii="仿宋" w:hAnsi="仿宋" w:eastAsia="仿宋" w:cs="仿宋"/>
          <w:color w:val="auto"/>
          <w:sz w:val="24"/>
          <w:szCs w:val="24"/>
          <w:highlight w:val="none"/>
        </w:rPr>
        <w:t>提供设设施设备清单，明确各设备的维修维护标准。日常设施设备维护维修、大修等费用由承包人承担。</w:t>
      </w:r>
    </w:p>
    <w:p w14:paraId="37B9E3FE">
      <w:pPr>
        <w:pStyle w:val="5"/>
        <w:jc w:val="left"/>
        <w:rPr>
          <w:rFonts w:hint="eastAsia" w:ascii="仿宋" w:hAnsi="仿宋" w:eastAsia="仿宋" w:cs="仿宋"/>
          <w:color w:val="auto"/>
          <w:highlight w:val="none"/>
        </w:rPr>
      </w:pPr>
      <w:r>
        <w:rPr>
          <w:rFonts w:hint="eastAsia" w:ascii="仿宋" w:hAnsi="仿宋" w:cs="仿宋"/>
          <w:color w:val="auto"/>
          <w:highlight w:val="none"/>
          <w:lang w:val="en-US" w:eastAsia="zh-CN"/>
        </w:rPr>
        <w:t>10</w:t>
      </w:r>
      <w:r>
        <w:rPr>
          <w:rFonts w:hint="eastAsia" w:ascii="仿宋" w:hAnsi="仿宋" w:eastAsia="仿宋" w:cs="仿宋"/>
          <w:color w:val="auto"/>
          <w:highlight w:val="none"/>
        </w:rPr>
        <w:t>. 水质和污泥处理标准</w:t>
      </w:r>
    </w:p>
    <w:p w14:paraId="0298BF23">
      <w:pPr>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cs="仿宋"/>
          <w:color w:val="auto"/>
          <w:sz w:val="24"/>
          <w:szCs w:val="24"/>
          <w:highlight w:val="none"/>
          <w:lang w:val="en-US" w:eastAsia="zh-CN"/>
        </w:rPr>
        <w:t>10</w:t>
      </w:r>
      <w:r>
        <w:rPr>
          <w:rFonts w:hint="eastAsia" w:ascii="仿宋" w:hAnsi="仿宋" w:eastAsia="仿宋" w:cs="仿宋"/>
          <w:color w:val="auto"/>
          <w:sz w:val="24"/>
          <w:szCs w:val="24"/>
          <w:highlight w:val="none"/>
        </w:rPr>
        <w:t>.1 进、出水水质标准</w:t>
      </w:r>
    </w:p>
    <w:p w14:paraId="3CE25100">
      <w:pPr>
        <w:spacing w:line="360" w:lineRule="auto"/>
        <w:ind w:firstLine="480" w:firstLineChars="200"/>
        <w:jc w:val="left"/>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项目出水水质标准如下</w:t>
      </w:r>
      <w:r>
        <w:rPr>
          <w:rFonts w:hint="eastAsia" w:ascii="仿宋" w:hAnsi="仿宋" w:cs="仿宋"/>
          <w:color w:val="auto"/>
          <w:sz w:val="24"/>
          <w:szCs w:val="24"/>
          <w:highlight w:val="none"/>
          <w:lang w:eastAsia="zh-CN"/>
        </w:rPr>
        <w:t>：</w:t>
      </w:r>
    </w:p>
    <w:p w14:paraId="3A4B2AFE">
      <w:pPr>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表1：污水处理厂进出水水质（mg/L）</w:t>
      </w:r>
    </w:p>
    <w:tbl>
      <w:tblPr>
        <w:tblStyle w:val="40"/>
        <w:tblW w:w="90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07"/>
        <w:gridCol w:w="991"/>
        <w:gridCol w:w="995"/>
        <w:gridCol w:w="991"/>
        <w:gridCol w:w="991"/>
        <w:gridCol w:w="786"/>
        <w:gridCol w:w="772"/>
        <w:gridCol w:w="1127"/>
      </w:tblGrid>
      <w:tr w14:paraId="0EA397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2407" w:type="dxa"/>
            <w:noWrap/>
            <w:vAlign w:val="center"/>
          </w:tcPr>
          <w:p w14:paraId="11645B03">
            <w:pPr>
              <w:ind w:firstLine="0" w:firstLineChars="0"/>
              <w:rPr>
                <w:color w:val="auto"/>
                <w:highlight w:val="none"/>
              </w:rPr>
            </w:pPr>
            <w:r>
              <w:rPr>
                <w:rFonts w:hint="eastAsia"/>
                <w:color w:val="auto"/>
                <w:highlight w:val="none"/>
              </w:rPr>
              <w:t>项目指标</w:t>
            </w:r>
          </w:p>
        </w:tc>
        <w:tc>
          <w:tcPr>
            <w:tcW w:w="991" w:type="dxa"/>
            <w:noWrap/>
            <w:vAlign w:val="center"/>
          </w:tcPr>
          <w:p w14:paraId="520429BA">
            <w:pPr>
              <w:ind w:firstLine="0" w:firstLineChars="0"/>
              <w:jc w:val="center"/>
              <w:rPr>
                <w:color w:val="auto"/>
                <w:highlight w:val="none"/>
              </w:rPr>
            </w:pPr>
            <w:r>
              <w:rPr>
                <w:rFonts w:hint="eastAsia"/>
                <w:color w:val="auto"/>
                <w:highlight w:val="none"/>
              </w:rPr>
              <w:t>CODcr</w:t>
            </w:r>
          </w:p>
        </w:tc>
        <w:tc>
          <w:tcPr>
            <w:tcW w:w="995" w:type="dxa"/>
            <w:noWrap/>
            <w:vAlign w:val="center"/>
          </w:tcPr>
          <w:p w14:paraId="04C1A1C9">
            <w:pPr>
              <w:ind w:firstLine="0" w:firstLineChars="0"/>
              <w:jc w:val="center"/>
              <w:rPr>
                <w:color w:val="auto"/>
                <w:highlight w:val="none"/>
              </w:rPr>
            </w:pPr>
            <w:r>
              <w:rPr>
                <w:rFonts w:hint="eastAsia"/>
                <w:color w:val="auto"/>
                <w:highlight w:val="none"/>
              </w:rPr>
              <w:t>BOD</w:t>
            </w:r>
            <w:r>
              <w:rPr>
                <w:rFonts w:hint="eastAsia"/>
                <w:color w:val="auto"/>
                <w:highlight w:val="none"/>
                <w:vertAlign w:val="subscript"/>
              </w:rPr>
              <w:t>5</w:t>
            </w:r>
          </w:p>
        </w:tc>
        <w:tc>
          <w:tcPr>
            <w:tcW w:w="991" w:type="dxa"/>
            <w:noWrap/>
            <w:vAlign w:val="center"/>
          </w:tcPr>
          <w:p w14:paraId="13684E00">
            <w:pPr>
              <w:ind w:firstLine="0" w:firstLineChars="0"/>
              <w:jc w:val="center"/>
              <w:rPr>
                <w:color w:val="auto"/>
                <w:highlight w:val="none"/>
              </w:rPr>
            </w:pPr>
            <w:r>
              <w:rPr>
                <w:rFonts w:hint="eastAsia"/>
                <w:color w:val="auto"/>
                <w:highlight w:val="none"/>
              </w:rPr>
              <w:t>SS</w:t>
            </w:r>
          </w:p>
        </w:tc>
        <w:tc>
          <w:tcPr>
            <w:tcW w:w="991" w:type="dxa"/>
            <w:noWrap/>
            <w:vAlign w:val="center"/>
          </w:tcPr>
          <w:p w14:paraId="23850F66">
            <w:pPr>
              <w:ind w:firstLine="0" w:firstLineChars="0"/>
              <w:jc w:val="center"/>
              <w:rPr>
                <w:color w:val="auto"/>
                <w:highlight w:val="none"/>
              </w:rPr>
            </w:pPr>
            <w:r>
              <w:rPr>
                <w:rFonts w:hint="eastAsia"/>
                <w:color w:val="auto"/>
                <w:highlight w:val="none"/>
              </w:rPr>
              <w:t>NH</w:t>
            </w:r>
            <w:r>
              <w:rPr>
                <w:rFonts w:hint="eastAsia"/>
                <w:color w:val="auto"/>
                <w:highlight w:val="none"/>
                <w:vertAlign w:val="subscript"/>
              </w:rPr>
              <w:t>3</w:t>
            </w:r>
            <w:r>
              <w:rPr>
                <w:rFonts w:hint="eastAsia"/>
                <w:color w:val="auto"/>
                <w:highlight w:val="none"/>
              </w:rPr>
              <w:t>-N</w:t>
            </w:r>
          </w:p>
        </w:tc>
        <w:tc>
          <w:tcPr>
            <w:tcW w:w="786" w:type="dxa"/>
            <w:noWrap/>
            <w:vAlign w:val="center"/>
          </w:tcPr>
          <w:p w14:paraId="42AC74C7">
            <w:pPr>
              <w:ind w:firstLine="0" w:firstLineChars="0"/>
              <w:jc w:val="center"/>
              <w:rPr>
                <w:color w:val="auto"/>
                <w:highlight w:val="none"/>
              </w:rPr>
            </w:pPr>
            <w:r>
              <w:rPr>
                <w:rFonts w:hint="eastAsia"/>
                <w:color w:val="auto"/>
                <w:highlight w:val="none"/>
              </w:rPr>
              <w:t>TN</w:t>
            </w:r>
          </w:p>
        </w:tc>
        <w:tc>
          <w:tcPr>
            <w:tcW w:w="772" w:type="dxa"/>
            <w:noWrap/>
            <w:vAlign w:val="center"/>
          </w:tcPr>
          <w:p w14:paraId="6D08BD06">
            <w:pPr>
              <w:ind w:firstLine="0" w:firstLineChars="0"/>
              <w:jc w:val="center"/>
              <w:rPr>
                <w:color w:val="auto"/>
                <w:highlight w:val="none"/>
              </w:rPr>
            </w:pPr>
            <w:r>
              <w:rPr>
                <w:rFonts w:hint="eastAsia"/>
                <w:color w:val="auto"/>
                <w:highlight w:val="none"/>
              </w:rPr>
              <w:t>TP</w:t>
            </w:r>
          </w:p>
        </w:tc>
        <w:tc>
          <w:tcPr>
            <w:tcW w:w="1127" w:type="dxa"/>
          </w:tcPr>
          <w:p w14:paraId="03487B01">
            <w:pPr>
              <w:ind w:firstLine="0" w:firstLineChars="0"/>
              <w:jc w:val="center"/>
              <w:rPr>
                <w:color w:val="auto"/>
                <w:highlight w:val="none"/>
              </w:rPr>
            </w:pPr>
            <w:r>
              <w:rPr>
                <w:rFonts w:hint="eastAsia"/>
                <w:color w:val="auto"/>
                <w:highlight w:val="none"/>
              </w:rPr>
              <w:t>氟化物</w:t>
            </w:r>
          </w:p>
        </w:tc>
      </w:tr>
      <w:tr w14:paraId="46C9BA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2407" w:type="dxa"/>
            <w:noWrap/>
            <w:vAlign w:val="center"/>
          </w:tcPr>
          <w:p w14:paraId="34F8D86F">
            <w:pPr>
              <w:ind w:firstLine="0" w:firstLineChars="0"/>
              <w:rPr>
                <w:color w:val="auto"/>
                <w:highlight w:val="none"/>
                <w:lang w:eastAsia="zh-CN"/>
              </w:rPr>
            </w:pPr>
            <w:r>
              <w:rPr>
                <w:rFonts w:hint="eastAsia"/>
                <w:color w:val="auto"/>
                <w:highlight w:val="none"/>
                <w:lang w:eastAsia="zh-CN"/>
              </w:rPr>
              <w:t>设计进水水质（</w:t>
            </w:r>
            <w:r>
              <w:rPr>
                <w:color w:val="auto"/>
                <w:highlight w:val="none"/>
                <w:lang w:eastAsia="zh-CN"/>
              </w:rPr>
              <w:t>mg/L</w:t>
            </w:r>
            <w:r>
              <w:rPr>
                <w:rFonts w:hint="eastAsia"/>
                <w:color w:val="auto"/>
                <w:highlight w:val="none"/>
                <w:lang w:eastAsia="zh-CN"/>
              </w:rPr>
              <w:t>）</w:t>
            </w:r>
          </w:p>
        </w:tc>
        <w:tc>
          <w:tcPr>
            <w:tcW w:w="991" w:type="dxa"/>
            <w:noWrap/>
            <w:vAlign w:val="center"/>
          </w:tcPr>
          <w:p w14:paraId="4993E241">
            <w:pPr>
              <w:ind w:firstLine="0" w:firstLineChars="0"/>
              <w:jc w:val="center"/>
              <w:rPr>
                <w:color w:val="auto"/>
                <w:highlight w:val="none"/>
              </w:rPr>
            </w:pPr>
            <w:r>
              <w:rPr>
                <w:color w:val="auto"/>
                <w:highlight w:val="none"/>
              </w:rPr>
              <w:t>60</w:t>
            </w:r>
          </w:p>
        </w:tc>
        <w:tc>
          <w:tcPr>
            <w:tcW w:w="995" w:type="dxa"/>
            <w:noWrap/>
            <w:vAlign w:val="center"/>
          </w:tcPr>
          <w:p w14:paraId="495BBFD7">
            <w:pPr>
              <w:ind w:firstLine="0" w:firstLineChars="0"/>
              <w:jc w:val="center"/>
              <w:rPr>
                <w:color w:val="auto"/>
                <w:highlight w:val="none"/>
              </w:rPr>
            </w:pPr>
            <w:r>
              <w:rPr>
                <w:color w:val="auto"/>
                <w:highlight w:val="none"/>
              </w:rPr>
              <w:t>10</w:t>
            </w:r>
          </w:p>
        </w:tc>
        <w:tc>
          <w:tcPr>
            <w:tcW w:w="991" w:type="dxa"/>
            <w:noWrap/>
            <w:vAlign w:val="center"/>
          </w:tcPr>
          <w:p w14:paraId="5FDB67FB">
            <w:pPr>
              <w:ind w:firstLine="0" w:firstLineChars="0"/>
              <w:jc w:val="center"/>
              <w:rPr>
                <w:color w:val="auto"/>
                <w:highlight w:val="none"/>
              </w:rPr>
            </w:pPr>
            <w:r>
              <w:rPr>
                <w:color w:val="auto"/>
                <w:highlight w:val="none"/>
              </w:rPr>
              <w:t>1</w:t>
            </w:r>
            <w:r>
              <w:rPr>
                <w:rFonts w:hint="eastAsia"/>
                <w:color w:val="auto"/>
                <w:highlight w:val="none"/>
              </w:rPr>
              <w:t>00</w:t>
            </w:r>
          </w:p>
        </w:tc>
        <w:tc>
          <w:tcPr>
            <w:tcW w:w="991" w:type="dxa"/>
            <w:noWrap/>
            <w:vAlign w:val="center"/>
          </w:tcPr>
          <w:p w14:paraId="7F30EFF5">
            <w:pPr>
              <w:ind w:firstLine="0" w:firstLineChars="0"/>
              <w:jc w:val="center"/>
              <w:rPr>
                <w:color w:val="auto"/>
                <w:highlight w:val="none"/>
              </w:rPr>
            </w:pPr>
            <w:r>
              <w:rPr>
                <w:rFonts w:hint="eastAsia"/>
                <w:color w:val="auto"/>
                <w:highlight w:val="none"/>
                <w:lang w:eastAsia="zh-CN"/>
              </w:rPr>
              <w:t>1</w:t>
            </w:r>
            <w:r>
              <w:rPr>
                <w:color w:val="auto"/>
                <w:highlight w:val="none"/>
              </w:rPr>
              <w:t>5</w:t>
            </w:r>
          </w:p>
        </w:tc>
        <w:tc>
          <w:tcPr>
            <w:tcW w:w="786" w:type="dxa"/>
            <w:noWrap/>
            <w:vAlign w:val="center"/>
          </w:tcPr>
          <w:p w14:paraId="137279CD">
            <w:pPr>
              <w:ind w:firstLine="0" w:firstLineChars="0"/>
              <w:jc w:val="center"/>
              <w:rPr>
                <w:color w:val="auto"/>
                <w:highlight w:val="none"/>
              </w:rPr>
            </w:pPr>
            <w:r>
              <w:rPr>
                <w:rFonts w:hint="eastAsia"/>
                <w:color w:val="auto"/>
                <w:highlight w:val="none"/>
                <w:lang w:eastAsia="zh-CN"/>
              </w:rPr>
              <w:t>3</w:t>
            </w:r>
            <w:r>
              <w:rPr>
                <w:color w:val="auto"/>
                <w:highlight w:val="none"/>
              </w:rPr>
              <w:t>5</w:t>
            </w:r>
          </w:p>
        </w:tc>
        <w:tc>
          <w:tcPr>
            <w:tcW w:w="772" w:type="dxa"/>
            <w:noWrap/>
            <w:vAlign w:val="center"/>
          </w:tcPr>
          <w:p w14:paraId="29B76140">
            <w:pPr>
              <w:ind w:firstLine="0" w:firstLineChars="0"/>
              <w:jc w:val="center"/>
              <w:rPr>
                <w:color w:val="auto"/>
                <w:highlight w:val="none"/>
              </w:rPr>
            </w:pPr>
            <w:r>
              <w:rPr>
                <w:color w:val="auto"/>
                <w:highlight w:val="none"/>
              </w:rPr>
              <w:t>0.5</w:t>
            </w:r>
          </w:p>
        </w:tc>
        <w:tc>
          <w:tcPr>
            <w:tcW w:w="1127" w:type="dxa"/>
          </w:tcPr>
          <w:p w14:paraId="7B1A9B6E">
            <w:pPr>
              <w:ind w:firstLine="0" w:firstLineChars="0"/>
              <w:jc w:val="center"/>
              <w:rPr>
                <w:color w:val="auto"/>
                <w:highlight w:val="none"/>
              </w:rPr>
            </w:pPr>
            <w:r>
              <w:rPr>
                <w:color w:val="auto"/>
                <w:highlight w:val="none"/>
              </w:rPr>
              <w:t>15</w:t>
            </w:r>
          </w:p>
        </w:tc>
      </w:tr>
      <w:tr w14:paraId="2A9487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2407" w:type="dxa"/>
            <w:noWrap/>
            <w:vAlign w:val="center"/>
          </w:tcPr>
          <w:p w14:paraId="43FA393B">
            <w:pPr>
              <w:ind w:firstLine="0" w:firstLineChars="0"/>
              <w:rPr>
                <w:color w:val="auto"/>
                <w:highlight w:val="none"/>
                <w:lang w:eastAsia="zh-CN"/>
              </w:rPr>
            </w:pPr>
            <w:r>
              <w:rPr>
                <w:rFonts w:hint="eastAsia"/>
                <w:color w:val="auto"/>
                <w:highlight w:val="none"/>
                <w:lang w:eastAsia="zh-CN"/>
              </w:rPr>
              <w:t>设计出水水质（</w:t>
            </w:r>
            <w:r>
              <w:rPr>
                <w:color w:val="auto"/>
                <w:highlight w:val="none"/>
                <w:lang w:eastAsia="zh-CN"/>
              </w:rPr>
              <w:t>mg/L</w:t>
            </w:r>
            <w:r>
              <w:rPr>
                <w:rFonts w:hint="eastAsia"/>
                <w:color w:val="auto"/>
                <w:highlight w:val="none"/>
                <w:lang w:eastAsia="zh-CN"/>
              </w:rPr>
              <w:t>）</w:t>
            </w:r>
          </w:p>
        </w:tc>
        <w:tc>
          <w:tcPr>
            <w:tcW w:w="991" w:type="dxa"/>
            <w:noWrap/>
            <w:vAlign w:val="center"/>
          </w:tcPr>
          <w:p w14:paraId="7172776E">
            <w:pPr>
              <w:ind w:firstLine="0" w:firstLineChars="0"/>
              <w:jc w:val="center"/>
              <w:rPr>
                <w:color w:val="auto"/>
                <w:highlight w:val="none"/>
              </w:rPr>
            </w:pPr>
            <w:r>
              <w:rPr>
                <w:rFonts w:hint="eastAsia"/>
                <w:color w:val="auto"/>
                <w:highlight w:val="none"/>
              </w:rPr>
              <w:t>50</w:t>
            </w:r>
          </w:p>
        </w:tc>
        <w:tc>
          <w:tcPr>
            <w:tcW w:w="995" w:type="dxa"/>
            <w:noWrap/>
            <w:vAlign w:val="center"/>
          </w:tcPr>
          <w:p w14:paraId="4F5C9F7C">
            <w:pPr>
              <w:ind w:firstLine="0" w:firstLineChars="0"/>
              <w:jc w:val="center"/>
              <w:rPr>
                <w:color w:val="auto"/>
                <w:highlight w:val="none"/>
              </w:rPr>
            </w:pPr>
            <w:r>
              <w:rPr>
                <w:rFonts w:hint="eastAsia"/>
                <w:color w:val="auto"/>
                <w:highlight w:val="none"/>
              </w:rPr>
              <w:t>10</w:t>
            </w:r>
          </w:p>
        </w:tc>
        <w:tc>
          <w:tcPr>
            <w:tcW w:w="991" w:type="dxa"/>
            <w:noWrap/>
            <w:vAlign w:val="center"/>
          </w:tcPr>
          <w:p w14:paraId="2F5F40DF">
            <w:pPr>
              <w:ind w:firstLine="0" w:firstLineChars="0"/>
              <w:jc w:val="center"/>
              <w:rPr>
                <w:color w:val="auto"/>
                <w:highlight w:val="none"/>
              </w:rPr>
            </w:pPr>
            <w:r>
              <w:rPr>
                <w:rFonts w:hint="eastAsia"/>
                <w:color w:val="auto"/>
                <w:highlight w:val="none"/>
              </w:rPr>
              <w:t>10</w:t>
            </w:r>
          </w:p>
        </w:tc>
        <w:tc>
          <w:tcPr>
            <w:tcW w:w="991" w:type="dxa"/>
            <w:noWrap/>
            <w:vAlign w:val="center"/>
          </w:tcPr>
          <w:p w14:paraId="74488945">
            <w:pPr>
              <w:ind w:firstLine="0" w:firstLineChars="0"/>
              <w:jc w:val="center"/>
              <w:rPr>
                <w:color w:val="auto"/>
                <w:highlight w:val="none"/>
              </w:rPr>
            </w:pPr>
            <w:r>
              <w:rPr>
                <w:rFonts w:hint="eastAsia"/>
                <w:color w:val="auto"/>
                <w:highlight w:val="none"/>
              </w:rPr>
              <w:t>5（</w:t>
            </w:r>
            <w:r>
              <w:rPr>
                <w:rFonts w:hint="eastAsia"/>
                <w:color w:val="auto"/>
                <w:highlight w:val="none"/>
                <w:lang w:eastAsia="zh-CN"/>
              </w:rPr>
              <w:t>8</w:t>
            </w:r>
            <w:r>
              <w:rPr>
                <w:rFonts w:hint="eastAsia"/>
                <w:color w:val="auto"/>
                <w:highlight w:val="none"/>
              </w:rPr>
              <w:t>）</w:t>
            </w:r>
          </w:p>
        </w:tc>
        <w:tc>
          <w:tcPr>
            <w:tcW w:w="786" w:type="dxa"/>
            <w:noWrap/>
            <w:vAlign w:val="center"/>
          </w:tcPr>
          <w:p w14:paraId="1DC7093D">
            <w:pPr>
              <w:ind w:firstLine="0" w:firstLineChars="0"/>
              <w:jc w:val="center"/>
              <w:rPr>
                <w:color w:val="auto"/>
                <w:highlight w:val="none"/>
              </w:rPr>
            </w:pPr>
            <w:r>
              <w:rPr>
                <w:rFonts w:hint="eastAsia"/>
                <w:color w:val="auto"/>
                <w:highlight w:val="none"/>
              </w:rPr>
              <w:t>15</w:t>
            </w:r>
          </w:p>
        </w:tc>
        <w:tc>
          <w:tcPr>
            <w:tcW w:w="772" w:type="dxa"/>
            <w:noWrap/>
            <w:vAlign w:val="center"/>
          </w:tcPr>
          <w:p w14:paraId="77BA35A9">
            <w:pPr>
              <w:ind w:firstLine="0" w:firstLineChars="0"/>
              <w:jc w:val="center"/>
              <w:rPr>
                <w:color w:val="auto"/>
                <w:highlight w:val="none"/>
              </w:rPr>
            </w:pPr>
            <w:r>
              <w:rPr>
                <w:rFonts w:hint="eastAsia"/>
                <w:color w:val="auto"/>
                <w:highlight w:val="none"/>
              </w:rPr>
              <w:t>0.5</w:t>
            </w:r>
          </w:p>
        </w:tc>
        <w:tc>
          <w:tcPr>
            <w:tcW w:w="1127" w:type="dxa"/>
          </w:tcPr>
          <w:p w14:paraId="3DA97FB1">
            <w:pPr>
              <w:ind w:firstLine="0" w:firstLineChars="0"/>
              <w:jc w:val="center"/>
              <w:rPr>
                <w:color w:val="auto"/>
                <w:highlight w:val="none"/>
              </w:rPr>
            </w:pPr>
            <w:r>
              <w:rPr>
                <w:color w:val="auto"/>
                <w:highlight w:val="none"/>
              </w:rPr>
              <w:t>2.5</w:t>
            </w:r>
          </w:p>
        </w:tc>
      </w:tr>
      <w:tr w14:paraId="287D96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2407" w:type="dxa"/>
            <w:noWrap/>
            <w:vAlign w:val="center"/>
          </w:tcPr>
          <w:p w14:paraId="1F18C683">
            <w:pPr>
              <w:ind w:firstLine="0" w:firstLineChars="0"/>
              <w:rPr>
                <w:color w:val="auto"/>
                <w:highlight w:val="none"/>
              </w:rPr>
            </w:pPr>
            <w:r>
              <w:rPr>
                <w:rFonts w:hint="eastAsia"/>
                <w:color w:val="auto"/>
                <w:highlight w:val="none"/>
              </w:rPr>
              <w:t>项目指标</w:t>
            </w:r>
          </w:p>
        </w:tc>
        <w:tc>
          <w:tcPr>
            <w:tcW w:w="991" w:type="dxa"/>
            <w:noWrap/>
            <w:vAlign w:val="center"/>
          </w:tcPr>
          <w:p w14:paraId="14844205">
            <w:pPr>
              <w:ind w:firstLine="0" w:firstLineChars="0"/>
              <w:jc w:val="center"/>
              <w:rPr>
                <w:color w:val="auto"/>
                <w:highlight w:val="none"/>
              </w:rPr>
            </w:pPr>
            <w:r>
              <w:rPr>
                <w:rFonts w:hint="eastAsia"/>
                <w:color w:val="auto"/>
                <w:highlight w:val="none"/>
              </w:rPr>
              <w:t>TDS</w:t>
            </w:r>
          </w:p>
        </w:tc>
        <w:tc>
          <w:tcPr>
            <w:tcW w:w="995" w:type="dxa"/>
            <w:noWrap/>
            <w:vAlign w:val="center"/>
          </w:tcPr>
          <w:p w14:paraId="30E576A9">
            <w:pPr>
              <w:ind w:firstLine="0" w:firstLineChars="0"/>
              <w:jc w:val="center"/>
              <w:rPr>
                <w:color w:val="auto"/>
                <w:highlight w:val="none"/>
              </w:rPr>
            </w:pPr>
            <w:r>
              <w:rPr>
                <w:rFonts w:hint="eastAsia"/>
                <w:color w:val="auto"/>
                <w:highlight w:val="none"/>
              </w:rPr>
              <w:t>氯化物</w:t>
            </w:r>
          </w:p>
        </w:tc>
        <w:tc>
          <w:tcPr>
            <w:tcW w:w="991" w:type="dxa"/>
            <w:noWrap/>
            <w:vAlign w:val="center"/>
          </w:tcPr>
          <w:p w14:paraId="6E05F7C0">
            <w:pPr>
              <w:ind w:firstLine="0" w:firstLineChars="0"/>
              <w:jc w:val="center"/>
              <w:rPr>
                <w:color w:val="auto"/>
                <w:highlight w:val="none"/>
              </w:rPr>
            </w:pPr>
            <w:r>
              <w:rPr>
                <w:rFonts w:hint="eastAsia"/>
                <w:color w:val="auto"/>
                <w:highlight w:val="none"/>
              </w:rPr>
              <w:t>硬度</w:t>
            </w:r>
          </w:p>
        </w:tc>
        <w:tc>
          <w:tcPr>
            <w:tcW w:w="1777" w:type="dxa"/>
            <w:gridSpan w:val="2"/>
            <w:noWrap/>
            <w:vAlign w:val="center"/>
          </w:tcPr>
          <w:p w14:paraId="75FE7017">
            <w:pPr>
              <w:ind w:firstLine="0" w:firstLineChars="0"/>
              <w:jc w:val="center"/>
              <w:rPr>
                <w:color w:val="auto"/>
                <w:highlight w:val="none"/>
              </w:rPr>
            </w:pPr>
            <w:r>
              <w:rPr>
                <w:rFonts w:hint="eastAsia"/>
                <w:color w:val="auto"/>
                <w:highlight w:val="none"/>
              </w:rPr>
              <w:t>粪大肠杆菌</w:t>
            </w:r>
          </w:p>
        </w:tc>
        <w:tc>
          <w:tcPr>
            <w:tcW w:w="772" w:type="dxa"/>
            <w:noWrap/>
            <w:vAlign w:val="center"/>
          </w:tcPr>
          <w:p w14:paraId="3D1F1F90">
            <w:pPr>
              <w:ind w:firstLine="0" w:firstLineChars="0"/>
              <w:jc w:val="center"/>
              <w:rPr>
                <w:color w:val="auto"/>
                <w:highlight w:val="none"/>
              </w:rPr>
            </w:pPr>
          </w:p>
        </w:tc>
        <w:tc>
          <w:tcPr>
            <w:tcW w:w="1127" w:type="dxa"/>
          </w:tcPr>
          <w:p w14:paraId="6E0A9EDE">
            <w:pPr>
              <w:ind w:firstLine="0" w:firstLineChars="0"/>
              <w:jc w:val="center"/>
              <w:rPr>
                <w:color w:val="auto"/>
                <w:highlight w:val="none"/>
              </w:rPr>
            </w:pPr>
          </w:p>
        </w:tc>
      </w:tr>
      <w:tr w14:paraId="532662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2407" w:type="dxa"/>
            <w:noWrap/>
            <w:vAlign w:val="center"/>
          </w:tcPr>
          <w:p w14:paraId="74FF8252">
            <w:pPr>
              <w:ind w:firstLine="0" w:firstLineChars="0"/>
              <w:rPr>
                <w:color w:val="auto"/>
                <w:highlight w:val="none"/>
                <w:lang w:eastAsia="zh-CN"/>
              </w:rPr>
            </w:pPr>
            <w:r>
              <w:rPr>
                <w:rFonts w:hint="eastAsia"/>
                <w:color w:val="auto"/>
                <w:highlight w:val="none"/>
                <w:lang w:eastAsia="zh-CN"/>
              </w:rPr>
              <w:t>设计进水水质（</w:t>
            </w:r>
            <w:r>
              <w:rPr>
                <w:color w:val="auto"/>
                <w:highlight w:val="none"/>
                <w:lang w:eastAsia="zh-CN"/>
              </w:rPr>
              <w:t>mg/L</w:t>
            </w:r>
            <w:r>
              <w:rPr>
                <w:rFonts w:hint="eastAsia"/>
                <w:color w:val="auto"/>
                <w:highlight w:val="none"/>
                <w:lang w:eastAsia="zh-CN"/>
              </w:rPr>
              <w:t>）</w:t>
            </w:r>
          </w:p>
        </w:tc>
        <w:tc>
          <w:tcPr>
            <w:tcW w:w="991" w:type="dxa"/>
            <w:noWrap/>
            <w:vAlign w:val="center"/>
          </w:tcPr>
          <w:p w14:paraId="093777A2">
            <w:pPr>
              <w:ind w:firstLine="0" w:firstLineChars="0"/>
              <w:jc w:val="center"/>
              <w:rPr>
                <w:color w:val="auto"/>
                <w:highlight w:val="none"/>
              </w:rPr>
            </w:pPr>
            <w:r>
              <w:rPr>
                <w:color w:val="auto"/>
                <w:highlight w:val="none"/>
              </w:rPr>
              <w:t>3500</w:t>
            </w:r>
          </w:p>
        </w:tc>
        <w:tc>
          <w:tcPr>
            <w:tcW w:w="995" w:type="dxa"/>
            <w:noWrap/>
            <w:vAlign w:val="center"/>
          </w:tcPr>
          <w:p w14:paraId="2FF52E6F">
            <w:pPr>
              <w:ind w:firstLine="0" w:firstLineChars="0"/>
              <w:jc w:val="center"/>
              <w:rPr>
                <w:color w:val="auto"/>
                <w:highlight w:val="none"/>
              </w:rPr>
            </w:pPr>
            <w:r>
              <w:rPr>
                <w:color w:val="auto"/>
                <w:highlight w:val="none"/>
              </w:rPr>
              <w:t>1000</w:t>
            </w:r>
          </w:p>
        </w:tc>
        <w:tc>
          <w:tcPr>
            <w:tcW w:w="991" w:type="dxa"/>
            <w:noWrap/>
            <w:vAlign w:val="center"/>
          </w:tcPr>
          <w:p w14:paraId="6C033515">
            <w:pPr>
              <w:ind w:firstLine="0" w:firstLineChars="0"/>
              <w:jc w:val="center"/>
              <w:rPr>
                <w:color w:val="auto"/>
                <w:highlight w:val="none"/>
              </w:rPr>
            </w:pPr>
            <w:r>
              <w:rPr>
                <w:color w:val="auto"/>
                <w:highlight w:val="none"/>
              </w:rPr>
              <w:t>18</w:t>
            </w:r>
            <w:r>
              <w:rPr>
                <w:rFonts w:hint="eastAsia"/>
                <w:color w:val="auto"/>
                <w:highlight w:val="none"/>
              </w:rPr>
              <w:t>00</w:t>
            </w:r>
          </w:p>
        </w:tc>
        <w:tc>
          <w:tcPr>
            <w:tcW w:w="1777" w:type="dxa"/>
            <w:gridSpan w:val="2"/>
            <w:noWrap/>
            <w:vAlign w:val="center"/>
          </w:tcPr>
          <w:p w14:paraId="521861E3">
            <w:pPr>
              <w:ind w:firstLine="0" w:firstLineChars="0"/>
              <w:jc w:val="center"/>
              <w:rPr>
                <w:color w:val="auto"/>
                <w:highlight w:val="none"/>
              </w:rPr>
            </w:pPr>
          </w:p>
        </w:tc>
        <w:tc>
          <w:tcPr>
            <w:tcW w:w="772" w:type="dxa"/>
            <w:noWrap/>
            <w:vAlign w:val="center"/>
          </w:tcPr>
          <w:p w14:paraId="0C7013AA">
            <w:pPr>
              <w:ind w:firstLine="0" w:firstLineChars="0"/>
              <w:jc w:val="center"/>
              <w:rPr>
                <w:color w:val="auto"/>
                <w:highlight w:val="none"/>
              </w:rPr>
            </w:pPr>
          </w:p>
        </w:tc>
        <w:tc>
          <w:tcPr>
            <w:tcW w:w="1127" w:type="dxa"/>
          </w:tcPr>
          <w:p w14:paraId="42AF1E33">
            <w:pPr>
              <w:ind w:firstLine="0" w:firstLineChars="0"/>
              <w:jc w:val="center"/>
              <w:rPr>
                <w:color w:val="auto"/>
                <w:highlight w:val="none"/>
              </w:rPr>
            </w:pPr>
            <w:r>
              <w:rPr>
                <w:rFonts w:hint="eastAsia"/>
                <w:color w:val="auto"/>
                <w:highlight w:val="none"/>
              </w:rPr>
              <w:t>-</w:t>
            </w:r>
          </w:p>
        </w:tc>
      </w:tr>
      <w:tr w14:paraId="2D4657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407" w:type="dxa"/>
            <w:noWrap/>
            <w:vAlign w:val="center"/>
          </w:tcPr>
          <w:p w14:paraId="0294BF72">
            <w:pPr>
              <w:ind w:firstLine="0" w:firstLineChars="0"/>
              <w:rPr>
                <w:color w:val="auto"/>
                <w:highlight w:val="none"/>
                <w:lang w:eastAsia="zh-CN"/>
              </w:rPr>
            </w:pPr>
            <w:r>
              <w:rPr>
                <w:rFonts w:hint="eastAsia"/>
                <w:color w:val="auto"/>
                <w:highlight w:val="none"/>
                <w:lang w:eastAsia="zh-CN"/>
              </w:rPr>
              <w:t>设计出水水质（</w:t>
            </w:r>
            <w:r>
              <w:rPr>
                <w:color w:val="auto"/>
                <w:highlight w:val="none"/>
                <w:lang w:eastAsia="zh-CN"/>
              </w:rPr>
              <w:t>mg/L</w:t>
            </w:r>
            <w:r>
              <w:rPr>
                <w:rFonts w:hint="eastAsia"/>
                <w:color w:val="auto"/>
                <w:highlight w:val="none"/>
                <w:lang w:eastAsia="zh-CN"/>
              </w:rPr>
              <w:t>）</w:t>
            </w:r>
          </w:p>
        </w:tc>
        <w:tc>
          <w:tcPr>
            <w:tcW w:w="991" w:type="dxa"/>
            <w:noWrap/>
            <w:vAlign w:val="center"/>
          </w:tcPr>
          <w:p w14:paraId="1F812BBE">
            <w:pPr>
              <w:ind w:firstLine="0" w:firstLineChars="0"/>
              <w:jc w:val="center"/>
              <w:rPr>
                <w:color w:val="auto"/>
                <w:highlight w:val="none"/>
              </w:rPr>
            </w:pPr>
            <w:r>
              <w:rPr>
                <w:rFonts w:hint="eastAsia"/>
                <w:color w:val="auto"/>
                <w:highlight w:val="none"/>
              </w:rPr>
              <w:t>-</w:t>
            </w:r>
          </w:p>
        </w:tc>
        <w:tc>
          <w:tcPr>
            <w:tcW w:w="995" w:type="dxa"/>
            <w:noWrap/>
            <w:vAlign w:val="center"/>
          </w:tcPr>
          <w:p w14:paraId="3977DBC3">
            <w:pPr>
              <w:ind w:firstLine="0" w:firstLineChars="0"/>
              <w:jc w:val="center"/>
              <w:rPr>
                <w:color w:val="auto"/>
                <w:highlight w:val="none"/>
              </w:rPr>
            </w:pPr>
            <w:r>
              <w:rPr>
                <w:rFonts w:hint="eastAsia"/>
                <w:color w:val="auto"/>
                <w:highlight w:val="none"/>
              </w:rPr>
              <w:t>-</w:t>
            </w:r>
          </w:p>
        </w:tc>
        <w:tc>
          <w:tcPr>
            <w:tcW w:w="991" w:type="dxa"/>
            <w:noWrap/>
            <w:vAlign w:val="center"/>
          </w:tcPr>
          <w:p w14:paraId="46369A1C">
            <w:pPr>
              <w:ind w:firstLine="0" w:firstLineChars="0"/>
              <w:jc w:val="center"/>
              <w:rPr>
                <w:color w:val="auto"/>
                <w:highlight w:val="none"/>
              </w:rPr>
            </w:pPr>
            <w:r>
              <w:rPr>
                <w:rFonts w:hint="eastAsia"/>
                <w:color w:val="auto"/>
                <w:highlight w:val="none"/>
              </w:rPr>
              <w:t>-</w:t>
            </w:r>
          </w:p>
        </w:tc>
        <w:tc>
          <w:tcPr>
            <w:tcW w:w="1777" w:type="dxa"/>
            <w:gridSpan w:val="2"/>
            <w:noWrap/>
            <w:vAlign w:val="center"/>
          </w:tcPr>
          <w:p w14:paraId="37C30EF2">
            <w:pPr>
              <w:ind w:firstLine="0" w:firstLineChars="0"/>
              <w:jc w:val="center"/>
              <w:rPr>
                <w:color w:val="auto"/>
                <w:highlight w:val="none"/>
              </w:rPr>
            </w:pPr>
            <w:r>
              <w:rPr>
                <w:rFonts w:hint="eastAsia"/>
                <w:color w:val="auto"/>
                <w:highlight w:val="none"/>
              </w:rPr>
              <w:t>1000</w:t>
            </w:r>
          </w:p>
        </w:tc>
        <w:tc>
          <w:tcPr>
            <w:tcW w:w="772" w:type="dxa"/>
            <w:noWrap/>
            <w:vAlign w:val="center"/>
          </w:tcPr>
          <w:p w14:paraId="51212D89">
            <w:pPr>
              <w:ind w:firstLine="0" w:firstLineChars="0"/>
              <w:jc w:val="center"/>
              <w:rPr>
                <w:color w:val="auto"/>
                <w:highlight w:val="none"/>
              </w:rPr>
            </w:pPr>
          </w:p>
        </w:tc>
        <w:tc>
          <w:tcPr>
            <w:tcW w:w="1127" w:type="dxa"/>
          </w:tcPr>
          <w:p w14:paraId="00DCAF86">
            <w:pPr>
              <w:ind w:firstLine="0" w:firstLineChars="0"/>
              <w:jc w:val="center"/>
              <w:rPr>
                <w:color w:val="auto"/>
                <w:highlight w:val="none"/>
              </w:rPr>
            </w:pPr>
          </w:p>
        </w:tc>
      </w:tr>
    </w:tbl>
    <w:p w14:paraId="55F0B601">
      <w:pPr>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括号外数值为水温＞12℃时的控制指标；括号内数值为水温≤12℃时的控制指标。</w:t>
      </w:r>
    </w:p>
    <w:p w14:paraId="370E0928">
      <w:pPr>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cs="仿宋"/>
          <w:color w:val="auto"/>
          <w:sz w:val="24"/>
          <w:szCs w:val="24"/>
          <w:highlight w:val="none"/>
          <w:lang w:val="en-US" w:eastAsia="zh-CN"/>
        </w:rPr>
        <w:t>10</w:t>
      </w:r>
      <w:r>
        <w:rPr>
          <w:rFonts w:hint="eastAsia" w:ascii="仿宋" w:hAnsi="仿宋" w:eastAsia="仿宋" w:cs="仿宋"/>
          <w:color w:val="auto"/>
          <w:sz w:val="24"/>
          <w:szCs w:val="24"/>
          <w:highlight w:val="none"/>
        </w:rPr>
        <w:t>.2 污水进水水质超标</w:t>
      </w:r>
    </w:p>
    <w:p w14:paraId="5E1649F0">
      <w:pPr>
        <w:kinsoku w:val="0"/>
        <w:overflowPunct w:val="0"/>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如果污水进水水质超过设计处理能力致使</w:t>
      </w:r>
      <w:r>
        <w:rPr>
          <w:rFonts w:hint="eastAsia" w:ascii="仿宋" w:hAnsi="仿宋" w:eastAsia="仿宋" w:cs="仿宋"/>
          <w:color w:val="auto"/>
          <w:sz w:val="24"/>
          <w:szCs w:val="24"/>
          <w:highlight w:val="none"/>
          <w:lang w:eastAsia="zh-CN"/>
        </w:rPr>
        <w:t>承包人</w:t>
      </w:r>
      <w:r>
        <w:rPr>
          <w:rFonts w:hint="eastAsia" w:ascii="仿宋" w:hAnsi="仿宋" w:eastAsia="仿宋" w:cs="仿宋"/>
          <w:color w:val="auto"/>
          <w:sz w:val="24"/>
          <w:szCs w:val="24"/>
          <w:highlight w:val="none"/>
        </w:rPr>
        <w:t>不能履行其义务，</w:t>
      </w:r>
      <w:r>
        <w:rPr>
          <w:rFonts w:hint="eastAsia" w:ascii="仿宋" w:hAnsi="仿宋" w:eastAsia="仿宋" w:cs="仿宋"/>
          <w:color w:val="auto"/>
          <w:sz w:val="24"/>
          <w:szCs w:val="24"/>
          <w:highlight w:val="none"/>
          <w:lang w:eastAsia="zh-CN"/>
        </w:rPr>
        <w:t>承包人</w:t>
      </w:r>
      <w:r>
        <w:rPr>
          <w:rFonts w:hint="eastAsia" w:ascii="仿宋" w:hAnsi="仿宋" w:eastAsia="仿宋" w:cs="仿宋"/>
          <w:color w:val="auto"/>
          <w:sz w:val="24"/>
          <w:szCs w:val="24"/>
          <w:highlight w:val="none"/>
        </w:rPr>
        <w:t>应立即通知</w:t>
      </w:r>
      <w:r>
        <w:rPr>
          <w:rFonts w:hint="eastAsia" w:ascii="仿宋" w:hAnsi="仿宋" w:eastAsia="仿宋" w:cs="仿宋"/>
          <w:color w:val="auto"/>
          <w:sz w:val="24"/>
          <w:szCs w:val="24"/>
          <w:highlight w:val="none"/>
          <w:lang w:eastAsia="zh-CN"/>
        </w:rPr>
        <w:t>发包人</w:t>
      </w:r>
      <w:r>
        <w:rPr>
          <w:rFonts w:hint="eastAsia" w:ascii="仿宋" w:hAnsi="仿宋" w:eastAsia="仿宋" w:cs="仿宋"/>
          <w:color w:val="auto"/>
          <w:sz w:val="24"/>
          <w:szCs w:val="24"/>
          <w:highlight w:val="none"/>
        </w:rPr>
        <w:t>，并提供相关证据，双方协商处理。</w:t>
      </w:r>
    </w:p>
    <w:p w14:paraId="795ACD75">
      <w:pPr>
        <w:spacing w:line="360" w:lineRule="auto"/>
        <w:ind w:firstLine="480" w:firstLineChars="200"/>
        <w:jc w:val="left"/>
        <w:rPr>
          <w:rFonts w:hint="eastAsia" w:ascii="仿宋" w:hAnsi="仿宋" w:eastAsia="仿宋" w:cs="仿宋"/>
          <w:color w:val="auto"/>
          <w:sz w:val="24"/>
          <w:szCs w:val="24"/>
          <w:highlight w:val="none"/>
        </w:rPr>
      </w:pPr>
      <w:r>
        <w:rPr>
          <w:rFonts w:hint="default" w:ascii="仿宋" w:hAnsi="仿宋" w:eastAsia="仿宋" w:cs="仿宋"/>
          <w:color w:val="auto"/>
          <w:sz w:val="24"/>
          <w:szCs w:val="24"/>
          <w:highlight w:val="none"/>
          <w:lang w:val="en-US"/>
        </w:rPr>
        <mc:AlternateContent>
          <mc:Choice Requires="wps">
            <w:drawing>
              <wp:anchor distT="0" distB="0" distL="114300" distR="114300" simplePos="0" relativeHeight="251663360" behindDoc="0" locked="0" layoutInCell="1" hidden="1" allowOverlap="1">
                <wp:simplePos x="0" y="0"/>
                <wp:positionH relativeFrom="column">
                  <wp:posOffset>0</wp:posOffset>
                </wp:positionH>
                <wp:positionV relativeFrom="paragraph">
                  <wp:posOffset>0</wp:posOffset>
                </wp:positionV>
                <wp:extent cx="635000" cy="635000"/>
                <wp:effectExtent l="0" t="0" r="0" b="0"/>
                <wp:wrapNone/>
                <wp:docPr id="5" name="polygon31" hidden="1"/>
                <wp:cNvGraphicFramePr/>
                <a:graphic xmlns:a="http://schemas.openxmlformats.org/drawingml/2006/main">
                  <a:graphicData uri="http://schemas.microsoft.com/office/word/2010/wordprocessingShape">
                    <wps:wsp>
                      <wps:cNvSpPr/>
                      <wps:spPr>
                        <a:xfrm>
                          <a:off x="0" y="0"/>
                          <a:ext cx="635000" cy="635000"/>
                        </a:xfrm>
                        <a:custGeom>
                          <a:avLst/>
                          <a:gdLst/>
                          <a:ahLst/>
                          <a:cxnLst/>
                          <a:rect l="0" t="0" r="0" b="0"/>
                          <a:pathLst>
                            <a:path w="1800" h="60">
                              <a:moveTo>
                                <a:pt x="0" y="30"/>
                              </a:moveTo>
                              <a:lnTo>
                                <a:pt x="0" y="30"/>
                              </a:lnTo>
                              <a:lnTo>
                                <a:pt x="1800" y="30"/>
                              </a:lnTo>
                            </a:path>
                          </a:pathLst>
                        </a:custGeom>
                        <a:solidFill>
                          <a:srgbClr val="FFFFFF"/>
                        </a:solidFill>
                        <a:ln w="9525" cap="flat" cmpd="sng">
                          <a:solidFill>
                            <a:srgbClr val="000000"/>
                          </a:solidFill>
                          <a:prstDash val="solid"/>
                          <a:miter lim="0"/>
                          <a:headEnd type="none" w="med" len="med"/>
                          <a:tailEnd type="none" w="med" len="med"/>
                        </a:ln>
                      </wps:spPr>
                      <wps:bodyPr upright="1"/>
                    </wps:wsp>
                  </a:graphicData>
                </a:graphic>
              </wp:anchor>
            </w:drawing>
          </mc:Choice>
          <mc:Fallback>
            <w:pict>
              <v:shape id="polygon31" o:spid="_x0000_s1026" o:spt="100" style="position:absolute;left:0pt;margin-left:0pt;margin-top:0pt;height:50pt;width:50pt;visibility:hidden;z-index:251663360;mso-width-relative:page;mso-height-relative:page;" fillcolor="#FFFFFF" filled="t" stroked="t" coordsize="1800,60" o:gfxdata="UEsDBAoAAAAAAIdO4kAAAAAAAAAAAAAAAAAEAAAAZHJzL1BLAwQUAAAACACHTuJAcEdjh9EAAAAF&#10;AQAADwAAAGRycy9kb3ducmV2LnhtbE2P0UrDQBBF3wX/YRnBN7tbQUljNgUF9UERbP2ASXZM0mZn&#10;Q3abxr93KoK+DHO5w51zi/XsezXRGLvAFpYLA4q4Dq7jxsLH9vEqAxUTssM+MFn4ogjr8vyswNyF&#10;I7/TtEmNkhCOOVpoUxpyrWPdkse4CAOxeJ9h9JhEjo12Ix4l3Pf62phb7bFj+dDiQA8t1fvNwVt4&#10;3d+vTLZ6nm6aaodP2dt27l521l5eLM0dqERz+juGE76gQylMVTiwi6q3IEXSzzx5xoisfhddFvo/&#10;ffkNUEsDBBQAAAAIAIdO4kCpr4epOwIAABMFAAAOAAAAZHJzL2Uyb0RvYy54bWytVMtu2zAQvBfo&#10;PxC815JtOEgNyznUdS9FGyDJB9AkJRLgC1zasv++S8qWk7QIfKgO0lK7HM7sg6uHozXkICNo7xo6&#10;ndSUSMe90K5r6Mvz9ss9JZCYE8x4Jxt6kkAf1p8/rfqwlDOvvBEyEgRxsOxDQ1VKYVlVwJW0DCY+&#10;SIfO1kfLEi5jV4nIekS3pprV9V3V+yhC9FwC4N/N4KRnxHgLoG9bzeXG872VLg2oURqWUBIoHYCu&#10;C9u2lTz9bluQiZiGotJU3ngI2rv8rtYrtuwiC0rzMwV2C4V3mizTDg8doTYsMbKP+i8oq3n04Ns0&#10;4d5Wg5CSEVQxrd/l5kmxIIsWTDWEMenw/2D5r8NjJFo0dEGJYxYLHrw5dd7Np5QoLYTMXZLz1AdY&#10;YvhTeIznFaCZRR/baPMX5ZBjye1pzK08JsLx5918UdeYdY6us40o1XUz30P6IX0BYoefkIbSiIvF&#10;1MXiR3cxIxb4w9IGlvK+zC6bpEcx95mHQhp1KZn1B/nsS0S60p+X3kB+V7dxH4RdnJdvKFjDWSh5&#10;hBv8iJvplASMFPHn6ySAN1pstTGZGsRu981EcmDYyNvy5JrgljdhxmWFXxczrCZnOJ0tTgWaNmCF&#10;wXVF8Jsdb4CxQrlI/wAOEdKGgRoIFIQchunRCa8Do+1YcSWZ+O4ESaeA3eTwEqGZlJWCEpO7KVtl&#10;b2La3BKJKo1DsbkDh57L1s6LE/buPkTdKRzs0qQlBmelpOY813kYX68L0vUuW/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cEdjh9EAAAAFAQAADwAAAAAAAAABACAAAAAiAAAAZHJzL2Rvd25yZXYu&#10;eG1sUEsBAhQAFAAAAAgAh07iQKmvh6k7AgAAEwUAAA4AAAAAAAAAAQAgAAAAIAEAAGRycy9lMm9E&#10;b2MueG1sUEsFBgAAAAAGAAYAWQEAAM0FAAAAAA==&#10;" path="m0,30l0,30,1800,30e">
                <v:fill on="t" focussize="0,0"/>
                <v:stroke color="#000000" miterlimit="0" joinstyle="miter"/>
                <v:imagedata o:title=""/>
                <o:lock v:ext="edit" aspectratio="f"/>
              </v:shape>
            </w:pict>
          </mc:Fallback>
        </mc:AlternateContent>
      </w:r>
      <w:r>
        <w:rPr>
          <w:rFonts w:hint="eastAsia" w:ascii="仿宋" w:hAnsi="仿宋" w:cs="仿宋"/>
          <w:color w:val="auto"/>
          <w:sz w:val="24"/>
          <w:szCs w:val="24"/>
          <w:highlight w:val="none"/>
          <w:lang w:val="en-US" w:eastAsia="zh-CN"/>
        </w:rPr>
        <w:t>10</w:t>
      </w:r>
      <w:r>
        <w:rPr>
          <w:rFonts w:hint="eastAsia" w:ascii="仿宋" w:hAnsi="仿宋" w:eastAsia="仿宋" w:cs="仿宋"/>
          <w:color w:val="auto"/>
          <w:sz w:val="24"/>
          <w:szCs w:val="24"/>
          <w:highlight w:val="none"/>
        </w:rPr>
        <w:t>.3 污水出水水质超标</w:t>
      </w:r>
    </w:p>
    <w:p w14:paraId="3E7D4DD7">
      <w:pPr>
        <w:tabs>
          <w:tab w:val="left" w:pos="0"/>
        </w:tabs>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某一正常运营日内，根据采集的出水水样两次检验（采样间隔不超过两小时）超过本条款出水水质标准的，为当日出水水质不合格。本项目处理后排放的任何一种出水水质指标超过本条款约定的标准，当日出水应视为超标，</w:t>
      </w:r>
      <w:r>
        <w:rPr>
          <w:rFonts w:hint="eastAsia" w:ascii="仿宋" w:hAnsi="仿宋" w:eastAsia="仿宋" w:cs="仿宋"/>
          <w:color w:val="auto"/>
          <w:sz w:val="24"/>
          <w:szCs w:val="24"/>
          <w:highlight w:val="none"/>
          <w:lang w:eastAsia="zh-CN"/>
        </w:rPr>
        <w:t>承包人</w:t>
      </w:r>
      <w:r>
        <w:rPr>
          <w:rFonts w:hint="eastAsia" w:ascii="仿宋" w:hAnsi="仿宋" w:eastAsia="仿宋" w:cs="仿宋"/>
          <w:color w:val="auto"/>
          <w:sz w:val="24"/>
          <w:szCs w:val="24"/>
          <w:highlight w:val="none"/>
        </w:rPr>
        <w:t>应向</w:t>
      </w:r>
      <w:r>
        <w:rPr>
          <w:rFonts w:hint="eastAsia" w:ascii="仿宋" w:hAnsi="仿宋" w:eastAsia="仿宋" w:cs="仿宋"/>
          <w:color w:val="auto"/>
          <w:sz w:val="24"/>
          <w:szCs w:val="24"/>
          <w:highlight w:val="none"/>
          <w:lang w:eastAsia="zh-CN"/>
        </w:rPr>
        <w:t>发包人</w:t>
      </w:r>
      <w:r>
        <w:rPr>
          <w:rFonts w:hint="eastAsia" w:ascii="仿宋" w:hAnsi="仿宋" w:eastAsia="仿宋" w:cs="仿宋"/>
          <w:color w:val="auto"/>
          <w:sz w:val="24"/>
          <w:szCs w:val="24"/>
          <w:highlight w:val="none"/>
        </w:rPr>
        <w:t>支付违约金（为人民币</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元/日，但由于</w:t>
      </w:r>
      <w:r>
        <w:rPr>
          <w:rFonts w:hint="eastAsia" w:ascii="仿宋" w:hAnsi="仿宋" w:eastAsia="仿宋" w:cs="仿宋"/>
          <w:color w:val="auto"/>
          <w:sz w:val="24"/>
          <w:szCs w:val="24"/>
          <w:highlight w:val="none"/>
          <w:lang w:eastAsia="zh-CN"/>
        </w:rPr>
        <w:t>发包人</w:t>
      </w:r>
      <w:r>
        <w:rPr>
          <w:rFonts w:hint="eastAsia" w:ascii="仿宋" w:hAnsi="仿宋" w:eastAsia="仿宋" w:cs="仿宋"/>
          <w:color w:val="auto"/>
          <w:sz w:val="24"/>
          <w:szCs w:val="24"/>
          <w:highlight w:val="none"/>
        </w:rPr>
        <w:t>原因造成出水水质不能达标时除外。）</w:t>
      </w:r>
    </w:p>
    <w:p w14:paraId="230418F0">
      <w:pPr>
        <w:tabs>
          <w:tab w:val="left" w:pos="0"/>
        </w:tabs>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当进厂污水的某一项或多项污染物浓度指标超过本条款设定的最大或最小限值标准时，与其相应的出厂水水质指标超标则不应视为不合格。</w:t>
      </w:r>
    </w:p>
    <w:p w14:paraId="021C9AB7">
      <w:pPr>
        <w:tabs>
          <w:tab w:val="left" w:pos="0"/>
        </w:tabs>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cs="仿宋"/>
          <w:color w:val="auto"/>
          <w:sz w:val="24"/>
          <w:szCs w:val="24"/>
          <w:highlight w:val="none"/>
          <w:lang w:val="en-US" w:eastAsia="zh-CN"/>
        </w:rPr>
        <w:t>10</w:t>
      </w:r>
      <w:r>
        <w:rPr>
          <w:rFonts w:hint="eastAsia" w:ascii="仿宋" w:hAnsi="仿宋" w:eastAsia="仿宋" w:cs="仿宋"/>
          <w:color w:val="auto"/>
          <w:sz w:val="24"/>
          <w:szCs w:val="24"/>
          <w:highlight w:val="none"/>
        </w:rPr>
        <w:t>.3.1如果污水进水水质超过本条款约定的标准致使</w:t>
      </w:r>
      <w:r>
        <w:rPr>
          <w:rFonts w:hint="eastAsia" w:ascii="仿宋" w:hAnsi="仿宋" w:eastAsia="仿宋" w:cs="仿宋"/>
          <w:color w:val="auto"/>
          <w:sz w:val="24"/>
          <w:szCs w:val="24"/>
          <w:highlight w:val="none"/>
          <w:lang w:eastAsia="zh-CN"/>
        </w:rPr>
        <w:t>承包人</w:t>
      </w:r>
      <w:r>
        <w:rPr>
          <w:rFonts w:hint="eastAsia" w:ascii="仿宋" w:hAnsi="仿宋" w:eastAsia="仿宋" w:cs="仿宋"/>
          <w:color w:val="auto"/>
          <w:sz w:val="24"/>
          <w:szCs w:val="24"/>
          <w:highlight w:val="none"/>
        </w:rPr>
        <w:t>不能履行其义务，</w:t>
      </w:r>
      <w:r>
        <w:rPr>
          <w:rFonts w:hint="eastAsia" w:ascii="仿宋" w:hAnsi="仿宋" w:eastAsia="仿宋" w:cs="仿宋"/>
          <w:color w:val="auto"/>
          <w:sz w:val="24"/>
          <w:szCs w:val="24"/>
          <w:highlight w:val="none"/>
          <w:lang w:eastAsia="zh-CN"/>
        </w:rPr>
        <w:t>承包人</w:t>
      </w:r>
      <w:r>
        <w:rPr>
          <w:rFonts w:hint="eastAsia" w:ascii="仿宋" w:hAnsi="仿宋" w:eastAsia="仿宋" w:cs="仿宋"/>
          <w:color w:val="auto"/>
          <w:sz w:val="24"/>
          <w:szCs w:val="24"/>
          <w:highlight w:val="none"/>
        </w:rPr>
        <w:t>应立即通知</w:t>
      </w:r>
      <w:r>
        <w:rPr>
          <w:rFonts w:hint="eastAsia" w:ascii="仿宋" w:hAnsi="仿宋" w:eastAsia="仿宋" w:cs="仿宋"/>
          <w:color w:val="auto"/>
          <w:sz w:val="24"/>
          <w:szCs w:val="24"/>
          <w:highlight w:val="none"/>
          <w:lang w:eastAsia="zh-CN"/>
        </w:rPr>
        <w:t>发包人</w:t>
      </w:r>
      <w:r>
        <w:rPr>
          <w:rFonts w:hint="eastAsia" w:ascii="仿宋" w:hAnsi="仿宋" w:eastAsia="仿宋" w:cs="仿宋"/>
          <w:color w:val="auto"/>
          <w:sz w:val="24"/>
          <w:szCs w:val="24"/>
          <w:highlight w:val="none"/>
        </w:rPr>
        <w:t xml:space="preserve">根据进行水样留样备查，双方共同报市主管部门确认，请求追究超标点源单位责任。  </w:t>
      </w:r>
    </w:p>
    <w:p w14:paraId="0DE6955A">
      <w:pPr>
        <w:tabs>
          <w:tab w:val="left" w:pos="0"/>
        </w:tabs>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cs="仿宋"/>
          <w:color w:val="auto"/>
          <w:sz w:val="24"/>
          <w:szCs w:val="24"/>
          <w:highlight w:val="none"/>
          <w:lang w:val="en-US" w:eastAsia="zh-CN"/>
        </w:rPr>
        <w:t>10</w:t>
      </w:r>
      <w:r>
        <w:rPr>
          <w:rFonts w:hint="eastAsia" w:ascii="仿宋" w:hAnsi="仿宋" w:eastAsia="仿宋" w:cs="仿宋"/>
          <w:color w:val="auto"/>
          <w:sz w:val="24"/>
          <w:szCs w:val="24"/>
          <w:highlight w:val="none"/>
        </w:rPr>
        <w:t>.3.2如进厂污水中含有重金属等有毒有害成分，可能导致污水处理厂的工艺或设备设施造成严重损害的，</w:t>
      </w:r>
      <w:r>
        <w:rPr>
          <w:rFonts w:hint="eastAsia" w:ascii="仿宋" w:hAnsi="仿宋" w:eastAsia="仿宋" w:cs="仿宋"/>
          <w:color w:val="auto"/>
          <w:sz w:val="24"/>
          <w:szCs w:val="24"/>
          <w:highlight w:val="none"/>
          <w:lang w:eastAsia="zh-CN"/>
        </w:rPr>
        <w:t>承包人</w:t>
      </w:r>
      <w:r>
        <w:rPr>
          <w:rFonts w:hint="eastAsia" w:ascii="仿宋" w:hAnsi="仿宋" w:eastAsia="仿宋" w:cs="仿宋"/>
          <w:color w:val="auto"/>
          <w:sz w:val="24"/>
          <w:szCs w:val="24"/>
          <w:highlight w:val="none"/>
        </w:rPr>
        <w:t>有权不接受该等污水，在此等情况下，</w:t>
      </w:r>
      <w:r>
        <w:rPr>
          <w:rFonts w:hint="eastAsia" w:ascii="仿宋" w:hAnsi="仿宋" w:eastAsia="仿宋" w:cs="仿宋"/>
          <w:color w:val="auto"/>
          <w:sz w:val="24"/>
          <w:szCs w:val="24"/>
          <w:highlight w:val="none"/>
          <w:lang w:eastAsia="zh-CN"/>
        </w:rPr>
        <w:t>承包人</w:t>
      </w:r>
      <w:r>
        <w:rPr>
          <w:rFonts w:hint="eastAsia" w:ascii="仿宋" w:hAnsi="仿宋" w:eastAsia="仿宋" w:cs="仿宋"/>
          <w:color w:val="auto"/>
          <w:sz w:val="24"/>
          <w:szCs w:val="24"/>
          <w:highlight w:val="none"/>
        </w:rPr>
        <w:t>应立即通知</w:t>
      </w:r>
      <w:r>
        <w:rPr>
          <w:rFonts w:hint="eastAsia" w:ascii="仿宋" w:hAnsi="仿宋" w:eastAsia="仿宋" w:cs="仿宋"/>
          <w:color w:val="auto"/>
          <w:sz w:val="24"/>
          <w:szCs w:val="24"/>
          <w:highlight w:val="none"/>
          <w:lang w:eastAsia="zh-CN"/>
        </w:rPr>
        <w:t>发包人</w:t>
      </w:r>
      <w:r>
        <w:rPr>
          <w:rFonts w:hint="eastAsia" w:ascii="仿宋" w:hAnsi="仿宋" w:eastAsia="仿宋" w:cs="仿宋"/>
          <w:color w:val="auto"/>
          <w:sz w:val="24"/>
          <w:szCs w:val="24"/>
          <w:highlight w:val="none"/>
        </w:rPr>
        <w:t>和环保部门。</w:t>
      </w:r>
    </w:p>
    <w:p w14:paraId="0A7D4675">
      <w:pPr>
        <w:tabs>
          <w:tab w:val="left" w:pos="0"/>
        </w:tabs>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cs="仿宋"/>
          <w:color w:val="auto"/>
          <w:sz w:val="24"/>
          <w:szCs w:val="24"/>
          <w:highlight w:val="none"/>
          <w:lang w:val="en-US" w:eastAsia="zh-CN"/>
        </w:rPr>
        <w:t>10</w:t>
      </w:r>
      <w:r>
        <w:rPr>
          <w:rFonts w:hint="eastAsia" w:ascii="仿宋" w:hAnsi="仿宋" w:eastAsia="仿宋" w:cs="仿宋"/>
          <w:color w:val="auto"/>
          <w:sz w:val="24"/>
          <w:szCs w:val="24"/>
          <w:highlight w:val="none"/>
        </w:rPr>
        <w:t>.3.3如经双方确认或有权部门鉴定，因进水水质严重超标而破坏了污水处理厂生物系统，造成污水处理厂停工或重新调试。</w:t>
      </w:r>
      <w:r>
        <w:rPr>
          <w:rFonts w:hint="eastAsia" w:ascii="仿宋" w:hAnsi="仿宋" w:eastAsia="仿宋" w:cs="仿宋"/>
          <w:color w:val="auto"/>
          <w:sz w:val="24"/>
          <w:szCs w:val="24"/>
          <w:highlight w:val="none"/>
          <w:lang w:eastAsia="zh-CN"/>
        </w:rPr>
        <w:t>发包人</w:t>
      </w:r>
      <w:r>
        <w:rPr>
          <w:rFonts w:hint="eastAsia" w:ascii="仿宋" w:hAnsi="仿宋" w:eastAsia="仿宋" w:cs="仿宋"/>
          <w:color w:val="auto"/>
          <w:sz w:val="24"/>
          <w:szCs w:val="24"/>
          <w:highlight w:val="none"/>
        </w:rPr>
        <w:t>应及时查明原因，查处肇事单位，依法对肇事单位进行追偿，</w:t>
      </w:r>
      <w:r>
        <w:rPr>
          <w:rFonts w:hint="eastAsia" w:ascii="仿宋" w:hAnsi="仿宋" w:eastAsia="仿宋" w:cs="仿宋"/>
          <w:color w:val="auto"/>
          <w:sz w:val="24"/>
          <w:szCs w:val="24"/>
          <w:highlight w:val="none"/>
          <w:lang w:eastAsia="zh-CN"/>
        </w:rPr>
        <w:t>承包人</w:t>
      </w:r>
      <w:r>
        <w:rPr>
          <w:rFonts w:hint="eastAsia" w:ascii="仿宋" w:hAnsi="仿宋" w:eastAsia="仿宋" w:cs="仿宋"/>
          <w:color w:val="auto"/>
          <w:sz w:val="24"/>
          <w:szCs w:val="24"/>
          <w:highlight w:val="none"/>
        </w:rPr>
        <w:t>提供相应协助。并不得扣减</w:t>
      </w:r>
      <w:r>
        <w:rPr>
          <w:rFonts w:hint="eastAsia" w:ascii="仿宋" w:hAnsi="仿宋" w:eastAsia="仿宋" w:cs="仿宋"/>
          <w:color w:val="auto"/>
          <w:sz w:val="24"/>
          <w:szCs w:val="24"/>
          <w:highlight w:val="none"/>
          <w:lang w:eastAsia="zh-CN"/>
        </w:rPr>
        <w:t>承包人</w:t>
      </w:r>
      <w:r>
        <w:rPr>
          <w:rFonts w:hint="eastAsia" w:ascii="仿宋" w:hAnsi="仿宋" w:eastAsia="仿宋" w:cs="仿宋"/>
          <w:color w:val="auto"/>
          <w:sz w:val="24"/>
          <w:szCs w:val="24"/>
          <w:highlight w:val="none"/>
        </w:rPr>
        <w:t>污水处理服务费。</w:t>
      </w:r>
    </w:p>
    <w:p w14:paraId="5F3048DD">
      <w:pPr>
        <w:tabs>
          <w:tab w:val="left" w:pos="0"/>
        </w:tabs>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cs="仿宋"/>
          <w:color w:val="auto"/>
          <w:sz w:val="24"/>
          <w:szCs w:val="24"/>
          <w:highlight w:val="none"/>
          <w:lang w:val="en-US" w:eastAsia="zh-CN"/>
        </w:rPr>
        <w:t>10</w:t>
      </w:r>
      <w:r>
        <w:rPr>
          <w:rFonts w:hint="eastAsia" w:ascii="仿宋" w:hAnsi="仿宋" w:eastAsia="仿宋" w:cs="仿宋"/>
          <w:color w:val="auto"/>
          <w:sz w:val="24"/>
          <w:szCs w:val="24"/>
          <w:highlight w:val="none"/>
        </w:rPr>
        <w:t>.4污泥排放标准</w:t>
      </w:r>
    </w:p>
    <w:p w14:paraId="45765B95">
      <w:pPr>
        <w:tabs>
          <w:tab w:val="left" w:pos="0"/>
        </w:tabs>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cs="仿宋"/>
          <w:color w:val="auto"/>
          <w:sz w:val="24"/>
          <w:szCs w:val="24"/>
          <w:highlight w:val="none"/>
          <w:lang w:val="en-US" w:eastAsia="zh-CN"/>
        </w:rPr>
        <w:t>10</w:t>
      </w:r>
      <w:r>
        <w:rPr>
          <w:rFonts w:hint="eastAsia" w:ascii="仿宋" w:hAnsi="仿宋" w:eastAsia="仿宋" w:cs="仿宋"/>
          <w:color w:val="auto"/>
          <w:sz w:val="24"/>
          <w:szCs w:val="24"/>
          <w:highlight w:val="none"/>
        </w:rPr>
        <w:t>.4.1本项目所产生的污泥须进行脱水处理，满足《城镇污水处理厂污染物排放标准》(GB 18918-2002）标准，脱水后含水率应小于等于</w:t>
      </w:r>
      <w:r>
        <w:rPr>
          <w:rFonts w:hint="eastAsia" w:ascii="仿宋" w:hAnsi="仿宋" w:eastAsia="仿宋" w:cs="仿宋"/>
          <w:color w:val="auto"/>
          <w:sz w:val="24"/>
          <w:szCs w:val="24"/>
          <w:highlight w:val="none"/>
          <w:u w:val="single"/>
        </w:rPr>
        <w:t xml:space="preserve">  </w:t>
      </w:r>
      <w:r>
        <w:rPr>
          <w:rFonts w:hint="eastAsia" w:ascii="仿宋" w:hAnsi="仿宋" w:cs="仿宋"/>
          <w:color w:val="auto"/>
          <w:sz w:val="24"/>
          <w:szCs w:val="24"/>
          <w:highlight w:val="none"/>
          <w:u w:val="single"/>
          <w:lang w:val="en-US" w:eastAsia="zh-CN"/>
        </w:rPr>
        <w:t>60</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w:t>
      </w:r>
    </w:p>
    <w:p w14:paraId="05346D89">
      <w:pPr>
        <w:tabs>
          <w:tab w:val="left" w:pos="0"/>
        </w:tabs>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cs="仿宋"/>
          <w:color w:val="auto"/>
          <w:sz w:val="24"/>
          <w:szCs w:val="24"/>
          <w:highlight w:val="none"/>
          <w:lang w:val="en-US" w:eastAsia="zh-CN"/>
        </w:rPr>
        <w:t>10</w:t>
      </w:r>
      <w:r>
        <w:rPr>
          <w:rFonts w:hint="eastAsia" w:ascii="仿宋" w:hAnsi="仿宋" w:eastAsia="仿宋" w:cs="仿宋"/>
          <w:color w:val="auto"/>
          <w:sz w:val="24"/>
          <w:szCs w:val="24"/>
          <w:highlight w:val="none"/>
        </w:rPr>
        <w:t>.4.2当因</w:t>
      </w:r>
      <w:r>
        <w:rPr>
          <w:rFonts w:hint="eastAsia" w:ascii="仿宋" w:hAnsi="仿宋" w:eastAsia="仿宋" w:cs="仿宋"/>
          <w:color w:val="auto"/>
          <w:sz w:val="24"/>
          <w:szCs w:val="24"/>
          <w:highlight w:val="none"/>
          <w:lang w:eastAsia="zh-CN"/>
        </w:rPr>
        <w:t>发包人</w:t>
      </w:r>
      <w:r>
        <w:rPr>
          <w:rFonts w:hint="eastAsia" w:ascii="仿宋" w:hAnsi="仿宋" w:eastAsia="仿宋" w:cs="仿宋"/>
          <w:color w:val="auto"/>
          <w:sz w:val="24"/>
          <w:szCs w:val="24"/>
          <w:highlight w:val="none"/>
        </w:rPr>
        <w:t>要求或国家法律法规的要求需要对污泥进行其他处理导致成本增加时，</w:t>
      </w:r>
      <w:r>
        <w:rPr>
          <w:rFonts w:hint="eastAsia" w:ascii="仿宋" w:hAnsi="仿宋" w:eastAsia="仿宋" w:cs="仿宋"/>
          <w:color w:val="auto"/>
          <w:sz w:val="24"/>
          <w:szCs w:val="24"/>
          <w:highlight w:val="none"/>
          <w:lang w:eastAsia="zh-CN"/>
        </w:rPr>
        <w:t>承包人</w:t>
      </w:r>
      <w:r>
        <w:rPr>
          <w:rFonts w:hint="eastAsia" w:ascii="仿宋" w:hAnsi="仿宋" w:eastAsia="仿宋" w:cs="仿宋"/>
          <w:color w:val="auto"/>
          <w:sz w:val="24"/>
          <w:szCs w:val="24"/>
          <w:highlight w:val="none"/>
        </w:rPr>
        <w:t>可以要求调整委托运营服务费标准。</w:t>
      </w:r>
    </w:p>
    <w:p w14:paraId="0B3EBE34">
      <w:pPr>
        <w:pStyle w:val="5"/>
        <w:jc w:val="left"/>
        <w:rPr>
          <w:rFonts w:hint="eastAsia" w:ascii="仿宋" w:hAnsi="仿宋" w:eastAsia="仿宋" w:cs="仿宋"/>
          <w:color w:val="auto"/>
          <w:highlight w:val="none"/>
        </w:rPr>
      </w:pPr>
      <w:r>
        <w:rPr>
          <w:rFonts w:hint="eastAsia" w:ascii="仿宋" w:hAnsi="仿宋" w:eastAsia="仿宋" w:cs="仿宋"/>
          <w:color w:val="auto"/>
          <w:w w:val="95"/>
          <w:highlight w:val="none"/>
        </w:rPr>
        <w:t>1</w:t>
      </w:r>
      <w:r>
        <w:rPr>
          <w:rFonts w:hint="eastAsia" w:ascii="仿宋" w:hAnsi="仿宋" w:cs="仿宋"/>
          <w:color w:val="auto"/>
          <w:w w:val="95"/>
          <w:highlight w:val="none"/>
          <w:lang w:val="en-US" w:eastAsia="zh-CN"/>
        </w:rPr>
        <w:t>1</w:t>
      </w:r>
      <w:r>
        <w:rPr>
          <w:rFonts w:hint="eastAsia" w:ascii="仿宋" w:hAnsi="仿宋" w:eastAsia="仿宋" w:cs="仿宋"/>
          <w:color w:val="auto"/>
          <w:w w:val="95"/>
          <w:highlight w:val="none"/>
        </w:rPr>
        <w:t>.</w:t>
      </w:r>
      <w:r>
        <w:rPr>
          <w:rFonts w:hint="eastAsia" w:ascii="仿宋" w:hAnsi="仿宋" w:eastAsia="仿宋" w:cs="仿宋"/>
          <w:color w:val="auto"/>
          <w:highlight w:val="none"/>
        </w:rPr>
        <w:t>水样采集和检测</w:t>
      </w:r>
    </w:p>
    <w:p w14:paraId="3A5E721C">
      <w:pPr>
        <w:tabs>
          <w:tab w:val="left" w:pos="0"/>
        </w:tabs>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r>
        <w:rPr>
          <w:rFonts w:hint="eastAsia" w:ascii="仿宋" w:hAnsi="仿宋" w:cs="仿宋"/>
          <w:color w:val="auto"/>
          <w:sz w:val="24"/>
          <w:szCs w:val="24"/>
          <w:highlight w:val="none"/>
          <w:lang w:val="en-US" w:eastAsia="zh-CN"/>
        </w:rPr>
        <w:t>1</w:t>
      </w:r>
      <w:r>
        <w:rPr>
          <w:rFonts w:hint="eastAsia" w:ascii="仿宋" w:hAnsi="仿宋" w:eastAsia="仿宋" w:cs="仿宋"/>
          <w:color w:val="auto"/>
          <w:sz w:val="24"/>
          <w:szCs w:val="24"/>
          <w:highlight w:val="none"/>
        </w:rPr>
        <w:t>.1 检测项目和考核方法</w:t>
      </w:r>
    </w:p>
    <w:p w14:paraId="355E15E1">
      <w:pPr>
        <w:tabs>
          <w:tab w:val="left" w:pos="0"/>
        </w:tabs>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r>
        <w:rPr>
          <w:rFonts w:hint="eastAsia" w:ascii="仿宋" w:hAnsi="仿宋" w:cs="仿宋"/>
          <w:color w:val="auto"/>
          <w:sz w:val="24"/>
          <w:szCs w:val="24"/>
          <w:highlight w:val="none"/>
          <w:lang w:val="en-US" w:eastAsia="zh-CN"/>
        </w:rPr>
        <w:t>1</w:t>
      </w:r>
      <w:r>
        <w:rPr>
          <w:rFonts w:hint="eastAsia" w:ascii="仿宋" w:hAnsi="仿宋" w:eastAsia="仿宋" w:cs="仿宋"/>
          <w:color w:val="auto"/>
          <w:sz w:val="24"/>
          <w:szCs w:val="24"/>
          <w:highlight w:val="none"/>
        </w:rPr>
        <w:t xml:space="preserve">.1.1 </w:t>
      </w:r>
      <w:r>
        <w:rPr>
          <w:rFonts w:hint="eastAsia" w:ascii="仿宋" w:hAnsi="仿宋" w:eastAsia="仿宋" w:cs="仿宋"/>
          <w:color w:val="auto"/>
          <w:sz w:val="24"/>
          <w:szCs w:val="24"/>
          <w:highlight w:val="none"/>
          <w:lang w:eastAsia="zh-CN"/>
        </w:rPr>
        <w:t>承包人</w:t>
      </w:r>
      <w:r>
        <w:rPr>
          <w:rFonts w:hint="eastAsia" w:ascii="仿宋" w:hAnsi="仿宋" w:eastAsia="仿宋" w:cs="仿宋"/>
          <w:color w:val="auto"/>
          <w:sz w:val="24"/>
          <w:szCs w:val="24"/>
          <w:highlight w:val="none"/>
        </w:rPr>
        <w:t>应对污水处理厂进水水质、出水水质进行检测。</w:t>
      </w:r>
    </w:p>
    <w:p w14:paraId="47C58254">
      <w:pPr>
        <w:tabs>
          <w:tab w:val="left" w:pos="0"/>
        </w:tabs>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r>
        <w:rPr>
          <w:rFonts w:hint="eastAsia" w:ascii="仿宋" w:hAnsi="仿宋" w:cs="仿宋"/>
          <w:color w:val="auto"/>
          <w:sz w:val="24"/>
          <w:szCs w:val="24"/>
          <w:highlight w:val="none"/>
          <w:lang w:val="en-US" w:eastAsia="zh-CN"/>
        </w:rPr>
        <w:t>1</w:t>
      </w:r>
      <w:r>
        <w:rPr>
          <w:rFonts w:hint="eastAsia" w:ascii="仿宋" w:hAnsi="仿宋" w:eastAsia="仿宋" w:cs="仿宋"/>
          <w:color w:val="auto"/>
          <w:sz w:val="24"/>
          <w:szCs w:val="24"/>
          <w:highlight w:val="none"/>
        </w:rPr>
        <w:t>.1.2 对进水水质、出水水质进行检测的指标和检测周期应执行《城市污水处理厂运行、维护及其安全技术规程 CJJ60-94》和本条款规定；如果有新的国家颁布实施，应满足国家和行业的最新标准。</w:t>
      </w:r>
    </w:p>
    <w:p w14:paraId="279E3D73">
      <w:pPr>
        <w:tabs>
          <w:tab w:val="left" w:pos="0"/>
        </w:tabs>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r>
        <w:rPr>
          <w:rFonts w:hint="eastAsia" w:ascii="仿宋" w:hAnsi="仿宋" w:cs="仿宋"/>
          <w:color w:val="auto"/>
          <w:sz w:val="24"/>
          <w:szCs w:val="24"/>
          <w:highlight w:val="none"/>
          <w:lang w:val="en-US" w:eastAsia="zh-CN"/>
        </w:rPr>
        <w:t>1</w:t>
      </w:r>
      <w:r>
        <w:rPr>
          <w:rFonts w:hint="eastAsia" w:ascii="仿宋" w:hAnsi="仿宋" w:eastAsia="仿宋" w:cs="仿宋"/>
          <w:color w:val="auto"/>
          <w:sz w:val="24"/>
          <w:szCs w:val="24"/>
          <w:highlight w:val="none"/>
        </w:rPr>
        <w:t>.2 水样的采集和储存</w:t>
      </w:r>
    </w:p>
    <w:p w14:paraId="7F35E79F">
      <w:pPr>
        <w:tabs>
          <w:tab w:val="left" w:pos="0"/>
        </w:tabs>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r>
        <w:rPr>
          <w:rFonts w:hint="eastAsia" w:ascii="仿宋" w:hAnsi="仿宋" w:cs="仿宋"/>
          <w:color w:val="auto"/>
          <w:sz w:val="24"/>
          <w:szCs w:val="24"/>
          <w:highlight w:val="none"/>
          <w:lang w:val="en-US" w:eastAsia="zh-CN"/>
        </w:rPr>
        <w:t>1</w:t>
      </w:r>
      <w:r>
        <w:rPr>
          <w:rFonts w:hint="eastAsia" w:ascii="仿宋" w:hAnsi="仿宋" w:eastAsia="仿宋" w:cs="仿宋"/>
          <w:color w:val="auto"/>
          <w:sz w:val="24"/>
          <w:szCs w:val="24"/>
          <w:highlight w:val="none"/>
        </w:rPr>
        <w:t>.2.1 水样的采集和储存标准为现行的国家和行业标准；</w:t>
      </w:r>
      <w:r>
        <w:rPr>
          <w:rFonts w:hint="eastAsia" w:ascii="仿宋" w:hAnsi="仿宋" w:eastAsia="仿宋" w:cs="仿宋"/>
          <w:color w:val="auto"/>
          <w:sz w:val="24"/>
          <w:szCs w:val="24"/>
          <w:highlight w:val="none"/>
          <w:lang w:eastAsia="zh-CN"/>
        </w:rPr>
        <w:t>承包人</w:t>
      </w:r>
      <w:r>
        <w:rPr>
          <w:rFonts w:hint="eastAsia" w:ascii="仿宋" w:hAnsi="仿宋" w:eastAsia="仿宋" w:cs="仿宋"/>
          <w:color w:val="auto"/>
          <w:sz w:val="24"/>
          <w:szCs w:val="24"/>
          <w:highlight w:val="none"/>
        </w:rPr>
        <w:t>运营期间， 如果有新的国家颁布实施，应满足国家和行业的最新标准。</w:t>
      </w:r>
    </w:p>
    <w:p w14:paraId="43C82E97">
      <w:pPr>
        <w:tabs>
          <w:tab w:val="left" w:pos="0"/>
        </w:tabs>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r>
        <w:rPr>
          <w:rFonts w:hint="eastAsia" w:ascii="仿宋" w:hAnsi="仿宋" w:cs="仿宋"/>
          <w:color w:val="auto"/>
          <w:sz w:val="24"/>
          <w:szCs w:val="24"/>
          <w:highlight w:val="none"/>
          <w:lang w:val="en-US" w:eastAsia="zh-CN"/>
        </w:rPr>
        <w:t>1</w:t>
      </w:r>
      <w:r>
        <w:rPr>
          <w:rFonts w:hint="eastAsia" w:ascii="仿宋" w:hAnsi="仿宋" w:eastAsia="仿宋" w:cs="仿宋"/>
          <w:color w:val="auto"/>
          <w:sz w:val="24"/>
          <w:szCs w:val="24"/>
          <w:highlight w:val="none"/>
        </w:rPr>
        <w:t>.2.2 水 样 的 采 集 应 满 足 国 家 标 准 《 水 质 采 样 方 案 设 计 技 术 规 定 GB12997-91》和国家标准《水质采样技术指导 GB12998-91》以及《地表水和污水监 测技术规范 HJ/T91-2002》的要求。</w:t>
      </w:r>
    </w:p>
    <w:p w14:paraId="53290AE7">
      <w:pPr>
        <w:tabs>
          <w:tab w:val="left" w:pos="0"/>
        </w:tabs>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r>
        <w:rPr>
          <w:rFonts w:hint="eastAsia" w:ascii="仿宋" w:hAnsi="仿宋" w:cs="仿宋"/>
          <w:color w:val="auto"/>
          <w:sz w:val="24"/>
          <w:szCs w:val="24"/>
          <w:highlight w:val="none"/>
          <w:lang w:val="en-US" w:eastAsia="zh-CN"/>
        </w:rPr>
        <w:t>1</w:t>
      </w:r>
      <w:r>
        <w:rPr>
          <w:rFonts w:hint="eastAsia" w:ascii="仿宋" w:hAnsi="仿宋" w:eastAsia="仿宋" w:cs="仿宋"/>
          <w:color w:val="auto"/>
          <w:sz w:val="24"/>
          <w:szCs w:val="24"/>
          <w:highlight w:val="none"/>
        </w:rPr>
        <w:t>.2.3 水样储存应满足国家标准《水质采样样品的保存和管理技术规定 GI12999-91》的要求。</w:t>
      </w:r>
    </w:p>
    <w:p w14:paraId="6940532B">
      <w:pPr>
        <w:tabs>
          <w:tab w:val="left" w:pos="0"/>
        </w:tabs>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r>
        <w:rPr>
          <w:rFonts w:hint="eastAsia" w:ascii="仿宋" w:hAnsi="仿宋" w:cs="仿宋"/>
          <w:color w:val="auto"/>
          <w:sz w:val="24"/>
          <w:szCs w:val="24"/>
          <w:highlight w:val="none"/>
          <w:lang w:val="en-US" w:eastAsia="zh-CN"/>
        </w:rPr>
        <w:t>1</w:t>
      </w:r>
      <w:r>
        <w:rPr>
          <w:rFonts w:hint="eastAsia" w:ascii="仿宋" w:hAnsi="仿宋" w:eastAsia="仿宋" w:cs="仿宋"/>
          <w:color w:val="auto"/>
          <w:sz w:val="24"/>
          <w:szCs w:val="24"/>
          <w:highlight w:val="none"/>
        </w:rPr>
        <w:t>.3 水样检测结果的报告</w:t>
      </w:r>
    </w:p>
    <w:p w14:paraId="4D692429">
      <w:pPr>
        <w:tabs>
          <w:tab w:val="left" w:pos="0"/>
        </w:tabs>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r>
        <w:rPr>
          <w:rFonts w:hint="eastAsia" w:ascii="仿宋" w:hAnsi="仿宋" w:cs="仿宋"/>
          <w:color w:val="auto"/>
          <w:sz w:val="24"/>
          <w:szCs w:val="24"/>
          <w:highlight w:val="none"/>
          <w:lang w:val="en-US" w:eastAsia="zh-CN"/>
        </w:rPr>
        <w:t>1</w:t>
      </w:r>
      <w:r>
        <w:rPr>
          <w:rFonts w:hint="eastAsia" w:ascii="仿宋" w:hAnsi="仿宋" w:eastAsia="仿宋" w:cs="仿宋"/>
          <w:color w:val="auto"/>
          <w:sz w:val="24"/>
          <w:szCs w:val="24"/>
          <w:highlight w:val="none"/>
        </w:rPr>
        <w:t xml:space="preserve">.3.1 </w:t>
      </w:r>
      <w:r>
        <w:rPr>
          <w:rFonts w:hint="eastAsia" w:ascii="仿宋" w:hAnsi="仿宋" w:eastAsia="仿宋" w:cs="仿宋"/>
          <w:color w:val="auto"/>
          <w:sz w:val="24"/>
          <w:szCs w:val="24"/>
          <w:highlight w:val="none"/>
          <w:lang w:eastAsia="zh-CN"/>
        </w:rPr>
        <w:t>承包人</w:t>
      </w:r>
      <w:r>
        <w:rPr>
          <w:rFonts w:hint="eastAsia" w:ascii="仿宋" w:hAnsi="仿宋" w:eastAsia="仿宋" w:cs="仿宋"/>
          <w:color w:val="auto"/>
          <w:sz w:val="24"/>
          <w:szCs w:val="24"/>
          <w:highlight w:val="none"/>
        </w:rPr>
        <w:t>应如实记录每次检测的所有结果，并按照本条款的规定向</w:t>
      </w:r>
      <w:r>
        <w:rPr>
          <w:rFonts w:hint="eastAsia" w:ascii="仿宋" w:hAnsi="仿宋" w:eastAsia="仿宋" w:cs="仿宋"/>
          <w:color w:val="auto"/>
          <w:sz w:val="24"/>
          <w:szCs w:val="24"/>
          <w:highlight w:val="none"/>
          <w:lang w:eastAsia="zh-CN"/>
        </w:rPr>
        <w:t>发包人</w:t>
      </w:r>
      <w:r>
        <w:rPr>
          <w:rFonts w:hint="eastAsia" w:ascii="仿宋" w:hAnsi="仿宋" w:eastAsia="仿宋" w:cs="仿宋"/>
          <w:color w:val="auto"/>
          <w:sz w:val="24"/>
          <w:szCs w:val="24"/>
          <w:highlight w:val="none"/>
        </w:rPr>
        <w:t>提供上一运营月的运营记录报表及其电子文档，并且存档以备查。</w:t>
      </w:r>
    </w:p>
    <w:p w14:paraId="53AAE389">
      <w:pPr>
        <w:tabs>
          <w:tab w:val="left" w:pos="0"/>
        </w:tabs>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r>
        <w:rPr>
          <w:rFonts w:hint="eastAsia" w:ascii="仿宋" w:hAnsi="仿宋" w:cs="仿宋"/>
          <w:color w:val="auto"/>
          <w:sz w:val="24"/>
          <w:szCs w:val="24"/>
          <w:highlight w:val="none"/>
          <w:lang w:val="en-US" w:eastAsia="zh-CN"/>
        </w:rPr>
        <w:t>1</w:t>
      </w:r>
      <w:r>
        <w:rPr>
          <w:rFonts w:hint="eastAsia" w:ascii="仿宋" w:hAnsi="仿宋" w:eastAsia="仿宋" w:cs="仿宋"/>
          <w:color w:val="auto"/>
          <w:sz w:val="24"/>
          <w:szCs w:val="24"/>
          <w:highlight w:val="none"/>
        </w:rPr>
        <w:t>.3.2 如任何一次检测的任何实际进水水质指标超标或者出水水质指标超标，</w:t>
      </w:r>
      <w:r>
        <w:rPr>
          <w:rFonts w:hint="eastAsia" w:ascii="仿宋" w:hAnsi="仿宋" w:eastAsia="仿宋" w:cs="仿宋"/>
          <w:color w:val="auto"/>
          <w:sz w:val="24"/>
          <w:szCs w:val="24"/>
          <w:highlight w:val="none"/>
          <w:lang w:eastAsia="zh-CN"/>
        </w:rPr>
        <w:t>承包人</w:t>
      </w:r>
      <w:r>
        <w:rPr>
          <w:rFonts w:hint="eastAsia" w:ascii="仿宋" w:hAnsi="仿宋" w:eastAsia="仿宋" w:cs="仿宋"/>
          <w:color w:val="auto"/>
          <w:sz w:val="24"/>
          <w:szCs w:val="24"/>
          <w:highlight w:val="none"/>
        </w:rPr>
        <w:t>应立即按照本条款规定书面通知</w:t>
      </w:r>
      <w:r>
        <w:rPr>
          <w:rFonts w:hint="eastAsia" w:ascii="仿宋" w:hAnsi="仿宋" w:eastAsia="仿宋" w:cs="仿宋"/>
          <w:color w:val="auto"/>
          <w:sz w:val="24"/>
          <w:szCs w:val="24"/>
          <w:highlight w:val="none"/>
          <w:lang w:eastAsia="zh-CN"/>
        </w:rPr>
        <w:t>发包人</w:t>
      </w:r>
      <w:r>
        <w:rPr>
          <w:rFonts w:hint="eastAsia" w:ascii="仿宋" w:hAnsi="仿宋" w:eastAsia="仿宋" w:cs="仿宋"/>
          <w:color w:val="auto"/>
          <w:sz w:val="24"/>
          <w:szCs w:val="24"/>
          <w:highlight w:val="none"/>
        </w:rPr>
        <w:t>或监督员。</w:t>
      </w:r>
    </w:p>
    <w:p w14:paraId="498D720F">
      <w:pPr>
        <w:pStyle w:val="5"/>
        <w:jc w:val="left"/>
        <w:rPr>
          <w:rFonts w:hint="eastAsia" w:ascii="仿宋" w:hAnsi="仿宋" w:eastAsia="仿宋" w:cs="仿宋"/>
          <w:color w:val="auto"/>
          <w:highlight w:val="none"/>
        </w:rPr>
      </w:pPr>
      <w:r>
        <w:rPr>
          <w:rFonts w:hint="eastAsia" w:ascii="仿宋" w:hAnsi="仿宋" w:eastAsia="仿宋" w:cs="仿宋"/>
          <w:color w:val="auto"/>
          <w:highlight w:val="none"/>
        </w:rPr>
        <w:t>1</w:t>
      </w:r>
      <w:r>
        <w:rPr>
          <w:rFonts w:hint="eastAsia" w:ascii="仿宋" w:hAnsi="仿宋" w:cs="仿宋"/>
          <w:color w:val="auto"/>
          <w:highlight w:val="none"/>
          <w:lang w:val="en-US" w:eastAsia="zh-CN"/>
        </w:rPr>
        <w:t>2</w:t>
      </w:r>
      <w:r>
        <w:rPr>
          <w:rFonts w:hint="eastAsia" w:ascii="仿宋" w:hAnsi="仿宋" w:eastAsia="仿宋" w:cs="仿宋"/>
          <w:color w:val="auto"/>
          <w:highlight w:val="none"/>
        </w:rPr>
        <w:t xml:space="preserve">. </w:t>
      </w:r>
      <w:r>
        <w:rPr>
          <w:rFonts w:hint="eastAsia" w:ascii="仿宋" w:hAnsi="仿宋" w:eastAsia="仿宋" w:cs="仿宋"/>
          <w:color w:val="auto"/>
          <w:highlight w:val="none"/>
          <w:lang w:eastAsia="zh-CN"/>
        </w:rPr>
        <w:t>发包人</w:t>
      </w:r>
      <w:r>
        <w:rPr>
          <w:rFonts w:hint="eastAsia" w:ascii="仿宋" w:hAnsi="仿宋" w:eastAsia="仿宋" w:cs="仿宋"/>
          <w:color w:val="auto"/>
          <w:highlight w:val="none"/>
        </w:rPr>
        <w:t>的核实和抽查</w:t>
      </w:r>
    </w:p>
    <w:p w14:paraId="50D5B945">
      <w:pPr>
        <w:tabs>
          <w:tab w:val="left" w:pos="0"/>
        </w:tabs>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r>
        <w:rPr>
          <w:rFonts w:hint="eastAsia" w:ascii="仿宋" w:hAnsi="仿宋" w:cs="仿宋"/>
          <w:color w:val="auto"/>
          <w:sz w:val="24"/>
          <w:szCs w:val="24"/>
          <w:highlight w:val="none"/>
          <w:lang w:val="en-US" w:eastAsia="zh-CN"/>
        </w:rPr>
        <w:t>2</w:t>
      </w:r>
      <w:r>
        <w:rPr>
          <w:rFonts w:hint="eastAsia" w:ascii="仿宋" w:hAnsi="仿宋" w:eastAsia="仿宋" w:cs="仿宋"/>
          <w:color w:val="auto"/>
          <w:sz w:val="24"/>
          <w:szCs w:val="24"/>
          <w:highlight w:val="none"/>
        </w:rPr>
        <w:t xml:space="preserve">.1 对污水处理厂的监督 </w:t>
      </w:r>
    </w:p>
    <w:p w14:paraId="0C1515AC">
      <w:pPr>
        <w:tabs>
          <w:tab w:val="left" w:pos="0"/>
        </w:tabs>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发包人</w:t>
      </w:r>
      <w:r>
        <w:rPr>
          <w:rFonts w:hint="eastAsia" w:ascii="仿宋" w:hAnsi="仿宋" w:eastAsia="仿宋" w:cs="仿宋"/>
          <w:color w:val="auto"/>
          <w:sz w:val="24"/>
          <w:szCs w:val="24"/>
          <w:highlight w:val="none"/>
        </w:rPr>
        <w:t>和相应的行政主管部门有权派出监督员或者指定代表在任何时候进入污水处理厂，依据本条款及适用法律对污水处理厂的运营和维护进行监督和检查，并依据本条款或适用法律就相关违约或违法行为要求</w:t>
      </w:r>
      <w:r>
        <w:rPr>
          <w:rFonts w:hint="eastAsia" w:ascii="仿宋" w:hAnsi="仿宋" w:eastAsia="仿宋" w:cs="仿宋"/>
          <w:color w:val="auto"/>
          <w:sz w:val="24"/>
          <w:szCs w:val="24"/>
          <w:highlight w:val="none"/>
          <w:lang w:eastAsia="zh-CN"/>
        </w:rPr>
        <w:t>承包人</w:t>
      </w:r>
      <w:r>
        <w:rPr>
          <w:rFonts w:hint="eastAsia" w:ascii="仿宋" w:hAnsi="仿宋" w:eastAsia="仿宋" w:cs="仿宋"/>
          <w:color w:val="auto"/>
          <w:sz w:val="24"/>
          <w:szCs w:val="24"/>
          <w:highlight w:val="none"/>
        </w:rPr>
        <w:t>承担相应的责任，</w:t>
      </w:r>
      <w:r>
        <w:rPr>
          <w:rFonts w:hint="eastAsia" w:ascii="仿宋" w:hAnsi="仿宋" w:eastAsia="仿宋" w:cs="仿宋"/>
          <w:color w:val="auto"/>
          <w:sz w:val="24"/>
          <w:szCs w:val="24"/>
          <w:highlight w:val="none"/>
          <w:lang w:eastAsia="zh-CN"/>
        </w:rPr>
        <w:t>承包人</w:t>
      </w:r>
      <w:r>
        <w:rPr>
          <w:rFonts w:hint="eastAsia" w:ascii="仿宋" w:hAnsi="仿宋" w:eastAsia="仿宋" w:cs="仿宋"/>
          <w:color w:val="auto"/>
          <w:sz w:val="24"/>
          <w:szCs w:val="24"/>
          <w:highlight w:val="none"/>
        </w:rPr>
        <w:t>应接受相应监督和检查，但</w:t>
      </w:r>
      <w:r>
        <w:rPr>
          <w:rFonts w:hint="eastAsia" w:ascii="仿宋" w:hAnsi="仿宋" w:eastAsia="仿宋" w:cs="仿宋"/>
          <w:color w:val="auto"/>
          <w:sz w:val="24"/>
          <w:szCs w:val="24"/>
          <w:highlight w:val="none"/>
          <w:lang w:eastAsia="zh-CN"/>
        </w:rPr>
        <w:t>发包人</w:t>
      </w:r>
      <w:r>
        <w:rPr>
          <w:rFonts w:hint="eastAsia" w:ascii="仿宋" w:hAnsi="仿宋" w:eastAsia="仿宋" w:cs="仿宋"/>
          <w:color w:val="auto"/>
          <w:sz w:val="24"/>
          <w:szCs w:val="24"/>
          <w:highlight w:val="none"/>
        </w:rPr>
        <w:t>和相关行政主管部门的监督应依法及依照本条款约定进行，不得干预</w:t>
      </w:r>
      <w:r>
        <w:rPr>
          <w:rFonts w:hint="eastAsia" w:ascii="仿宋" w:hAnsi="仿宋" w:eastAsia="仿宋" w:cs="仿宋"/>
          <w:color w:val="auto"/>
          <w:sz w:val="24"/>
          <w:szCs w:val="24"/>
          <w:highlight w:val="none"/>
          <w:lang w:eastAsia="zh-CN"/>
        </w:rPr>
        <w:t>承包人</w:t>
      </w:r>
      <w:r>
        <w:rPr>
          <w:rFonts w:hint="eastAsia" w:ascii="仿宋" w:hAnsi="仿宋" w:eastAsia="仿宋" w:cs="仿宋"/>
          <w:color w:val="auto"/>
          <w:sz w:val="24"/>
          <w:szCs w:val="24"/>
          <w:highlight w:val="none"/>
        </w:rPr>
        <w:t>的正常运营。</w:t>
      </w:r>
    </w:p>
    <w:p w14:paraId="250EFC1D">
      <w:pPr>
        <w:tabs>
          <w:tab w:val="left" w:pos="0"/>
        </w:tabs>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r>
        <w:rPr>
          <w:rFonts w:hint="eastAsia" w:ascii="仿宋" w:hAnsi="仿宋" w:cs="仿宋"/>
          <w:color w:val="auto"/>
          <w:sz w:val="24"/>
          <w:szCs w:val="24"/>
          <w:highlight w:val="none"/>
          <w:lang w:val="en-US" w:eastAsia="zh-CN"/>
        </w:rPr>
        <w:t>2</w:t>
      </w:r>
      <w:r>
        <w:rPr>
          <w:rFonts w:hint="eastAsia" w:ascii="仿宋" w:hAnsi="仿宋" w:eastAsia="仿宋" w:cs="仿宋"/>
          <w:color w:val="auto"/>
          <w:sz w:val="24"/>
          <w:szCs w:val="24"/>
          <w:highlight w:val="none"/>
        </w:rPr>
        <w:t xml:space="preserve">.2 </w:t>
      </w:r>
      <w:r>
        <w:rPr>
          <w:rFonts w:hint="eastAsia" w:ascii="仿宋" w:hAnsi="仿宋" w:eastAsia="仿宋" w:cs="仿宋"/>
          <w:color w:val="auto"/>
          <w:sz w:val="24"/>
          <w:szCs w:val="24"/>
          <w:highlight w:val="none"/>
          <w:lang w:eastAsia="zh-CN"/>
        </w:rPr>
        <w:t>发包人</w:t>
      </w:r>
      <w:r>
        <w:rPr>
          <w:rFonts w:hint="eastAsia" w:ascii="仿宋" w:hAnsi="仿宋" w:eastAsia="仿宋" w:cs="仿宋"/>
          <w:color w:val="auto"/>
          <w:sz w:val="24"/>
          <w:szCs w:val="24"/>
          <w:highlight w:val="none"/>
        </w:rPr>
        <w:t>有权随时指定代表或委派监督员或委托一家具有法定资格的水质检测机构在进水检测点和出水检测点自行采取水样，对污水处理厂水质检测项目和周期中的指标进行抽查。</w:t>
      </w:r>
      <w:r>
        <w:rPr>
          <w:rFonts w:hint="eastAsia" w:ascii="仿宋" w:hAnsi="仿宋" w:eastAsia="仿宋" w:cs="仿宋"/>
          <w:color w:val="auto"/>
          <w:sz w:val="24"/>
          <w:szCs w:val="24"/>
          <w:highlight w:val="none"/>
          <w:lang w:eastAsia="zh-CN"/>
        </w:rPr>
        <w:t>发包人</w:t>
      </w:r>
      <w:r>
        <w:rPr>
          <w:rFonts w:hint="eastAsia" w:ascii="仿宋" w:hAnsi="仿宋" w:eastAsia="仿宋" w:cs="仿宋"/>
          <w:color w:val="auto"/>
          <w:sz w:val="24"/>
          <w:szCs w:val="24"/>
          <w:highlight w:val="none"/>
        </w:rPr>
        <w:t>抽查采样时须有</w:t>
      </w:r>
      <w:r>
        <w:rPr>
          <w:rFonts w:hint="eastAsia" w:ascii="仿宋" w:hAnsi="仿宋" w:eastAsia="仿宋" w:cs="仿宋"/>
          <w:color w:val="auto"/>
          <w:sz w:val="24"/>
          <w:szCs w:val="24"/>
          <w:highlight w:val="none"/>
          <w:lang w:eastAsia="zh-CN"/>
        </w:rPr>
        <w:t>承包人</w:t>
      </w:r>
      <w:r>
        <w:rPr>
          <w:rFonts w:hint="eastAsia" w:ascii="仿宋" w:hAnsi="仿宋" w:eastAsia="仿宋" w:cs="仿宋"/>
          <w:color w:val="auto"/>
          <w:sz w:val="24"/>
          <w:szCs w:val="24"/>
          <w:highlight w:val="none"/>
        </w:rPr>
        <w:t>人员在场。经通知后，</w:t>
      </w:r>
      <w:r>
        <w:rPr>
          <w:rFonts w:hint="eastAsia" w:ascii="仿宋" w:hAnsi="仿宋" w:eastAsia="仿宋" w:cs="仿宋"/>
          <w:color w:val="auto"/>
          <w:sz w:val="24"/>
          <w:szCs w:val="24"/>
          <w:highlight w:val="none"/>
          <w:lang w:eastAsia="zh-CN"/>
        </w:rPr>
        <w:t>承包人</w:t>
      </w:r>
      <w:r>
        <w:rPr>
          <w:rFonts w:hint="eastAsia" w:ascii="仿宋" w:hAnsi="仿宋" w:eastAsia="仿宋" w:cs="仿宋"/>
          <w:color w:val="auto"/>
          <w:sz w:val="24"/>
          <w:szCs w:val="24"/>
          <w:highlight w:val="none"/>
        </w:rPr>
        <w:t>人员拒不到场的，不影响抽查结果的有效性。</w:t>
      </w:r>
    </w:p>
    <w:p w14:paraId="0830EA78">
      <w:pPr>
        <w:tabs>
          <w:tab w:val="left" w:pos="0"/>
        </w:tabs>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r>
        <w:rPr>
          <w:rFonts w:hint="eastAsia" w:ascii="仿宋" w:hAnsi="仿宋" w:cs="仿宋"/>
          <w:color w:val="auto"/>
          <w:sz w:val="24"/>
          <w:szCs w:val="24"/>
          <w:highlight w:val="none"/>
          <w:lang w:val="en-US" w:eastAsia="zh-CN"/>
        </w:rPr>
        <w:t>2</w:t>
      </w:r>
      <w:r>
        <w:rPr>
          <w:rFonts w:hint="eastAsia" w:ascii="仿宋" w:hAnsi="仿宋" w:eastAsia="仿宋" w:cs="仿宋"/>
          <w:color w:val="auto"/>
          <w:sz w:val="24"/>
          <w:szCs w:val="24"/>
          <w:highlight w:val="none"/>
        </w:rPr>
        <w:t xml:space="preserve">.3 </w:t>
      </w:r>
      <w:r>
        <w:rPr>
          <w:rFonts w:hint="eastAsia" w:ascii="仿宋" w:hAnsi="仿宋" w:eastAsia="仿宋" w:cs="仿宋"/>
          <w:color w:val="auto"/>
          <w:sz w:val="24"/>
          <w:szCs w:val="24"/>
          <w:highlight w:val="none"/>
          <w:lang w:eastAsia="zh-CN"/>
        </w:rPr>
        <w:t>发包人</w:t>
      </w:r>
      <w:r>
        <w:rPr>
          <w:rFonts w:hint="eastAsia" w:ascii="仿宋" w:hAnsi="仿宋" w:eastAsia="仿宋" w:cs="仿宋"/>
          <w:color w:val="auto"/>
          <w:sz w:val="24"/>
          <w:szCs w:val="24"/>
          <w:highlight w:val="none"/>
        </w:rPr>
        <w:t>核实或抽查的结果与</w:t>
      </w:r>
      <w:r>
        <w:rPr>
          <w:rFonts w:hint="eastAsia" w:ascii="仿宋" w:hAnsi="仿宋" w:eastAsia="仿宋" w:cs="仿宋"/>
          <w:color w:val="auto"/>
          <w:sz w:val="24"/>
          <w:szCs w:val="24"/>
          <w:highlight w:val="none"/>
          <w:lang w:eastAsia="zh-CN"/>
        </w:rPr>
        <w:t>承包人</w:t>
      </w:r>
      <w:r>
        <w:rPr>
          <w:rFonts w:hint="eastAsia" w:ascii="仿宋" w:hAnsi="仿宋" w:eastAsia="仿宋" w:cs="仿宋"/>
          <w:color w:val="auto"/>
          <w:sz w:val="24"/>
          <w:szCs w:val="24"/>
          <w:highlight w:val="none"/>
        </w:rPr>
        <w:t>自检结果不一致时，以</w:t>
      </w:r>
      <w:r>
        <w:rPr>
          <w:rFonts w:hint="eastAsia" w:ascii="仿宋" w:hAnsi="仿宋" w:eastAsia="仿宋" w:cs="仿宋"/>
          <w:color w:val="auto"/>
          <w:sz w:val="24"/>
          <w:szCs w:val="24"/>
          <w:highlight w:val="none"/>
          <w:lang w:eastAsia="zh-CN"/>
        </w:rPr>
        <w:t>发包人</w:t>
      </w:r>
      <w:r>
        <w:rPr>
          <w:rFonts w:hint="eastAsia" w:ascii="仿宋" w:hAnsi="仿宋" w:eastAsia="仿宋" w:cs="仿宋"/>
          <w:color w:val="auto"/>
          <w:sz w:val="24"/>
          <w:szCs w:val="24"/>
          <w:highlight w:val="none"/>
        </w:rPr>
        <w:t>认可的有资质的第三方检测结果为准。</w:t>
      </w:r>
    </w:p>
    <w:p w14:paraId="2DD28210">
      <w:pPr>
        <w:tabs>
          <w:tab w:val="left" w:pos="0"/>
        </w:tabs>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r>
        <w:rPr>
          <w:rFonts w:hint="eastAsia" w:ascii="仿宋" w:hAnsi="仿宋" w:cs="仿宋"/>
          <w:color w:val="auto"/>
          <w:sz w:val="24"/>
          <w:szCs w:val="24"/>
          <w:highlight w:val="none"/>
          <w:lang w:val="en-US" w:eastAsia="zh-CN"/>
        </w:rPr>
        <w:t>2</w:t>
      </w:r>
      <w:r>
        <w:rPr>
          <w:rFonts w:hint="eastAsia" w:ascii="仿宋" w:hAnsi="仿宋" w:eastAsia="仿宋" w:cs="仿宋"/>
          <w:color w:val="auto"/>
          <w:sz w:val="24"/>
          <w:szCs w:val="24"/>
          <w:highlight w:val="none"/>
        </w:rPr>
        <w:t xml:space="preserve">.4 </w:t>
      </w:r>
      <w:r>
        <w:rPr>
          <w:rFonts w:hint="eastAsia" w:ascii="仿宋" w:hAnsi="仿宋" w:eastAsia="仿宋" w:cs="仿宋"/>
          <w:color w:val="auto"/>
          <w:sz w:val="24"/>
          <w:szCs w:val="24"/>
          <w:highlight w:val="none"/>
          <w:lang w:eastAsia="zh-CN"/>
        </w:rPr>
        <w:t>发包人</w:t>
      </w:r>
      <w:r>
        <w:rPr>
          <w:rFonts w:hint="eastAsia" w:ascii="仿宋" w:hAnsi="仿宋" w:eastAsia="仿宋" w:cs="仿宋"/>
          <w:color w:val="auto"/>
          <w:sz w:val="24"/>
          <w:szCs w:val="24"/>
          <w:highlight w:val="none"/>
        </w:rPr>
        <w:t>或受其委托的水质检测机构进行上述核实、抽查或检查的费用应由</w:t>
      </w:r>
      <w:r>
        <w:rPr>
          <w:rFonts w:hint="eastAsia" w:ascii="仿宋" w:hAnsi="仿宋" w:eastAsia="仿宋" w:cs="仿宋"/>
          <w:color w:val="auto"/>
          <w:sz w:val="24"/>
          <w:szCs w:val="24"/>
          <w:highlight w:val="none"/>
          <w:lang w:eastAsia="zh-CN"/>
        </w:rPr>
        <w:t>发包人</w:t>
      </w:r>
      <w:r>
        <w:rPr>
          <w:rFonts w:hint="eastAsia" w:ascii="仿宋" w:hAnsi="仿宋" w:eastAsia="仿宋" w:cs="仿宋"/>
          <w:color w:val="auto"/>
          <w:sz w:val="24"/>
          <w:szCs w:val="24"/>
          <w:highlight w:val="none"/>
        </w:rPr>
        <w:t>承担，但是如果该等核实、抽查或检查的结果表明</w:t>
      </w:r>
      <w:r>
        <w:rPr>
          <w:rFonts w:hint="eastAsia" w:ascii="仿宋" w:hAnsi="仿宋" w:eastAsia="仿宋" w:cs="仿宋"/>
          <w:color w:val="auto"/>
          <w:sz w:val="24"/>
          <w:szCs w:val="24"/>
          <w:highlight w:val="none"/>
          <w:lang w:eastAsia="zh-CN"/>
        </w:rPr>
        <w:t>承包人</w:t>
      </w:r>
      <w:r>
        <w:rPr>
          <w:rFonts w:hint="eastAsia" w:ascii="仿宋" w:hAnsi="仿宋" w:eastAsia="仿宋" w:cs="仿宋"/>
          <w:color w:val="auto"/>
          <w:sz w:val="24"/>
          <w:szCs w:val="24"/>
          <w:highlight w:val="none"/>
        </w:rPr>
        <w:t>的检测程序不符合规定、 检测设备超出允许误差或其检测结果不真实，则</w:t>
      </w:r>
      <w:r>
        <w:rPr>
          <w:rFonts w:hint="eastAsia" w:ascii="仿宋" w:hAnsi="仿宋" w:eastAsia="仿宋" w:cs="仿宋"/>
          <w:color w:val="auto"/>
          <w:sz w:val="24"/>
          <w:szCs w:val="24"/>
          <w:highlight w:val="none"/>
          <w:lang w:eastAsia="zh-CN"/>
        </w:rPr>
        <w:t>承包人</w:t>
      </w:r>
      <w:r>
        <w:rPr>
          <w:rFonts w:hint="eastAsia" w:ascii="仿宋" w:hAnsi="仿宋" w:eastAsia="仿宋" w:cs="仿宋"/>
          <w:color w:val="auto"/>
          <w:sz w:val="24"/>
          <w:szCs w:val="24"/>
          <w:highlight w:val="none"/>
        </w:rPr>
        <w:t>应负担该等费用。</w:t>
      </w:r>
    </w:p>
    <w:p w14:paraId="1FA3980D">
      <w:pPr>
        <w:pStyle w:val="5"/>
        <w:jc w:val="left"/>
        <w:rPr>
          <w:rFonts w:hint="eastAsia" w:ascii="仿宋" w:hAnsi="仿宋" w:eastAsia="仿宋" w:cs="仿宋"/>
          <w:color w:val="auto"/>
          <w:highlight w:val="none"/>
        </w:rPr>
      </w:pPr>
      <w:r>
        <w:rPr>
          <w:rFonts w:hint="eastAsia" w:ascii="仿宋" w:hAnsi="仿宋" w:eastAsia="仿宋" w:cs="仿宋"/>
          <w:color w:val="auto"/>
          <w:highlight w:val="none"/>
        </w:rPr>
        <w:t>1</w:t>
      </w:r>
      <w:r>
        <w:rPr>
          <w:rFonts w:hint="eastAsia" w:ascii="仿宋" w:hAnsi="仿宋" w:cs="仿宋"/>
          <w:color w:val="auto"/>
          <w:highlight w:val="none"/>
          <w:lang w:val="en-US" w:eastAsia="zh-CN"/>
        </w:rPr>
        <w:t>3</w:t>
      </w:r>
      <w:r>
        <w:rPr>
          <w:rFonts w:hint="eastAsia" w:ascii="仿宋" w:hAnsi="仿宋" w:eastAsia="仿宋" w:cs="仿宋"/>
          <w:color w:val="auto"/>
          <w:highlight w:val="none"/>
        </w:rPr>
        <w:t xml:space="preserve">. 终止、变更和转让 </w:t>
      </w:r>
    </w:p>
    <w:p w14:paraId="47812009">
      <w:pPr>
        <w:tabs>
          <w:tab w:val="left" w:pos="0"/>
        </w:tabs>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r>
        <w:rPr>
          <w:rFonts w:hint="eastAsia" w:ascii="仿宋" w:hAnsi="仿宋" w:cs="仿宋"/>
          <w:color w:val="auto"/>
          <w:sz w:val="24"/>
          <w:szCs w:val="24"/>
          <w:highlight w:val="none"/>
          <w:lang w:val="en-US" w:eastAsia="zh-CN"/>
        </w:rPr>
        <w:t>3</w:t>
      </w:r>
      <w:r>
        <w:rPr>
          <w:rFonts w:hint="eastAsia" w:ascii="仿宋" w:hAnsi="仿宋" w:eastAsia="仿宋" w:cs="仿宋"/>
          <w:color w:val="auto"/>
          <w:sz w:val="24"/>
          <w:szCs w:val="24"/>
          <w:highlight w:val="none"/>
        </w:rPr>
        <w:t>.1</w:t>
      </w:r>
      <w:r>
        <w:rPr>
          <w:rFonts w:hint="eastAsia" w:ascii="仿宋" w:hAnsi="仿宋" w:eastAsia="仿宋" w:cs="仿宋"/>
          <w:color w:val="auto"/>
          <w:sz w:val="24"/>
          <w:szCs w:val="24"/>
          <w:highlight w:val="none"/>
          <w:lang w:eastAsia="zh-CN"/>
        </w:rPr>
        <w:t>承包人</w:t>
      </w:r>
      <w:r>
        <w:rPr>
          <w:rFonts w:hint="eastAsia" w:ascii="仿宋" w:hAnsi="仿宋" w:eastAsia="仿宋" w:cs="仿宋"/>
          <w:color w:val="auto"/>
          <w:sz w:val="24"/>
          <w:szCs w:val="24"/>
          <w:highlight w:val="none"/>
        </w:rPr>
        <w:t xml:space="preserve">违约导致的终止 </w:t>
      </w:r>
    </w:p>
    <w:p w14:paraId="0F0062FC">
      <w:pPr>
        <w:tabs>
          <w:tab w:val="left" w:pos="0"/>
        </w:tabs>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下述每一条款所述事件，如果不是由于</w:t>
      </w:r>
      <w:r>
        <w:rPr>
          <w:rFonts w:hint="eastAsia" w:ascii="仿宋" w:hAnsi="仿宋" w:eastAsia="仿宋" w:cs="仿宋"/>
          <w:color w:val="auto"/>
          <w:sz w:val="24"/>
          <w:szCs w:val="24"/>
          <w:highlight w:val="none"/>
          <w:lang w:eastAsia="zh-CN"/>
        </w:rPr>
        <w:t>发包人</w:t>
      </w:r>
      <w:r>
        <w:rPr>
          <w:rFonts w:hint="eastAsia" w:ascii="仿宋" w:hAnsi="仿宋" w:eastAsia="仿宋" w:cs="仿宋"/>
          <w:color w:val="auto"/>
          <w:sz w:val="24"/>
          <w:szCs w:val="24"/>
          <w:highlight w:val="none"/>
        </w:rPr>
        <w:t>的违约或由于不可抗力所致，如果有允许的纠正期限而</w:t>
      </w:r>
      <w:r>
        <w:rPr>
          <w:rFonts w:hint="eastAsia" w:ascii="仿宋" w:hAnsi="仿宋" w:eastAsia="仿宋" w:cs="仿宋"/>
          <w:color w:val="auto"/>
          <w:sz w:val="24"/>
          <w:szCs w:val="24"/>
          <w:highlight w:val="none"/>
          <w:lang w:eastAsia="zh-CN"/>
        </w:rPr>
        <w:t>承包人</w:t>
      </w:r>
      <w:r>
        <w:rPr>
          <w:rFonts w:hint="eastAsia" w:ascii="仿宋" w:hAnsi="仿宋" w:eastAsia="仿宋" w:cs="仿宋"/>
          <w:color w:val="auto"/>
          <w:sz w:val="24"/>
          <w:szCs w:val="24"/>
          <w:highlight w:val="none"/>
        </w:rPr>
        <w:t>在该期限内未能纠正，即构成</w:t>
      </w:r>
      <w:r>
        <w:rPr>
          <w:rFonts w:hint="eastAsia" w:ascii="仿宋" w:hAnsi="仿宋" w:eastAsia="仿宋" w:cs="仿宋"/>
          <w:color w:val="auto"/>
          <w:sz w:val="24"/>
          <w:szCs w:val="24"/>
          <w:highlight w:val="none"/>
          <w:lang w:eastAsia="zh-CN"/>
        </w:rPr>
        <w:t>承包人</w:t>
      </w:r>
      <w:r>
        <w:rPr>
          <w:rFonts w:hint="eastAsia" w:ascii="仿宋" w:hAnsi="仿宋" w:eastAsia="仿宋" w:cs="仿宋"/>
          <w:color w:val="auto"/>
          <w:sz w:val="24"/>
          <w:szCs w:val="24"/>
          <w:highlight w:val="none"/>
        </w:rPr>
        <w:t>违约事件，</w:t>
      </w:r>
      <w:r>
        <w:rPr>
          <w:rFonts w:hint="eastAsia" w:ascii="仿宋" w:hAnsi="仿宋" w:eastAsia="仿宋" w:cs="仿宋"/>
          <w:color w:val="auto"/>
          <w:sz w:val="24"/>
          <w:szCs w:val="24"/>
          <w:highlight w:val="none"/>
          <w:lang w:eastAsia="zh-CN"/>
        </w:rPr>
        <w:t>发包人</w:t>
      </w:r>
      <w:r>
        <w:rPr>
          <w:rFonts w:hint="eastAsia" w:ascii="仿宋" w:hAnsi="仿宋" w:eastAsia="仿宋" w:cs="仿宋"/>
          <w:color w:val="auto"/>
          <w:sz w:val="24"/>
          <w:szCs w:val="24"/>
          <w:highlight w:val="none"/>
        </w:rPr>
        <w:t xml:space="preserve">有权立即发出终止意向通知： </w:t>
      </w:r>
    </w:p>
    <w:p w14:paraId="6D32A238">
      <w:pPr>
        <w:tabs>
          <w:tab w:val="left" w:pos="0"/>
        </w:tabs>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r>
        <w:rPr>
          <w:rFonts w:hint="eastAsia" w:ascii="仿宋" w:hAnsi="仿宋" w:eastAsia="仿宋" w:cs="仿宋"/>
          <w:color w:val="auto"/>
          <w:sz w:val="24"/>
          <w:szCs w:val="24"/>
          <w:highlight w:val="none"/>
          <w:lang w:eastAsia="zh-CN"/>
        </w:rPr>
        <w:t>承包人</w:t>
      </w:r>
      <w:r>
        <w:rPr>
          <w:rFonts w:hint="eastAsia" w:ascii="仿宋" w:hAnsi="仿宋" w:eastAsia="仿宋" w:cs="仿宋"/>
          <w:color w:val="auto"/>
          <w:sz w:val="24"/>
          <w:szCs w:val="24"/>
          <w:highlight w:val="none"/>
        </w:rPr>
        <w:t xml:space="preserve">擅自转让、出租经营权； </w:t>
      </w:r>
    </w:p>
    <w:p w14:paraId="2D589C74">
      <w:pPr>
        <w:tabs>
          <w:tab w:val="left" w:pos="0"/>
        </w:tabs>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w:t>
      </w:r>
      <w:r>
        <w:rPr>
          <w:rFonts w:hint="eastAsia" w:ascii="仿宋" w:hAnsi="仿宋" w:eastAsia="仿宋" w:cs="仿宋"/>
          <w:color w:val="auto"/>
          <w:sz w:val="24"/>
          <w:szCs w:val="24"/>
          <w:highlight w:val="none"/>
          <w:lang w:eastAsia="zh-CN"/>
        </w:rPr>
        <w:t>承包人</w:t>
      </w:r>
      <w:r>
        <w:rPr>
          <w:rFonts w:hint="eastAsia" w:ascii="仿宋" w:hAnsi="仿宋" w:eastAsia="仿宋" w:cs="仿宋"/>
          <w:color w:val="auto"/>
          <w:sz w:val="24"/>
          <w:szCs w:val="24"/>
          <w:highlight w:val="none"/>
        </w:rPr>
        <w:t xml:space="preserve">擅自将所经营的财产进行与本项目投资经营无关的处置或者抵押； </w:t>
      </w:r>
    </w:p>
    <w:p w14:paraId="062D35D5">
      <w:pPr>
        <w:tabs>
          <w:tab w:val="left" w:pos="0"/>
        </w:tabs>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w:t>
      </w:r>
      <w:r>
        <w:rPr>
          <w:rFonts w:hint="eastAsia" w:ascii="仿宋" w:hAnsi="仿宋" w:eastAsia="仿宋" w:cs="仿宋"/>
          <w:color w:val="auto"/>
          <w:sz w:val="24"/>
          <w:szCs w:val="24"/>
          <w:highlight w:val="none"/>
          <w:lang w:eastAsia="zh-CN"/>
        </w:rPr>
        <w:t>承包人</w:t>
      </w:r>
      <w:r>
        <w:rPr>
          <w:rFonts w:hint="eastAsia" w:ascii="仿宋" w:hAnsi="仿宋" w:eastAsia="仿宋" w:cs="仿宋"/>
          <w:color w:val="auto"/>
          <w:sz w:val="24"/>
          <w:szCs w:val="24"/>
          <w:highlight w:val="none"/>
        </w:rPr>
        <w:t xml:space="preserve">因管理不善，发生特别重大质量、生产安全事故、污染事故； </w:t>
      </w:r>
    </w:p>
    <w:p w14:paraId="1A4B135F">
      <w:pPr>
        <w:tabs>
          <w:tab w:val="left" w:pos="0"/>
        </w:tabs>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w:t>
      </w:r>
      <w:r>
        <w:rPr>
          <w:rFonts w:hint="eastAsia" w:ascii="仿宋" w:hAnsi="仿宋" w:eastAsia="仿宋" w:cs="仿宋"/>
          <w:color w:val="auto"/>
          <w:sz w:val="24"/>
          <w:szCs w:val="24"/>
          <w:highlight w:val="none"/>
          <w:lang w:eastAsia="zh-CN"/>
        </w:rPr>
        <w:t>承包人</w:t>
      </w:r>
      <w:r>
        <w:rPr>
          <w:rFonts w:hint="eastAsia" w:ascii="仿宋" w:hAnsi="仿宋" w:eastAsia="仿宋" w:cs="仿宋"/>
          <w:color w:val="auto"/>
          <w:sz w:val="24"/>
          <w:szCs w:val="24"/>
          <w:highlight w:val="none"/>
        </w:rPr>
        <w:t xml:space="preserve">擅自停业、歇业，严重影响到社会公共利益和安全； </w:t>
      </w:r>
    </w:p>
    <w:p w14:paraId="76C5959A">
      <w:pPr>
        <w:tabs>
          <w:tab w:val="left" w:pos="0"/>
        </w:tabs>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（5）根据中国法律</w:t>
      </w:r>
      <w:r>
        <w:rPr>
          <w:rFonts w:hint="eastAsia" w:ascii="仿宋" w:hAnsi="仿宋" w:eastAsia="仿宋" w:cs="仿宋"/>
          <w:color w:val="auto"/>
          <w:sz w:val="24"/>
          <w:szCs w:val="24"/>
          <w:highlight w:val="none"/>
          <w:lang w:eastAsia="zh-CN"/>
        </w:rPr>
        <w:t>承包人</w:t>
      </w:r>
      <w:r>
        <w:rPr>
          <w:rFonts w:hint="eastAsia" w:ascii="仿宋" w:hAnsi="仿宋" w:eastAsia="仿宋" w:cs="仿宋"/>
          <w:color w:val="auto"/>
          <w:sz w:val="24"/>
          <w:szCs w:val="24"/>
          <w:highlight w:val="none"/>
        </w:rPr>
        <w:t>进行清算或资不抵债。</w:t>
      </w:r>
    </w:p>
    <w:p w14:paraId="3256E0B8">
      <w:pPr>
        <w:tabs>
          <w:tab w:val="left" w:pos="0"/>
        </w:tabs>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r>
        <w:rPr>
          <w:rFonts w:hint="eastAsia" w:ascii="仿宋" w:hAnsi="仿宋" w:cs="仿宋"/>
          <w:color w:val="auto"/>
          <w:sz w:val="24"/>
          <w:szCs w:val="24"/>
          <w:highlight w:val="none"/>
          <w:lang w:val="en-US" w:eastAsia="zh-CN"/>
        </w:rPr>
        <w:t>3</w:t>
      </w:r>
      <w:r>
        <w:rPr>
          <w:rFonts w:hint="eastAsia" w:ascii="仿宋" w:hAnsi="仿宋" w:eastAsia="仿宋" w:cs="仿宋"/>
          <w:color w:val="auto"/>
          <w:sz w:val="24"/>
          <w:szCs w:val="24"/>
          <w:highlight w:val="none"/>
        </w:rPr>
        <w:t xml:space="preserve">.2 </w:t>
      </w:r>
      <w:r>
        <w:rPr>
          <w:rFonts w:hint="eastAsia" w:ascii="仿宋" w:hAnsi="仿宋" w:eastAsia="仿宋" w:cs="仿宋"/>
          <w:color w:val="auto"/>
          <w:sz w:val="24"/>
          <w:szCs w:val="24"/>
          <w:highlight w:val="none"/>
          <w:lang w:eastAsia="zh-CN"/>
        </w:rPr>
        <w:t>发包人</w:t>
      </w:r>
      <w:r>
        <w:rPr>
          <w:rFonts w:hint="eastAsia" w:ascii="仿宋" w:hAnsi="仿宋" w:eastAsia="仿宋" w:cs="仿宋"/>
          <w:color w:val="auto"/>
          <w:sz w:val="24"/>
          <w:szCs w:val="24"/>
          <w:highlight w:val="none"/>
        </w:rPr>
        <w:t xml:space="preserve">违约导致的终止 </w:t>
      </w:r>
    </w:p>
    <w:p w14:paraId="3F4FCEA2">
      <w:pPr>
        <w:tabs>
          <w:tab w:val="left" w:pos="0"/>
        </w:tabs>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下述每一条款所述事件，如果不是由于</w:t>
      </w:r>
      <w:r>
        <w:rPr>
          <w:rFonts w:hint="eastAsia" w:ascii="仿宋" w:hAnsi="仿宋" w:eastAsia="仿宋" w:cs="仿宋"/>
          <w:color w:val="auto"/>
          <w:sz w:val="24"/>
          <w:szCs w:val="24"/>
          <w:highlight w:val="none"/>
          <w:lang w:eastAsia="zh-CN"/>
        </w:rPr>
        <w:t>承包人</w:t>
      </w:r>
      <w:r>
        <w:rPr>
          <w:rFonts w:hint="eastAsia" w:ascii="仿宋" w:hAnsi="仿宋" w:eastAsia="仿宋" w:cs="仿宋"/>
          <w:color w:val="auto"/>
          <w:sz w:val="24"/>
          <w:szCs w:val="24"/>
          <w:highlight w:val="none"/>
        </w:rPr>
        <w:t>的违约或由于不可抗力所致，如果有允许的纠正期限而在该期限内未能纠正，即构成</w:t>
      </w:r>
      <w:r>
        <w:rPr>
          <w:rFonts w:hint="eastAsia" w:ascii="仿宋" w:hAnsi="仿宋" w:eastAsia="仿宋" w:cs="仿宋"/>
          <w:color w:val="auto"/>
          <w:sz w:val="24"/>
          <w:szCs w:val="24"/>
          <w:highlight w:val="none"/>
          <w:lang w:eastAsia="zh-CN"/>
        </w:rPr>
        <w:t>发包人</w:t>
      </w:r>
      <w:r>
        <w:rPr>
          <w:rFonts w:hint="eastAsia" w:ascii="仿宋" w:hAnsi="仿宋" w:eastAsia="仿宋" w:cs="仿宋"/>
          <w:color w:val="auto"/>
          <w:sz w:val="24"/>
          <w:szCs w:val="24"/>
          <w:highlight w:val="none"/>
        </w:rPr>
        <w:t>违约事件，</w:t>
      </w:r>
      <w:r>
        <w:rPr>
          <w:rFonts w:hint="eastAsia" w:ascii="仿宋" w:hAnsi="仿宋" w:eastAsia="仿宋" w:cs="仿宋"/>
          <w:color w:val="auto"/>
          <w:sz w:val="24"/>
          <w:szCs w:val="24"/>
          <w:highlight w:val="none"/>
          <w:lang w:eastAsia="zh-CN"/>
        </w:rPr>
        <w:t>承包人</w:t>
      </w:r>
      <w:r>
        <w:rPr>
          <w:rFonts w:hint="eastAsia" w:ascii="仿宋" w:hAnsi="仿宋" w:eastAsia="仿宋" w:cs="仿宋"/>
          <w:color w:val="auto"/>
          <w:sz w:val="24"/>
          <w:szCs w:val="24"/>
          <w:highlight w:val="none"/>
        </w:rPr>
        <w:t xml:space="preserve">有权立即发出终止意向通知。 </w:t>
      </w:r>
    </w:p>
    <w:p w14:paraId="5B5C40EC">
      <w:pPr>
        <w:tabs>
          <w:tab w:val="left" w:pos="0"/>
        </w:tabs>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r>
        <w:rPr>
          <w:rFonts w:hint="eastAsia" w:ascii="仿宋" w:hAnsi="仿宋" w:eastAsia="仿宋" w:cs="仿宋"/>
          <w:color w:val="auto"/>
          <w:sz w:val="24"/>
          <w:szCs w:val="24"/>
          <w:highlight w:val="none"/>
          <w:lang w:eastAsia="zh-CN"/>
        </w:rPr>
        <w:t>发包人</w:t>
      </w:r>
      <w:r>
        <w:rPr>
          <w:rFonts w:hint="eastAsia" w:ascii="仿宋" w:hAnsi="仿宋" w:eastAsia="仿宋" w:cs="仿宋"/>
          <w:color w:val="auto"/>
          <w:sz w:val="24"/>
          <w:szCs w:val="24"/>
          <w:highlight w:val="none"/>
        </w:rPr>
        <w:t>的任何声明和保证被证明在做出时即有严重违约，使</w:t>
      </w:r>
      <w:r>
        <w:rPr>
          <w:rFonts w:hint="eastAsia" w:ascii="仿宋" w:hAnsi="仿宋" w:eastAsia="仿宋" w:cs="仿宋"/>
          <w:color w:val="auto"/>
          <w:sz w:val="24"/>
          <w:szCs w:val="24"/>
          <w:highlight w:val="none"/>
          <w:lang w:eastAsia="zh-CN"/>
        </w:rPr>
        <w:t>承包人</w:t>
      </w:r>
      <w:r>
        <w:rPr>
          <w:rFonts w:hint="eastAsia" w:ascii="仿宋" w:hAnsi="仿宋" w:eastAsia="仿宋" w:cs="仿宋"/>
          <w:color w:val="auto"/>
          <w:sz w:val="24"/>
          <w:szCs w:val="24"/>
          <w:highlight w:val="none"/>
        </w:rPr>
        <w:t xml:space="preserve">履行本条款的能力受到严重的不利影响； </w:t>
      </w:r>
    </w:p>
    <w:p w14:paraId="012B081E">
      <w:pPr>
        <w:tabs>
          <w:tab w:val="left" w:pos="0"/>
        </w:tabs>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w:t>
      </w:r>
      <w:r>
        <w:rPr>
          <w:rFonts w:hint="eastAsia" w:ascii="仿宋" w:hAnsi="仿宋" w:eastAsia="仿宋" w:cs="仿宋"/>
          <w:color w:val="auto"/>
          <w:sz w:val="24"/>
          <w:szCs w:val="24"/>
          <w:highlight w:val="none"/>
          <w:lang w:eastAsia="zh-CN"/>
        </w:rPr>
        <w:t>发包人</w:t>
      </w:r>
      <w:r>
        <w:rPr>
          <w:rFonts w:hint="eastAsia" w:ascii="仿宋" w:hAnsi="仿宋" w:eastAsia="仿宋" w:cs="仿宋"/>
          <w:color w:val="auto"/>
          <w:sz w:val="24"/>
          <w:szCs w:val="24"/>
          <w:highlight w:val="none"/>
        </w:rPr>
        <w:t>未履行其在本条款下的任何其它义务构成对本条款的实质性违约，并且在收到</w:t>
      </w:r>
      <w:r>
        <w:rPr>
          <w:rFonts w:hint="eastAsia" w:ascii="仿宋" w:hAnsi="仿宋" w:eastAsia="仿宋" w:cs="仿宋"/>
          <w:color w:val="auto"/>
          <w:sz w:val="24"/>
          <w:szCs w:val="24"/>
          <w:highlight w:val="none"/>
          <w:lang w:eastAsia="zh-CN"/>
        </w:rPr>
        <w:t>承包人</w:t>
      </w:r>
      <w:r>
        <w:rPr>
          <w:rFonts w:hint="eastAsia" w:ascii="仿宋" w:hAnsi="仿宋" w:eastAsia="仿宋" w:cs="仿宋"/>
          <w:color w:val="auto"/>
          <w:sz w:val="24"/>
          <w:szCs w:val="24"/>
          <w:highlight w:val="none"/>
        </w:rPr>
        <w:t>说明其违约并要求补救的书面通知后三十（30）日内仍未能补救该实质性违约。</w:t>
      </w:r>
    </w:p>
    <w:p w14:paraId="04E4FCE1">
      <w:pPr>
        <w:tabs>
          <w:tab w:val="left" w:pos="0"/>
        </w:tabs>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r>
        <w:rPr>
          <w:rFonts w:hint="eastAsia" w:ascii="仿宋" w:hAnsi="仿宋" w:cs="仿宋"/>
          <w:color w:val="auto"/>
          <w:sz w:val="24"/>
          <w:szCs w:val="24"/>
          <w:highlight w:val="none"/>
          <w:lang w:val="en-US" w:eastAsia="zh-CN"/>
        </w:rPr>
        <w:t>3</w:t>
      </w:r>
      <w:r>
        <w:rPr>
          <w:rFonts w:hint="eastAsia" w:ascii="仿宋" w:hAnsi="仿宋" w:eastAsia="仿宋" w:cs="仿宋"/>
          <w:color w:val="auto"/>
          <w:sz w:val="24"/>
          <w:szCs w:val="24"/>
          <w:highlight w:val="none"/>
        </w:rPr>
        <w:t xml:space="preserve">.3 其它约定 </w:t>
      </w:r>
    </w:p>
    <w:p w14:paraId="71809CFD">
      <w:pPr>
        <w:tabs>
          <w:tab w:val="left" w:pos="0"/>
        </w:tabs>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双方未尽事宜，双方另行签订补充协议。补充协议具有同等法律效力。 </w:t>
      </w:r>
    </w:p>
    <w:p w14:paraId="17A7A93D">
      <w:pPr>
        <w:pStyle w:val="5"/>
        <w:jc w:val="left"/>
        <w:rPr>
          <w:rFonts w:hint="eastAsia" w:ascii="仿宋" w:hAnsi="仿宋" w:eastAsia="仿宋" w:cs="仿宋"/>
          <w:color w:val="auto"/>
          <w:highlight w:val="none"/>
        </w:rPr>
      </w:pPr>
      <w:r>
        <w:rPr>
          <w:rFonts w:hint="eastAsia" w:ascii="仿宋" w:hAnsi="仿宋" w:eastAsia="仿宋" w:cs="仿宋"/>
          <w:color w:val="auto"/>
          <w:highlight w:val="none"/>
        </w:rPr>
        <w:t>1</w:t>
      </w:r>
      <w:r>
        <w:rPr>
          <w:rFonts w:hint="eastAsia" w:ascii="仿宋" w:hAnsi="仿宋" w:cs="仿宋"/>
          <w:color w:val="auto"/>
          <w:highlight w:val="none"/>
          <w:lang w:val="en-US" w:eastAsia="zh-CN"/>
        </w:rPr>
        <w:t>4</w:t>
      </w:r>
      <w:r>
        <w:rPr>
          <w:rFonts w:hint="eastAsia" w:ascii="仿宋" w:hAnsi="仿宋" w:eastAsia="仿宋" w:cs="仿宋"/>
          <w:color w:val="auto"/>
          <w:highlight w:val="none"/>
        </w:rPr>
        <w:t>.</w:t>
      </w:r>
      <w:r>
        <w:rPr>
          <w:rFonts w:hint="eastAsia" w:ascii="仿宋" w:hAnsi="仿宋" w:eastAsia="仿宋" w:cs="仿宋"/>
          <w:color w:val="auto"/>
          <w:highlight w:val="none"/>
          <w:lang w:val="en-US" w:eastAsia="zh-CN"/>
        </w:rPr>
        <w:t>其他</w:t>
      </w:r>
      <w:r>
        <w:rPr>
          <w:rFonts w:hint="eastAsia" w:ascii="仿宋" w:hAnsi="仿宋" w:eastAsia="仿宋" w:cs="仿宋"/>
          <w:color w:val="auto"/>
          <w:highlight w:val="none"/>
        </w:rPr>
        <w:t xml:space="preserve"> </w:t>
      </w:r>
    </w:p>
    <w:p w14:paraId="6B8CB3FD">
      <w:pPr>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r>
        <w:rPr>
          <w:rFonts w:hint="eastAsia" w:ascii="仿宋" w:hAnsi="仿宋" w:cs="仿宋"/>
          <w:color w:val="auto"/>
          <w:sz w:val="24"/>
          <w:szCs w:val="24"/>
          <w:highlight w:val="none"/>
          <w:lang w:val="en-US" w:eastAsia="zh-CN"/>
        </w:rPr>
        <w:t>4</w:t>
      </w:r>
      <w:r>
        <w:rPr>
          <w:rFonts w:hint="eastAsia" w:ascii="仿宋" w:hAnsi="仿宋" w:eastAsia="仿宋" w:cs="仿宋"/>
          <w:color w:val="auto"/>
          <w:sz w:val="24"/>
          <w:szCs w:val="24"/>
          <w:highlight w:val="none"/>
        </w:rPr>
        <w:t xml:space="preserve">.1 若双方未能解决该争议、分歧或索赔，甲乙双方任何一方可以向有管辖权的项目所在地人民法院提起诉讼。 </w:t>
      </w:r>
    </w:p>
    <w:p w14:paraId="1AA1F064">
      <w:pPr>
        <w:tabs>
          <w:tab w:val="left" w:pos="645"/>
        </w:tabs>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r>
        <w:rPr>
          <w:rFonts w:hint="eastAsia" w:ascii="仿宋" w:hAnsi="仿宋" w:cs="仿宋"/>
          <w:color w:val="auto"/>
          <w:sz w:val="24"/>
          <w:szCs w:val="24"/>
          <w:highlight w:val="none"/>
          <w:lang w:eastAsia="zh-CN"/>
        </w:rPr>
        <w:tab/>
      </w:r>
      <w:r>
        <w:rPr>
          <w:rFonts w:hint="eastAsia" w:ascii="仿宋" w:hAnsi="仿宋" w:cs="仿宋"/>
          <w:color w:val="auto"/>
          <w:sz w:val="24"/>
          <w:szCs w:val="24"/>
          <w:highlight w:val="none"/>
          <w:lang w:val="en-US" w:eastAsia="zh-CN"/>
        </w:rPr>
        <w:t>4</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rPr>
        <w:t xml:space="preserve">通知 </w:t>
      </w:r>
    </w:p>
    <w:p w14:paraId="72E0CB9E">
      <w:pPr>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本条款下的通知，通过专人递交、快递、邮寄、传真或电子邮件按下述地址送至或发至对方： </w:t>
      </w:r>
    </w:p>
    <w:p w14:paraId="7B5CB3FF">
      <w:pPr>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发包人</w:t>
      </w:r>
      <w:r>
        <w:rPr>
          <w:rFonts w:hint="eastAsia" w:ascii="仿宋" w:hAnsi="仿宋" w:eastAsia="仿宋" w:cs="仿宋"/>
          <w:color w:val="auto"/>
          <w:sz w:val="24"/>
          <w:szCs w:val="24"/>
          <w:highlight w:val="none"/>
        </w:rPr>
        <w:t xml:space="preserve">： </w:t>
      </w:r>
    </w:p>
    <w:p w14:paraId="71B71DA0">
      <w:pPr>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地址： </w:t>
      </w:r>
    </w:p>
    <w:p w14:paraId="5BC74CBE">
      <w:pPr>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邮编： </w:t>
      </w:r>
    </w:p>
    <w:p w14:paraId="4DADEA2E">
      <w:pPr>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收件人： </w:t>
      </w:r>
    </w:p>
    <w:p w14:paraId="5AA470FC">
      <w:pPr>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传真： </w:t>
      </w:r>
    </w:p>
    <w:p w14:paraId="189B330D">
      <w:pPr>
        <w:spacing w:line="360" w:lineRule="auto"/>
        <w:ind w:firstLine="480" w:firstLineChars="200"/>
        <w:jc w:val="left"/>
        <w:rPr>
          <w:rFonts w:hint="eastAsia" w:ascii="仿宋" w:hAnsi="仿宋" w:eastAsia="仿宋" w:cs="仿宋"/>
          <w:color w:val="auto"/>
          <w:sz w:val="24"/>
          <w:szCs w:val="24"/>
          <w:highlight w:val="none"/>
        </w:rPr>
      </w:pPr>
    </w:p>
    <w:p w14:paraId="4501FFD0">
      <w:pPr>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承包人</w:t>
      </w:r>
      <w:r>
        <w:rPr>
          <w:rFonts w:hint="eastAsia" w:ascii="仿宋" w:hAnsi="仿宋" w:eastAsia="仿宋" w:cs="仿宋"/>
          <w:color w:val="auto"/>
          <w:sz w:val="24"/>
          <w:szCs w:val="24"/>
          <w:highlight w:val="none"/>
        </w:rPr>
        <w:t xml:space="preserve">： </w:t>
      </w:r>
    </w:p>
    <w:p w14:paraId="24C4F811">
      <w:pPr>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地址： </w:t>
      </w:r>
    </w:p>
    <w:p w14:paraId="58891737">
      <w:pPr>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邮编： </w:t>
      </w:r>
    </w:p>
    <w:p w14:paraId="3FBA8AAC">
      <w:pPr>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收件人： </w:t>
      </w:r>
    </w:p>
    <w:p w14:paraId="1F65C9D0">
      <w:pPr>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传真： </w:t>
      </w:r>
    </w:p>
    <w:p w14:paraId="06B5171D">
      <w:pPr>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一方的收件人地址、电传传真号码或电子邮箱若有变更应及时以书面形式通知另一方。下述情况应视为已送达： </w:t>
      </w:r>
    </w:p>
    <w:p w14:paraId="730DA4BB">
      <w:pPr>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（1）如用信件进行任何通讯，在由专人递交、快递或邮寄方式（挂号、要求回执） 发送至上述地址时。 </w:t>
      </w:r>
    </w:p>
    <w:p w14:paraId="79398A13">
      <w:pPr>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（2）如用传真或电子邮件形式，在准确发送至上述传真号码或电子邮箱时。 </w:t>
      </w:r>
    </w:p>
    <w:p w14:paraId="32F21AFD">
      <w:pPr>
        <w:pStyle w:val="2"/>
        <w:jc w:val="left"/>
        <w:rPr>
          <w:rFonts w:hint="eastAsia" w:ascii="仿宋" w:hAnsi="仿宋" w:eastAsia="仿宋" w:cs="仿宋"/>
          <w:color w:val="auto"/>
          <w:highlight w:val="none"/>
          <w:lang w:eastAsia="zh-CN"/>
        </w:rPr>
      </w:pPr>
    </w:p>
    <w:p w14:paraId="004FCB6B">
      <w:pPr>
        <w:jc w:val="left"/>
        <w:rPr>
          <w:rFonts w:hint="eastAsia" w:ascii="仿宋" w:hAnsi="仿宋" w:eastAsia="仿宋" w:cs="仿宋"/>
          <w:color w:val="auto"/>
          <w:highlight w:val="none"/>
          <w:lang w:eastAsia="zh-CN"/>
        </w:rPr>
      </w:pPr>
    </w:p>
    <w:p w14:paraId="18366704">
      <w:pPr>
        <w:keepNext w:val="0"/>
        <w:keepLines w:val="0"/>
        <w:pageBreakBefore w:val="0"/>
        <w:widowControl/>
        <w:kinsoku/>
        <w:wordWrap/>
        <w:overflowPunct/>
        <w:topLinePunct w:val="0"/>
        <w:autoSpaceDE/>
        <w:autoSpaceDN/>
        <w:bidi w:val="0"/>
        <w:adjustRightInd/>
        <w:snapToGrid/>
        <w:spacing w:line="480" w:lineRule="auto"/>
        <w:ind w:firstLine="1200" w:firstLineChars="5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发包人：                               承包人：                      </w:t>
      </w:r>
    </w:p>
    <w:p w14:paraId="04F2A42D">
      <w:pPr>
        <w:keepNext w:val="0"/>
        <w:keepLines w:val="0"/>
        <w:pageBreakBefore w:val="0"/>
        <w:widowControl/>
        <w:kinsoku/>
        <w:wordWrap/>
        <w:overflowPunct/>
        <w:topLinePunct w:val="0"/>
        <w:autoSpaceDE/>
        <w:autoSpaceDN/>
        <w:bidi w:val="0"/>
        <w:adjustRightInd/>
        <w:snapToGrid/>
        <w:spacing w:line="480" w:lineRule="auto"/>
        <w:ind w:left="0" w:leftChars="0" w:firstLine="960" w:firstLineChars="4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（盖章）                               （联合体</w:t>
      </w:r>
      <w:r>
        <w:rPr>
          <w:rFonts w:hint="eastAsia" w:ascii="仿宋" w:hAnsi="仿宋" w:eastAsia="仿宋" w:cs="仿宋"/>
          <w:color w:val="auto"/>
          <w:sz w:val="24"/>
          <w:szCs w:val="24"/>
          <w:highlight w:val="none"/>
          <w:lang w:val="en-US" w:eastAsia="zh-CN"/>
        </w:rPr>
        <w:t>运营</w:t>
      </w:r>
      <w:r>
        <w:rPr>
          <w:rFonts w:hint="eastAsia" w:ascii="仿宋" w:hAnsi="仿宋" w:eastAsia="仿宋" w:cs="仿宋"/>
          <w:color w:val="auto"/>
          <w:sz w:val="24"/>
          <w:szCs w:val="24"/>
          <w:highlight w:val="none"/>
        </w:rPr>
        <w:t>单位）：（盖章）</w:t>
      </w:r>
    </w:p>
    <w:p w14:paraId="7696D7CD">
      <w:pPr>
        <w:keepNext w:val="0"/>
        <w:keepLines w:val="0"/>
        <w:pageBreakBefore w:val="0"/>
        <w:widowControl/>
        <w:kinsoku/>
        <w:wordWrap/>
        <w:overflowPunct/>
        <w:topLinePunct w:val="0"/>
        <w:autoSpaceDE/>
        <w:autoSpaceDN/>
        <w:bidi w:val="0"/>
        <w:adjustRightInd/>
        <w:snapToGrid/>
        <w:spacing w:line="480" w:lineRule="auto"/>
        <w:ind w:left="0" w:leftChars="0" w:firstLine="1080" w:firstLineChars="45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统一社会信用代码：                     统一社会信用代码：            </w:t>
      </w:r>
    </w:p>
    <w:p w14:paraId="453568F5">
      <w:pPr>
        <w:keepNext w:val="0"/>
        <w:keepLines w:val="0"/>
        <w:pageBreakBefore w:val="0"/>
        <w:widowControl/>
        <w:kinsoku/>
        <w:wordWrap/>
        <w:overflowPunct/>
        <w:topLinePunct w:val="0"/>
        <w:autoSpaceDE/>
        <w:autoSpaceDN/>
        <w:bidi w:val="0"/>
        <w:adjustRightInd/>
        <w:snapToGrid/>
        <w:spacing w:line="480" w:lineRule="auto"/>
        <w:ind w:left="0" w:leftChars="0" w:firstLine="1080" w:firstLineChars="45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地      址：                           地      址：              </w:t>
      </w:r>
    </w:p>
    <w:p w14:paraId="4F5DFDA9">
      <w:pPr>
        <w:keepNext w:val="0"/>
        <w:keepLines w:val="0"/>
        <w:pageBreakBefore w:val="0"/>
        <w:widowControl/>
        <w:kinsoku/>
        <w:wordWrap/>
        <w:overflowPunct/>
        <w:topLinePunct w:val="0"/>
        <w:autoSpaceDE/>
        <w:autoSpaceDN/>
        <w:bidi w:val="0"/>
        <w:adjustRightInd/>
        <w:snapToGrid/>
        <w:spacing w:line="480" w:lineRule="auto"/>
        <w:ind w:left="0" w:leftChars="0" w:firstLine="1080" w:firstLineChars="45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法定代表人：                           法定代表人：</w:t>
      </w:r>
    </w:p>
    <w:p w14:paraId="2F4471E5">
      <w:pPr>
        <w:keepNext w:val="0"/>
        <w:keepLines w:val="0"/>
        <w:pageBreakBefore w:val="0"/>
        <w:widowControl/>
        <w:kinsoku/>
        <w:wordWrap/>
        <w:overflowPunct/>
        <w:topLinePunct w:val="0"/>
        <w:autoSpaceDE/>
        <w:autoSpaceDN/>
        <w:bidi w:val="0"/>
        <w:adjustRightInd/>
        <w:snapToGrid/>
        <w:spacing w:line="480" w:lineRule="auto"/>
        <w:ind w:left="0" w:leftChars="0" w:firstLine="1080" w:firstLineChars="45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委托代理人：                           委托代理人：</w:t>
      </w:r>
    </w:p>
    <w:p w14:paraId="6A8DBCF6">
      <w:pPr>
        <w:keepNext w:val="0"/>
        <w:keepLines w:val="0"/>
        <w:pageBreakBefore w:val="0"/>
        <w:widowControl/>
        <w:kinsoku/>
        <w:wordWrap/>
        <w:overflowPunct/>
        <w:topLinePunct w:val="0"/>
        <w:autoSpaceDE/>
        <w:autoSpaceDN/>
        <w:bidi w:val="0"/>
        <w:adjustRightInd/>
        <w:snapToGrid/>
        <w:spacing w:line="480" w:lineRule="auto"/>
        <w:ind w:left="0" w:leftChars="0" w:firstLine="1080" w:firstLineChars="45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电    话：                             电    话：              </w:t>
      </w:r>
    </w:p>
    <w:p w14:paraId="1458D0CE">
      <w:pPr>
        <w:keepNext w:val="0"/>
        <w:keepLines w:val="0"/>
        <w:pageBreakBefore w:val="0"/>
        <w:widowControl/>
        <w:kinsoku/>
        <w:wordWrap/>
        <w:overflowPunct/>
        <w:topLinePunct w:val="0"/>
        <w:autoSpaceDE/>
        <w:autoSpaceDN/>
        <w:bidi w:val="0"/>
        <w:adjustRightInd/>
        <w:snapToGrid/>
        <w:spacing w:line="480" w:lineRule="auto"/>
        <w:ind w:left="0" w:leftChars="0" w:firstLine="1080" w:firstLineChars="45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传    真：                             传    真：                 </w:t>
      </w:r>
    </w:p>
    <w:p w14:paraId="07DC090C">
      <w:pPr>
        <w:keepNext w:val="0"/>
        <w:keepLines w:val="0"/>
        <w:pageBreakBefore w:val="0"/>
        <w:widowControl/>
        <w:kinsoku/>
        <w:wordWrap/>
        <w:overflowPunct/>
        <w:topLinePunct w:val="0"/>
        <w:autoSpaceDE/>
        <w:autoSpaceDN/>
        <w:bidi w:val="0"/>
        <w:adjustRightInd/>
        <w:snapToGrid/>
        <w:spacing w:line="480" w:lineRule="auto"/>
        <w:ind w:left="0" w:leftChars="0" w:firstLine="1080" w:firstLineChars="45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开户银行：                             开户银行：</w:t>
      </w:r>
    </w:p>
    <w:p w14:paraId="3035BB16">
      <w:pPr>
        <w:keepNext w:val="0"/>
        <w:keepLines w:val="0"/>
        <w:pageBreakBefore w:val="0"/>
        <w:widowControl/>
        <w:kinsoku/>
        <w:wordWrap/>
        <w:overflowPunct/>
        <w:topLinePunct w:val="0"/>
        <w:autoSpaceDE/>
        <w:autoSpaceDN/>
        <w:bidi w:val="0"/>
        <w:adjustRightInd/>
        <w:snapToGrid/>
        <w:spacing w:line="480" w:lineRule="auto"/>
        <w:ind w:left="0" w:leftChars="0" w:firstLine="1080" w:firstLineChars="45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帐    号：                             帐    号：</w:t>
      </w:r>
    </w:p>
    <w:p w14:paraId="457DBC6F">
      <w:pPr>
        <w:keepNext w:val="0"/>
        <w:keepLines w:val="0"/>
        <w:pageBreakBefore w:val="0"/>
        <w:widowControl/>
        <w:kinsoku/>
        <w:wordWrap/>
        <w:overflowPunct/>
        <w:topLinePunct w:val="0"/>
        <w:autoSpaceDE/>
        <w:autoSpaceDN/>
        <w:bidi w:val="0"/>
        <w:adjustRightInd/>
        <w:snapToGrid/>
        <w:spacing w:line="480" w:lineRule="auto"/>
        <w:ind w:left="0" w:leftChars="0" w:firstLine="1080" w:firstLineChars="45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邮政编码：                             邮政编码：</w:t>
      </w:r>
    </w:p>
    <w:p w14:paraId="5ECC5866">
      <w:pPr>
        <w:keepNext w:val="0"/>
        <w:keepLines w:val="0"/>
        <w:pageBreakBefore w:val="0"/>
        <w:widowControl/>
        <w:kinsoku/>
        <w:wordWrap/>
        <w:overflowPunct/>
        <w:topLinePunct w:val="0"/>
        <w:autoSpaceDE/>
        <w:autoSpaceDN/>
        <w:bidi w:val="0"/>
        <w:adjustRightInd/>
        <w:snapToGrid/>
        <w:spacing w:line="480" w:lineRule="auto"/>
        <w:ind w:left="0" w:leftChars="0" w:firstLine="1080" w:firstLineChars="45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电子邮箱：                             电子邮箱：</w:t>
      </w:r>
    </w:p>
    <w:p w14:paraId="6C7E2FE5">
      <w:pPr>
        <w:jc w:val="left"/>
        <w:rPr>
          <w:rFonts w:hint="eastAsia" w:ascii="仿宋" w:hAnsi="仿宋" w:eastAsia="仿宋" w:cs="仿宋"/>
          <w:color w:val="auto"/>
          <w:highlight w:val="none"/>
          <w:lang w:eastAsia="zh-CN"/>
        </w:rPr>
      </w:pPr>
    </w:p>
    <w:p w14:paraId="0EDD5A90">
      <w:pPr>
        <w:bidi w:val="0"/>
        <w:jc w:val="left"/>
        <w:rPr>
          <w:rFonts w:hint="eastAsia" w:ascii="仿宋" w:hAnsi="仿宋" w:eastAsia="仿宋" w:cs="仿宋"/>
          <w:color w:val="auto"/>
          <w:highlight w:val="none"/>
          <w:lang w:val="en-US" w:eastAsia="zh-CN"/>
        </w:rPr>
      </w:pPr>
      <w:bookmarkStart w:id="773" w:name="_Toc28993"/>
      <w:r>
        <w:rPr>
          <w:rFonts w:hint="eastAsia" w:ascii="仿宋" w:hAnsi="仿宋" w:eastAsia="仿宋" w:cs="仿宋"/>
          <w:color w:val="auto"/>
          <w:highlight w:val="none"/>
          <w:lang w:val="en-US" w:eastAsia="zh-CN"/>
        </w:rPr>
        <w:br w:type="page"/>
      </w:r>
    </w:p>
    <w:bookmarkEnd w:id="773"/>
    <w:p w14:paraId="52A15AFA">
      <w:pPr>
        <w:bidi w:val="0"/>
        <w:jc w:val="left"/>
        <w:rPr>
          <w:rFonts w:hint="eastAsia" w:ascii="仿宋" w:hAnsi="仿宋" w:eastAsia="仿宋" w:cs="仿宋"/>
          <w:color w:val="auto"/>
          <w:highlight w:val="none"/>
          <w:lang w:val="en-US" w:eastAsia="zh-CN"/>
        </w:rPr>
      </w:pPr>
      <w:bookmarkStart w:id="774" w:name="_Toc14153"/>
      <w:r>
        <w:rPr>
          <w:rFonts w:hint="eastAsia" w:ascii="仿宋" w:hAnsi="仿宋" w:eastAsia="仿宋" w:cs="仿宋"/>
          <w:color w:val="auto"/>
          <w:highlight w:val="none"/>
          <w:lang w:val="en-US" w:eastAsia="zh-CN"/>
        </w:rPr>
        <w:t>附件</w:t>
      </w:r>
      <w:r>
        <w:rPr>
          <w:rFonts w:hint="eastAsia" w:ascii="仿宋" w:hAnsi="仿宋" w:cs="仿宋"/>
          <w:color w:val="auto"/>
          <w:highlight w:val="none"/>
          <w:lang w:val="en-US" w:eastAsia="zh-CN"/>
        </w:rPr>
        <w:t>1</w:t>
      </w:r>
      <w:r>
        <w:rPr>
          <w:rFonts w:hint="eastAsia" w:ascii="仿宋" w:hAnsi="仿宋" w:eastAsia="仿宋" w:cs="仿宋"/>
          <w:color w:val="auto"/>
          <w:highlight w:val="none"/>
          <w:lang w:val="en-US" w:eastAsia="zh-CN"/>
        </w:rPr>
        <w:t>：</w:t>
      </w:r>
      <w:bookmarkEnd w:id="774"/>
    </w:p>
    <w:p w14:paraId="4E3A147C">
      <w:pPr>
        <w:spacing w:line="360" w:lineRule="auto"/>
        <w:ind w:firstLine="480" w:firstLineChars="20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履约担保</w:t>
      </w:r>
    </w:p>
    <w:p w14:paraId="27068E5F">
      <w:pPr>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u w:val="single"/>
        </w:rPr>
        <w:tab/>
      </w:r>
      <w:r>
        <w:rPr>
          <w:rFonts w:hint="eastAsia" w:ascii="仿宋" w:hAnsi="仿宋" w:eastAsia="仿宋" w:cs="仿宋"/>
          <w:color w:val="auto"/>
          <w:sz w:val="24"/>
          <w:szCs w:val="24"/>
          <w:highlight w:val="none"/>
        </w:rPr>
        <w:t>（发包人名称）：</w:t>
      </w:r>
    </w:p>
    <w:p w14:paraId="30883CD4">
      <w:pPr>
        <w:spacing w:line="360" w:lineRule="auto"/>
        <w:ind w:firstLine="480" w:firstLineChars="200"/>
        <w:jc w:val="left"/>
        <w:rPr>
          <w:rFonts w:hint="eastAsia" w:ascii="仿宋" w:hAnsi="仿宋" w:eastAsia="仿宋" w:cs="仿宋"/>
          <w:color w:val="auto"/>
          <w:sz w:val="24"/>
          <w:szCs w:val="24"/>
          <w:highlight w:val="none"/>
        </w:rPr>
      </w:pPr>
    </w:p>
    <w:p w14:paraId="607CE531">
      <w:pPr>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鉴于</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（发包人名称，以下简称“发包人”）与</w:t>
      </w:r>
    </w:p>
    <w:p w14:paraId="3C1349E7">
      <w:pPr>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（承包人名称）（以下称“承包人”）于</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年</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月</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日就</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 xml:space="preserve">（工程名称）施工及有关事项协商一致共同签订《建设工程施工合同》。我方愿意无条件地、不可撤销地就承包人履行与你方签订的合同，向你方提供连带责任担保。 </w:t>
      </w:r>
    </w:p>
    <w:p w14:paraId="56F77402">
      <w:pPr>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 担保金额人民币（大写）</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元（¥</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w:t>
      </w:r>
    </w:p>
    <w:p w14:paraId="5333A3F1">
      <w:pPr>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 担保有效期自你方与承包人签订的合同生效之日起至你方签发或应签发工程接收证书之日止。</w:t>
      </w:r>
    </w:p>
    <w:p w14:paraId="62B3F435">
      <w:pPr>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 在本担保有效期内，因承包人违反合同约定的义务给你方造成经济损失时，我方在收到你方以书面形式提出的在担保金额内的赔偿要求后，在7天内无条件支付。</w:t>
      </w:r>
    </w:p>
    <w:p w14:paraId="0AB6C915">
      <w:pPr>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 你方和承包人按合同约定变更合同时，我方承担本担保规定的义务不变。</w:t>
      </w:r>
    </w:p>
    <w:p w14:paraId="6E2190E7">
      <w:pPr>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 因本保函发生的纠纷，可由双方协商解决，协商不成的，任何一方均可提请</w:t>
      </w:r>
      <w:r>
        <w:rPr>
          <w:rFonts w:hint="eastAsia" w:ascii="仿宋" w:hAnsi="仿宋" w:eastAsia="仿宋" w:cs="仿宋"/>
          <w:color w:val="auto"/>
          <w:sz w:val="24"/>
          <w:szCs w:val="24"/>
          <w:highlight w:val="none"/>
          <w:u w:val="single"/>
        </w:rPr>
        <w:t xml:space="preserve">        人民法院诉讼解决</w:t>
      </w:r>
      <w:r>
        <w:rPr>
          <w:rFonts w:hint="eastAsia" w:ascii="仿宋" w:hAnsi="仿宋" w:eastAsia="仿宋" w:cs="仿宋"/>
          <w:color w:val="auto"/>
          <w:sz w:val="24"/>
          <w:szCs w:val="24"/>
          <w:highlight w:val="none"/>
        </w:rPr>
        <w:t>。</w:t>
      </w:r>
    </w:p>
    <w:p w14:paraId="1B573EBC">
      <w:pPr>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 本保函自我方法定代表人（或其授权代理人）签字并加盖公章之日起生效。</w:t>
      </w:r>
    </w:p>
    <w:p w14:paraId="72FE9362">
      <w:pPr>
        <w:spacing w:line="360" w:lineRule="auto"/>
        <w:ind w:firstLine="480" w:firstLineChars="200"/>
        <w:jc w:val="left"/>
        <w:rPr>
          <w:rFonts w:hint="eastAsia" w:ascii="仿宋" w:hAnsi="仿宋" w:eastAsia="仿宋" w:cs="仿宋"/>
          <w:color w:val="auto"/>
          <w:sz w:val="24"/>
          <w:szCs w:val="24"/>
          <w:highlight w:val="none"/>
        </w:rPr>
      </w:pPr>
    </w:p>
    <w:p w14:paraId="37420311">
      <w:pPr>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担 保 人：</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（盖单位章）</w:t>
      </w:r>
    </w:p>
    <w:p w14:paraId="3640D5C2">
      <w:pPr>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法定代表人或其委托代理人：</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（签字）</w:t>
      </w:r>
    </w:p>
    <w:p w14:paraId="36D54C4B">
      <w:pPr>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地    址：</w:t>
      </w:r>
      <w:r>
        <w:rPr>
          <w:rFonts w:hint="eastAsia" w:ascii="仿宋" w:hAnsi="仿宋" w:eastAsia="仿宋" w:cs="仿宋"/>
          <w:color w:val="auto"/>
          <w:sz w:val="24"/>
          <w:szCs w:val="24"/>
          <w:highlight w:val="none"/>
          <w:u w:val="single"/>
        </w:rPr>
        <w:t xml:space="preserve">                                      </w:t>
      </w:r>
    </w:p>
    <w:p w14:paraId="4420B25A">
      <w:pPr>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邮政编码：</w:t>
      </w:r>
      <w:r>
        <w:rPr>
          <w:rFonts w:hint="eastAsia" w:ascii="仿宋" w:hAnsi="仿宋" w:eastAsia="仿宋" w:cs="仿宋"/>
          <w:color w:val="auto"/>
          <w:sz w:val="24"/>
          <w:szCs w:val="24"/>
          <w:highlight w:val="none"/>
          <w:u w:val="single"/>
        </w:rPr>
        <w:t xml:space="preserve">                                      </w:t>
      </w:r>
    </w:p>
    <w:p w14:paraId="52F0F446">
      <w:pPr>
        <w:spacing w:line="360" w:lineRule="auto"/>
        <w:ind w:firstLine="480" w:firstLineChars="200"/>
        <w:jc w:val="left"/>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rPr>
        <w:t>电    话：</w:t>
      </w:r>
      <w:r>
        <w:rPr>
          <w:rFonts w:hint="eastAsia" w:ascii="仿宋" w:hAnsi="仿宋" w:eastAsia="仿宋" w:cs="仿宋"/>
          <w:color w:val="auto"/>
          <w:sz w:val="24"/>
          <w:szCs w:val="24"/>
          <w:highlight w:val="none"/>
          <w:u w:val="single"/>
        </w:rPr>
        <w:t xml:space="preserve">                                      </w:t>
      </w:r>
    </w:p>
    <w:p w14:paraId="425AAAF8">
      <w:pPr>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传    真：</w:t>
      </w:r>
      <w:r>
        <w:rPr>
          <w:rFonts w:hint="eastAsia" w:ascii="仿宋" w:hAnsi="仿宋" w:eastAsia="仿宋" w:cs="仿宋"/>
          <w:color w:val="auto"/>
          <w:sz w:val="24"/>
          <w:szCs w:val="24"/>
          <w:highlight w:val="none"/>
          <w:u w:val="single"/>
        </w:rPr>
        <w:t xml:space="preserve">                                      </w:t>
      </w:r>
    </w:p>
    <w:p w14:paraId="5CE3EA26">
      <w:pPr>
        <w:spacing w:line="360" w:lineRule="auto"/>
        <w:ind w:firstLine="480" w:firstLineChars="200"/>
        <w:jc w:val="left"/>
        <w:rPr>
          <w:rFonts w:hint="eastAsia" w:ascii="仿宋" w:hAnsi="仿宋" w:eastAsia="仿宋" w:cs="仿宋"/>
          <w:color w:val="auto"/>
          <w:sz w:val="24"/>
          <w:szCs w:val="24"/>
          <w:highlight w:val="none"/>
          <w:u w:val="single"/>
        </w:rPr>
      </w:pPr>
    </w:p>
    <w:p w14:paraId="26CB4A8E">
      <w:pPr>
        <w:ind w:firstLine="0" w:firstLineChars="0"/>
        <w:jc w:val="righ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年</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月</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日</w:t>
      </w:r>
    </w:p>
    <w:p w14:paraId="40992F1B">
      <w:pPr>
        <w:pStyle w:val="2"/>
        <w:rPr>
          <w:rFonts w:hint="eastAsia" w:ascii="仿宋" w:hAnsi="仿宋" w:eastAsia="仿宋" w:cs="仿宋"/>
          <w:color w:val="auto"/>
          <w:sz w:val="24"/>
          <w:szCs w:val="24"/>
          <w:highlight w:val="none"/>
        </w:rPr>
      </w:pPr>
    </w:p>
    <w:p w14:paraId="4C36447E">
      <w:pPr>
        <w:rPr>
          <w:rFonts w:hint="default" w:eastAsia="仿宋"/>
          <w:color w:val="auto"/>
          <w:highlight w:val="none"/>
          <w:lang w:val="en-US" w:eastAsia="zh-CN"/>
        </w:rPr>
      </w:pPr>
      <w:r>
        <w:rPr>
          <w:rFonts w:hint="eastAsia" w:ascii="仿宋" w:hAnsi="仿宋" w:cs="仿宋"/>
          <w:color w:val="auto"/>
          <w:sz w:val="24"/>
          <w:szCs w:val="24"/>
          <w:highlight w:val="none"/>
          <w:lang w:val="en-US" w:eastAsia="zh-CN"/>
        </w:rPr>
        <w:t>注：具体以金融机构出具的履约担保格式为准。</w:t>
      </w:r>
    </w:p>
    <w:p w14:paraId="60B681CE">
      <w:pPr>
        <w:pStyle w:val="122"/>
        <w:spacing w:line="240" w:lineRule="auto"/>
        <w:rPr>
          <w:color w:val="auto"/>
          <w:sz w:val="22"/>
          <w:szCs w:val="22"/>
          <w:highlight w:val="none"/>
        </w:rPr>
      </w:pPr>
      <w:bookmarkStart w:id="775" w:name="_Toc256000101"/>
      <w:bookmarkStart w:id="776" w:name="_Toc256000071"/>
      <w:bookmarkStart w:id="777" w:name="_Toc256000094"/>
      <w:r>
        <w:rPr>
          <w:color w:val="auto"/>
          <w:sz w:val="22"/>
          <w:szCs w:val="22"/>
          <w:highlight w:val="none"/>
        </w:rPr>
        <w:t>附</w:t>
      </w:r>
      <w:bookmarkStart w:id="778" w:name="_Toc296347225"/>
      <w:bookmarkStart w:id="779" w:name="_Toc296503226"/>
      <w:bookmarkStart w:id="780" w:name="_Toc296346727"/>
      <w:bookmarkStart w:id="781" w:name="_Toc296944565"/>
      <w:bookmarkStart w:id="782" w:name="_Toc296891054"/>
      <w:bookmarkStart w:id="783" w:name="_Toc267261693"/>
      <w:bookmarkStart w:id="784" w:name="_Toc296891266"/>
      <w:r>
        <w:rPr>
          <w:color w:val="auto"/>
          <w:sz w:val="22"/>
          <w:szCs w:val="22"/>
          <w:highlight w:val="none"/>
        </w:rPr>
        <w:t>件</w:t>
      </w:r>
      <w:r>
        <w:rPr>
          <w:rFonts w:hint="eastAsia"/>
          <w:color w:val="auto"/>
          <w:sz w:val="22"/>
          <w:szCs w:val="22"/>
          <w:highlight w:val="none"/>
          <w:lang w:val="en-US" w:eastAsia="zh-CN"/>
        </w:rPr>
        <w:t>2</w:t>
      </w:r>
      <w:r>
        <w:rPr>
          <w:color w:val="auto"/>
          <w:sz w:val="22"/>
          <w:szCs w:val="22"/>
          <w:highlight w:val="none"/>
        </w:rPr>
        <w:t>：</w:t>
      </w:r>
      <w:bookmarkEnd w:id="775"/>
      <w:bookmarkEnd w:id="776"/>
      <w:bookmarkEnd w:id="777"/>
      <w:bookmarkEnd w:id="778"/>
      <w:bookmarkEnd w:id="779"/>
      <w:bookmarkEnd w:id="780"/>
      <w:bookmarkEnd w:id="781"/>
      <w:bookmarkEnd w:id="782"/>
      <w:bookmarkEnd w:id="783"/>
      <w:bookmarkEnd w:id="784"/>
    </w:p>
    <w:p w14:paraId="64363E10">
      <w:pPr>
        <w:pStyle w:val="123"/>
        <w:spacing w:before="156" w:beforeLines="50" w:after="156" w:afterLines="50"/>
        <w:jc w:val="center"/>
        <w:rPr>
          <w:rFonts w:eastAsia="黑体"/>
          <w:color w:val="auto"/>
          <w:sz w:val="28"/>
          <w:szCs w:val="28"/>
          <w:highlight w:val="none"/>
        </w:rPr>
      </w:pPr>
      <w:r>
        <w:rPr>
          <w:rFonts w:eastAsia="黑体"/>
          <w:color w:val="auto"/>
          <w:sz w:val="28"/>
          <w:szCs w:val="28"/>
          <w:highlight w:val="none"/>
        </w:rPr>
        <w:t>工程质量保修书</w:t>
      </w:r>
    </w:p>
    <w:p w14:paraId="3B873673">
      <w:pPr>
        <w:pStyle w:val="123"/>
        <w:ind w:firstLine="480" w:firstLineChars="200"/>
        <w:rPr>
          <w:rFonts w:eastAsia="仿宋_GB2312"/>
          <w:color w:val="auto"/>
          <w:sz w:val="24"/>
          <w:szCs w:val="24"/>
          <w:highlight w:val="none"/>
        </w:rPr>
      </w:pPr>
      <w:r>
        <w:rPr>
          <w:rFonts w:eastAsia="仿宋_GB2312"/>
          <w:color w:val="auto"/>
          <w:sz w:val="24"/>
          <w:szCs w:val="24"/>
          <w:highlight w:val="none"/>
        </w:rPr>
        <w:t>发包人（全称）</w:t>
      </w:r>
      <w:r>
        <w:rPr>
          <w:rFonts w:hint="eastAsia" w:eastAsia="仿宋_GB2312"/>
          <w:color w:val="auto"/>
          <w:sz w:val="24"/>
          <w:szCs w:val="24"/>
          <w:highlight w:val="none"/>
          <w:u w:val="single"/>
        </w:rPr>
        <w:t xml:space="preserve">               </w:t>
      </w:r>
      <w:r>
        <w:rPr>
          <w:rFonts w:eastAsia="仿宋_GB2312"/>
          <w:color w:val="auto"/>
          <w:sz w:val="24"/>
          <w:szCs w:val="24"/>
          <w:highlight w:val="none"/>
        </w:rPr>
        <w:t>：</w:t>
      </w:r>
    </w:p>
    <w:p w14:paraId="36878C43">
      <w:pPr>
        <w:pStyle w:val="123"/>
        <w:rPr>
          <w:rFonts w:eastAsia="仿宋_GB2312"/>
          <w:color w:val="auto"/>
          <w:sz w:val="24"/>
          <w:szCs w:val="24"/>
          <w:highlight w:val="none"/>
        </w:rPr>
      </w:pPr>
      <w:r>
        <w:rPr>
          <w:rFonts w:eastAsia="仿宋_GB2312"/>
          <w:color w:val="auto"/>
          <w:sz w:val="24"/>
          <w:szCs w:val="24"/>
          <w:highlight w:val="none"/>
        </w:rPr>
        <w:t>　　承包人（全称）</w:t>
      </w:r>
      <w:r>
        <w:rPr>
          <w:rFonts w:hint="eastAsia" w:eastAsia="仿宋_GB2312"/>
          <w:color w:val="auto"/>
          <w:sz w:val="24"/>
          <w:szCs w:val="24"/>
          <w:highlight w:val="none"/>
          <w:u w:val="single"/>
        </w:rPr>
        <w:t xml:space="preserve">               </w:t>
      </w:r>
      <w:r>
        <w:rPr>
          <w:rFonts w:eastAsia="仿宋_GB2312"/>
          <w:color w:val="auto"/>
          <w:sz w:val="24"/>
          <w:szCs w:val="24"/>
          <w:highlight w:val="none"/>
        </w:rPr>
        <w:t>：</w:t>
      </w:r>
    </w:p>
    <w:p w14:paraId="03332C6A">
      <w:pPr>
        <w:pStyle w:val="123"/>
        <w:rPr>
          <w:rFonts w:eastAsia="仿宋_GB2312"/>
          <w:color w:val="auto"/>
          <w:sz w:val="24"/>
          <w:szCs w:val="24"/>
          <w:highlight w:val="none"/>
        </w:rPr>
      </w:pPr>
    </w:p>
    <w:p w14:paraId="35FFEC4D">
      <w:pPr>
        <w:pStyle w:val="123"/>
        <w:rPr>
          <w:rFonts w:eastAsia="仿宋_GB2312"/>
          <w:color w:val="auto"/>
          <w:sz w:val="24"/>
          <w:szCs w:val="24"/>
          <w:highlight w:val="none"/>
        </w:rPr>
      </w:pPr>
      <w:r>
        <w:rPr>
          <w:rFonts w:eastAsia="仿宋_GB2312"/>
          <w:color w:val="auto"/>
          <w:sz w:val="24"/>
          <w:szCs w:val="24"/>
          <w:highlight w:val="none"/>
        </w:rPr>
        <w:t>　　发包人和承包人根据《中华人民共和国建筑法》和《建设工程质量管理条例》，经协商一致就</w:t>
      </w:r>
      <w:r>
        <w:rPr>
          <w:rFonts w:hint="eastAsia" w:eastAsia="仿宋_GB2312"/>
          <w:color w:val="auto"/>
          <w:sz w:val="24"/>
          <w:szCs w:val="24"/>
          <w:highlight w:val="none"/>
          <w:u w:val="single"/>
        </w:rPr>
        <w:t xml:space="preserve">               </w:t>
      </w:r>
      <w:r>
        <w:rPr>
          <w:rFonts w:eastAsia="仿宋_GB2312"/>
          <w:color w:val="auto"/>
          <w:sz w:val="24"/>
          <w:szCs w:val="24"/>
          <w:highlight w:val="none"/>
        </w:rPr>
        <w:t>（工程全称）签订工程质量保修书。</w:t>
      </w:r>
    </w:p>
    <w:p w14:paraId="2EDAB2D2">
      <w:pPr>
        <w:pStyle w:val="123"/>
        <w:spacing w:before="156" w:beforeLines="50" w:after="156" w:afterLines="50"/>
        <w:jc w:val="left"/>
        <w:rPr>
          <w:rFonts w:eastAsia="黑体"/>
          <w:color w:val="auto"/>
          <w:sz w:val="24"/>
          <w:szCs w:val="24"/>
          <w:highlight w:val="none"/>
        </w:rPr>
      </w:pPr>
      <w:r>
        <w:rPr>
          <w:rFonts w:eastAsia="黑体"/>
          <w:color w:val="auto"/>
          <w:sz w:val="24"/>
          <w:szCs w:val="24"/>
          <w:highlight w:val="none"/>
        </w:rPr>
        <w:t>　　一、工程质量保修范围和内容</w:t>
      </w:r>
    </w:p>
    <w:p w14:paraId="59D80A40">
      <w:pPr>
        <w:pStyle w:val="123"/>
        <w:rPr>
          <w:rFonts w:eastAsia="仿宋_GB2312"/>
          <w:color w:val="auto"/>
          <w:sz w:val="24"/>
          <w:szCs w:val="24"/>
          <w:highlight w:val="none"/>
        </w:rPr>
      </w:pPr>
      <w:r>
        <w:rPr>
          <w:rFonts w:eastAsia="仿宋_GB2312"/>
          <w:color w:val="auto"/>
          <w:sz w:val="24"/>
          <w:szCs w:val="24"/>
          <w:highlight w:val="none"/>
        </w:rPr>
        <w:t>　　承包人在质量保修期内，按照有关法律规定和合同约定，承担工程质量保修责任。</w:t>
      </w:r>
    </w:p>
    <w:p w14:paraId="0EB21DB4">
      <w:pPr>
        <w:pStyle w:val="123"/>
        <w:rPr>
          <w:rFonts w:eastAsia="仿宋_GB2312"/>
          <w:color w:val="auto"/>
          <w:sz w:val="24"/>
          <w:szCs w:val="24"/>
          <w:highlight w:val="none"/>
        </w:rPr>
      </w:pPr>
      <w:r>
        <w:rPr>
          <w:rFonts w:eastAsia="仿宋_GB2312"/>
          <w:color w:val="auto"/>
          <w:sz w:val="24"/>
          <w:szCs w:val="24"/>
          <w:highlight w:val="none"/>
        </w:rPr>
        <w:t>　　质量保修范围包括地基基础工程、主体结构工程，屋面防水工程、有防水要求的卫生间、房间和外墙面的防渗漏，供热与供冷系统，电气管线、给排水管道、设备安装和装修工程，以及双方约定的其他项目。具体保修的内容，双方约定如下：</w:t>
      </w:r>
      <w:r>
        <w:rPr>
          <w:rFonts w:hint="eastAsia" w:eastAsia="仿宋_GB2312"/>
          <w:color w:val="auto"/>
          <w:sz w:val="24"/>
          <w:szCs w:val="24"/>
          <w:highlight w:val="none"/>
          <w:u w:val="single"/>
        </w:rPr>
        <w:t xml:space="preserve">                                                            </w:t>
      </w:r>
      <w:r>
        <w:rPr>
          <w:rFonts w:eastAsia="仿宋_GB2312"/>
          <w:color w:val="auto"/>
          <w:sz w:val="24"/>
          <w:szCs w:val="24"/>
          <w:highlight w:val="none"/>
        </w:rPr>
        <w:t>。</w:t>
      </w:r>
    </w:p>
    <w:p w14:paraId="43921739">
      <w:pPr>
        <w:pStyle w:val="123"/>
        <w:spacing w:before="156" w:beforeLines="50" w:after="156" w:afterLines="50"/>
        <w:jc w:val="left"/>
        <w:rPr>
          <w:rFonts w:eastAsia="黑体"/>
          <w:color w:val="auto"/>
          <w:sz w:val="24"/>
          <w:szCs w:val="24"/>
          <w:highlight w:val="none"/>
        </w:rPr>
      </w:pPr>
      <w:r>
        <w:rPr>
          <w:rFonts w:eastAsia="仿宋_GB2312"/>
          <w:b/>
          <w:color w:val="auto"/>
          <w:sz w:val="24"/>
          <w:szCs w:val="24"/>
          <w:highlight w:val="none"/>
        </w:rPr>
        <w:t>　</w:t>
      </w:r>
      <w:r>
        <w:rPr>
          <w:rFonts w:eastAsia="黑体"/>
          <w:color w:val="auto"/>
          <w:sz w:val="24"/>
          <w:szCs w:val="24"/>
          <w:highlight w:val="none"/>
        </w:rPr>
        <w:t>　二、质量保修期</w:t>
      </w:r>
    </w:p>
    <w:p w14:paraId="4A16DF7B">
      <w:pPr>
        <w:pStyle w:val="123"/>
        <w:ind w:firstLine="480" w:firstLineChars="200"/>
        <w:rPr>
          <w:rFonts w:eastAsia="仿宋_GB2312"/>
          <w:color w:val="auto"/>
          <w:sz w:val="24"/>
          <w:szCs w:val="24"/>
          <w:highlight w:val="none"/>
        </w:rPr>
      </w:pPr>
      <w:r>
        <w:rPr>
          <w:rFonts w:eastAsia="仿宋_GB2312"/>
          <w:color w:val="auto"/>
          <w:sz w:val="24"/>
          <w:szCs w:val="24"/>
          <w:highlight w:val="none"/>
        </w:rPr>
        <w:t>根据《建设工程质量管理条例》及有关规定，工程的质量保修期如下：</w:t>
      </w:r>
    </w:p>
    <w:p w14:paraId="300B31F6">
      <w:pPr>
        <w:pStyle w:val="123"/>
        <w:ind w:firstLine="480" w:firstLineChars="200"/>
        <w:rPr>
          <w:rFonts w:ascii="仿宋_GB2312" w:eastAsia="仿宋_GB2312"/>
          <w:color w:val="auto"/>
          <w:sz w:val="24"/>
          <w:szCs w:val="24"/>
          <w:highlight w:val="none"/>
        </w:rPr>
      </w:pPr>
      <w:r>
        <w:rPr>
          <w:rFonts w:hint="eastAsia" w:ascii="仿宋_GB2312" w:eastAsia="仿宋_GB2312"/>
          <w:color w:val="auto"/>
          <w:sz w:val="24"/>
          <w:szCs w:val="24"/>
          <w:highlight w:val="none"/>
        </w:rPr>
        <w:t>1</w:t>
      </w:r>
      <w:r>
        <w:rPr>
          <w:rFonts w:hint="eastAsia" w:eastAsia="仿宋_GB2312"/>
          <w:color w:val="auto"/>
          <w:sz w:val="24"/>
          <w:szCs w:val="24"/>
          <w:highlight w:val="none"/>
        </w:rPr>
        <w:t>．</w:t>
      </w:r>
      <w:r>
        <w:rPr>
          <w:rFonts w:hint="eastAsia" w:ascii="仿宋_GB2312" w:eastAsia="仿宋_GB2312"/>
          <w:color w:val="auto"/>
          <w:sz w:val="24"/>
          <w:szCs w:val="24"/>
          <w:highlight w:val="none"/>
        </w:rPr>
        <w:t>地基基础工程和主体结构工程为设计文件规定的工程合理使用年限；</w:t>
      </w:r>
    </w:p>
    <w:p w14:paraId="4F71549C">
      <w:pPr>
        <w:pStyle w:val="123"/>
        <w:ind w:firstLine="480" w:firstLineChars="200"/>
        <w:rPr>
          <w:rFonts w:eastAsia="仿宋_GB2312"/>
          <w:color w:val="auto"/>
          <w:sz w:val="24"/>
          <w:szCs w:val="24"/>
          <w:highlight w:val="none"/>
        </w:rPr>
      </w:pPr>
      <w:r>
        <w:rPr>
          <w:rFonts w:hint="eastAsia" w:eastAsia="仿宋_GB2312"/>
          <w:color w:val="auto"/>
          <w:sz w:val="24"/>
          <w:szCs w:val="24"/>
          <w:highlight w:val="none"/>
        </w:rPr>
        <w:t>2</w:t>
      </w:r>
      <w:r>
        <w:rPr>
          <w:rFonts w:hint="eastAsia" w:ascii="仿宋_GB2312" w:eastAsia="仿宋_GB2312"/>
          <w:color w:val="auto"/>
          <w:sz w:val="24"/>
          <w:szCs w:val="24"/>
          <w:highlight w:val="none"/>
        </w:rPr>
        <w:t>．</w:t>
      </w:r>
      <w:r>
        <w:rPr>
          <w:rFonts w:eastAsia="仿宋_GB2312"/>
          <w:color w:val="auto"/>
          <w:sz w:val="24"/>
          <w:szCs w:val="24"/>
          <w:highlight w:val="none"/>
        </w:rPr>
        <w:t>屋面防水工程、有防水要求的卫生间、房间和外墙面的防渗</w:t>
      </w:r>
      <w:r>
        <w:rPr>
          <w:rFonts w:hint="eastAsia" w:eastAsia="仿宋_GB2312"/>
          <w:color w:val="auto"/>
          <w:sz w:val="24"/>
          <w:szCs w:val="24"/>
          <w:highlight w:val="none"/>
        </w:rPr>
        <w:t>为</w:t>
      </w:r>
      <w:r>
        <w:rPr>
          <w:rFonts w:hint="eastAsia" w:eastAsia="仿宋_GB2312"/>
          <w:color w:val="auto"/>
          <w:sz w:val="24"/>
          <w:szCs w:val="24"/>
          <w:highlight w:val="none"/>
          <w:u w:val="single"/>
        </w:rPr>
        <w:t xml:space="preserve">  </w:t>
      </w:r>
      <w:r>
        <w:rPr>
          <w:rFonts w:eastAsia="仿宋_GB2312"/>
          <w:color w:val="auto"/>
          <w:sz w:val="24"/>
          <w:szCs w:val="24"/>
          <w:highlight w:val="none"/>
        </w:rPr>
        <w:t>年；</w:t>
      </w:r>
    </w:p>
    <w:p w14:paraId="4FC82F51">
      <w:pPr>
        <w:pStyle w:val="123"/>
        <w:ind w:left="480" w:leftChars="200" w:firstLine="120" w:firstLineChars="50"/>
        <w:rPr>
          <w:rFonts w:eastAsia="仿宋_GB2312"/>
          <w:color w:val="auto"/>
          <w:sz w:val="24"/>
          <w:szCs w:val="24"/>
          <w:highlight w:val="none"/>
        </w:rPr>
      </w:pPr>
      <w:r>
        <w:rPr>
          <w:rFonts w:hint="eastAsia" w:eastAsia="仿宋_GB2312"/>
          <w:color w:val="auto"/>
          <w:sz w:val="24"/>
          <w:szCs w:val="24"/>
          <w:highlight w:val="none"/>
        </w:rPr>
        <w:t>3</w:t>
      </w:r>
      <w:r>
        <w:rPr>
          <w:rFonts w:hint="eastAsia" w:ascii="仿宋_GB2312" w:eastAsia="仿宋_GB2312"/>
          <w:color w:val="auto"/>
          <w:sz w:val="24"/>
          <w:szCs w:val="24"/>
          <w:highlight w:val="none"/>
        </w:rPr>
        <w:t>．</w:t>
      </w:r>
      <w:r>
        <w:rPr>
          <w:rFonts w:eastAsia="仿宋_GB2312"/>
          <w:color w:val="auto"/>
          <w:sz w:val="24"/>
          <w:szCs w:val="24"/>
          <w:highlight w:val="none"/>
        </w:rPr>
        <w:t>装修工程为</w:t>
      </w:r>
      <w:r>
        <w:rPr>
          <w:rFonts w:hint="eastAsia" w:eastAsia="仿宋_GB2312"/>
          <w:color w:val="auto"/>
          <w:sz w:val="24"/>
          <w:szCs w:val="24"/>
          <w:highlight w:val="none"/>
          <w:u w:val="single"/>
        </w:rPr>
        <w:t xml:space="preserve">  </w:t>
      </w:r>
      <w:r>
        <w:rPr>
          <w:rFonts w:eastAsia="仿宋_GB2312"/>
          <w:color w:val="auto"/>
          <w:sz w:val="24"/>
          <w:szCs w:val="24"/>
          <w:highlight w:val="none"/>
        </w:rPr>
        <w:t>年；</w:t>
      </w:r>
    </w:p>
    <w:p w14:paraId="07F7B146">
      <w:pPr>
        <w:pStyle w:val="123"/>
        <w:ind w:left="480" w:leftChars="200" w:firstLine="120" w:firstLineChars="50"/>
        <w:rPr>
          <w:rFonts w:eastAsia="仿宋_GB2312"/>
          <w:color w:val="auto"/>
          <w:sz w:val="24"/>
          <w:szCs w:val="24"/>
          <w:highlight w:val="none"/>
        </w:rPr>
      </w:pPr>
      <w:r>
        <w:rPr>
          <w:rFonts w:hint="eastAsia" w:eastAsia="仿宋_GB2312"/>
          <w:color w:val="auto"/>
          <w:sz w:val="24"/>
          <w:szCs w:val="24"/>
          <w:highlight w:val="none"/>
        </w:rPr>
        <w:t>4</w:t>
      </w:r>
      <w:r>
        <w:rPr>
          <w:rFonts w:hint="eastAsia" w:ascii="仿宋_GB2312" w:eastAsia="仿宋_GB2312"/>
          <w:color w:val="auto"/>
          <w:sz w:val="24"/>
          <w:szCs w:val="24"/>
          <w:highlight w:val="none"/>
        </w:rPr>
        <w:t>．</w:t>
      </w:r>
      <w:r>
        <w:rPr>
          <w:rFonts w:eastAsia="仿宋_GB2312"/>
          <w:color w:val="auto"/>
          <w:sz w:val="24"/>
          <w:szCs w:val="24"/>
          <w:highlight w:val="none"/>
        </w:rPr>
        <w:t>电气管线、给排水管道、设备安装工程为</w:t>
      </w:r>
      <w:r>
        <w:rPr>
          <w:rFonts w:hint="eastAsia" w:eastAsia="仿宋_GB2312"/>
          <w:color w:val="auto"/>
          <w:sz w:val="24"/>
          <w:szCs w:val="24"/>
          <w:highlight w:val="none"/>
          <w:u w:val="single"/>
        </w:rPr>
        <w:t xml:space="preserve">  </w:t>
      </w:r>
      <w:r>
        <w:rPr>
          <w:rFonts w:eastAsia="仿宋_GB2312"/>
          <w:color w:val="auto"/>
          <w:sz w:val="24"/>
          <w:szCs w:val="24"/>
          <w:highlight w:val="none"/>
        </w:rPr>
        <w:t>年；</w:t>
      </w:r>
    </w:p>
    <w:p w14:paraId="0D6011E7">
      <w:pPr>
        <w:pStyle w:val="123"/>
        <w:ind w:left="480" w:leftChars="200" w:firstLine="120" w:firstLineChars="50"/>
        <w:rPr>
          <w:rFonts w:eastAsia="仿宋_GB2312"/>
          <w:color w:val="auto"/>
          <w:sz w:val="24"/>
          <w:szCs w:val="24"/>
          <w:highlight w:val="none"/>
        </w:rPr>
      </w:pPr>
      <w:r>
        <w:rPr>
          <w:rFonts w:hint="eastAsia" w:eastAsia="仿宋_GB2312"/>
          <w:color w:val="auto"/>
          <w:sz w:val="24"/>
          <w:szCs w:val="24"/>
          <w:highlight w:val="none"/>
        </w:rPr>
        <w:t>5</w:t>
      </w:r>
      <w:r>
        <w:rPr>
          <w:rFonts w:hint="eastAsia" w:ascii="仿宋_GB2312" w:eastAsia="仿宋_GB2312"/>
          <w:color w:val="auto"/>
          <w:sz w:val="24"/>
          <w:szCs w:val="24"/>
          <w:highlight w:val="none"/>
        </w:rPr>
        <w:t>．</w:t>
      </w:r>
      <w:r>
        <w:rPr>
          <w:rFonts w:eastAsia="仿宋_GB2312"/>
          <w:color w:val="auto"/>
          <w:sz w:val="24"/>
          <w:szCs w:val="24"/>
          <w:highlight w:val="none"/>
        </w:rPr>
        <w:t>供热与供冷系统为</w:t>
      </w:r>
      <w:r>
        <w:rPr>
          <w:rFonts w:hint="eastAsia" w:eastAsia="仿宋_GB2312"/>
          <w:color w:val="auto"/>
          <w:sz w:val="24"/>
          <w:szCs w:val="24"/>
          <w:highlight w:val="none"/>
          <w:u w:val="single"/>
        </w:rPr>
        <w:t xml:space="preserve">  </w:t>
      </w:r>
      <w:r>
        <w:rPr>
          <w:rFonts w:eastAsia="仿宋_GB2312"/>
          <w:color w:val="auto"/>
          <w:sz w:val="24"/>
          <w:szCs w:val="24"/>
          <w:highlight w:val="none"/>
        </w:rPr>
        <w:t>个采暖期、供冷期；</w:t>
      </w:r>
    </w:p>
    <w:p w14:paraId="5370D047">
      <w:pPr>
        <w:pStyle w:val="123"/>
        <w:ind w:left="480" w:leftChars="200" w:firstLine="120" w:firstLineChars="50"/>
        <w:rPr>
          <w:rFonts w:eastAsia="仿宋_GB2312"/>
          <w:color w:val="auto"/>
          <w:sz w:val="24"/>
          <w:szCs w:val="24"/>
          <w:highlight w:val="none"/>
        </w:rPr>
      </w:pPr>
      <w:r>
        <w:rPr>
          <w:rFonts w:hint="eastAsia" w:eastAsia="仿宋_GB2312"/>
          <w:color w:val="auto"/>
          <w:sz w:val="24"/>
          <w:szCs w:val="24"/>
          <w:highlight w:val="none"/>
        </w:rPr>
        <w:t>6</w:t>
      </w:r>
      <w:r>
        <w:rPr>
          <w:rFonts w:hint="eastAsia" w:ascii="仿宋_GB2312" w:eastAsia="仿宋_GB2312"/>
          <w:color w:val="auto"/>
          <w:sz w:val="24"/>
          <w:szCs w:val="24"/>
          <w:highlight w:val="none"/>
        </w:rPr>
        <w:t>．</w:t>
      </w:r>
      <w:r>
        <w:rPr>
          <w:rFonts w:eastAsia="仿宋_GB2312"/>
          <w:color w:val="auto"/>
          <w:sz w:val="24"/>
          <w:szCs w:val="24"/>
          <w:highlight w:val="none"/>
        </w:rPr>
        <w:t>住宅小区内的给排水设施、道路等配套工程为</w:t>
      </w:r>
      <w:r>
        <w:rPr>
          <w:rFonts w:hint="eastAsia" w:eastAsia="仿宋_GB2312"/>
          <w:color w:val="auto"/>
          <w:sz w:val="24"/>
          <w:szCs w:val="24"/>
          <w:highlight w:val="none"/>
          <w:u w:val="single"/>
        </w:rPr>
        <w:t xml:space="preserve">  </w:t>
      </w:r>
      <w:r>
        <w:rPr>
          <w:rFonts w:eastAsia="仿宋_GB2312"/>
          <w:color w:val="auto"/>
          <w:sz w:val="24"/>
          <w:szCs w:val="24"/>
          <w:highlight w:val="none"/>
        </w:rPr>
        <w:t>年；</w:t>
      </w:r>
    </w:p>
    <w:p w14:paraId="164D309F">
      <w:pPr>
        <w:pStyle w:val="123"/>
        <w:ind w:left="480" w:leftChars="200" w:firstLine="120" w:firstLineChars="50"/>
        <w:rPr>
          <w:rFonts w:eastAsia="仿宋_GB2312"/>
          <w:color w:val="auto"/>
          <w:sz w:val="24"/>
          <w:szCs w:val="24"/>
          <w:highlight w:val="none"/>
        </w:rPr>
      </w:pPr>
      <w:r>
        <w:rPr>
          <w:rFonts w:hint="eastAsia" w:eastAsia="仿宋_GB2312"/>
          <w:color w:val="auto"/>
          <w:sz w:val="24"/>
          <w:szCs w:val="24"/>
          <w:highlight w:val="none"/>
        </w:rPr>
        <w:t>7</w:t>
      </w:r>
      <w:r>
        <w:rPr>
          <w:rFonts w:hint="eastAsia" w:ascii="仿宋_GB2312" w:eastAsia="仿宋_GB2312"/>
          <w:color w:val="auto"/>
          <w:sz w:val="24"/>
          <w:szCs w:val="24"/>
          <w:highlight w:val="none"/>
        </w:rPr>
        <w:t>．</w:t>
      </w:r>
      <w:r>
        <w:rPr>
          <w:rFonts w:eastAsia="仿宋_GB2312"/>
          <w:color w:val="auto"/>
          <w:sz w:val="24"/>
          <w:szCs w:val="24"/>
          <w:highlight w:val="none"/>
        </w:rPr>
        <w:t>其他项目保修期限约定如下：</w:t>
      </w:r>
      <w:r>
        <w:rPr>
          <w:rFonts w:hint="eastAsia" w:eastAsia="仿宋_GB2312"/>
          <w:color w:val="auto"/>
          <w:sz w:val="24"/>
          <w:szCs w:val="24"/>
          <w:highlight w:val="none"/>
          <w:u w:val="single"/>
        </w:rPr>
        <w:t xml:space="preserve">                           </w:t>
      </w:r>
      <w:r>
        <w:rPr>
          <w:rFonts w:eastAsia="仿宋_GB2312"/>
          <w:color w:val="auto"/>
          <w:sz w:val="24"/>
          <w:szCs w:val="24"/>
          <w:highlight w:val="none"/>
        </w:rPr>
        <w:t>。</w:t>
      </w:r>
    </w:p>
    <w:p w14:paraId="66897E53">
      <w:pPr>
        <w:pStyle w:val="123"/>
        <w:rPr>
          <w:rFonts w:eastAsia="仿宋_GB2312"/>
          <w:color w:val="auto"/>
          <w:sz w:val="24"/>
          <w:szCs w:val="24"/>
          <w:highlight w:val="none"/>
        </w:rPr>
      </w:pPr>
      <w:r>
        <w:rPr>
          <w:rFonts w:eastAsia="仿宋_GB2312"/>
          <w:color w:val="auto"/>
          <w:sz w:val="24"/>
          <w:szCs w:val="24"/>
          <w:highlight w:val="none"/>
        </w:rPr>
        <w:t>　　质量保修期自工程竣工验收合格之日起计算。</w:t>
      </w:r>
    </w:p>
    <w:p w14:paraId="715F5249">
      <w:pPr>
        <w:pStyle w:val="123"/>
        <w:spacing w:before="156" w:beforeLines="50" w:after="156" w:afterLines="50"/>
        <w:ind w:firstLine="480" w:firstLineChars="200"/>
        <w:jc w:val="left"/>
        <w:rPr>
          <w:rFonts w:eastAsia="黑体"/>
          <w:color w:val="auto"/>
          <w:sz w:val="24"/>
          <w:szCs w:val="24"/>
          <w:highlight w:val="none"/>
        </w:rPr>
      </w:pPr>
      <w:r>
        <w:rPr>
          <w:rFonts w:eastAsia="黑体"/>
          <w:color w:val="auto"/>
          <w:sz w:val="24"/>
          <w:szCs w:val="24"/>
          <w:highlight w:val="none"/>
        </w:rPr>
        <w:t>三、缺陷责任期</w:t>
      </w:r>
    </w:p>
    <w:p w14:paraId="786614A5">
      <w:pPr>
        <w:pStyle w:val="123"/>
        <w:ind w:firstLine="480" w:firstLineChars="200"/>
        <w:rPr>
          <w:rFonts w:eastAsia="仿宋_GB2312"/>
          <w:color w:val="auto"/>
          <w:sz w:val="24"/>
          <w:szCs w:val="24"/>
          <w:highlight w:val="none"/>
        </w:rPr>
      </w:pPr>
      <w:r>
        <w:rPr>
          <w:rFonts w:eastAsia="仿宋_GB2312"/>
          <w:color w:val="auto"/>
          <w:sz w:val="24"/>
          <w:szCs w:val="24"/>
          <w:highlight w:val="none"/>
        </w:rPr>
        <w:t>工程缺陷责任期为</w:t>
      </w:r>
      <w:r>
        <w:rPr>
          <w:rFonts w:hint="eastAsia" w:eastAsia="仿宋_GB2312"/>
          <w:color w:val="auto"/>
          <w:sz w:val="24"/>
          <w:szCs w:val="24"/>
          <w:highlight w:val="none"/>
          <w:u w:val="single"/>
          <w:lang w:val="en-US" w:eastAsia="zh-CN"/>
        </w:rPr>
        <w:t>24个</w:t>
      </w:r>
      <w:r>
        <w:rPr>
          <w:rFonts w:eastAsia="仿宋_GB2312"/>
          <w:color w:val="auto"/>
          <w:sz w:val="24"/>
          <w:szCs w:val="24"/>
          <w:highlight w:val="none"/>
        </w:rPr>
        <w:t>月，缺陷责任期自工程</w:t>
      </w:r>
      <w:r>
        <w:rPr>
          <w:rFonts w:hint="eastAsia" w:eastAsia="仿宋_GB2312"/>
          <w:color w:val="auto"/>
          <w:sz w:val="24"/>
          <w:szCs w:val="24"/>
          <w:highlight w:val="none"/>
        </w:rPr>
        <w:t>通过竣工验收</w:t>
      </w:r>
      <w:r>
        <w:rPr>
          <w:rFonts w:eastAsia="仿宋_GB2312"/>
          <w:color w:val="auto"/>
          <w:sz w:val="24"/>
          <w:szCs w:val="24"/>
          <w:highlight w:val="none"/>
        </w:rPr>
        <w:t>之日起计算。单位工程先于全部工程进行验收，单位工程缺陷责任期自单位工程验收合格之日起算。</w:t>
      </w:r>
    </w:p>
    <w:p w14:paraId="223EF316">
      <w:pPr>
        <w:pStyle w:val="123"/>
        <w:ind w:firstLine="480" w:firstLineChars="200"/>
        <w:rPr>
          <w:rFonts w:eastAsia="仿宋_GB2312"/>
          <w:color w:val="auto"/>
          <w:sz w:val="24"/>
          <w:szCs w:val="24"/>
          <w:highlight w:val="none"/>
        </w:rPr>
      </w:pPr>
      <w:r>
        <w:rPr>
          <w:rFonts w:eastAsia="仿宋_GB2312"/>
          <w:color w:val="auto"/>
          <w:sz w:val="24"/>
          <w:szCs w:val="24"/>
          <w:highlight w:val="none"/>
        </w:rPr>
        <w:t>缺陷责任期终止后，发包人应退还剩余的质量保证金。</w:t>
      </w:r>
    </w:p>
    <w:p w14:paraId="6A5CF003">
      <w:pPr>
        <w:pStyle w:val="123"/>
        <w:spacing w:before="156" w:beforeLines="50" w:after="156" w:afterLines="50"/>
        <w:ind w:firstLine="480" w:firstLineChars="200"/>
        <w:jc w:val="left"/>
        <w:rPr>
          <w:rFonts w:eastAsia="黑体"/>
          <w:color w:val="auto"/>
          <w:sz w:val="24"/>
          <w:szCs w:val="24"/>
          <w:highlight w:val="none"/>
        </w:rPr>
      </w:pPr>
      <w:r>
        <w:rPr>
          <w:rFonts w:eastAsia="黑体"/>
          <w:color w:val="auto"/>
          <w:sz w:val="24"/>
          <w:szCs w:val="24"/>
          <w:highlight w:val="none"/>
        </w:rPr>
        <w:t>四、质量保修责任</w:t>
      </w:r>
    </w:p>
    <w:p w14:paraId="69590065">
      <w:pPr>
        <w:pStyle w:val="123"/>
        <w:ind w:left="120" w:leftChars="50" w:firstLine="491" w:firstLineChars="205"/>
        <w:rPr>
          <w:rFonts w:eastAsia="仿宋_GB2312"/>
          <w:color w:val="auto"/>
          <w:sz w:val="24"/>
          <w:szCs w:val="24"/>
          <w:highlight w:val="none"/>
        </w:rPr>
      </w:pPr>
      <w:r>
        <w:rPr>
          <w:rFonts w:hint="eastAsia" w:eastAsia="仿宋_GB2312"/>
          <w:color w:val="auto"/>
          <w:sz w:val="24"/>
          <w:szCs w:val="24"/>
          <w:highlight w:val="none"/>
        </w:rPr>
        <w:t>1</w:t>
      </w:r>
      <w:r>
        <w:rPr>
          <w:rFonts w:hint="eastAsia" w:ascii="仿宋_GB2312" w:eastAsia="仿宋_GB2312"/>
          <w:color w:val="auto"/>
          <w:sz w:val="24"/>
          <w:szCs w:val="24"/>
          <w:highlight w:val="none"/>
        </w:rPr>
        <w:t>．</w:t>
      </w:r>
      <w:r>
        <w:rPr>
          <w:rFonts w:eastAsia="仿宋_GB2312"/>
          <w:color w:val="auto"/>
          <w:sz w:val="24"/>
          <w:szCs w:val="24"/>
          <w:highlight w:val="none"/>
        </w:rPr>
        <w:t>属于保修范围、内容的项目，承包人应当在接到保修通知之日起7天内派人保修。承包人不在约定期限内派人保修的，发包人可以委托他人修理。</w:t>
      </w:r>
    </w:p>
    <w:p w14:paraId="6E8A071B">
      <w:pPr>
        <w:pStyle w:val="123"/>
        <w:ind w:left="120" w:leftChars="50" w:firstLine="491" w:firstLineChars="205"/>
        <w:rPr>
          <w:rFonts w:eastAsia="仿宋_GB2312"/>
          <w:color w:val="auto"/>
          <w:sz w:val="24"/>
          <w:szCs w:val="24"/>
          <w:highlight w:val="none"/>
        </w:rPr>
      </w:pPr>
      <w:r>
        <w:rPr>
          <w:rFonts w:hint="eastAsia" w:eastAsia="仿宋_GB2312"/>
          <w:color w:val="auto"/>
          <w:sz w:val="24"/>
          <w:szCs w:val="24"/>
          <w:highlight w:val="none"/>
        </w:rPr>
        <w:t>2</w:t>
      </w:r>
      <w:r>
        <w:rPr>
          <w:rFonts w:hint="eastAsia" w:ascii="仿宋_GB2312" w:eastAsia="仿宋_GB2312"/>
          <w:color w:val="auto"/>
          <w:sz w:val="24"/>
          <w:szCs w:val="24"/>
          <w:highlight w:val="none"/>
        </w:rPr>
        <w:t>．</w:t>
      </w:r>
      <w:r>
        <w:rPr>
          <w:rFonts w:eastAsia="仿宋_GB2312"/>
          <w:color w:val="auto"/>
          <w:sz w:val="24"/>
          <w:szCs w:val="24"/>
          <w:highlight w:val="none"/>
        </w:rPr>
        <w:t>发生紧急事故需抢修的，承包人在接到事故通知后，应当立即到达事故现场抢修。</w:t>
      </w:r>
    </w:p>
    <w:p w14:paraId="568DEEC3">
      <w:pPr>
        <w:pStyle w:val="123"/>
        <w:ind w:left="120" w:leftChars="50" w:firstLine="491" w:firstLineChars="205"/>
        <w:rPr>
          <w:rFonts w:eastAsia="仿宋_GB2312"/>
          <w:color w:val="auto"/>
          <w:sz w:val="24"/>
          <w:szCs w:val="24"/>
          <w:highlight w:val="none"/>
        </w:rPr>
      </w:pPr>
      <w:r>
        <w:rPr>
          <w:rFonts w:hint="eastAsia" w:eastAsia="仿宋_GB2312"/>
          <w:color w:val="auto"/>
          <w:sz w:val="24"/>
          <w:szCs w:val="24"/>
          <w:highlight w:val="none"/>
        </w:rPr>
        <w:t>3</w:t>
      </w:r>
      <w:r>
        <w:rPr>
          <w:rFonts w:hint="eastAsia" w:ascii="仿宋_GB2312" w:eastAsia="仿宋_GB2312"/>
          <w:color w:val="auto"/>
          <w:sz w:val="24"/>
          <w:szCs w:val="24"/>
          <w:highlight w:val="none"/>
        </w:rPr>
        <w:t>．</w:t>
      </w:r>
      <w:r>
        <w:rPr>
          <w:rFonts w:eastAsia="仿宋_GB2312"/>
          <w:color w:val="auto"/>
          <w:sz w:val="24"/>
          <w:szCs w:val="24"/>
          <w:highlight w:val="none"/>
        </w:rPr>
        <w:t>对于涉及结构安全的质量问题，应当按照《建设工程质量管理条例》的规定，立即向当地建设行政主管部门和有关部门报告，采取安全防范措施，并由原设计人或者具有相应资质等级的设计人提出保修方案，承包人实施保修。</w:t>
      </w:r>
    </w:p>
    <w:p w14:paraId="5A489DDB">
      <w:pPr>
        <w:pStyle w:val="123"/>
        <w:ind w:left="480" w:leftChars="200" w:firstLine="120" w:firstLineChars="50"/>
        <w:rPr>
          <w:rFonts w:eastAsia="仿宋_GB2312"/>
          <w:color w:val="auto"/>
          <w:sz w:val="24"/>
          <w:szCs w:val="24"/>
          <w:highlight w:val="none"/>
        </w:rPr>
      </w:pPr>
      <w:r>
        <w:rPr>
          <w:rFonts w:hint="eastAsia" w:eastAsia="仿宋_GB2312"/>
          <w:color w:val="auto"/>
          <w:sz w:val="24"/>
          <w:szCs w:val="24"/>
          <w:highlight w:val="none"/>
        </w:rPr>
        <w:t>4</w:t>
      </w:r>
      <w:r>
        <w:rPr>
          <w:rFonts w:hint="eastAsia" w:ascii="仿宋_GB2312" w:eastAsia="仿宋_GB2312"/>
          <w:color w:val="auto"/>
          <w:sz w:val="24"/>
          <w:szCs w:val="24"/>
          <w:highlight w:val="none"/>
        </w:rPr>
        <w:t>．</w:t>
      </w:r>
      <w:r>
        <w:rPr>
          <w:rFonts w:eastAsia="仿宋_GB2312"/>
          <w:color w:val="auto"/>
          <w:sz w:val="24"/>
          <w:szCs w:val="24"/>
          <w:highlight w:val="none"/>
        </w:rPr>
        <w:t>质量保修完成后，由发包人组织验收。</w:t>
      </w:r>
    </w:p>
    <w:p w14:paraId="1EA0C3E4">
      <w:pPr>
        <w:pStyle w:val="123"/>
        <w:spacing w:before="156" w:beforeLines="50" w:after="156" w:afterLines="50"/>
        <w:jc w:val="left"/>
        <w:rPr>
          <w:rFonts w:eastAsia="黑体"/>
          <w:color w:val="auto"/>
          <w:sz w:val="24"/>
          <w:szCs w:val="24"/>
          <w:highlight w:val="none"/>
        </w:rPr>
      </w:pPr>
      <w:r>
        <w:rPr>
          <w:rFonts w:eastAsia="黑体"/>
          <w:color w:val="auto"/>
          <w:sz w:val="24"/>
          <w:szCs w:val="24"/>
          <w:highlight w:val="none"/>
        </w:rPr>
        <w:t>　　五、保修费用</w:t>
      </w:r>
    </w:p>
    <w:p w14:paraId="5DB4FC4B">
      <w:pPr>
        <w:pStyle w:val="123"/>
        <w:rPr>
          <w:rFonts w:eastAsia="仿宋_GB2312"/>
          <w:color w:val="auto"/>
          <w:sz w:val="24"/>
          <w:szCs w:val="24"/>
          <w:highlight w:val="none"/>
        </w:rPr>
      </w:pPr>
      <w:r>
        <w:rPr>
          <w:rFonts w:eastAsia="仿宋_GB2312"/>
          <w:color w:val="auto"/>
          <w:sz w:val="24"/>
          <w:szCs w:val="24"/>
          <w:highlight w:val="none"/>
        </w:rPr>
        <w:t>　　保修费用由造成质量缺陷的责任方承担。</w:t>
      </w:r>
    </w:p>
    <w:p w14:paraId="59C43379">
      <w:pPr>
        <w:pStyle w:val="123"/>
        <w:spacing w:before="156" w:beforeLines="50" w:after="156" w:afterLines="50"/>
        <w:ind w:firstLine="480" w:firstLineChars="200"/>
        <w:jc w:val="left"/>
        <w:rPr>
          <w:rFonts w:hint="eastAsia" w:eastAsia="仿宋_GB2312"/>
          <w:color w:val="auto"/>
          <w:sz w:val="24"/>
          <w:szCs w:val="24"/>
          <w:highlight w:val="none"/>
          <w:u w:val="single"/>
        </w:rPr>
      </w:pPr>
      <w:r>
        <w:rPr>
          <w:rFonts w:hint="eastAsia" w:eastAsia="黑体"/>
          <w:color w:val="auto"/>
          <w:sz w:val="24"/>
          <w:szCs w:val="24"/>
          <w:highlight w:val="none"/>
        </w:rPr>
        <w:t>六、</w:t>
      </w:r>
      <w:r>
        <w:rPr>
          <w:rFonts w:eastAsia="黑体"/>
          <w:color w:val="auto"/>
          <w:sz w:val="24"/>
          <w:szCs w:val="24"/>
          <w:highlight w:val="none"/>
        </w:rPr>
        <w:t>双方约定的其他工程质量保修事项：</w:t>
      </w:r>
      <w:r>
        <w:rPr>
          <w:rFonts w:hint="eastAsia" w:eastAsia="黑体"/>
          <w:color w:val="auto"/>
          <w:sz w:val="24"/>
          <w:szCs w:val="24"/>
          <w:highlight w:val="none"/>
          <w:u w:val="single"/>
        </w:rPr>
        <w:t xml:space="preserve">                    </w:t>
      </w:r>
      <w:r>
        <w:rPr>
          <w:rFonts w:hint="eastAsia" w:eastAsia="仿宋_GB2312"/>
          <w:color w:val="auto"/>
          <w:sz w:val="24"/>
          <w:szCs w:val="24"/>
          <w:highlight w:val="none"/>
          <w:u w:val="single"/>
        </w:rPr>
        <w:t>。</w:t>
      </w:r>
    </w:p>
    <w:p w14:paraId="54137DE8">
      <w:pPr>
        <w:pStyle w:val="123"/>
        <w:spacing w:before="156" w:beforeLines="50" w:after="156" w:afterLines="50"/>
        <w:ind w:firstLine="480" w:firstLineChars="200"/>
        <w:jc w:val="left"/>
        <w:rPr>
          <w:rFonts w:eastAsia="仿宋_GB2312"/>
          <w:color w:val="auto"/>
          <w:sz w:val="24"/>
          <w:szCs w:val="24"/>
          <w:highlight w:val="none"/>
        </w:rPr>
      </w:pPr>
      <w:r>
        <w:rPr>
          <w:rFonts w:eastAsia="仿宋_GB2312"/>
          <w:color w:val="auto"/>
          <w:sz w:val="24"/>
          <w:szCs w:val="24"/>
          <w:highlight w:val="none"/>
        </w:rPr>
        <w:t>工程质量保修书由发包人、承包人在工程竣工验收前共同签署，作为施工合同附件，其有效期限至保修期满。</w:t>
      </w:r>
    </w:p>
    <w:p w14:paraId="4775464C">
      <w:pPr>
        <w:pStyle w:val="123"/>
        <w:ind w:firstLine="420"/>
        <w:rPr>
          <w:rFonts w:eastAsia="仿宋_GB2312"/>
          <w:color w:val="auto"/>
          <w:sz w:val="24"/>
          <w:szCs w:val="24"/>
          <w:highlight w:val="none"/>
        </w:rPr>
      </w:pPr>
    </w:p>
    <w:p w14:paraId="2CACBEED">
      <w:pPr>
        <w:pStyle w:val="125"/>
        <w:spacing w:line="400" w:lineRule="exact"/>
        <w:rPr>
          <w:rFonts w:ascii="宋体" w:hAnsi="宋体"/>
          <w:color w:val="auto"/>
          <w:szCs w:val="21"/>
          <w:highlight w:val="none"/>
        </w:rPr>
      </w:pPr>
      <w:r>
        <w:rPr>
          <w:rFonts w:ascii="宋体" w:hAnsi="宋体"/>
          <w:color w:val="auto"/>
          <w:szCs w:val="21"/>
          <w:highlight w:val="none"/>
        </w:rPr>
        <w:t>发包人(公章)：</w:t>
      </w:r>
      <w:r>
        <w:rPr>
          <w:rFonts w:ascii="宋体" w:hAnsi="宋体"/>
          <w:color w:val="auto"/>
          <w:szCs w:val="21"/>
          <w:highlight w:val="none"/>
          <w:u w:val="single"/>
        </w:rPr>
        <w:t xml:space="preserve">              </w:t>
      </w:r>
      <w:r>
        <w:rPr>
          <w:rFonts w:ascii="宋体" w:hAnsi="宋体"/>
          <w:color w:val="auto"/>
          <w:szCs w:val="21"/>
          <w:highlight w:val="none"/>
        </w:rPr>
        <w:t xml:space="preserve"> 承包人(公章)：</w:t>
      </w:r>
      <w:r>
        <w:rPr>
          <w:rFonts w:ascii="宋体" w:hAnsi="宋体"/>
          <w:color w:val="auto"/>
          <w:szCs w:val="21"/>
          <w:highlight w:val="none"/>
          <w:u w:val="single"/>
        </w:rPr>
        <w:t xml:space="preserve">  </w:t>
      </w:r>
      <w:r>
        <w:rPr>
          <w:rFonts w:hint="eastAsia" w:ascii="宋体" w:hAnsi="宋体"/>
          <w:color w:val="auto"/>
          <w:szCs w:val="21"/>
          <w:highlight w:val="none"/>
          <w:u w:val="single"/>
        </w:rPr>
        <w:t xml:space="preserve">          </w:t>
      </w:r>
      <w:r>
        <w:rPr>
          <w:rFonts w:ascii="宋体" w:hAnsi="宋体"/>
          <w:color w:val="auto"/>
          <w:szCs w:val="21"/>
          <w:highlight w:val="none"/>
          <w:u w:val="single"/>
        </w:rPr>
        <w:t xml:space="preserve">   </w:t>
      </w:r>
    </w:p>
    <w:p w14:paraId="53F17C1C">
      <w:pPr>
        <w:pStyle w:val="125"/>
        <w:spacing w:line="400" w:lineRule="exact"/>
        <w:rPr>
          <w:rFonts w:ascii="宋体" w:hAnsi="宋体"/>
          <w:color w:val="auto"/>
          <w:szCs w:val="21"/>
          <w:highlight w:val="none"/>
        </w:rPr>
      </w:pPr>
      <w:r>
        <w:rPr>
          <w:rFonts w:ascii="宋体" w:hAnsi="宋体"/>
          <w:color w:val="auto"/>
          <w:szCs w:val="21"/>
          <w:highlight w:val="none"/>
        </w:rPr>
        <w:t>地  址：</w:t>
      </w:r>
      <w:r>
        <w:rPr>
          <w:rFonts w:ascii="宋体" w:hAnsi="宋体"/>
          <w:color w:val="auto"/>
          <w:szCs w:val="21"/>
          <w:highlight w:val="none"/>
          <w:u w:val="single"/>
        </w:rPr>
        <w:t xml:space="preserve">                   </w:t>
      </w:r>
      <w:r>
        <w:rPr>
          <w:rFonts w:hint="eastAsia" w:ascii="宋体" w:hAnsi="宋体"/>
          <w:color w:val="auto"/>
          <w:szCs w:val="21"/>
          <w:highlight w:val="none"/>
        </w:rPr>
        <w:t xml:space="preserve"> </w:t>
      </w:r>
      <w:r>
        <w:rPr>
          <w:rFonts w:ascii="宋体" w:hAnsi="宋体"/>
          <w:color w:val="auto"/>
          <w:szCs w:val="21"/>
          <w:highlight w:val="none"/>
        </w:rPr>
        <w:t>地  址：</w:t>
      </w:r>
      <w:r>
        <w:rPr>
          <w:rFonts w:ascii="宋体" w:hAnsi="宋体"/>
          <w:color w:val="auto"/>
          <w:szCs w:val="21"/>
          <w:highlight w:val="none"/>
          <w:u w:val="single"/>
        </w:rPr>
        <w:t xml:space="preserve">            </w:t>
      </w:r>
      <w:r>
        <w:rPr>
          <w:rFonts w:hint="eastAsia" w:ascii="宋体" w:hAnsi="宋体"/>
          <w:color w:val="auto"/>
          <w:szCs w:val="21"/>
          <w:highlight w:val="none"/>
          <w:u w:val="single"/>
        </w:rPr>
        <w:t xml:space="preserve"> </w:t>
      </w:r>
      <w:r>
        <w:rPr>
          <w:rFonts w:ascii="宋体" w:hAnsi="宋体"/>
          <w:color w:val="auto"/>
          <w:szCs w:val="21"/>
          <w:highlight w:val="none"/>
          <w:u w:val="single"/>
        </w:rPr>
        <w:t xml:space="preserve">   </w:t>
      </w:r>
      <w:r>
        <w:rPr>
          <w:rFonts w:hint="eastAsia" w:ascii="宋体" w:hAnsi="宋体"/>
          <w:color w:val="auto"/>
          <w:szCs w:val="21"/>
          <w:highlight w:val="none"/>
          <w:u w:val="single"/>
        </w:rPr>
        <w:t xml:space="preserve"> </w:t>
      </w:r>
      <w:r>
        <w:rPr>
          <w:rFonts w:ascii="宋体" w:hAnsi="宋体"/>
          <w:color w:val="auto"/>
          <w:szCs w:val="21"/>
          <w:highlight w:val="none"/>
          <w:u w:val="single"/>
        </w:rPr>
        <w:t xml:space="preserve">    </w:t>
      </w:r>
    </w:p>
    <w:p w14:paraId="6DB827B9">
      <w:pPr>
        <w:pStyle w:val="125"/>
        <w:spacing w:line="400" w:lineRule="exact"/>
        <w:rPr>
          <w:rFonts w:ascii="宋体" w:hAnsi="宋体"/>
          <w:color w:val="auto"/>
          <w:szCs w:val="21"/>
          <w:highlight w:val="none"/>
        </w:rPr>
      </w:pPr>
      <w:r>
        <w:rPr>
          <w:rFonts w:ascii="宋体" w:hAnsi="宋体"/>
          <w:color w:val="auto"/>
          <w:szCs w:val="21"/>
          <w:highlight w:val="none"/>
        </w:rPr>
        <w:t>法定代表人(签字)：</w:t>
      </w:r>
      <w:r>
        <w:rPr>
          <w:rFonts w:ascii="宋体" w:hAnsi="宋体"/>
          <w:color w:val="auto"/>
          <w:szCs w:val="21"/>
          <w:highlight w:val="none"/>
          <w:u w:val="single"/>
        </w:rPr>
        <w:t xml:space="preserve">    </w:t>
      </w:r>
      <w:r>
        <w:rPr>
          <w:rFonts w:hint="eastAsia" w:ascii="宋体" w:hAnsi="宋体"/>
          <w:color w:val="auto"/>
          <w:szCs w:val="21"/>
          <w:highlight w:val="none"/>
          <w:u w:val="single"/>
        </w:rPr>
        <w:t xml:space="preserve">    </w:t>
      </w:r>
      <w:r>
        <w:rPr>
          <w:rFonts w:ascii="宋体" w:hAnsi="宋体"/>
          <w:color w:val="auto"/>
          <w:szCs w:val="21"/>
          <w:highlight w:val="none"/>
          <w:u w:val="single"/>
        </w:rPr>
        <w:t xml:space="preserve">  </w:t>
      </w:r>
      <w:r>
        <w:rPr>
          <w:rFonts w:ascii="宋体" w:hAnsi="宋体"/>
          <w:color w:val="auto"/>
          <w:szCs w:val="21"/>
          <w:highlight w:val="none"/>
        </w:rPr>
        <w:t xml:space="preserve"> 法定代表人(签字)：</w:t>
      </w:r>
      <w:r>
        <w:rPr>
          <w:rFonts w:ascii="宋体" w:hAnsi="宋体"/>
          <w:color w:val="auto"/>
          <w:szCs w:val="21"/>
          <w:highlight w:val="none"/>
          <w:u w:val="single"/>
        </w:rPr>
        <w:t xml:space="preserve">    </w:t>
      </w:r>
      <w:r>
        <w:rPr>
          <w:rFonts w:hint="eastAsia" w:ascii="宋体" w:hAnsi="宋体"/>
          <w:color w:val="auto"/>
          <w:szCs w:val="21"/>
          <w:highlight w:val="none"/>
          <w:u w:val="single"/>
        </w:rPr>
        <w:t xml:space="preserve">      </w:t>
      </w:r>
      <w:r>
        <w:rPr>
          <w:rFonts w:ascii="宋体" w:hAnsi="宋体"/>
          <w:color w:val="auto"/>
          <w:szCs w:val="21"/>
          <w:highlight w:val="none"/>
          <w:u w:val="single"/>
        </w:rPr>
        <w:t xml:space="preserve"> </w:t>
      </w:r>
    </w:p>
    <w:p w14:paraId="0CB0BEC5">
      <w:pPr>
        <w:pStyle w:val="125"/>
        <w:spacing w:line="400" w:lineRule="exact"/>
        <w:rPr>
          <w:rFonts w:ascii="宋体" w:hAnsi="宋体"/>
          <w:color w:val="auto"/>
          <w:szCs w:val="21"/>
          <w:highlight w:val="none"/>
        </w:rPr>
      </w:pPr>
      <w:r>
        <w:rPr>
          <w:rFonts w:ascii="宋体" w:hAnsi="宋体"/>
          <w:color w:val="auto"/>
          <w:szCs w:val="21"/>
          <w:highlight w:val="none"/>
        </w:rPr>
        <w:t>委托代理人(签字)：</w:t>
      </w:r>
      <w:r>
        <w:rPr>
          <w:rFonts w:ascii="宋体" w:hAnsi="宋体"/>
          <w:color w:val="auto"/>
          <w:szCs w:val="21"/>
          <w:highlight w:val="none"/>
          <w:u w:val="single"/>
        </w:rPr>
        <w:t xml:space="preserve">          </w:t>
      </w:r>
      <w:r>
        <w:rPr>
          <w:rFonts w:ascii="宋体" w:hAnsi="宋体"/>
          <w:color w:val="auto"/>
          <w:szCs w:val="21"/>
          <w:highlight w:val="none"/>
        </w:rPr>
        <w:t xml:space="preserve"> 委托代理人(签字)：</w:t>
      </w:r>
      <w:r>
        <w:rPr>
          <w:rFonts w:ascii="宋体" w:hAnsi="宋体"/>
          <w:color w:val="auto"/>
          <w:szCs w:val="21"/>
          <w:highlight w:val="none"/>
          <w:u w:val="single"/>
        </w:rPr>
        <w:t xml:space="preserve">      </w:t>
      </w:r>
      <w:r>
        <w:rPr>
          <w:rFonts w:hint="eastAsia" w:ascii="宋体" w:hAnsi="宋体"/>
          <w:color w:val="auto"/>
          <w:szCs w:val="21"/>
          <w:highlight w:val="none"/>
          <w:u w:val="single"/>
        </w:rPr>
        <w:t xml:space="preserve"> </w:t>
      </w:r>
      <w:r>
        <w:rPr>
          <w:rFonts w:ascii="宋体" w:hAnsi="宋体"/>
          <w:color w:val="auto"/>
          <w:szCs w:val="21"/>
          <w:highlight w:val="none"/>
          <w:u w:val="single"/>
        </w:rPr>
        <w:t xml:space="preserve">    </w:t>
      </w:r>
    </w:p>
    <w:p w14:paraId="2A32B140">
      <w:pPr>
        <w:pStyle w:val="125"/>
        <w:spacing w:line="400" w:lineRule="exact"/>
        <w:rPr>
          <w:rFonts w:ascii="宋体" w:hAnsi="宋体"/>
          <w:color w:val="auto"/>
          <w:szCs w:val="21"/>
          <w:highlight w:val="none"/>
        </w:rPr>
      </w:pPr>
      <w:r>
        <w:rPr>
          <w:rFonts w:ascii="宋体" w:hAnsi="宋体"/>
          <w:color w:val="auto"/>
          <w:szCs w:val="21"/>
          <w:highlight w:val="none"/>
        </w:rPr>
        <w:t>电  话：</w:t>
      </w:r>
      <w:r>
        <w:rPr>
          <w:rFonts w:ascii="宋体" w:hAnsi="宋体"/>
          <w:color w:val="auto"/>
          <w:szCs w:val="21"/>
          <w:highlight w:val="none"/>
          <w:u w:val="single"/>
        </w:rPr>
        <w:t xml:space="preserve">                   </w:t>
      </w:r>
      <w:r>
        <w:rPr>
          <w:rFonts w:ascii="宋体" w:hAnsi="宋体"/>
          <w:color w:val="auto"/>
          <w:szCs w:val="21"/>
          <w:highlight w:val="none"/>
        </w:rPr>
        <w:t xml:space="preserve"> 电  话：</w:t>
      </w:r>
      <w:r>
        <w:rPr>
          <w:rFonts w:ascii="宋体" w:hAnsi="宋体"/>
          <w:color w:val="auto"/>
          <w:szCs w:val="21"/>
          <w:highlight w:val="none"/>
          <w:u w:val="single"/>
        </w:rPr>
        <w:t xml:space="preserve">                </w:t>
      </w:r>
      <w:r>
        <w:rPr>
          <w:rFonts w:hint="eastAsia" w:ascii="宋体" w:hAnsi="宋体"/>
          <w:color w:val="auto"/>
          <w:szCs w:val="21"/>
          <w:highlight w:val="none"/>
          <w:u w:val="single"/>
        </w:rPr>
        <w:t xml:space="preserve">  </w:t>
      </w:r>
      <w:r>
        <w:rPr>
          <w:rFonts w:ascii="宋体" w:hAnsi="宋体"/>
          <w:color w:val="auto"/>
          <w:szCs w:val="21"/>
          <w:highlight w:val="none"/>
          <w:u w:val="single"/>
        </w:rPr>
        <w:t xml:space="preserve">   </w:t>
      </w:r>
    </w:p>
    <w:p w14:paraId="1FD72F2C">
      <w:pPr>
        <w:pStyle w:val="125"/>
        <w:spacing w:line="400" w:lineRule="exact"/>
        <w:rPr>
          <w:rFonts w:ascii="宋体" w:hAnsi="宋体"/>
          <w:color w:val="auto"/>
          <w:szCs w:val="21"/>
          <w:highlight w:val="none"/>
        </w:rPr>
      </w:pPr>
      <w:r>
        <w:rPr>
          <w:rFonts w:ascii="宋体" w:hAnsi="宋体"/>
          <w:color w:val="auto"/>
          <w:szCs w:val="21"/>
          <w:highlight w:val="none"/>
        </w:rPr>
        <w:t>传  真：</w:t>
      </w:r>
      <w:r>
        <w:rPr>
          <w:rFonts w:ascii="宋体" w:hAnsi="宋体"/>
          <w:color w:val="auto"/>
          <w:szCs w:val="21"/>
          <w:highlight w:val="none"/>
          <w:u w:val="single"/>
        </w:rPr>
        <w:t xml:space="preserve">                   </w:t>
      </w:r>
      <w:r>
        <w:rPr>
          <w:rFonts w:ascii="宋体" w:hAnsi="宋体"/>
          <w:color w:val="auto"/>
          <w:szCs w:val="21"/>
          <w:highlight w:val="none"/>
        </w:rPr>
        <w:t xml:space="preserve"> 传  真：</w:t>
      </w:r>
      <w:r>
        <w:rPr>
          <w:rFonts w:ascii="宋体" w:hAnsi="宋体"/>
          <w:color w:val="auto"/>
          <w:szCs w:val="21"/>
          <w:highlight w:val="none"/>
          <w:u w:val="single"/>
        </w:rPr>
        <w:t xml:space="preserve">              </w:t>
      </w:r>
      <w:r>
        <w:rPr>
          <w:rFonts w:hint="eastAsia" w:ascii="宋体" w:hAnsi="宋体"/>
          <w:color w:val="auto"/>
          <w:szCs w:val="21"/>
          <w:highlight w:val="none"/>
          <w:u w:val="single"/>
        </w:rPr>
        <w:t xml:space="preserve">  </w:t>
      </w:r>
      <w:r>
        <w:rPr>
          <w:rFonts w:ascii="宋体" w:hAnsi="宋体"/>
          <w:color w:val="auto"/>
          <w:szCs w:val="21"/>
          <w:highlight w:val="none"/>
          <w:u w:val="single"/>
        </w:rPr>
        <w:t xml:space="preserve">     </w:t>
      </w:r>
    </w:p>
    <w:p w14:paraId="682EF350">
      <w:pPr>
        <w:pStyle w:val="125"/>
        <w:spacing w:line="400" w:lineRule="exact"/>
        <w:rPr>
          <w:rFonts w:ascii="宋体" w:hAnsi="宋体"/>
          <w:color w:val="auto"/>
          <w:szCs w:val="21"/>
          <w:highlight w:val="none"/>
        </w:rPr>
      </w:pPr>
      <w:r>
        <w:rPr>
          <w:rFonts w:ascii="宋体" w:hAnsi="宋体"/>
          <w:color w:val="auto"/>
          <w:szCs w:val="21"/>
          <w:highlight w:val="none"/>
        </w:rPr>
        <w:t>开户银行：</w:t>
      </w:r>
      <w:r>
        <w:rPr>
          <w:rFonts w:ascii="宋体" w:hAnsi="宋体"/>
          <w:color w:val="auto"/>
          <w:szCs w:val="21"/>
          <w:highlight w:val="none"/>
          <w:u w:val="single"/>
        </w:rPr>
        <w:t xml:space="preserve">                 </w:t>
      </w:r>
      <w:r>
        <w:rPr>
          <w:rFonts w:ascii="宋体" w:hAnsi="宋体"/>
          <w:color w:val="auto"/>
          <w:szCs w:val="21"/>
          <w:highlight w:val="none"/>
        </w:rPr>
        <w:t xml:space="preserve"> 开户银行：</w:t>
      </w:r>
      <w:r>
        <w:rPr>
          <w:rFonts w:ascii="宋体" w:hAnsi="宋体"/>
          <w:color w:val="auto"/>
          <w:szCs w:val="21"/>
          <w:highlight w:val="none"/>
          <w:u w:val="single"/>
        </w:rPr>
        <w:t xml:space="preserve">                   </w:t>
      </w:r>
    </w:p>
    <w:p w14:paraId="1F74A431">
      <w:pPr>
        <w:pStyle w:val="125"/>
        <w:spacing w:line="400" w:lineRule="exact"/>
        <w:rPr>
          <w:rFonts w:ascii="宋体" w:hAnsi="宋体"/>
          <w:color w:val="auto"/>
          <w:szCs w:val="21"/>
          <w:highlight w:val="none"/>
        </w:rPr>
      </w:pPr>
      <w:r>
        <w:rPr>
          <w:rFonts w:ascii="宋体" w:hAnsi="宋体"/>
          <w:color w:val="auto"/>
          <w:szCs w:val="21"/>
          <w:highlight w:val="none"/>
        </w:rPr>
        <w:t>账  号：</w:t>
      </w:r>
      <w:r>
        <w:rPr>
          <w:rFonts w:ascii="宋体" w:hAnsi="宋体"/>
          <w:color w:val="auto"/>
          <w:szCs w:val="21"/>
          <w:highlight w:val="none"/>
          <w:u w:val="single"/>
        </w:rPr>
        <w:t xml:space="preserve">                   </w:t>
      </w:r>
      <w:r>
        <w:rPr>
          <w:rFonts w:hint="eastAsia" w:ascii="宋体" w:hAnsi="宋体"/>
          <w:color w:val="auto"/>
          <w:szCs w:val="21"/>
          <w:highlight w:val="none"/>
        </w:rPr>
        <w:t xml:space="preserve">  </w:t>
      </w:r>
      <w:r>
        <w:rPr>
          <w:rFonts w:ascii="宋体" w:hAnsi="宋体"/>
          <w:color w:val="auto"/>
          <w:szCs w:val="21"/>
          <w:highlight w:val="none"/>
        </w:rPr>
        <w:t>账</w:t>
      </w:r>
      <w:r>
        <w:rPr>
          <w:rFonts w:hint="eastAsia" w:ascii="宋体" w:hAnsi="宋体"/>
          <w:color w:val="auto"/>
          <w:szCs w:val="21"/>
          <w:highlight w:val="none"/>
        </w:rPr>
        <w:t xml:space="preserve"> </w:t>
      </w:r>
      <w:r>
        <w:rPr>
          <w:rFonts w:ascii="宋体" w:hAnsi="宋体"/>
          <w:color w:val="auto"/>
          <w:szCs w:val="21"/>
          <w:highlight w:val="none"/>
        </w:rPr>
        <w:t xml:space="preserve"> 号：</w:t>
      </w:r>
      <w:r>
        <w:rPr>
          <w:rFonts w:ascii="宋体" w:hAnsi="宋体"/>
          <w:color w:val="auto"/>
          <w:szCs w:val="21"/>
          <w:highlight w:val="none"/>
          <w:u w:val="single"/>
        </w:rPr>
        <w:t xml:space="preserve">                </w:t>
      </w:r>
      <w:r>
        <w:rPr>
          <w:rFonts w:hint="eastAsia" w:ascii="宋体" w:hAnsi="宋体"/>
          <w:color w:val="auto"/>
          <w:szCs w:val="21"/>
          <w:highlight w:val="none"/>
          <w:u w:val="single"/>
        </w:rPr>
        <w:t xml:space="preserve">  </w:t>
      </w:r>
      <w:r>
        <w:rPr>
          <w:rFonts w:ascii="宋体" w:hAnsi="宋体"/>
          <w:color w:val="auto"/>
          <w:szCs w:val="21"/>
          <w:highlight w:val="none"/>
          <w:u w:val="single"/>
        </w:rPr>
        <w:t xml:space="preserve">  </w:t>
      </w:r>
      <w:r>
        <w:rPr>
          <w:rFonts w:hint="eastAsia" w:ascii="宋体" w:hAnsi="宋体"/>
          <w:color w:val="auto"/>
          <w:szCs w:val="21"/>
          <w:highlight w:val="none"/>
          <w:u w:val="single"/>
        </w:rPr>
        <w:t xml:space="preserve"> </w:t>
      </w:r>
    </w:p>
    <w:p w14:paraId="6525A3C4">
      <w:pPr>
        <w:pStyle w:val="125"/>
        <w:spacing w:line="400" w:lineRule="exact"/>
        <w:rPr>
          <w:rFonts w:ascii="宋体" w:hAnsi="宋体"/>
          <w:color w:val="auto"/>
          <w:szCs w:val="21"/>
          <w:highlight w:val="none"/>
        </w:rPr>
      </w:pPr>
      <w:r>
        <w:rPr>
          <w:rFonts w:ascii="宋体" w:hAnsi="宋体"/>
          <w:color w:val="auto"/>
          <w:szCs w:val="21"/>
          <w:highlight w:val="none"/>
        </w:rPr>
        <w:t>邮政编码：</w:t>
      </w:r>
      <w:r>
        <w:rPr>
          <w:rFonts w:ascii="宋体" w:hAnsi="宋体"/>
          <w:color w:val="auto"/>
          <w:szCs w:val="21"/>
          <w:highlight w:val="none"/>
          <w:u w:val="single"/>
        </w:rPr>
        <w:t xml:space="preserve">                 </w:t>
      </w:r>
      <w:r>
        <w:rPr>
          <w:rFonts w:ascii="宋体" w:hAnsi="宋体"/>
          <w:color w:val="auto"/>
          <w:szCs w:val="21"/>
          <w:highlight w:val="none"/>
        </w:rPr>
        <w:t xml:space="preserve"> 邮政编码：</w:t>
      </w:r>
      <w:r>
        <w:rPr>
          <w:rFonts w:ascii="宋体" w:hAnsi="宋体"/>
          <w:color w:val="auto"/>
          <w:szCs w:val="21"/>
          <w:highlight w:val="none"/>
          <w:u w:val="single"/>
        </w:rPr>
        <w:t xml:space="preserve">                   </w:t>
      </w:r>
    </w:p>
    <w:p w14:paraId="604C0819">
      <w:pPr>
        <w:ind w:firstLine="0" w:firstLineChars="0"/>
        <w:jc w:val="left"/>
        <w:rPr>
          <w:rFonts w:ascii="Times New Roman" w:hAnsi="Times New Roman" w:eastAsia="仿宋_GB2312"/>
          <w:b w:val="0"/>
          <w:color w:val="auto"/>
          <w:highlight w:val="none"/>
        </w:rPr>
      </w:pPr>
      <w:r>
        <w:rPr>
          <w:rFonts w:ascii="Times New Roman" w:hAnsi="Times New Roman" w:eastAsia="仿宋_GB2312"/>
          <w:b w:val="0"/>
          <w:color w:val="auto"/>
          <w:highlight w:val="none"/>
        </w:rPr>
        <w:br w:type="page"/>
      </w:r>
    </w:p>
    <w:p w14:paraId="48DD2015">
      <w:pPr>
        <w:bidi w:val="0"/>
        <w:rPr>
          <w:rFonts w:hint="eastAsia"/>
          <w:color w:val="auto"/>
          <w:highlight w:val="none"/>
          <w:lang w:val="en-US" w:eastAsia="zh-CN"/>
        </w:rPr>
      </w:pPr>
      <w:bookmarkStart w:id="785" w:name="_Toc30365"/>
      <w:r>
        <w:rPr>
          <w:rFonts w:hint="eastAsia"/>
          <w:color w:val="auto"/>
          <w:highlight w:val="none"/>
          <w:lang w:val="en-US" w:eastAsia="zh-CN"/>
        </w:rPr>
        <w:t>附件三：单机调试验收单</w:t>
      </w:r>
      <w:bookmarkEnd w:id="785"/>
    </w:p>
    <w:p w14:paraId="014E0878">
      <w:pPr>
        <w:bidi w:val="0"/>
        <w:jc w:val="center"/>
        <w:rPr>
          <w:rFonts w:hint="eastAsia"/>
          <w:b w:val="0"/>
          <w:bCs w:val="0"/>
          <w:color w:val="auto"/>
          <w:highlight w:val="none"/>
        </w:rPr>
      </w:pPr>
      <w:bookmarkStart w:id="786" w:name="_Toc31924"/>
      <w:r>
        <w:rPr>
          <w:rFonts w:hint="eastAsia"/>
          <w:b w:val="0"/>
          <w:bCs w:val="0"/>
          <w:color w:val="auto"/>
          <w:highlight w:val="none"/>
          <w:lang w:val="en-US" w:eastAsia="zh-CN"/>
        </w:rPr>
        <w:t>单机调试</w:t>
      </w:r>
      <w:r>
        <w:rPr>
          <w:rFonts w:hint="eastAsia"/>
          <w:b w:val="0"/>
          <w:bCs w:val="0"/>
          <w:color w:val="auto"/>
          <w:highlight w:val="none"/>
        </w:rPr>
        <w:t>验收单</w:t>
      </w:r>
      <w:bookmarkEnd w:id="786"/>
    </w:p>
    <w:tbl>
      <w:tblPr>
        <w:tblStyle w:val="40"/>
        <w:tblW w:w="1006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27"/>
        <w:gridCol w:w="3816"/>
        <w:gridCol w:w="1284"/>
        <w:gridCol w:w="2484"/>
      </w:tblGrid>
      <w:tr w14:paraId="24DE09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27" w:type="dxa"/>
            <w:vAlign w:val="center"/>
          </w:tcPr>
          <w:p w14:paraId="50492882">
            <w:pPr>
              <w:spacing w:line="240" w:lineRule="auto"/>
              <w:ind w:firstLine="0" w:firstLineChars="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项目名称</w:t>
            </w:r>
          </w:p>
        </w:tc>
        <w:tc>
          <w:tcPr>
            <w:tcW w:w="3816" w:type="dxa"/>
            <w:vAlign w:val="center"/>
          </w:tcPr>
          <w:p w14:paraId="7867A363">
            <w:pPr>
              <w:spacing w:line="240" w:lineRule="auto"/>
              <w:ind w:firstLine="0" w:firstLineChars="0"/>
              <w:rPr>
                <w:rFonts w:hint="eastAsia" w:ascii="仿宋" w:hAnsi="仿宋" w:eastAsia="仿宋" w:cs="仿宋"/>
                <w:color w:val="auto"/>
                <w:sz w:val="24"/>
                <w:szCs w:val="24"/>
                <w:highlight w:val="none"/>
              </w:rPr>
            </w:pPr>
          </w:p>
        </w:tc>
        <w:tc>
          <w:tcPr>
            <w:tcW w:w="1284" w:type="dxa"/>
            <w:vAlign w:val="center"/>
          </w:tcPr>
          <w:p w14:paraId="57D7542F">
            <w:pPr>
              <w:spacing w:line="240" w:lineRule="auto"/>
              <w:ind w:firstLine="0" w:firstLineChars="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验收日期</w:t>
            </w:r>
          </w:p>
        </w:tc>
        <w:tc>
          <w:tcPr>
            <w:tcW w:w="2484" w:type="dxa"/>
            <w:vAlign w:val="center"/>
          </w:tcPr>
          <w:p w14:paraId="723FAE53">
            <w:pPr>
              <w:spacing w:line="240" w:lineRule="auto"/>
              <w:ind w:firstLine="0" w:firstLineChars="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  年   月   日</w:t>
            </w:r>
          </w:p>
        </w:tc>
      </w:tr>
      <w:tr w14:paraId="49512D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27" w:type="dxa"/>
            <w:vAlign w:val="center"/>
          </w:tcPr>
          <w:p w14:paraId="0331DC45">
            <w:pPr>
              <w:spacing w:line="240" w:lineRule="auto"/>
              <w:ind w:firstLine="0" w:firstLineChars="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建设单位</w:t>
            </w:r>
          </w:p>
        </w:tc>
        <w:tc>
          <w:tcPr>
            <w:tcW w:w="3816" w:type="dxa"/>
            <w:vAlign w:val="center"/>
          </w:tcPr>
          <w:p w14:paraId="569F4636">
            <w:pPr>
              <w:spacing w:line="240" w:lineRule="auto"/>
              <w:ind w:firstLine="0" w:firstLineChars="0"/>
              <w:jc w:val="center"/>
              <w:rPr>
                <w:rFonts w:hint="eastAsia" w:ascii="仿宋" w:hAnsi="仿宋" w:eastAsia="仿宋" w:cs="仿宋"/>
                <w:color w:val="auto"/>
                <w:sz w:val="24"/>
                <w:szCs w:val="24"/>
                <w:highlight w:val="none"/>
              </w:rPr>
            </w:pPr>
          </w:p>
        </w:tc>
        <w:tc>
          <w:tcPr>
            <w:tcW w:w="1284" w:type="dxa"/>
            <w:vAlign w:val="center"/>
          </w:tcPr>
          <w:p w14:paraId="15E9FAEF">
            <w:pPr>
              <w:spacing w:line="240" w:lineRule="auto"/>
              <w:ind w:firstLine="0" w:firstLineChars="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供货单位</w:t>
            </w:r>
          </w:p>
        </w:tc>
        <w:tc>
          <w:tcPr>
            <w:tcW w:w="2484" w:type="dxa"/>
            <w:vAlign w:val="center"/>
          </w:tcPr>
          <w:p w14:paraId="68EEC024">
            <w:pPr>
              <w:spacing w:line="240" w:lineRule="auto"/>
              <w:ind w:firstLine="0" w:firstLineChars="0"/>
              <w:rPr>
                <w:rFonts w:hint="eastAsia" w:ascii="仿宋" w:hAnsi="仿宋" w:eastAsia="仿宋" w:cs="仿宋"/>
                <w:color w:val="auto"/>
                <w:sz w:val="24"/>
                <w:szCs w:val="24"/>
                <w:highlight w:val="none"/>
              </w:rPr>
            </w:pPr>
          </w:p>
        </w:tc>
      </w:tr>
      <w:tr w14:paraId="795DED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5" w:hRule="atLeast"/>
          <w:jc w:val="center"/>
        </w:trPr>
        <w:tc>
          <w:tcPr>
            <w:tcW w:w="9011" w:type="dxa"/>
            <w:gridSpan w:val="4"/>
          </w:tcPr>
          <w:p w14:paraId="47363D2E">
            <w:pPr>
              <w:spacing w:line="240" w:lineRule="auto"/>
              <w:ind w:firstLine="0" w:firstLineChars="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验收清单： </w:t>
            </w:r>
          </w:p>
          <w:p w14:paraId="0C74D1F6">
            <w:pPr>
              <w:ind w:firstLine="0" w:firstLineChars="0"/>
              <w:rPr>
                <w:rFonts w:hint="eastAsia" w:ascii="仿宋" w:hAnsi="仿宋" w:eastAsia="仿宋" w:cs="仿宋"/>
                <w:color w:val="auto"/>
                <w:sz w:val="24"/>
                <w:szCs w:val="24"/>
                <w:highlight w:val="none"/>
              </w:rPr>
            </w:pPr>
          </w:p>
          <w:p w14:paraId="186651E8">
            <w:pPr>
              <w:spacing w:line="240" w:lineRule="auto"/>
              <w:ind w:firstLine="0" w:firstLineChars="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以上设备已完成供货、安装调试。</w:t>
            </w:r>
          </w:p>
        </w:tc>
      </w:tr>
      <w:tr w14:paraId="2FBE97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27" w:type="dxa"/>
            <w:vMerge w:val="restart"/>
            <w:vAlign w:val="center"/>
          </w:tcPr>
          <w:p w14:paraId="27FC7970">
            <w:pPr>
              <w:spacing w:line="240" w:lineRule="auto"/>
              <w:ind w:firstLine="0" w:firstLineChars="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设备资料、安装情况及运行状态</w:t>
            </w:r>
          </w:p>
        </w:tc>
        <w:tc>
          <w:tcPr>
            <w:tcW w:w="7584" w:type="dxa"/>
            <w:gridSpan w:val="3"/>
            <w:vAlign w:val="center"/>
          </w:tcPr>
          <w:p w14:paraId="283A5EED">
            <w:pPr>
              <w:spacing w:line="240" w:lineRule="auto"/>
              <w:ind w:firstLine="0" w:firstLineChars="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设备及其配件资料是否齐全?      1)√是   2)否</w:t>
            </w:r>
          </w:p>
        </w:tc>
      </w:tr>
      <w:tr w14:paraId="584870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1427" w:type="dxa"/>
            <w:vMerge w:val="continue"/>
            <w:vAlign w:val="center"/>
          </w:tcPr>
          <w:p w14:paraId="35B4A034">
            <w:pPr>
              <w:spacing w:line="240" w:lineRule="auto"/>
              <w:ind w:firstLine="0" w:firstLineChars="0"/>
              <w:jc w:val="center"/>
              <w:rPr>
                <w:rFonts w:hint="eastAsia" w:ascii="仿宋" w:hAnsi="仿宋" w:eastAsia="仿宋" w:cs="仿宋"/>
                <w:color w:val="auto"/>
                <w:sz w:val="24"/>
                <w:szCs w:val="24"/>
                <w:highlight w:val="none"/>
              </w:rPr>
            </w:pPr>
          </w:p>
        </w:tc>
        <w:tc>
          <w:tcPr>
            <w:tcW w:w="7584" w:type="dxa"/>
            <w:gridSpan w:val="3"/>
            <w:vAlign w:val="center"/>
          </w:tcPr>
          <w:p w14:paraId="0CD7478F">
            <w:pPr>
              <w:spacing w:line="240" w:lineRule="auto"/>
              <w:ind w:firstLine="0" w:firstLineChars="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设备开电是否正常?              1)√是   2)否</w:t>
            </w:r>
          </w:p>
        </w:tc>
      </w:tr>
      <w:tr w14:paraId="1FDE6A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1427" w:type="dxa"/>
            <w:vMerge w:val="continue"/>
            <w:vAlign w:val="center"/>
          </w:tcPr>
          <w:p w14:paraId="303B9950">
            <w:pPr>
              <w:spacing w:line="240" w:lineRule="auto"/>
              <w:ind w:firstLine="0" w:firstLineChars="0"/>
              <w:jc w:val="center"/>
              <w:rPr>
                <w:rFonts w:hint="eastAsia" w:ascii="仿宋" w:hAnsi="仿宋" w:eastAsia="仿宋" w:cs="仿宋"/>
                <w:color w:val="auto"/>
                <w:sz w:val="24"/>
                <w:szCs w:val="24"/>
                <w:highlight w:val="none"/>
              </w:rPr>
            </w:pPr>
          </w:p>
        </w:tc>
        <w:tc>
          <w:tcPr>
            <w:tcW w:w="7584" w:type="dxa"/>
            <w:gridSpan w:val="3"/>
            <w:vAlign w:val="center"/>
          </w:tcPr>
          <w:p w14:paraId="75E60B48">
            <w:pPr>
              <w:spacing w:line="240" w:lineRule="auto"/>
              <w:ind w:firstLine="0" w:firstLineChars="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设备安装是否正常运行?          1)√是   2)否</w:t>
            </w:r>
          </w:p>
        </w:tc>
      </w:tr>
      <w:tr w14:paraId="2DA945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1" w:hRule="atLeast"/>
          <w:jc w:val="center"/>
        </w:trPr>
        <w:tc>
          <w:tcPr>
            <w:tcW w:w="1427" w:type="dxa"/>
            <w:vMerge w:val="continue"/>
            <w:vAlign w:val="center"/>
          </w:tcPr>
          <w:p w14:paraId="12D8A9F4">
            <w:pPr>
              <w:spacing w:line="240" w:lineRule="auto"/>
              <w:ind w:firstLine="0" w:firstLineChars="0"/>
              <w:jc w:val="center"/>
              <w:rPr>
                <w:rFonts w:hint="eastAsia" w:ascii="仿宋" w:hAnsi="仿宋" w:eastAsia="仿宋" w:cs="仿宋"/>
                <w:color w:val="auto"/>
                <w:sz w:val="24"/>
                <w:szCs w:val="24"/>
                <w:highlight w:val="none"/>
              </w:rPr>
            </w:pPr>
          </w:p>
        </w:tc>
        <w:tc>
          <w:tcPr>
            <w:tcW w:w="7584" w:type="dxa"/>
            <w:gridSpan w:val="3"/>
            <w:vAlign w:val="center"/>
          </w:tcPr>
          <w:p w14:paraId="38C5A408">
            <w:pPr>
              <w:spacing w:line="240" w:lineRule="auto"/>
              <w:ind w:firstLine="0" w:firstLineChars="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调试是否正常?                  1)√是   2)否</w:t>
            </w:r>
          </w:p>
        </w:tc>
      </w:tr>
      <w:tr w14:paraId="285C46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6" w:hRule="atLeast"/>
          <w:jc w:val="center"/>
        </w:trPr>
        <w:tc>
          <w:tcPr>
            <w:tcW w:w="1427" w:type="dxa"/>
            <w:vAlign w:val="center"/>
          </w:tcPr>
          <w:p w14:paraId="6DE3E14F">
            <w:pPr>
              <w:ind w:firstLine="48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申请单位（盖章）：</w:t>
            </w:r>
          </w:p>
          <w:p w14:paraId="2FA58FCD">
            <w:pPr>
              <w:ind w:firstLine="480"/>
              <w:rPr>
                <w:rFonts w:hint="eastAsia" w:ascii="仿宋" w:hAnsi="仿宋" w:eastAsia="仿宋" w:cs="仿宋"/>
                <w:color w:val="auto"/>
                <w:sz w:val="24"/>
                <w:szCs w:val="24"/>
                <w:highlight w:val="none"/>
              </w:rPr>
            </w:pPr>
          </w:p>
          <w:p w14:paraId="4DE32195">
            <w:pPr>
              <w:ind w:firstLine="480"/>
              <w:rPr>
                <w:rFonts w:hint="eastAsia" w:ascii="仿宋" w:hAnsi="仿宋" w:eastAsia="仿宋" w:cs="仿宋"/>
                <w:color w:val="auto"/>
                <w:sz w:val="24"/>
                <w:szCs w:val="24"/>
                <w:highlight w:val="none"/>
              </w:rPr>
            </w:pPr>
          </w:p>
          <w:p w14:paraId="003E55A4">
            <w:pPr>
              <w:ind w:firstLine="480"/>
              <w:rPr>
                <w:rFonts w:hint="eastAsia" w:ascii="仿宋" w:hAnsi="仿宋" w:eastAsia="仿宋" w:cs="仿宋"/>
                <w:color w:val="auto"/>
                <w:sz w:val="24"/>
                <w:szCs w:val="24"/>
                <w:highlight w:val="none"/>
              </w:rPr>
            </w:pPr>
          </w:p>
          <w:p w14:paraId="679E2C6C">
            <w:pPr>
              <w:ind w:firstLine="480"/>
              <w:rPr>
                <w:rFonts w:hint="eastAsia" w:ascii="仿宋" w:hAnsi="仿宋" w:eastAsia="仿宋" w:cs="仿宋"/>
                <w:color w:val="auto"/>
                <w:sz w:val="24"/>
                <w:szCs w:val="24"/>
                <w:highlight w:val="none"/>
              </w:rPr>
            </w:pPr>
          </w:p>
          <w:p w14:paraId="50717F90">
            <w:pPr>
              <w:ind w:firstLine="2640" w:firstLineChars="11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年   月   日</w:t>
            </w:r>
          </w:p>
        </w:tc>
        <w:tc>
          <w:tcPr>
            <w:tcW w:w="7584" w:type="dxa"/>
            <w:gridSpan w:val="3"/>
            <w:vAlign w:val="center"/>
          </w:tcPr>
          <w:p w14:paraId="5AC50C73">
            <w:pPr>
              <w:ind w:right="1120" w:firstLine="48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验收单位（盖章）：</w:t>
            </w:r>
          </w:p>
          <w:p w14:paraId="597299E1">
            <w:pPr>
              <w:ind w:right="1120" w:firstLine="480"/>
              <w:rPr>
                <w:rFonts w:hint="eastAsia" w:ascii="仿宋" w:hAnsi="仿宋" w:eastAsia="仿宋" w:cs="仿宋"/>
                <w:color w:val="auto"/>
                <w:sz w:val="24"/>
                <w:szCs w:val="24"/>
                <w:highlight w:val="none"/>
              </w:rPr>
            </w:pPr>
          </w:p>
          <w:p w14:paraId="1F1CC600">
            <w:pPr>
              <w:ind w:right="1120" w:firstLine="480"/>
              <w:rPr>
                <w:rFonts w:hint="eastAsia" w:ascii="仿宋" w:hAnsi="仿宋" w:eastAsia="仿宋" w:cs="仿宋"/>
                <w:color w:val="auto"/>
                <w:sz w:val="24"/>
                <w:szCs w:val="24"/>
                <w:highlight w:val="none"/>
              </w:rPr>
            </w:pPr>
          </w:p>
          <w:p w14:paraId="27702959">
            <w:pPr>
              <w:ind w:right="1120" w:firstLine="480"/>
              <w:rPr>
                <w:rFonts w:hint="eastAsia" w:ascii="仿宋" w:hAnsi="仿宋" w:eastAsia="仿宋" w:cs="仿宋"/>
                <w:color w:val="auto"/>
                <w:sz w:val="24"/>
                <w:szCs w:val="24"/>
                <w:highlight w:val="none"/>
              </w:rPr>
            </w:pPr>
          </w:p>
          <w:p w14:paraId="2F464C4A">
            <w:pPr>
              <w:ind w:firstLine="360" w:firstLineChars="150"/>
              <w:jc w:val="right"/>
              <w:rPr>
                <w:rFonts w:hint="eastAsia" w:ascii="仿宋" w:hAnsi="仿宋" w:eastAsia="仿宋" w:cs="仿宋"/>
                <w:color w:val="auto"/>
                <w:sz w:val="24"/>
                <w:szCs w:val="24"/>
                <w:highlight w:val="none"/>
              </w:rPr>
            </w:pPr>
          </w:p>
          <w:p w14:paraId="179DE6C0">
            <w:pPr>
              <w:ind w:firstLine="360" w:firstLineChars="15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         年   月   日</w:t>
            </w:r>
          </w:p>
        </w:tc>
      </w:tr>
    </w:tbl>
    <w:p w14:paraId="2759F2E6">
      <w:pPr>
        <w:ind w:firstLine="240" w:firstLineChars="1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本</w:t>
      </w:r>
      <w:r>
        <w:rPr>
          <w:rFonts w:hint="eastAsia" w:ascii="仿宋" w:hAnsi="仿宋" w:eastAsia="仿宋" w:cs="仿宋"/>
          <w:color w:val="auto"/>
          <w:sz w:val="24"/>
          <w:szCs w:val="24"/>
          <w:highlight w:val="none"/>
        </w:rPr>
        <w:t>验收单一式两份，双方各一份。</w:t>
      </w:r>
    </w:p>
    <w:p w14:paraId="53945B44">
      <w:pPr>
        <w:ind w:firstLine="480"/>
        <w:rPr>
          <w:color w:val="auto"/>
          <w:highlight w:val="none"/>
        </w:rPr>
      </w:pPr>
    </w:p>
    <w:p w14:paraId="6947EE20">
      <w:pPr>
        <w:pStyle w:val="2"/>
        <w:rPr>
          <w:rFonts w:hint="eastAsia"/>
          <w:color w:val="auto"/>
          <w:highlight w:val="none"/>
        </w:rPr>
        <w:sectPr>
          <w:footerReference r:id="rId16" w:type="first"/>
          <w:headerReference r:id="rId14" w:type="default"/>
          <w:footerReference r:id="rId15" w:type="default"/>
          <w:pgSz w:w="11906" w:h="16838"/>
          <w:pgMar w:top="1418" w:right="1555" w:bottom="1418" w:left="1531" w:header="851" w:footer="992" w:gutter="0"/>
          <w:pgNumType w:fmt="decimal"/>
          <w:cols w:space="720" w:num="1"/>
          <w:titlePg/>
          <w:docGrid w:type="lines" w:linePitch="312" w:charSpace="0"/>
        </w:sectPr>
      </w:pPr>
    </w:p>
    <w:p w14:paraId="3F2E6C2B">
      <w:pPr>
        <w:pStyle w:val="95"/>
        <w:spacing w:line="360" w:lineRule="auto"/>
        <w:ind w:firstLine="803" w:firstLineChars="200"/>
        <w:jc w:val="left"/>
        <w:rPr>
          <w:rFonts w:hint="eastAsia" w:ascii="仿宋" w:hAnsi="仿宋" w:eastAsia="仿宋" w:cs="仿宋"/>
          <w:b/>
          <w:bCs/>
          <w:color w:val="auto"/>
          <w:spacing w:val="-20"/>
          <w:sz w:val="44"/>
          <w:szCs w:val="44"/>
          <w:highlight w:val="none"/>
          <w:lang w:val="zh-TW"/>
        </w:rPr>
      </w:pPr>
    </w:p>
    <w:p w14:paraId="6FFA4C16">
      <w:pPr>
        <w:spacing w:line="600" w:lineRule="exact"/>
        <w:jc w:val="left"/>
        <w:rPr>
          <w:rFonts w:hint="eastAsia" w:ascii="仿宋" w:hAnsi="仿宋" w:eastAsia="仿宋" w:cs="仿宋"/>
          <w:color w:val="auto"/>
          <w:highlight w:val="none"/>
        </w:rPr>
      </w:pPr>
    </w:p>
    <w:p w14:paraId="597CFC3A">
      <w:pPr>
        <w:pStyle w:val="3"/>
        <w:jc w:val="left"/>
        <w:rPr>
          <w:rFonts w:hint="eastAsia" w:ascii="仿宋" w:hAnsi="仿宋" w:eastAsia="仿宋" w:cs="仿宋"/>
          <w:color w:val="auto"/>
          <w:highlight w:val="none"/>
        </w:rPr>
      </w:pPr>
      <w:bookmarkStart w:id="787" w:name="_Toc152045772"/>
      <w:bookmarkEnd w:id="787"/>
      <w:bookmarkStart w:id="788" w:name="_Toc144974834"/>
      <w:bookmarkEnd w:id="788"/>
      <w:bookmarkStart w:id="789" w:name="_Toc247514202"/>
      <w:bookmarkEnd w:id="789"/>
      <w:bookmarkStart w:id="790" w:name="_Toc152042554"/>
      <w:bookmarkEnd w:id="790"/>
      <w:bookmarkStart w:id="791" w:name="_Toc247527803"/>
      <w:bookmarkEnd w:id="791"/>
    </w:p>
    <w:p w14:paraId="26B71F87">
      <w:pPr>
        <w:spacing w:line="400" w:lineRule="exact"/>
        <w:jc w:val="left"/>
        <w:rPr>
          <w:rFonts w:hint="eastAsia" w:ascii="仿宋" w:hAnsi="仿宋" w:eastAsia="仿宋" w:cs="仿宋"/>
          <w:color w:val="auto"/>
          <w:sz w:val="44"/>
          <w:szCs w:val="44"/>
          <w:highlight w:val="none"/>
        </w:rPr>
      </w:pPr>
    </w:p>
    <w:p w14:paraId="2F4F5F3A">
      <w:pPr>
        <w:pStyle w:val="3"/>
        <w:jc w:val="center"/>
        <w:rPr>
          <w:rFonts w:hint="eastAsia" w:ascii="仿宋" w:hAnsi="仿宋" w:eastAsia="仿宋" w:cs="仿宋"/>
          <w:color w:val="auto"/>
          <w:highlight w:val="none"/>
        </w:rPr>
      </w:pPr>
      <w:bookmarkStart w:id="792" w:name="_Toc247514232"/>
      <w:bookmarkStart w:id="793" w:name="_Toc247527819"/>
      <w:bookmarkStart w:id="794" w:name="_Toc106998204"/>
      <w:r>
        <w:rPr>
          <w:rFonts w:hint="eastAsia" w:ascii="仿宋" w:hAnsi="仿宋" w:eastAsia="仿宋" w:cs="仿宋"/>
          <w:color w:val="auto"/>
          <w:sz w:val="44"/>
          <w:szCs w:val="44"/>
          <w:highlight w:val="none"/>
        </w:rPr>
        <w:t>第二卷</w:t>
      </w:r>
      <w:bookmarkEnd w:id="792"/>
      <w:bookmarkEnd w:id="793"/>
      <w:bookmarkEnd w:id="794"/>
      <w:r>
        <w:rPr>
          <w:rFonts w:hint="eastAsia" w:ascii="仿宋" w:hAnsi="仿宋" w:eastAsia="仿宋" w:cs="仿宋"/>
          <w:color w:val="auto"/>
          <w:highlight w:val="none"/>
        </w:rPr>
        <w:br w:type="page"/>
      </w:r>
    </w:p>
    <w:p w14:paraId="6A312A9A">
      <w:pPr>
        <w:spacing w:line="440" w:lineRule="exact"/>
        <w:jc w:val="left"/>
        <w:rPr>
          <w:rFonts w:hint="eastAsia" w:ascii="仿宋" w:hAnsi="仿宋" w:eastAsia="仿宋" w:cs="仿宋"/>
          <w:color w:val="auto"/>
          <w:sz w:val="20"/>
          <w:szCs w:val="20"/>
          <w:highlight w:val="none"/>
        </w:rPr>
      </w:pPr>
    </w:p>
    <w:p w14:paraId="355AF84B">
      <w:pPr>
        <w:spacing w:line="440" w:lineRule="exact"/>
        <w:jc w:val="left"/>
        <w:rPr>
          <w:rFonts w:hint="eastAsia" w:ascii="仿宋" w:hAnsi="仿宋" w:eastAsia="仿宋" w:cs="仿宋"/>
          <w:color w:val="auto"/>
          <w:sz w:val="20"/>
          <w:szCs w:val="20"/>
          <w:highlight w:val="none"/>
        </w:rPr>
      </w:pPr>
    </w:p>
    <w:p w14:paraId="42CD23FB">
      <w:pPr>
        <w:spacing w:line="440" w:lineRule="exact"/>
        <w:jc w:val="left"/>
        <w:rPr>
          <w:rFonts w:hint="eastAsia" w:ascii="仿宋" w:hAnsi="仿宋" w:eastAsia="仿宋" w:cs="仿宋"/>
          <w:color w:val="auto"/>
          <w:sz w:val="20"/>
          <w:szCs w:val="20"/>
          <w:highlight w:val="none"/>
        </w:rPr>
      </w:pPr>
    </w:p>
    <w:p w14:paraId="6D513761">
      <w:pPr>
        <w:pStyle w:val="3"/>
        <w:jc w:val="center"/>
        <w:rPr>
          <w:rFonts w:hint="eastAsia" w:ascii="仿宋" w:hAnsi="仿宋" w:eastAsia="仿宋" w:cs="仿宋"/>
          <w:color w:val="auto"/>
          <w:sz w:val="44"/>
          <w:szCs w:val="44"/>
          <w:highlight w:val="none"/>
        </w:rPr>
      </w:pPr>
      <w:bookmarkStart w:id="795" w:name="_Toc152045782"/>
      <w:bookmarkStart w:id="796" w:name="_Toc247514233"/>
      <w:bookmarkStart w:id="797" w:name="_Toc144974851"/>
      <w:bookmarkStart w:id="798" w:name="_Toc152042571"/>
      <w:bookmarkStart w:id="799" w:name="_Toc247527820"/>
      <w:bookmarkStart w:id="800" w:name="_Toc106998205"/>
      <w:r>
        <w:rPr>
          <w:rFonts w:hint="eastAsia" w:ascii="仿宋" w:hAnsi="仿宋" w:eastAsia="仿宋" w:cs="仿宋"/>
          <w:color w:val="auto"/>
          <w:sz w:val="44"/>
          <w:szCs w:val="44"/>
          <w:highlight w:val="none"/>
        </w:rPr>
        <w:t>第五章</w:t>
      </w:r>
      <w:bookmarkEnd w:id="795"/>
      <w:bookmarkEnd w:id="796"/>
      <w:bookmarkEnd w:id="797"/>
      <w:bookmarkEnd w:id="798"/>
      <w:bookmarkEnd w:id="799"/>
      <w:r>
        <w:rPr>
          <w:rFonts w:hint="eastAsia" w:ascii="仿宋" w:hAnsi="仿宋" w:eastAsia="仿宋" w:cs="仿宋"/>
          <w:color w:val="auto"/>
          <w:sz w:val="44"/>
          <w:szCs w:val="44"/>
          <w:highlight w:val="none"/>
        </w:rPr>
        <w:t>发包人要求</w:t>
      </w:r>
      <w:bookmarkEnd w:id="800"/>
    </w:p>
    <w:p w14:paraId="4B81925E">
      <w:pPr>
        <w:topLinePunct/>
        <w:spacing w:line="440" w:lineRule="exact"/>
        <w:jc w:val="left"/>
        <w:rPr>
          <w:rFonts w:hint="eastAsia" w:ascii="仿宋" w:hAnsi="仿宋" w:eastAsia="仿宋" w:cs="仿宋"/>
          <w:color w:val="auto"/>
          <w:highlight w:val="none"/>
        </w:rPr>
      </w:pPr>
    </w:p>
    <w:p w14:paraId="1408DE65">
      <w:pPr>
        <w:spacing w:line="400" w:lineRule="exact"/>
        <w:jc w:val="left"/>
        <w:rPr>
          <w:rFonts w:hint="eastAsia" w:ascii="仿宋" w:hAnsi="仿宋" w:eastAsia="仿宋" w:cs="仿宋"/>
          <w:color w:val="auto"/>
          <w:highlight w:val="none"/>
        </w:rPr>
      </w:pPr>
      <w:r>
        <w:rPr>
          <w:rFonts w:hint="eastAsia" w:ascii="仿宋" w:hAnsi="仿宋" w:eastAsia="仿宋" w:cs="仿宋"/>
          <w:color w:val="auto"/>
          <w:highlight w:val="none"/>
        </w:rPr>
        <w:br w:type="page"/>
      </w:r>
    </w:p>
    <w:p w14:paraId="33B065F4">
      <w:pPr>
        <w:pStyle w:val="114"/>
        <w:spacing w:after="156" w:line="300" w:lineRule="auto"/>
        <w:jc w:val="center"/>
        <w:outlineLvl w:val="2"/>
        <w:rPr>
          <w:rFonts w:hint="eastAsia" w:ascii="仿宋" w:hAnsi="仿宋" w:eastAsia="仿宋" w:cs="仿宋"/>
          <w:b/>
          <w:color w:val="auto"/>
          <w:sz w:val="44"/>
          <w:szCs w:val="44"/>
          <w:highlight w:val="none"/>
        </w:rPr>
      </w:pPr>
      <w:bookmarkStart w:id="801" w:name="_Toc106998206"/>
      <w:bookmarkStart w:id="802" w:name="_Toc291521144"/>
      <w:bookmarkStart w:id="803" w:name="_Toc462646847"/>
      <w:bookmarkStart w:id="804" w:name="_Toc465772417"/>
      <w:bookmarkStart w:id="805" w:name="_Toc424651498"/>
      <w:bookmarkStart w:id="806" w:name="_Toc286239579"/>
      <w:r>
        <w:rPr>
          <w:rFonts w:hint="eastAsia" w:ascii="仿宋" w:hAnsi="仿宋" w:eastAsia="仿宋" w:cs="仿宋"/>
          <w:b/>
          <w:color w:val="auto"/>
          <w:sz w:val="44"/>
          <w:szCs w:val="44"/>
          <w:highlight w:val="none"/>
        </w:rPr>
        <w:t>第一节一般要求</w:t>
      </w:r>
      <w:bookmarkEnd w:id="801"/>
      <w:bookmarkEnd w:id="802"/>
      <w:bookmarkEnd w:id="803"/>
      <w:bookmarkEnd w:id="804"/>
      <w:bookmarkEnd w:id="805"/>
      <w:bookmarkEnd w:id="806"/>
    </w:p>
    <w:p w14:paraId="2D20BACB">
      <w:pPr>
        <w:pStyle w:val="114"/>
        <w:adjustRightInd w:val="0"/>
        <w:snapToGrid w:val="0"/>
        <w:spacing w:line="360" w:lineRule="auto"/>
        <w:jc w:val="left"/>
        <w:rPr>
          <w:rFonts w:hint="eastAsia" w:ascii="仿宋" w:hAnsi="仿宋" w:eastAsia="仿宋" w:cs="仿宋"/>
          <w:color w:val="auto"/>
          <w:kern w:val="2"/>
          <w:sz w:val="21"/>
          <w:highlight w:val="none"/>
        </w:rPr>
      </w:pPr>
      <w:r>
        <w:rPr>
          <w:rFonts w:hint="eastAsia" w:ascii="仿宋" w:hAnsi="仿宋" w:eastAsia="仿宋" w:cs="仿宋"/>
          <w:color w:val="auto"/>
          <w:kern w:val="2"/>
          <w:sz w:val="21"/>
          <w:highlight w:val="none"/>
        </w:rPr>
        <w:t>1. 工程说明</w:t>
      </w:r>
    </w:p>
    <w:p w14:paraId="1EE142E4">
      <w:pPr>
        <w:pStyle w:val="114"/>
        <w:adjustRightInd w:val="0"/>
        <w:snapToGrid w:val="0"/>
        <w:spacing w:line="360" w:lineRule="auto"/>
        <w:jc w:val="left"/>
        <w:rPr>
          <w:rFonts w:hint="eastAsia" w:ascii="仿宋" w:hAnsi="仿宋" w:eastAsia="仿宋" w:cs="仿宋"/>
          <w:bCs/>
          <w:color w:val="auto"/>
          <w:kern w:val="2"/>
          <w:sz w:val="21"/>
          <w:szCs w:val="21"/>
          <w:highlight w:val="none"/>
        </w:rPr>
      </w:pPr>
      <w:r>
        <w:rPr>
          <w:rFonts w:hint="eastAsia" w:ascii="仿宋" w:hAnsi="仿宋" w:eastAsia="仿宋" w:cs="仿宋"/>
          <w:bCs/>
          <w:color w:val="auto"/>
          <w:kern w:val="2"/>
          <w:sz w:val="21"/>
          <w:szCs w:val="21"/>
          <w:highlight w:val="none"/>
        </w:rPr>
        <w:t>1.1</w:t>
      </w:r>
      <w:r>
        <w:rPr>
          <w:rFonts w:hint="eastAsia" w:ascii="仿宋" w:hAnsi="仿宋" w:eastAsia="仿宋" w:cs="仿宋"/>
          <w:bCs/>
          <w:color w:val="auto"/>
          <w:kern w:val="2"/>
          <w:sz w:val="21"/>
          <w:szCs w:val="21"/>
          <w:highlight w:val="none"/>
        </w:rPr>
        <w:tab/>
      </w:r>
      <w:r>
        <w:rPr>
          <w:rFonts w:hint="eastAsia" w:ascii="仿宋" w:hAnsi="仿宋" w:eastAsia="仿宋" w:cs="仿宋"/>
          <w:bCs/>
          <w:color w:val="auto"/>
          <w:kern w:val="2"/>
          <w:sz w:val="21"/>
          <w:szCs w:val="21"/>
          <w:highlight w:val="none"/>
        </w:rPr>
        <w:t>工程概况</w:t>
      </w:r>
    </w:p>
    <w:p w14:paraId="6788D5A0">
      <w:pPr>
        <w:adjustRightInd w:val="0"/>
        <w:snapToGrid w:val="0"/>
        <w:spacing w:line="360" w:lineRule="auto"/>
        <w:jc w:val="left"/>
        <w:rPr>
          <w:rFonts w:hint="eastAsia" w:ascii="仿宋" w:hAnsi="仿宋" w:eastAsia="仿宋" w:cs="仿宋"/>
          <w:color w:val="auto"/>
          <w:szCs w:val="21"/>
          <w:highlight w:val="none"/>
        </w:rPr>
      </w:pPr>
      <w:r>
        <w:rPr>
          <w:rFonts w:hint="eastAsia" w:ascii="仿宋" w:hAnsi="仿宋" w:eastAsia="仿宋" w:cs="仿宋"/>
          <w:bCs/>
          <w:color w:val="auto"/>
          <w:szCs w:val="21"/>
          <w:highlight w:val="none"/>
        </w:rPr>
        <w:t>1.1.1项目背景：详见初步设计。</w:t>
      </w:r>
    </w:p>
    <w:p w14:paraId="3F5AE558">
      <w:pPr>
        <w:pStyle w:val="115"/>
        <w:snapToGrid/>
        <w:ind w:firstLine="0" w:firstLineChars="0"/>
        <w:jc w:val="left"/>
        <w:rPr>
          <w:rFonts w:hint="eastAsia" w:ascii="仿宋" w:hAnsi="仿宋" w:eastAsia="仿宋" w:cs="仿宋"/>
          <w:bCs/>
          <w:color w:val="auto"/>
          <w:sz w:val="21"/>
          <w:szCs w:val="21"/>
          <w:highlight w:val="none"/>
        </w:rPr>
      </w:pPr>
      <w:r>
        <w:rPr>
          <w:rFonts w:hint="eastAsia" w:ascii="仿宋" w:hAnsi="仿宋" w:eastAsia="仿宋" w:cs="仿宋"/>
          <w:bCs/>
          <w:color w:val="auto"/>
          <w:sz w:val="21"/>
          <w:szCs w:val="21"/>
          <w:highlight w:val="none"/>
        </w:rPr>
        <w:t>1.1.2本工程施工场地（现场）具体地理位置信息投标人可通过现场踏勘取得相关资料。</w:t>
      </w:r>
    </w:p>
    <w:p w14:paraId="17C1420C">
      <w:pPr>
        <w:pStyle w:val="114"/>
        <w:adjustRightInd w:val="0"/>
        <w:snapToGrid w:val="0"/>
        <w:spacing w:line="360" w:lineRule="auto"/>
        <w:jc w:val="left"/>
        <w:rPr>
          <w:rFonts w:hint="eastAsia" w:ascii="仿宋" w:hAnsi="仿宋" w:eastAsia="仿宋" w:cs="仿宋"/>
          <w:bCs/>
          <w:color w:val="auto"/>
          <w:kern w:val="2"/>
          <w:sz w:val="21"/>
          <w:szCs w:val="21"/>
          <w:highlight w:val="none"/>
        </w:rPr>
      </w:pPr>
      <w:r>
        <w:rPr>
          <w:rFonts w:hint="eastAsia" w:ascii="仿宋" w:hAnsi="仿宋" w:eastAsia="仿宋" w:cs="仿宋"/>
          <w:bCs/>
          <w:color w:val="auto"/>
          <w:kern w:val="2"/>
          <w:sz w:val="21"/>
          <w:szCs w:val="21"/>
          <w:highlight w:val="none"/>
        </w:rPr>
        <w:t>1.1.3本技术要求是对本次招标内容的最低限度要求，并未对一切技术细节做出规定，投标人必须对有关国家、行业或地方的规程、规范和标准都要满足。</w:t>
      </w:r>
    </w:p>
    <w:p w14:paraId="1739CE66">
      <w:pPr>
        <w:pStyle w:val="114"/>
        <w:adjustRightInd w:val="0"/>
        <w:snapToGrid w:val="0"/>
        <w:spacing w:line="360" w:lineRule="auto"/>
        <w:jc w:val="left"/>
        <w:rPr>
          <w:rFonts w:hint="eastAsia" w:ascii="仿宋" w:hAnsi="仿宋" w:eastAsia="仿宋" w:cs="仿宋"/>
          <w:bCs/>
          <w:color w:val="auto"/>
          <w:kern w:val="2"/>
          <w:sz w:val="21"/>
          <w:szCs w:val="21"/>
          <w:highlight w:val="none"/>
        </w:rPr>
      </w:pPr>
      <w:r>
        <w:rPr>
          <w:rFonts w:hint="eastAsia" w:ascii="仿宋" w:hAnsi="仿宋" w:eastAsia="仿宋" w:cs="仿宋"/>
          <w:bCs/>
          <w:color w:val="auto"/>
          <w:kern w:val="2"/>
          <w:sz w:val="21"/>
          <w:szCs w:val="21"/>
          <w:highlight w:val="none"/>
        </w:rPr>
        <w:t>1.2</w:t>
      </w:r>
      <w:r>
        <w:rPr>
          <w:rFonts w:hint="eastAsia" w:ascii="仿宋" w:hAnsi="仿宋" w:eastAsia="仿宋" w:cs="仿宋"/>
          <w:bCs/>
          <w:color w:val="auto"/>
          <w:kern w:val="2"/>
          <w:sz w:val="21"/>
          <w:szCs w:val="21"/>
          <w:highlight w:val="none"/>
        </w:rPr>
        <w:tab/>
      </w:r>
      <w:r>
        <w:rPr>
          <w:rFonts w:hint="eastAsia" w:ascii="仿宋" w:hAnsi="仿宋" w:eastAsia="仿宋" w:cs="仿宋"/>
          <w:bCs/>
          <w:color w:val="auto"/>
          <w:kern w:val="2"/>
          <w:sz w:val="21"/>
          <w:szCs w:val="21"/>
          <w:highlight w:val="none"/>
        </w:rPr>
        <w:t>现场条件和周围环境</w:t>
      </w:r>
    </w:p>
    <w:p w14:paraId="6C5EFE09">
      <w:pPr>
        <w:pStyle w:val="114"/>
        <w:adjustRightInd w:val="0"/>
        <w:snapToGrid w:val="0"/>
        <w:spacing w:line="360" w:lineRule="auto"/>
        <w:jc w:val="left"/>
        <w:rPr>
          <w:rFonts w:hint="eastAsia" w:ascii="仿宋" w:hAnsi="仿宋" w:eastAsia="仿宋" w:cs="仿宋"/>
          <w:bCs/>
          <w:color w:val="auto"/>
          <w:kern w:val="2"/>
          <w:sz w:val="21"/>
          <w:szCs w:val="21"/>
          <w:highlight w:val="none"/>
        </w:rPr>
      </w:pPr>
      <w:r>
        <w:rPr>
          <w:rFonts w:hint="eastAsia" w:ascii="仿宋" w:hAnsi="仿宋" w:eastAsia="仿宋" w:cs="仿宋"/>
          <w:bCs/>
          <w:color w:val="auto"/>
          <w:kern w:val="2"/>
          <w:sz w:val="21"/>
          <w:szCs w:val="21"/>
          <w:highlight w:val="none"/>
        </w:rPr>
        <w:t>1.2.1</w:t>
      </w:r>
      <w:r>
        <w:rPr>
          <w:rFonts w:hint="eastAsia" w:ascii="仿宋" w:hAnsi="仿宋" w:eastAsia="仿宋" w:cs="仿宋"/>
          <w:bCs/>
          <w:color w:val="auto"/>
          <w:kern w:val="2"/>
          <w:sz w:val="21"/>
          <w:szCs w:val="21"/>
          <w:highlight w:val="none"/>
        </w:rPr>
        <w:tab/>
      </w:r>
      <w:r>
        <w:rPr>
          <w:rFonts w:hint="eastAsia" w:ascii="仿宋" w:hAnsi="仿宋" w:eastAsia="仿宋" w:cs="仿宋"/>
          <w:bCs/>
          <w:color w:val="auto"/>
          <w:kern w:val="2"/>
          <w:sz w:val="21"/>
          <w:szCs w:val="21"/>
          <w:highlight w:val="none"/>
        </w:rPr>
        <w:t>本工程施工场地（现场）已经具备施工条件。</w:t>
      </w:r>
    </w:p>
    <w:p w14:paraId="71526026">
      <w:pPr>
        <w:pStyle w:val="114"/>
        <w:adjustRightInd w:val="0"/>
        <w:snapToGrid w:val="0"/>
        <w:spacing w:line="360" w:lineRule="auto"/>
        <w:jc w:val="left"/>
        <w:rPr>
          <w:rFonts w:hint="eastAsia" w:ascii="仿宋" w:hAnsi="仿宋" w:eastAsia="仿宋" w:cs="仿宋"/>
          <w:bCs/>
          <w:color w:val="auto"/>
          <w:kern w:val="2"/>
          <w:sz w:val="21"/>
          <w:szCs w:val="21"/>
          <w:highlight w:val="none"/>
        </w:rPr>
      </w:pPr>
      <w:r>
        <w:rPr>
          <w:rFonts w:hint="eastAsia" w:ascii="仿宋" w:hAnsi="仿宋" w:eastAsia="仿宋" w:cs="仿宋"/>
          <w:bCs/>
          <w:color w:val="auto"/>
          <w:kern w:val="2"/>
          <w:sz w:val="21"/>
          <w:szCs w:val="21"/>
          <w:highlight w:val="none"/>
        </w:rPr>
        <w:t>1.2.2</w:t>
      </w:r>
      <w:r>
        <w:rPr>
          <w:rFonts w:hint="eastAsia" w:ascii="仿宋" w:hAnsi="仿宋" w:eastAsia="仿宋" w:cs="仿宋"/>
          <w:bCs/>
          <w:color w:val="auto"/>
          <w:kern w:val="2"/>
          <w:sz w:val="21"/>
          <w:szCs w:val="21"/>
          <w:highlight w:val="none"/>
        </w:rPr>
        <w:tab/>
      </w:r>
      <w:r>
        <w:rPr>
          <w:rFonts w:hint="eastAsia" w:ascii="仿宋" w:hAnsi="仿宋" w:eastAsia="仿宋" w:cs="仿宋"/>
          <w:bCs/>
          <w:color w:val="auto"/>
          <w:kern w:val="2"/>
          <w:sz w:val="21"/>
          <w:szCs w:val="21"/>
          <w:highlight w:val="none"/>
        </w:rPr>
        <w:t>施工场地（现场）临时供水管径</w:t>
      </w:r>
      <w:r>
        <w:rPr>
          <w:rFonts w:hint="eastAsia" w:ascii="仿宋" w:hAnsi="仿宋" w:eastAsia="仿宋" w:cs="仿宋"/>
          <w:bCs/>
          <w:color w:val="auto"/>
          <w:kern w:val="2"/>
          <w:sz w:val="21"/>
          <w:szCs w:val="21"/>
          <w:highlight w:val="none"/>
          <w:u w:val="single"/>
        </w:rPr>
        <w:t>以现场踏勘为准</w:t>
      </w:r>
      <w:r>
        <w:rPr>
          <w:rFonts w:hint="eastAsia" w:ascii="仿宋" w:hAnsi="仿宋" w:eastAsia="仿宋" w:cs="仿宋"/>
          <w:bCs/>
          <w:color w:val="auto"/>
          <w:kern w:val="2"/>
          <w:sz w:val="21"/>
          <w:szCs w:val="21"/>
          <w:highlight w:val="none"/>
        </w:rPr>
        <w:t>。</w:t>
      </w:r>
    </w:p>
    <w:p w14:paraId="570E4F3C">
      <w:pPr>
        <w:pStyle w:val="114"/>
        <w:adjustRightInd w:val="0"/>
        <w:snapToGrid w:val="0"/>
        <w:spacing w:line="360" w:lineRule="auto"/>
        <w:jc w:val="left"/>
        <w:rPr>
          <w:rFonts w:hint="eastAsia" w:ascii="仿宋" w:hAnsi="仿宋" w:eastAsia="仿宋" w:cs="仿宋"/>
          <w:bCs/>
          <w:color w:val="auto"/>
          <w:kern w:val="2"/>
          <w:sz w:val="21"/>
          <w:szCs w:val="21"/>
          <w:highlight w:val="none"/>
        </w:rPr>
      </w:pPr>
      <w:r>
        <w:rPr>
          <w:rFonts w:hint="eastAsia" w:ascii="仿宋" w:hAnsi="仿宋" w:eastAsia="仿宋" w:cs="仿宋"/>
          <w:bCs/>
          <w:color w:val="auto"/>
          <w:kern w:val="2"/>
          <w:sz w:val="21"/>
          <w:szCs w:val="21"/>
          <w:highlight w:val="none"/>
        </w:rPr>
        <w:t>施工场地（现场）临时排污管径</w:t>
      </w:r>
      <w:r>
        <w:rPr>
          <w:rFonts w:hint="eastAsia" w:ascii="仿宋" w:hAnsi="仿宋" w:eastAsia="仿宋" w:cs="仿宋"/>
          <w:bCs/>
          <w:color w:val="auto"/>
          <w:kern w:val="2"/>
          <w:sz w:val="21"/>
          <w:szCs w:val="21"/>
          <w:highlight w:val="none"/>
          <w:u w:val="single"/>
        </w:rPr>
        <w:t>以现场踏勘为准。</w:t>
      </w:r>
    </w:p>
    <w:p w14:paraId="01209790">
      <w:pPr>
        <w:pStyle w:val="114"/>
        <w:adjustRightInd w:val="0"/>
        <w:snapToGrid w:val="0"/>
        <w:spacing w:line="360" w:lineRule="auto"/>
        <w:jc w:val="left"/>
        <w:rPr>
          <w:rFonts w:hint="eastAsia" w:ascii="仿宋" w:hAnsi="仿宋" w:eastAsia="仿宋" w:cs="仿宋"/>
          <w:bCs/>
          <w:color w:val="auto"/>
          <w:kern w:val="2"/>
          <w:sz w:val="21"/>
          <w:szCs w:val="21"/>
          <w:highlight w:val="none"/>
        </w:rPr>
      </w:pPr>
      <w:r>
        <w:rPr>
          <w:rFonts w:hint="eastAsia" w:ascii="仿宋" w:hAnsi="仿宋" w:eastAsia="仿宋" w:cs="仿宋"/>
          <w:bCs/>
          <w:color w:val="auto"/>
          <w:kern w:val="2"/>
          <w:sz w:val="21"/>
          <w:szCs w:val="21"/>
          <w:highlight w:val="none"/>
        </w:rPr>
        <w:t>施工场地（现场）临时雨水管径</w:t>
      </w:r>
      <w:r>
        <w:rPr>
          <w:rFonts w:hint="eastAsia" w:ascii="仿宋" w:hAnsi="仿宋" w:eastAsia="仿宋" w:cs="仿宋"/>
          <w:bCs/>
          <w:color w:val="auto"/>
          <w:kern w:val="2"/>
          <w:sz w:val="21"/>
          <w:szCs w:val="21"/>
          <w:highlight w:val="none"/>
          <w:u w:val="single"/>
        </w:rPr>
        <w:t>以现场踏勘为准。</w:t>
      </w:r>
    </w:p>
    <w:p w14:paraId="4184E071">
      <w:pPr>
        <w:pStyle w:val="114"/>
        <w:adjustRightInd w:val="0"/>
        <w:snapToGrid w:val="0"/>
        <w:spacing w:line="360" w:lineRule="auto"/>
        <w:jc w:val="left"/>
        <w:rPr>
          <w:rFonts w:hint="eastAsia" w:ascii="仿宋" w:hAnsi="仿宋" w:eastAsia="仿宋" w:cs="仿宋"/>
          <w:bCs/>
          <w:color w:val="auto"/>
          <w:kern w:val="2"/>
          <w:sz w:val="21"/>
          <w:szCs w:val="21"/>
          <w:highlight w:val="none"/>
        </w:rPr>
      </w:pPr>
      <w:r>
        <w:rPr>
          <w:rFonts w:hint="eastAsia" w:ascii="仿宋" w:hAnsi="仿宋" w:eastAsia="仿宋" w:cs="仿宋"/>
          <w:bCs/>
          <w:color w:val="auto"/>
          <w:kern w:val="2"/>
          <w:sz w:val="21"/>
          <w:szCs w:val="21"/>
          <w:highlight w:val="none"/>
        </w:rPr>
        <w:t>施工现场临时供电容量（变压器输出功率）</w:t>
      </w:r>
      <w:r>
        <w:rPr>
          <w:rFonts w:hint="eastAsia" w:ascii="仿宋" w:hAnsi="仿宋" w:eastAsia="仿宋" w:cs="仿宋"/>
          <w:bCs/>
          <w:color w:val="auto"/>
          <w:kern w:val="2"/>
          <w:sz w:val="21"/>
          <w:szCs w:val="21"/>
          <w:highlight w:val="none"/>
          <w:u w:val="single"/>
        </w:rPr>
        <w:t>以现场踏勘为准。</w:t>
      </w:r>
    </w:p>
    <w:p w14:paraId="3D2C33CA">
      <w:pPr>
        <w:pStyle w:val="114"/>
        <w:adjustRightInd w:val="0"/>
        <w:snapToGrid w:val="0"/>
        <w:spacing w:line="360" w:lineRule="auto"/>
        <w:jc w:val="left"/>
        <w:rPr>
          <w:rFonts w:hint="eastAsia" w:ascii="仿宋" w:hAnsi="仿宋" w:eastAsia="仿宋" w:cs="仿宋"/>
          <w:bCs/>
          <w:color w:val="auto"/>
          <w:kern w:val="2"/>
          <w:sz w:val="21"/>
          <w:szCs w:val="21"/>
          <w:highlight w:val="none"/>
        </w:rPr>
      </w:pPr>
      <w:r>
        <w:rPr>
          <w:rFonts w:hint="eastAsia" w:ascii="仿宋" w:hAnsi="仿宋" w:eastAsia="仿宋" w:cs="仿宋"/>
          <w:bCs/>
          <w:color w:val="auto"/>
          <w:kern w:val="2"/>
          <w:sz w:val="21"/>
          <w:szCs w:val="21"/>
          <w:highlight w:val="none"/>
        </w:rPr>
        <w:t>1.2.3</w:t>
      </w:r>
      <w:r>
        <w:rPr>
          <w:rFonts w:hint="eastAsia" w:ascii="仿宋" w:hAnsi="仿宋" w:eastAsia="仿宋" w:cs="仿宋"/>
          <w:bCs/>
          <w:color w:val="auto"/>
          <w:kern w:val="2"/>
          <w:sz w:val="21"/>
          <w:szCs w:val="21"/>
          <w:highlight w:val="none"/>
        </w:rPr>
        <w:tab/>
      </w:r>
      <w:r>
        <w:rPr>
          <w:rFonts w:hint="eastAsia" w:ascii="仿宋" w:hAnsi="仿宋" w:eastAsia="仿宋" w:cs="仿宋"/>
          <w:bCs/>
          <w:color w:val="auto"/>
          <w:kern w:val="2"/>
          <w:sz w:val="21"/>
          <w:szCs w:val="21"/>
          <w:highlight w:val="none"/>
        </w:rPr>
        <w:t>现场条件和周围环境的其他资料和信息数据如下：</w:t>
      </w:r>
    </w:p>
    <w:p w14:paraId="09CADA0B">
      <w:pPr>
        <w:pStyle w:val="114"/>
        <w:adjustRightInd w:val="0"/>
        <w:snapToGrid w:val="0"/>
        <w:spacing w:line="360" w:lineRule="auto"/>
        <w:jc w:val="left"/>
        <w:rPr>
          <w:rFonts w:hint="eastAsia" w:ascii="仿宋" w:hAnsi="仿宋" w:eastAsia="仿宋" w:cs="仿宋"/>
          <w:bCs/>
          <w:color w:val="auto"/>
          <w:kern w:val="2"/>
          <w:sz w:val="21"/>
          <w:szCs w:val="21"/>
          <w:highlight w:val="none"/>
        </w:rPr>
      </w:pPr>
      <w:r>
        <w:rPr>
          <w:rFonts w:hint="eastAsia" w:ascii="仿宋" w:hAnsi="仿宋" w:eastAsia="仿宋" w:cs="仿宋"/>
          <w:bCs/>
          <w:color w:val="auto"/>
          <w:kern w:val="2"/>
          <w:sz w:val="21"/>
          <w:szCs w:val="21"/>
          <w:highlight w:val="none"/>
        </w:rPr>
        <w:t>投标人可自行与建设单位联系取得相关资料，或通过现场踏勘取得相关资料</w:t>
      </w:r>
    </w:p>
    <w:p w14:paraId="36E02F15">
      <w:pPr>
        <w:pStyle w:val="114"/>
        <w:adjustRightInd w:val="0"/>
        <w:snapToGrid w:val="0"/>
        <w:spacing w:line="360" w:lineRule="auto"/>
        <w:jc w:val="left"/>
        <w:rPr>
          <w:rFonts w:hint="eastAsia" w:ascii="仿宋" w:hAnsi="仿宋" w:eastAsia="仿宋" w:cs="仿宋"/>
          <w:bCs/>
          <w:color w:val="auto"/>
          <w:kern w:val="2"/>
          <w:sz w:val="21"/>
          <w:szCs w:val="21"/>
          <w:highlight w:val="none"/>
        </w:rPr>
      </w:pPr>
      <w:r>
        <w:rPr>
          <w:rFonts w:hint="eastAsia" w:ascii="仿宋" w:hAnsi="仿宋" w:eastAsia="仿宋" w:cs="仿宋"/>
          <w:bCs/>
          <w:color w:val="auto"/>
          <w:kern w:val="2"/>
          <w:sz w:val="21"/>
          <w:szCs w:val="21"/>
          <w:highlight w:val="none"/>
        </w:rPr>
        <w:t>1.2.4</w:t>
      </w:r>
      <w:r>
        <w:rPr>
          <w:rFonts w:hint="eastAsia" w:ascii="仿宋" w:hAnsi="仿宋" w:eastAsia="仿宋" w:cs="仿宋"/>
          <w:bCs/>
          <w:color w:val="auto"/>
          <w:kern w:val="2"/>
          <w:sz w:val="21"/>
          <w:szCs w:val="21"/>
          <w:highlight w:val="none"/>
        </w:rPr>
        <w:tab/>
      </w:r>
      <w:r>
        <w:rPr>
          <w:rFonts w:hint="eastAsia" w:ascii="仿宋" w:hAnsi="仿宋" w:eastAsia="仿宋" w:cs="仿宋"/>
          <w:bCs/>
          <w:color w:val="auto"/>
          <w:kern w:val="2"/>
          <w:sz w:val="21"/>
          <w:szCs w:val="21"/>
          <w:highlight w:val="none"/>
        </w:rPr>
        <w:t>承包人被认为已在本工程投标阶段踏勘现场时充分了解本工程现场条件和周围环境，并已在其投标时就此给予了充分的考虑。</w:t>
      </w:r>
    </w:p>
    <w:p w14:paraId="20D356E7">
      <w:pPr>
        <w:pStyle w:val="114"/>
        <w:adjustRightInd w:val="0"/>
        <w:snapToGrid w:val="0"/>
        <w:spacing w:line="360" w:lineRule="auto"/>
        <w:jc w:val="left"/>
        <w:rPr>
          <w:rFonts w:hint="eastAsia" w:ascii="仿宋" w:hAnsi="仿宋" w:eastAsia="仿宋" w:cs="仿宋"/>
          <w:bCs/>
          <w:color w:val="auto"/>
          <w:kern w:val="2"/>
          <w:sz w:val="21"/>
          <w:szCs w:val="21"/>
          <w:highlight w:val="none"/>
        </w:rPr>
      </w:pPr>
      <w:r>
        <w:rPr>
          <w:rFonts w:hint="eastAsia" w:ascii="仿宋" w:hAnsi="仿宋" w:eastAsia="仿宋" w:cs="仿宋"/>
          <w:bCs/>
          <w:color w:val="auto"/>
          <w:kern w:val="2"/>
          <w:sz w:val="21"/>
          <w:szCs w:val="21"/>
          <w:highlight w:val="none"/>
        </w:rPr>
        <w:t>1.3</w:t>
      </w:r>
      <w:r>
        <w:rPr>
          <w:rFonts w:hint="eastAsia" w:ascii="仿宋" w:hAnsi="仿宋" w:eastAsia="仿宋" w:cs="仿宋"/>
          <w:bCs/>
          <w:color w:val="auto"/>
          <w:kern w:val="2"/>
          <w:sz w:val="21"/>
          <w:szCs w:val="21"/>
          <w:highlight w:val="none"/>
        </w:rPr>
        <w:tab/>
      </w:r>
      <w:r>
        <w:rPr>
          <w:rFonts w:hint="eastAsia" w:ascii="仿宋" w:hAnsi="仿宋" w:eastAsia="仿宋" w:cs="仿宋"/>
          <w:bCs/>
          <w:color w:val="auto"/>
          <w:kern w:val="2"/>
          <w:sz w:val="21"/>
          <w:szCs w:val="21"/>
          <w:highlight w:val="none"/>
        </w:rPr>
        <w:t>地质及水文资料</w:t>
      </w:r>
    </w:p>
    <w:p w14:paraId="416C4E80">
      <w:pPr>
        <w:pStyle w:val="114"/>
        <w:adjustRightInd w:val="0"/>
        <w:snapToGrid w:val="0"/>
        <w:spacing w:line="360" w:lineRule="auto"/>
        <w:jc w:val="left"/>
        <w:rPr>
          <w:rFonts w:hint="eastAsia" w:ascii="仿宋" w:hAnsi="仿宋" w:eastAsia="仿宋" w:cs="仿宋"/>
          <w:bCs/>
          <w:color w:val="auto"/>
          <w:kern w:val="2"/>
          <w:sz w:val="21"/>
          <w:szCs w:val="21"/>
          <w:highlight w:val="none"/>
        </w:rPr>
      </w:pPr>
      <w:r>
        <w:rPr>
          <w:rFonts w:hint="eastAsia" w:ascii="仿宋" w:hAnsi="仿宋" w:eastAsia="仿宋" w:cs="仿宋"/>
          <w:bCs/>
          <w:color w:val="auto"/>
          <w:kern w:val="2"/>
          <w:sz w:val="21"/>
          <w:szCs w:val="21"/>
          <w:highlight w:val="none"/>
        </w:rPr>
        <w:t>1.3.1</w:t>
      </w:r>
      <w:r>
        <w:rPr>
          <w:rFonts w:hint="eastAsia" w:ascii="仿宋" w:hAnsi="仿宋" w:eastAsia="仿宋" w:cs="仿宋"/>
          <w:bCs/>
          <w:color w:val="auto"/>
          <w:kern w:val="2"/>
          <w:sz w:val="21"/>
          <w:szCs w:val="21"/>
          <w:highlight w:val="none"/>
        </w:rPr>
        <w:tab/>
      </w:r>
      <w:r>
        <w:rPr>
          <w:rFonts w:hint="eastAsia" w:ascii="仿宋" w:hAnsi="仿宋" w:eastAsia="仿宋" w:cs="仿宋"/>
          <w:bCs/>
          <w:color w:val="auto"/>
          <w:kern w:val="2"/>
          <w:sz w:val="21"/>
          <w:szCs w:val="21"/>
          <w:highlight w:val="none"/>
        </w:rPr>
        <w:t>现场地质及水文资料和信息数据如下：</w:t>
      </w:r>
      <w:r>
        <w:rPr>
          <w:rFonts w:hint="eastAsia" w:ascii="仿宋" w:hAnsi="仿宋" w:eastAsia="仿宋" w:cs="仿宋"/>
          <w:bCs/>
          <w:color w:val="auto"/>
          <w:kern w:val="2"/>
          <w:sz w:val="21"/>
          <w:szCs w:val="21"/>
          <w:highlight w:val="none"/>
          <w:u w:val="single"/>
        </w:rPr>
        <w:t>投标人可通过现场踏勘自行取得</w:t>
      </w:r>
      <w:r>
        <w:rPr>
          <w:rFonts w:hint="eastAsia" w:ascii="仿宋" w:hAnsi="仿宋" w:eastAsia="仿宋" w:cs="仿宋"/>
          <w:bCs/>
          <w:color w:val="auto"/>
          <w:kern w:val="2"/>
          <w:sz w:val="21"/>
          <w:szCs w:val="21"/>
          <w:highlight w:val="none"/>
        </w:rPr>
        <w:t>。</w:t>
      </w:r>
    </w:p>
    <w:p w14:paraId="641EB81D">
      <w:pPr>
        <w:pStyle w:val="114"/>
        <w:adjustRightInd w:val="0"/>
        <w:snapToGrid w:val="0"/>
        <w:spacing w:line="360" w:lineRule="auto"/>
        <w:jc w:val="left"/>
        <w:rPr>
          <w:rFonts w:hint="eastAsia" w:ascii="仿宋" w:hAnsi="仿宋" w:eastAsia="仿宋" w:cs="仿宋"/>
          <w:bCs/>
          <w:color w:val="auto"/>
          <w:kern w:val="2"/>
          <w:sz w:val="21"/>
          <w:szCs w:val="21"/>
          <w:highlight w:val="none"/>
        </w:rPr>
      </w:pPr>
      <w:r>
        <w:rPr>
          <w:rFonts w:hint="eastAsia" w:ascii="仿宋" w:hAnsi="仿宋" w:eastAsia="仿宋" w:cs="仿宋"/>
          <w:bCs/>
          <w:color w:val="auto"/>
          <w:kern w:val="2"/>
          <w:sz w:val="21"/>
          <w:szCs w:val="21"/>
          <w:highlight w:val="none"/>
        </w:rPr>
        <w:t>1.4</w:t>
      </w:r>
      <w:r>
        <w:rPr>
          <w:rFonts w:hint="eastAsia" w:ascii="仿宋" w:hAnsi="仿宋" w:eastAsia="仿宋" w:cs="仿宋"/>
          <w:bCs/>
          <w:color w:val="auto"/>
          <w:kern w:val="2"/>
          <w:sz w:val="21"/>
          <w:szCs w:val="21"/>
          <w:highlight w:val="none"/>
        </w:rPr>
        <w:tab/>
      </w:r>
      <w:r>
        <w:rPr>
          <w:rFonts w:hint="eastAsia" w:ascii="仿宋" w:hAnsi="仿宋" w:eastAsia="仿宋" w:cs="仿宋"/>
          <w:bCs/>
          <w:color w:val="auto"/>
          <w:kern w:val="2"/>
          <w:sz w:val="21"/>
          <w:szCs w:val="21"/>
          <w:highlight w:val="none"/>
        </w:rPr>
        <w:t>资料和信息的使用</w:t>
      </w:r>
    </w:p>
    <w:p w14:paraId="438D8B14">
      <w:pPr>
        <w:pStyle w:val="114"/>
        <w:adjustRightInd w:val="0"/>
        <w:snapToGrid w:val="0"/>
        <w:spacing w:line="360" w:lineRule="auto"/>
        <w:jc w:val="left"/>
        <w:rPr>
          <w:rFonts w:hint="eastAsia" w:ascii="仿宋" w:hAnsi="仿宋" w:eastAsia="仿宋" w:cs="仿宋"/>
          <w:bCs/>
          <w:color w:val="auto"/>
          <w:kern w:val="2"/>
          <w:sz w:val="21"/>
          <w:szCs w:val="21"/>
          <w:highlight w:val="none"/>
        </w:rPr>
      </w:pPr>
      <w:r>
        <w:rPr>
          <w:rFonts w:hint="eastAsia" w:ascii="仿宋" w:hAnsi="仿宋" w:eastAsia="仿宋" w:cs="仿宋"/>
          <w:bCs/>
          <w:color w:val="auto"/>
          <w:kern w:val="2"/>
          <w:sz w:val="21"/>
          <w:szCs w:val="21"/>
          <w:highlight w:val="none"/>
        </w:rPr>
        <w:t>1.4.1</w:t>
      </w:r>
      <w:r>
        <w:rPr>
          <w:rFonts w:hint="eastAsia" w:ascii="仿宋" w:hAnsi="仿宋" w:eastAsia="仿宋" w:cs="仿宋"/>
          <w:bCs/>
          <w:color w:val="auto"/>
          <w:kern w:val="2"/>
          <w:sz w:val="21"/>
          <w:szCs w:val="21"/>
          <w:highlight w:val="none"/>
        </w:rPr>
        <w:tab/>
      </w:r>
      <w:r>
        <w:rPr>
          <w:rFonts w:hint="eastAsia" w:ascii="仿宋" w:hAnsi="仿宋" w:eastAsia="仿宋" w:cs="仿宋"/>
          <w:bCs/>
          <w:color w:val="auto"/>
          <w:kern w:val="2"/>
          <w:sz w:val="21"/>
          <w:szCs w:val="21"/>
          <w:highlight w:val="none"/>
        </w:rPr>
        <w:t>合同文件中载明的涉及本工程现场条件、周围环境、地质及水文等情况的资料和信息数据，是发包人现有的和客观的，发包人保证有关资料和信息数据的真实、准确。但承包人据此作出的推论、判断和决策，由承包人自行负责。</w:t>
      </w:r>
    </w:p>
    <w:p w14:paraId="29CE88A6">
      <w:pPr>
        <w:pStyle w:val="114"/>
        <w:adjustRightInd w:val="0"/>
        <w:snapToGrid w:val="0"/>
        <w:spacing w:line="360" w:lineRule="auto"/>
        <w:jc w:val="left"/>
        <w:rPr>
          <w:rFonts w:hint="eastAsia" w:ascii="仿宋" w:hAnsi="仿宋" w:eastAsia="仿宋" w:cs="仿宋"/>
          <w:color w:val="auto"/>
          <w:kern w:val="2"/>
          <w:sz w:val="21"/>
          <w:highlight w:val="none"/>
        </w:rPr>
      </w:pPr>
      <w:r>
        <w:rPr>
          <w:rFonts w:hint="eastAsia" w:ascii="仿宋" w:hAnsi="仿宋" w:eastAsia="仿宋" w:cs="仿宋"/>
          <w:b/>
          <w:color w:val="auto"/>
          <w:kern w:val="2"/>
          <w:sz w:val="21"/>
          <w:highlight w:val="none"/>
        </w:rPr>
        <w:t>2.</w:t>
      </w:r>
      <w:r>
        <w:rPr>
          <w:rFonts w:hint="eastAsia" w:ascii="仿宋" w:hAnsi="仿宋" w:eastAsia="仿宋" w:cs="仿宋"/>
          <w:color w:val="auto"/>
          <w:kern w:val="2"/>
          <w:sz w:val="21"/>
          <w:highlight w:val="none"/>
        </w:rPr>
        <w:t>承包范围、实施方案、投标报价及结算方式</w:t>
      </w:r>
    </w:p>
    <w:p w14:paraId="16C50866">
      <w:pPr>
        <w:pStyle w:val="114"/>
        <w:adjustRightInd w:val="0"/>
        <w:snapToGrid w:val="0"/>
        <w:spacing w:line="360" w:lineRule="auto"/>
        <w:jc w:val="left"/>
        <w:rPr>
          <w:rFonts w:hint="eastAsia" w:ascii="仿宋" w:hAnsi="仿宋" w:eastAsia="仿宋" w:cs="仿宋"/>
          <w:bCs/>
          <w:color w:val="auto"/>
          <w:kern w:val="2"/>
          <w:sz w:val="21"/>
          <w:szCs w:val="21"/>
          <w:highlight w:val="none"/>
        </w:rPr>
      </w:pPr>
      <w:r>
        <w:rPr>
          <w:rFonts w:hint="eastAsia" w:ascii="仿宋" w:hAnsi="仿宋" w:eastAsia="仿宋" w:cs="仿宋"/>
          <w:bCs/>
          <w:color w:val="auto"/>
          <w:kern w:val="2"/>
          <w:sz w:val="21"/>
          <w:szCs w:val="21"/>
          <w:highlight w:val="none"/>
        </w:rPr>
        <w:t>2.1</w:t>
      </w:r>
      <w:r>
        <w:rPr>
          <w:rFonts w:hint="eastAsia" w:ascii="仿宋" w:hAnsi="仿宋" w:eastAsia="仿宋" w:cs="仿宋"/>
          <w:bCs/>
          <w:color w:val="auto"/>
          <w:kern w:val="2"/>
          <w:sz w:val="21"/>
          <w:szCs w:val="21"/>
          <w:highlight w:val="none"/>
        </w:rPr>
        <w:tab/>
      </w:r>
      <w:r>
        <w:rPr>
          <w:rFonts w:hint="eastAsia" w:ascii="仿宋" w:hAnsi="仿宋" w:eastAsia="仿宋" w:cs="仿宋"/>
          <w:bCs/>
          <w:color w:val="auto"/>
          <w:kern w:val="2"/>
          <w:sz w:val="21"/>
          <w:szCs w:val="21"/>
          <w:highlight w:val="none"/>
        </w:rPr>
        <w:t>承包范围：</w:t>
      </w:r>
      <w:r>
        <w:rPr>
          <w:rFonts w:hint="eastAsia" w:ascii="仿宋" w:hAnsi="仿宋" w:eastAsia="仿宋" w:cs="仿宋"/>
          <w:bCs/>
          <w:color w:val="auto"/>
          <w:kern w:val="2"/>
          <w:sz w:val="21"/>
          <w:szCs w:val="21"/>
          <w:highlight w:val="none"/>
          <w:lang w:eastAsia="zh-CN"/>
        </w:rPr>
        <w:t>营口市汇信资源循环利用(集团)有限公司新建营口市老边区污水处理厂项目工程设计采购施工及运营总承包（EPC+O）</w:t>
      </w:r>
      <w:r>
        <w:rPr>
          <w:rFonts w:hint="eastAsia" w:ascii="仿宋" w:hAnsi="仿宋" w:eastAsia="仿宋" w:cs="仿宋"/>
          <w:bCs/>
          <w:color w:val="auto"/>
          <w:kern w:val="2"/>
          <w:sz w:val="21"/>
          <w:szCs w:val="21"/>
          <w:highlight w:val="none"/>
        </w:rPr>
        <w:t>，为交钥匙工程，包括整个工程施工图设计、预算、管理、采购、施工、直至竣工验收交付使用、运营，具体详见招标文件。</w:t>
      </w:r>
    </w:p>
    <w:p w14:paraId="56C192CD">
      <w:pPr>
        <w:spacing w:line="480" w:lineRule="exact"/>
        <w:ind w:firstLine="465"/>
        <w:jc w:val="left"/>
        <w:rPr>
          <w:rFonts w:hint="eastAsia" w:ascii="仿宋" w:hAnsi="仿宋" w:eastAsia="仿宋" w:cs="仿宋"/>
          <w:color w:val="auto"/>
          <w:szCs w:val="21"/>
          <w:highlight w:val="none"/>
        </w:rPr>
      </w:pPr>
      <w:r>
        <w:rPr>
          <w:rFonts w:hint="eastAsia" w:ascii="仿宋" w:hAnsi="仿宋" w:eastAsia="仿宋" w:cs="仿宋"/>
          <w:bCs/>
          <w:color w:val="auto"/>
          <w:kern w:val="2"/>
          <w:sz w:val="21"/>
          <w:szCs w:val="21"/>
          <w:highlight w:val="none"/>
        </w:rPr>
        <w:t>2.2工程施工内容：</w:t>
      </w:r>
      <w:r>
        <w:rPr>
          <w:rFonts w:hint="eastAsia" w:ascii="仿宋" w:hAnsi="仿宋" w:eastAsia="仿宋" w:cs="仿宋"/>
          <w:color w:val="auto"/>
          <w:szCs w:val="21"/>
          <w:highlight w:val="none"/>
        </w:rPr>
        <w:t>项目占地面积13600m，总建筑面积约4106.88m。建设内容包括:细格栅、调节池、SBR池、臭氧接触池、消毒池、综合处理间、臭氧发生间、综合楼等。该项目远期规划规模15000立方米/天，近期建设规模为8000立方米/天的污水处理厂。该项目年综合能源消费量为369.99tce(当量值)/909.17tce(等价值)，且年电力消费量为301.05万KW.H。</w:t>
      </w:r>
    </w:p>
    <w:p w14:paraId="384C94DB">
      <w:pPr>
        <w:pStyle w:val="114"/>
        <w:adjustRightInd w:val="0"/>
        <w:snapToGrid w:val="0"/>
        <w:spacing w:line="380" w:lineRule="exact"/>
        <w:jc w:val="left"/>
        <w:rPr>
          <w:rFonts w:hint="eastAsia" w:ascii="仿宋" w:hAnsi="仿宋" w:eastAsia="仿宋" w:cs="仿宋"/>
          <w:bCs/>
          <w:color w:val="auto"/>
          <w:kern w:val="2"/>
          <w:sz w:val="21"/>
          <w:szCs w:val="21"/>
          <w:highlight w:val="none"/>
        </w:rPr>
      </w:pPr>
    </w:p>
    <w:p w14:paraId="0C106580">
      <w:pPr>
        <w:pStyle w:val="114"/>
        <w:adjustRightInd w:val="0"/>
        <w:snapToGrid w:val="0"/>
        <w:spacing w:line="380" w:lineRule="exact"/>
        <w:jc w:val="left"/>
        <w:rPr>
          <w:rFonts w:hint="eastAsia" w:ascii="仿宋" w:hAnsi="仿宋" w:eastAsia="仿宋" w:cs="仿宋"/>
          <w:bCs/>
          <w:color w:val="auto"/>
          <w:kern w:val="2"/>
          <w:sz w:val="21"/>
          <w:szCs w:val="21"/>
          <w:highlight w:val="none"/>
        </w:rPr>
      </w:pPr>
      <w:r>
        <w:rPr>
          <w:rFonts w:hint="eastAsia" w:ascii="仿宋" w:hAnsi="仿宋" w:eastAsia="仿宋" w:cs="仿宋"/>
          <w:bCs/>
          <w:color w:val="auto"/>
          <w:kern w:val="2"/>
          <w:sz w:val="21"/>
          <w:szCs w:val="21"/>
          <w:highlight w:val="none"/>
        </w:rPr>
        <w:t>2.3</w:t>
      </w:r>
      <w:r>
        <w:rPr>
          <w:rFonts w:hint="eastAsia" w:ascii="仿宋" w:hAnsi="仿宋" w:eastAsia="仿宋" w:cs="仿宋"/>
          <w:bCs/>
          <w:color w:val="auto"/>
          <w:kern w:val="2"/>
          <w:sz w:val="21"/>
          <w:szCs w:val="21"/>
          <w:highlight w:val="none"/>
        </w:rPr>
        <w:tab/>
      </w:r>
      <w:r>
        <w:rPr>
          <w:rFonts w:hint="eastAsia" w:ascii="仿宋" w:hAnsi="仿宋" w:eastAsia="仿宋" w:cs="仿宋"/>
          <w:bCs/>
          <w:color w:val="auto"/>
          <w:kern w:val="2"/>
          <w:sz w:val="21"/>
          <w:szCs w:val="21"/>
          <w:highlight w:val="none"/>
        </w:rPr>
        <w:t>承包人需要为发包人和监理人提供的现场办公条件和设施：</w:t>
      </w:r>
    </w:p>
    <w:p w14:paraId="3EFE5D1B">
      <w:pPr>
        <w:pStyle w:val="114"/>
        <w:adjustRightInd w:val="0"/>
        <w:snapToGrid w:val="0"/>
        <w:spacing w:line="380" w:lineRule="exact"/>
        <w:jc w:val="left"/>
        <w:rPr>
          <w:rFonts w:hint="eastAsia" w:ascii="仿宋" w:hAnsi="仿宋" w:eastAsia="仿宋" w:cs="仿宋"/>
          <w:bCs/>
          <w:color w:val="auto"/>
          <w:kern w:val="2"/>
          <w:sz w:val="21"/>
          <w:szCs w:val="21"/>
          <w:highlight w:val="none"/>
        </w:rPr>
      </w:pPr>
      <w:r>
        <w:rPr>
          <w:rFonts w:hint="eastAsia" w:ascii="仿宋" w:hAnsi="仿宋" w:eastAsia="仿宋" w:cs="仿宋"/>
          <w:bCs/>
          <w:color w:val="auto"/>
          <w:kern w:val="2"/>
          <w:sz w:val="21"/>
          <w:szCs w:val="21"/>
          <w:highlight w:val="none"/>
        </w:rPr>
        <w:t>向监理人提供不少于20平方米的办公及生活房屋至少2间，房内设置办公桌椅、饮水机等基本办公及生活设施，完成上述工作所发生的费用由承包人承担。</w:t>
      </w:r>
    </w:p>
    <w:p w14:paraId="37DDEE25">
      <w:pPr>
        <w:pStyle w:val="114"/>
        <w:adjustRightInd w:val="0"/>
        <w:snapToGrid w:val="0"/>
        <w:spacing w:line="380" w:lineRule="exact"/>
        <w:jc w:val="left"/>
        <w:rPr>
          <w:rFonts w:hint="eastAsia" w:ascii="仿宋" w:hAnsi="仿宋" w:eastAsia="仿宋" w:cs="仿宋"/>
          <w:bCs/>
          <w:color w:val="auto"/>
          <w:kern w:val="2"/>
          <w:sz w:val="21"/>
          <w:szCs w:val="21"/>
          <w:highlight w:val="none"/>
        </w:rPr>
      </w:pPr>
      <w:r>
        <w:rPr>
          <w:rFonts w:hint="eastAsia" w:ascii="仿宋" w:hAnsi="仿宋" w:eastAsia="仿宋" w:cs="仿宋"/>
          <w:bCs/>
          <w:color w:val="auto"/>
          <w:kern w:val="2"/>
          <w:sz w:val="21"/>
          <w:szCs w:val="21"/>
          <w:highlight w:val="none"/>
        </w:rPr>
        <w:t>2.4</w:t>
      </w:r>
      <w:r>
        <w:rPr>
          <w:rFonts w:hint="eastAsia" w:ascii="仿宋" w:hAnsi="仿宋" w:eastAsia="仿宋" w:cs="仿宋"/>
          <w:bCs/>
          <w:color w:val="auto"/>
          <w:kern w:val="2"/>
          <w:sz w:val="21"/>
          <w:szCs w:val="21"/>
          <w:highlight w:val="none"/>
        </w:rPr>
        <w:tab/>
      </w:r>
      <w:r>
        <w:rPr>
          <w:rFonts w:hint="eastAsia" w:ascii="仿宋" w:hAnsi="仿宋" w:eastAsia="仿宋" w:cs="仿宋"/>
          <w:bCs/>
          <w:color w:val="auto"/>
          <w:kern w:val="2"/>
          <w:sz w:val="21"/>
          <w:szCs w:val="21"/>
          <w:highlight w:val="none"/>
        </w:rPr>
        <w:t>投标报价及结算方式：</w:t>
      </w:r>
    </w:p>
    <w:p w14:paraId="5BD661AE">
      <w:pPr>
        <w:pStyle w:val="114"/>
        <w:adjustRightInd w:val="0"/>
        <w:snapToGrid w:val="0"/>
        <w:spacing w:line="380" w:lineRule="exact"/>
        <w:jc w:val="left"/>
        <w:rPr>
          <w:rFonts w:hint="eastAsia" w:ascii="仿宋" w:hAnsi="仿宋" w:eastAsia="仿宋" w:cs="仿宋"/>
          <w:bCs/>
          <w:color w:val="auto"/>
          <w:kern w:val="2"/>
          <w:sz w:val="21"/>
          <w:szCs w:val="21"/>
          <w:highlight w:val="none"/>
        </w:rPr>
      </w:pPr>
      <w:r>
        <w:rPr>
          <w:rFonts w:hint="eastAsia" w:ascii="仿宋" w:hAnsi="仿宋" w:eastAsia="仿宋" w:cs="仿宋"/>
          <w:bCs/>
          <w:color w:val="auto"/>
          <w:kern w:val="2"/>
          <w:sz w:val="21"/>
          <w:szCs w:val="21"/>
          <w:highlight w:val="none"/>
        </w:rPr>
        <w:t>详见合同</w:t>
      </w:r>
    </w:p>
    <w:p w14:paraId="3BB15E6C">
      <w:pPr>
        <w:pStyle w:val="114"/>
        <w:adjustRightInd w:val="0"/>
        <w:snapToGrid w:val="0"/>
        <w:spacing w:line="380" w:lineRule="exact"/>
        <w:jc w:val="left"/>
        <w:rPr>
          <w:rFonts w:hint="eastAsia" w:ascii="仿宋" w:hAnsi="仿宋" w:eastAsia="仿宋" w:cs="仿宋"/>
          <w:color w:val="auto"/>
          <w:kern w:val="2"/>
          <w:sz w:val="21"/>
          <w:highlight w:val="none"/>
        </w:rPr>
      </w:pPr>
      <w:r>
        <w:rPr>
          <w:rFonts w:hint="eastAsia" w:ascii="仿宋" w:hAnsi="仿宋" w:eastAsia="仿宋" w:cs="仿宋"/>
          <w:b/>
          <w:color w:val="auto"/>
          <w:kern w:val="2"/>
          <w:sz w:val="21"/>
          <w:highlight w:val="none"/>
        </w:rPr>
        <w:t>3.</w:t>
      </w:r>
      <w:r>
        <w:rPr>
          <w:rFonts w:hint="eastAsia" w:ascii="仿宋" w:hAnsi="仿宋" w:eastAsia="仿宋" w:cs="仿宋"/>
          <w:color w:val="auto"/>
          <w:kern w:val="2"/>
          <w:sz w:val="21"/>
          <w:highlight w:val="none"/>
        </w:rPr>
        <w:t>工期要求</w:t>
      </w:r>
    </w:p>
    <w:p w14:paraId="1DF03AE1">
      <w:pPr>
        <w:pStyle w:val="114"/>
        <w:adjustRightInd w:val="0"/>
        <w:snapToGrid w:val="0"/>
        <w:spacing w:line="380" w:lineRule="exact"/>
        <w:jc w:val="left"/>
        <w:rPr>
          <w:rFonts w:hint="eastAsia" w:ascii="仿宋" w:hAnsi="仿宋" w:eastAsia="仿宋" w:cs="仿宋"/>
          <w:bCs/>
          <w:color w:val="auto"/>
          <w:kern w:val="2"/>
          <w:sz w:val="21"/>
          <w:szCs w:val="21"/>
          <w:highlight w:val="none"/>
        </w:rPr>
      </w:pPr>
      <w:r>
        <w:rPr>
          <w:rFonts w:hint="eastAsia" w:ascii="仿宋" w:hAnsi="仿宋" w:eastAsia="仿宋" w:cs="仿宋"/>
          <w:bCs/>
          <w:color w:val="auto"/>
          <w:kern w:val="2"/>
          <w:sz w:val="21"/>
          <w:szCs w:val="21"/>
          <w:highlight w:val="none"/>
        </w:rPr>
        <w:t>3.1</w:t>
      </w:r>
      <w:r>
        <w:rPr>
          <w:rFonts w:hint="eastAsia" w:ascii="仿宋" w:hAnsi="仿宋" w:eastAsia="仿宋" w:cs="仿宋"/>
          <w:bCs/>
          <w:color w:val="auto"/>
          <w:kern w:val="2"/>
          <w:sz w:val="21"/>
          <w:szCs w:val="21"/>
          <w:highlight w:val="none"/>
        </w:rPr>
        <w:tab/>
      </w:r>
      <w:r>
        <w:rPr>
          <w:rFonts w:hint="eastAsia" w:ascii="仿宋" w:hAnsi="仿宋" w:eastAsia="仿宋" w:cs="仿宋"/>
          <w:bCs/>
          <w:color w:val="auto"/>
          <w:kern w:val="2"/>
          <w:sz w:val="21"/>
          <w:szCs w:val="21"/>
          <w:highlight w:val="none"/>
        </w:rPr>
        <w:t>合同工期</w:t>
      </w:r>
    </w:p>
    <w:p w14:paraId="0B72D5C0">
      <w:pPr>
        <w:pStyle w:val="114"/>
        <w:adjustRightInd w:val="0"/>
        <w:snapToGrid w:val="0"/>
        <w:spacing w:line="380" w:lineRule="exact"/>
        <w:jc w:val="left"/>
        <w:rPr>
          <w:rFonts w:hint="eastAsia" w:ascii="仿宋" w:hAnsi="仿宋" w:eastAsia="仿宋" w:cs="仿宋"/>
          <w:bCs/>
          <w:color w:val="auto"/>
          <w:kern w:val="2"/>
          <w:sz w:val="21"/>
          <w:szCs w:val="21"/>
          <w:highlight w:val="none"/>
        </w:rPr>
      </w:pPr>
      <w:r>
        <w:rPr>
          <w:rFonts w:hint="eastAsia" w:ascii="仿宋" w:hAnsi="仿宋" w:eastAsia="仿宋" w:cs="仿宋"/>
          <w:bCs/>
          <w:color w:val="auto"/>
          <w:kern w:val="2"/>
          <w:sz w:val="21"/>
          <w:szCs w:val="21"/>
          <w:highlight w:val="none"/>
        </w:rPr>
        <w:tab/>
      </w:r>
      <w:r>
        <w:rPr>
          <w:rFonts w:hint="eastAsia" w:ascii="仿宋" w:hAnsi="仿宋" w:eastAsia="仿宋" w:cs="仿宋"/>
          <w:bCs/>
          <w:color w:val="auto"/>
          <w:kern w:val="2"/>
          <w:sz w:val="21"/>
          <w:szCs w:val="21"/>
          <w:highlight w:val="none"/>
        </w:rPr>
        <w:t>详见投标须知前附表。</w:t>
      </w:r>
    </w:p>
    <w:p w14:paraId="4A1C2BEC">
      <w:pPr>
        <w:pStyle w:val="114"/>
        <w:adjustRightInd w:val="0"/>
        <w:snapToGrid w:val="0"/>
        <w:spacing w:line="380" w:lineRule="exact"/>
        <w:jc w:val="left"/>
        <w:rPr>
          <w:rFonts w:hint="eastAsia" w:ascii="仿宋" w:hAnsi="仿宋" w:eastAsia="仿宋" w:cs="仿宋"/>
          <w:bCs/>
          <w:color w:val="auto"/>
          <w:kern w:val="2"/>
          <w:sz w:val="21"/>
          <w:szCs w:val="21"/>
          <w:highlight w:val="none"/>
        </w:rPr>
      </w:pPr>
      <w:r>
        <w:rPr>
          <w:rFonts w:hint="eastAsia" w:ascii="仿宋" w:hAnsi="仿宋" w:eastAsia="仿宋" w:cs="仿宋"/>
          <w:bCs/>
          <w:color w:val="auto"/>
          <w:kern w:val="2"/>
          <w:sz w:val="21"/>
          <w:szCs w:val="21"/>
          <w:highlight w:val="none"/>
        </w:rPr>
        <w:t>3.2</w:t>
      </w:r>
      <w:r>
        <w:rPr>
          <w:rFonts w:hint="eastAsia" w:ascii="仿宋" w:hAnsi="仿宋" w:eastAsia="仿宋" w:cs="仿宋"/>
          <w:bCs/>
          <w:color w:val="auto"/>
          <w:kern w:val="2"/>
          <w:sz w:val="21"/>
          <w:szCs w:val="21"/>
          <w:highlight w:val="none"/>
        </w:rPr>
        <w:tab/>
      </w:r>
      <w:r>
        <w:rPr>
          <w:rFonts w:hint="eastAsia" w:ascii="仿宋" w:hAnsi="仿宋" w:eastAsia="仿宋" w:cs="仿宋"/>
          <w:bCs/>
          <w:color w:val="auto"/>
          <w:kern w:val="2"/>
          <w:sz w:val="21"/>
          <w:szCs w:val="21"/>
          <w:highlight w:val="none"/>
        </w:rPr>
        <w:t>关于工期的一般规定</w:t>
      </w:r>
    </w:p>
    <w:p w14:paraId="2F38B1E2">
      <w:pPr>
        <w:pStyle w:val="114"/>
        <w:adjustRightInd w:val="0"/>
        <w:snapToGrid w:val="0"/>
        <w:spacing w:line="380" w:lineRule="exact"/>
        <w:jc w:val="left"/>
        <w:rPr>
          <w:rFonts w:hint="eastAsia" w:ascii="仿宋" w:hAnsi="仿宋" w:eastAsia="仿宋" w:cs="仿宋"/>
          <w:bCs/>
          <w:color w:val="auto"/>
          <w:kern w:val="2"/>
          <w:sz w:val="21"/>
          <w:szCs w:val="21"/>
          <w:highlight w:val="none"/>
        </w:rPr>
      </w:pPr>
      <w:r>
        <w:rPr>
          <w:rFonts w:hint="eastAsia" w:ascii="仿宋" w:hAnsi="仿宋" w:eastAsia="仿宋" w:cs="仿宋"/>
          <w:bCs/>
          <w:color w:val="auto"/>
          <w:kern w:val="2"/>
          <w:sz w:val="21"/>
          <w:szCs w:val="21"/>
          <w:highlight w:val="none"/>
        </w:rPr>
        <w:t>3.2.1</w:t>
      </w:r>
      <w:r>
        <w:rPr>
          <w:rFonts w:hint="eastAsia" w:ascii="仿宋" w:hAnsi="仿宋" w:eastAsia="仿宋" w:cs="仿宋"/>
          <w:bCs/>
          <w:color w:val="auto"/>
          <w:kern w:val="2"/>
          <w:sz w:val="21"/>
          <w:szCs w:val="21"/>
          <w:highlight w:val="none"/>
        </w:rPr>
        <w:tab/>
      </w:r>
      <w:r>
        <w:rPr>
          <w:rFonts w:hint="eastAsia" w:ascii="仿宋" w:hAnsi="仿宋" w:eastAsia="仿宋" w:cs="仿宋"/>
          <w:bCs/>
          <w:color w:val="auto"/>
          <w:kern w:val="2"/>
          <w:sz w:val="21"/>
          <w:szCs w:val="21"/>
          <w:highlight w:val="none"/>
        </w:rPr>
        <w:t>实际开工日期以通用合同条款约定的监理人发出的开工通知中载明的开工日期为准。</w:t>
      </w:r>
    </w:p>
    <w:p w14:paraId="69370CD0">
      <w:pPr>
        <w:pStyle w:val="114"/>
        <w:adjustRightInd w:val="0"/>
        <w:snapToGrid w:val="0"/>
        <w:spacing w:line="380" w:lineRule="exact"/>
        <w:jc w:val="left"/>
        <w:rPr>
          <w:rFonts w:hint="eastAsia" w:ascii="仿宋" w:hAnsi="仿宋" w:eastAsia="仿宋" w:cs="仿宋"/>
          <w:bCs/>
          <w:color w:val="auto"/>
          <w:kern w:val="2"/>
          <w:sz w:val="21"/>
          <w:szCs w:val="21"/>
          <w:highlight w:val="none"/>
        </w:rPr>
      </w:pPr>
      <w:r>
        <w:rPr>
          <w:rFonts w:hint="eastAsia" w:ascii="仿宋" w:hAnsi="仿宋" w:eastAsia="仿宋" w:cs="仿宋"/>
          <w:bCs/>
          <w:color w:val="auto"/>
          <w:kern w:val="2"/>
          <w:sz w:val="21"/>
          <w:szCs w:val="21"/>
          <w:highlight w:val="none"/>
        </w:rPr>
        <w:t>3.2.2</w:t>
      </w:r>
      <w:r>
        <w:rPr>
          <w:rFonts w:hint="eastAsia" w:ascii="仿宋" w:hAnsi="仿宋" w:eastAsia="仿宋" w:cs="仿宋"/>
          <w:bCs/>
          <w:color w:val="auto"/>
          <w:kern w:val="2"/>
          <w:sz w:val="21"/>
          <w:szCs w:val="21"/>
          <w:highlight w:val="none"/>
        </w:rPr>
        <w:tab/>
      </w:r>
      <w:r>
        <w:rPr>
          <w:rFonts w:hint="eastAsia" w:ascii="仿宋" w:hAnsi="仿宋" w:eastAsia="仿宋" w:cs="仿宋"/>
          <w:bCs/>
          <w:color w:val="auto"/>
          <w:kern w:val="2"/>
          <w:sz w:val="21"/>
          <w:szCs w:val="21"/>
          <w:highlight w:val="none"/>
        </w:rPr>
        <w:t>如果承包人在投标函附录中承诺的工期提前于发包人在本工程招标文件中所要求的工期，承包人在施工组织设计中应当制定相应的工期保证措施，由此而增加的费用应当被认为已经包括在投标总价中。除合同另有约定外，合同履约过程中发包人不会因此再向承包人支付任何性质的技术措施费用、赶工费用或其他任何性质的提前完工奖励等费用。</w:t>
      </w:r>
    </w:p>
    <w:p w14:paraId="38B0FD90">
      <w:pPr>
        <w:pStyle w:val="114"/>
        <w:adjustRightInd w:val="0"/>
        <w:snapToGrid w:val="0"/>
        <w:spacing w:line="380" w:lineRule="exact"/>
        <w:jc w:val="left"/>
        <w:rPr>
          <w:rFonts w:hint="eastAsia" w:ascii="仿宋" w:hAnsi="仿宋" w:eastAsia="仿宋" w:cs="仿宋"/>
          <w:bCs/>
          <w:color w:val="auto"/>
          <w:kern w:val="2"/>
          <w:sz w:val="21"/>
          <w:szCs w:val="21"/>
          <w:highlight w:val="none"/>
        </w:rPr>
      </w:pPr>
      <w:r>
        <w:rPr>
          <w:rFonts w:hint="eastAsia" w:ascii="仿宋" w:hAnsi="仿宋" w:eastAsia="仿宋" w:cs="仿宋"/>
          <w:bCs/>
          <w:color w:val="auto"/>
          <w:kern w:val="2"/>
          <w:sz w:val="21"/>
          <w:szCs w:val="21"/>
          <w:highlight w:val="none"/>
        </w:rPr>
        <w:t>3.2.3</w:t>
      </w:r>
      <w:r>
        <w:rPr>
          <w:rFonts w:hint="eastAsia" w:ascii="仿宋" w:hAnsi="仿宋" w:eastAsia="仿宋" w:cs="仿宋"/>
          <w:bCs/>
          <w:color w:val="auto"/>
          <w:kern w:val="2"/>
          <w:sz w:val="21"/>
          <w:szCs w:val="21"/>
          <w:highlight w:val="none"/>
        </w:rPr>
        <w:tab/>
      </w:r>
      <w:r>
        <w:rPr>
          <w:rFonts w:hint="eastAsia" w:ascii="仿宋" w:hAnsi="仿宋" w:eastAsia="仿宋" w:cs="仿宋"/>
          <w:bCs/>
          <w:color w:val="auto"/>
          <w:kern w:val="2"/>
          <w:sz w:val="21"/>
          <w:szCs w:val="21"/>
          <w:highlight w:val="none"/>
        </w:rPr>
        <w:t>承包人在投标函附录中所承诺的工期应当包括实施并完成暂估价项目实际可能发生的暂列金额在内的所有工作的工期。</w:t>
      </w:r>
    </w:p>
    <w:p w14:paraId="0CF22321">
      <w:pPr>
        <w:pStyle w:val="114"/>
        <w:adjustRightInd w:val="0"/>
        <w:snapToGrid w:val="0"/>
        <w:spacing w:line="380" w:lineRule="exact"/>
        <w:jc w:val="left"/>
        <w:rPr>
          <w:rFonts w:hint="eastAsia" w:ascii="仿宋" w:hAnsi="仿宋" w:eastAsia="仿宋" w:cs="仿宋"/>
          <w:color w:val="auto"/>
          <w:kern w:val="2"/>
          <w:sz w:val="21"/>
          <w:highlight w:val="none"/>
        </w:rPr>
      </w:pPr>
      <w:r>
        <w:rPr>
          <w:rFonts w:hint="eastAsia" w:ascii="仿宋" w:hAnsi="仿宋" w:eastAsia="仿宋" w:cs="仿宋"/>
          <w:b/>
          <w:color w:val="auto"/>
          <w:kern w:val="2"/>
          <w:sz w:val="21"/>
          <w:highlight w:val="none"/>
        </w:rPr>
        <w:t>4.</w:t>
      </w:r>
      <w:r>
        <w:rPr>
          <w:rFonts w:hint="eastAsia" w:ascii="仿宋" w:hAnsi="仿宋" w:eastAsia="仿宋" w:cs="仿宋"/>
          <w:color w:val="auto"/>
          <w:kern w:val="2"/>
          <w:sz w:val="21"/>
          <w:highlight w:val="none"/>
        </w:rPr>
        <w:t>质量要求</w:t>
      </w:r>
    </w:p>
    <w:p w14:paraId="1A220142">
      <w:pPr>
        <w:pStyle w:val="114"/>
        <w:adjustRightInd w:val="0"/>
        <w:snapToGrid w:val="0"/>
        <w:spacing w:line="380" w:lineRule="exact"/>
        <w:jc w:val="left"/>
        <w:rPr>
          <w:rFonts w:hint="eastAsia" w:ascii="仿宋" w:hAnsi="仿宋" w:eastAsia="仿宋" w:cs="仿宋"/>
          <w:bCs/>
          <w:color w:val="auto"/>
          <w:kern w:val="2"/>
          <w:sz w:val="21"/>
          <w:szCs w:val="21"/>
          <w:highlight w:val="none"/>
        </w:rPr>
      </w:pPr>
      <w:r>
        <w:rPr>
          <w:rFonts w:hint="eastAsia" w:ascii="仿宋" w:hAnsi="仿宋" w:eastAsia="仿宋" w:cs="仿宋"/>
          <w:bCs/>
          <w:color w:val="auto"/>
          <w:kern w:val="2"/>
          <w:sz w:val="21"/>
          <w:szCs w:val="21"/>
          <w:highlight w:val="none"/>
        </w:rPr>
        <w:t>4.1</w:t>
      </w:r>
      <w:r>
        <w:rPr>
          <w:rFonts w:hint="eastAsia" w:ascii="仿宋" w:hAnsi="仿宋" w:eastAsia="仿宋" w:cs="仿宋"/>
          <w:bCs/>
          <w:color w:val="auto"/>
          <w:kern w:val="2"/>
          <w:sz w:val="21"/>
          <w:szCs w:val="21"/>
          <w:highlight w:val="none"/>
        </w:rPr>
        <w:tab/>
      </w:r>
      <w:r>
        <w:rPr>
          <w:rFonts w:hint="eastAsia" w:ascii="仿宋" w:hAnsi="仿宋" w:eastAsia="仿宋" w:cs="仿宋"/>
          <w:bCs/>
          <w:color w:val="auto"/>
          <w:kern w:val="2"/>
          <w:sz w:val="21"/>
          <w:szCs w:val="21"/>
          <w:highlight w:val="none"/>
        </w:rPr>
        <w:t>质量标准</w:t>
      </w:r>
    </w:p>
    <w:p w14:paraId="6D8AD068">
      <w:pPr>
        <w:spacing w:line="440" w:lineRule="exact"/>
        <w:jc w:val="left"/>
        <w:rPr>
          <w:rFonts w:hint="eastAsia" w:ascii="仿宋" w:hAnsi="仿宋" w:eastAsia="仿宋" w:cs="仿宋"/>
          <w:color w:val="auto"/>
          <w:szCs w:val="21"/>
          <w:highlight w:val="none"/>
        </w:rPr>
      </w:pPr>
      <w:r>
        <w:rPr>
          <w:rFonts w:hint="eastAsia" w:ascii="仿宋" w:hAnsi="仿宋" w:eastAsia="仿宋" w:cs="仿宋"/>
          <w:bCs/>
          <w:color w:val="auto"/>
          <w:szCs w:val="21"/>
          <w:highlight w:val="none"/>
        </w:rPr>
        <w:t>4.1.1</w:t>
      </w:r>
      <w:r>
        <w:rPr>
          <w:rFonts w:hint="eastAsia" w:ascii="仿宋" w:hAnsi="仿宋" w:eastAsia="仿宋" w:cs="仿宋"/>
          <w:bCs/>
          <w:color w:val="auto"/>
          <w:szCs w:val="21"/>
          <w:highlight w:val="none"/>
        </w:rPr>
        <w:tab/>
      </w:r>
      <w:r>
        <w:rPr>
          <w:rFonts w:hint="eastAsia" w:ascii="仿宋" w:hAnsi="仿宋" w:eastAsia="仿宋" w:cs="仿宋"/>
          <w:bCs/>
          <w:color w:val="auto"/>
          <w:szCs w:val="21"/>
          <w:highlight w:val="none"/>
        </w:rPr>
        <w:t>本工程要求的质量标准为</w:t>
      </w:r>
      <w:r>
        <w:rPr>
          <w:rFonts w:hint="eastAsia" w:ascii="仿宋" w:hAnsi="仿宋" w:eastAsia="仿宋" w:cs="仿宋"/>
          <w:color w:val="auto"/>
          <w:szCs w:val="21"/>
          <w:highlight w:val="none"/>
        </w:rPr>
        <w:t>设计要求的质量标准：符合国家现行标准，符合国家现行设计规范要求。施工质量合格验收标准：施工质量合格验收标准。</w:t>
      </w:r>
    </w:p>
    <w:p w14:paraId="46ADCB8B">
      <w:pPr>
        <w:pStyle w:val="114"/>
        <w:adjustRightInd w:val="0"/>
        <w:snapToGrid w:val="0"/>
        <w:spacing w:line="380" w:lineRule="exact"/>
        <w:jc w:val="left"/>
        <w:rPr>
          <w:rFonts w:hint="eastAsia" w:ascii="仿宋" w:hAnsi="仿宋" w:eastAsia="仿宋" w:cs="仿宋"/>
          <w:bCs/>
          <w:color w:val="auto"/>
          <w:kern w:val="2"/>
          <w:sz w:val="21"/>
          <w:szCs w:val="21"/>
          <w:highlight w:val="none"/>
        </w:rPr>
      </w:pPr>
      <w:r>
        <w:rPr>
          <w:rFonts w:hint="eastAsia" w:ascii="仿宋" w:hAnsi="仿宋" w:eastAsia="仿宋" w:cs="仿宋"/>
          <w:bCs/>
          <w:color w:val="auto"/>
          <w:kern w:val="2"/>
          <w:sz w:val="21"/>
          <w:szCs w:val="21"/>
          <w:highlight w:val="none"/>
        </w:rPr>
        <w:t>4.2</w:t>
      </w:r>
      <w:r>
        <w:rPr>
          <w:rFonts w:hint="eastAsia" w:ascii="仿宋" w:hAnsi="仿宋" w:eastAsia="仿宋" w:cs="仿宋"/>
          <w:bCs/>
          <w:color w:val="auto"/>
          <w:kern w:val="2"/>
          <w:sz w:val="21"/>
          <w:szCs w:val="21"/>
          <w:highlight w:val="none"/>
        </w:rPr>
        <w:tab/>
      </w:r>
      <w:r>
        <w:rPr>
          <w:rFonts w:hint="eastAsia" w:ascii="仿宋" w:hAnsi="仿宋" w:eastAsia="仿宋" w:cs="仿宋"/>
          <w:bCs/>
          <w:color w:val="auto"/>
          <w:kern w:val="2"/>
          <w:sz w:val="21"/>
          <w:szCs w:val="21"/>
          <w:highlight w:val="none"/>
        </w:rPr>
        <w:t>特殊质量要求</w:t>
      </w:r>
    </w:p>
    <w:p w14:paraId="4999475E">
      <w:pPr>
        <w:pStyle w:val="114"/>
        <w:adjustRightInd w:val="0"/>
        <w:snapToGrid w:val="0"/>
        <w:spacing w:line="380" w:lineRule="exact"/>
        <w:jc w:val="left"/>
        <w:rPr>
          <w:rFonts w:hint="eastAsia" w:ascii="仿宋" w:hAnsi="仿宋" w:eastAsia="仿宋" w:cs="仿宋"/>
          <w:bCs/>
          <w:color w:val="auto"/>
          <w:kern w:val="2"/>
          <w:sz w:val="21"/>
          <w:szCs w:val="21"/>
          <w:highlight w:val="none"/>
        </w:rPr>
      </w:pPr>
      <w:r>
        <w:rPr>
          <w:rFonts w:hint="eastAsia" w:ascii="仿宋" w:hAnsi="仿宋" w:eastAsia="仿宋" w:cs="仿宋"/>
          <w:bCs/>
          <w:color w:val="auto"/>
          <w:kern w:val="2"/>
          <w:sz w:val="21"/>
          <w:szCs w:val="21"/>
          <w:highlight w:val="none"/>
        </w:rPr>
        <w:t>4.2.1</w:t>
      </w:r>
      <w:r>
        <w:rPr>
          <w:rFonts w:hint="eastAsia" w:ascii="仿宋" w:hAnsi="仿宋" w:eastAsia="仿宋" w:cs="仿宋"/>
          <w:bCs/>
          <w:color w:val="auto"/>
          <w:kern w:val="2"/>
          <w:sz w:val="21"/>
          <w:szCs w:val="21"/>
          <w:highlight w:val="none"/>
        </w:rPr>
        <w:tab/>
      </w:r>
      <w:r>
        <w:rPr>
          <w:rFonts w:hint="eastAsia" w:ascii="仿宋" w:hAnsi="仿宋" w:eastAsia="仿宋" w:cs="仿宋"/>
          <w:bCs/>
          <w:color w:val="auto"/>
          <w:kern w:val="2"/>
          <w:sz w:val="21"/>
          <w:szCs w:val="21"/>
          <w:highlight w:val="none"/>
        </w:rPr>
        <w:t>有关本工程质量方面的特殊要求如下：</w:t>
      </w:r>
      <w:r>
        <w:rPr>
          <w:rFonts w:hint="eastAsia" w:ascii="仿宋" w:hAnsi="仿宋" w:eastAsia="仿宋" w:cs="仿宋"/>
          <w:bCs/>
          <w:color w:val="auto"/>
          <w:kern w:val="2"/>
          <w:sz w:val="21"/>
          <w:szCs w:val="21"/>
          <w:highlight w:val="none"/>
          <w:u w:val="single"/>
        </w:rPr>
        <w:t>无</w:t>
      </w:r>
    </w:p>
    <w:p w14:paraId="0637512C">
      <w:pPr>
        <w:pStyle w:val="114"/>
        <w:adjustRightInd w:val="0"/>
        <w:snapToGrid w:val="0"/>
        <w:spacing w:line="380" w:lineRule="exact"/>
        <w:jc w:val="left"/>
        <w:rPr>
          <w:rFonts w:hint="eastAsia" w:ascii="仿宋" w:hAnsi="仿宋" w:eastAsia="仿宋" w:cs="仿宋"/>
          <w:color w:val="auto"/>
          <w:kern w:val="2"/>
          <w:sz w:val="21"/>
          <w:highlight w:val="none"/>
        </w:rPr>
      </w:pPr>
      <w:r>
        <w:rPr>
          <w:rFonts w:hint="eastAsia" w:ascii="仿宋" w:hAnsi="仿宋" w:eastAsia="仿宋" w:cs="仿宋"/>
          <w:b/>
          <w:color w:val="auto"/>
          <w:kern w:val="2"/>
          <w:sz w:val="21"/>
          <w:highlight w:val="none"/>
        </w:rPr>
        <w:t>5.</w:t>
      </w:r>
      <w:r>
        <w:rPr>
          <w:rFonts w:hint="eastAsia" w:ascii="仿宋" w:hAnsi="仿宋" w:eastAsia="仿宋" w:cs="仿宋"/>
          <w:color w:val="auto"/>
          <w:kern w:val="2"/>
          <w:sz w:val="21"/>
          <w:highlight w:val="none"/>
        </w:rPr>
        <w:t>适用规范和标准</w:t>
      </w:r>
    </w:p>
    <w:p w14:paraId="7B306489">
      <w:pPr>
        <w:pStyle w:val="114"/>
        <w:adjustRightInd w:val="0"/>
        <w:snapToGrid w:val="0"/>
        <w:spacing w:line="380" w:lineRule="exact"/>
        <w:jc w:val="left"/>
        <w:rPr>
          <w:rFonts w:hint="eastAsia" w:ascii="仿宋" w:hAnsi="仿宋" w:eastAsia="仿宋" w:cs="仿宋"/>
          <w:bCs/>
          <w:color w:val="auto"/>
          <w:kern w:val="2"/>
          <w:sz w:val="21"/>
          <w:szCs w:val="21"/>
          <w:highlight w:val="none"/>
        </w:rPr>
      </w:pPr>
      <w:r>
        <w:rPr>
          <w:rFonts w:hint="eastAsia" w:ascii="仿宋" w:hAnsi="仿宋" w:eastAsia="仿宋" w:cs="仿宋"/>
          <w:bCs/>
          <w:color w:val="auto"/>
          <w:kern w:val="2"/>
          <w:sz w:val="21"/>
          <w:szCs w:val="21"/>
          <w:highlight w:val="none"/>
        </w:rPr>
        <w:t>5.1</w:t>
      </w:r>
      <w:r>
        <w:rPr>
          <w:rFonts w:hint="eastAsia" w:ascii="仿宋" w:hAnsi="仿宋" w:eastAsia="仿宋" w:cs="仿宋"/>
          <w:bCs/>
          <w:color w:val="auto"/>
          <w:kern w:val="2"/>
          <w:sz w:val="21"/>
          <w:szCs w:val="21"/>
          <w:highlight w:val="none"/>
        </w:rPr>
        <w:tab/>
      </w:r>
      <w:r>
        <w:rPr>
          <w:rFonts w:hint="eastAsia" w:ascii="仿宋" w:hAnsi="仿宋" w:eastAsia="仿宋" w:cs="仿宋"/>
          <w:bCs/>
          <w:color w:val="auto"/>
          <w:kern w:val="2"/>
          <w:sz w:val="21"/>
          <w:szCs w:val="21"/>
          <w:highlight w:val="none"/>
        </w:rPr>
        <w:t>适用的规范、标准和规程</w:t>
      </w:r>
    </w:p>
    <w:p w14:paraId="7DA93ACF">
      <w:pPr>
        <w:pStyle w:val="114"/>
        <w:adjustRightInd w:val="0"/>
        <w:snapToGrid w:val="0"/>
        <w:spacing w:line="380" w:lineRule="exact"/>
        <w:jc w:val="left"/>
        <w:rPr>
          <w:rFonts w:hint="eastAsia" w:ascii="仿宋" w:hAnsi="仿宋" w:eastAsia="仿宋" w:cs="仿宋"/>
          <w:bCs/>
          <w:color w:val="auto"/>
          <w:kern w:val="2"/>
          <w:sz w:val="21"/>
          <w:szCs w:val="21"/>
          <w:highlight w:val="none"/>
        </w:rPr>
      </w:pPr>
      <w:r>
        <w:rPr>
          <w:rFonts w:hint="eastAsia" w:ascii="仿宋" w:hAnsi="仿宋" w:eastAsia="仿宋" w:cs="仿宋"/>
          <w:bCs/>
          <w:color w:val="auto"/>
          <w:kern w:val="2"/>
          <w:sz w:val="21"/>
          <w:szCs w:val="21"/>
          <w:highlight w:val="none"/>
        </w:rPr>
        <w:t>5.1.1</w:t>
      </w:r>
      <w:r>
        <w:rPr>
          <w:rFonts w:hint="eastAsia" w:ascii="仿宋" w:hAnsi="仿宋" w:eastAsia="仿宋" w:cs="仿宋"/>
          <w:bCs/>
          <w:color w:val="auto"/>
          <w:kern w:val="2"/>
          <w:sz w:val="21"/>
          <w:szCs w:val="21"/>
          <w:highlight w:val="none"/>
        </w:rPr>
        <w:tab/>
      </w:r>
      <w:r>
        <w:rPr>
          <w:rFonts w:hint="eastAsia" w:ascii="仿宋" w:hAnsi="仿宋" w:eastAsia="仿宋" w:cs="仿宋"/>
          <w:bCs/>
          <w:color w:val="auto"/>
          <w:kern w:val="2"/>
          <w:sz w:val="21"/>
          <w:szCs w:val="21"/>
          <w:highlight w:val="none"/>
        </w:rPr>
        <w:t>除合同另有约定外，本工程适用现行国家、行业和地方规范、标准和规程。适用于本工程的国家、行业和地方的规范、标准和规程等的名录见本章第三节。</w:t>
      </w:r>
    </w:p>
    <w:p w14:paraId="14FC83AD">
      <w:pPr>
        <w:pStyle w:val="114"/>
        <w:adjustRightInd w:val="0"/>
        <w:snapToGrid w:val="0"/>
        <w:spacing w:line="380" w:lineRule="exact"/>
        <w:jc w:val="left"/>
        <w:rPr>
          <w:rFonts w:hint="eastAsia" w:ascii="仿宋" w:hAnsi="仿宋" w:eastAsia="仿宋" w:cs="仿宋"/>
          <w:bCs/>
          <w:color w:val="auto"/>
          <w:kern w:val="2"/>
          <w:sz w:val="21"/>
          <w:szCs w:val="21"/>
          <w:highlight w:val="none"/>
        </w:rPr>
      </w:pPr>
      <w:r>
        <w:rPr>
          <w:rFonts w:hint="eastAsia" w:ascii="仿宋" w:hAnsi="仿宋" w:eastAsia="仿宋" w:cs="仿宋"/>
          <w:bCs/>
          <w:color w:val="auto"/>
          <w:kern w:val="2"/>
          <w:sz w:val="21"/>
          <w:szCs w:val="21"/>
          <w:highlight w:val="none"/>
        </w:rPr>
        <w:tab/>
      </w:r>
      <w:r>
        <w:rPr>
          <w:rFonts w:hint="eastAsia" w:ascii="仿宋" w:hAnsi="仿宋" w:eastAsia="仿宋" w:cs="仿宋"/>
          <w:bCs/>
          <w:color w:val="auto"/>
          <w:kern w:val="2"/>
          <w:sz w:val="21"/>
          <w:szCs w:val="21"/>
          <w:highlight w:val="none"/>
        </w:rPr>
        <w:t>构成合同文件的任何内容与适用的规范、标准和规程之间出现矛盾，承包人应书面要求监理人予以澄清，除监理人有特别指示外，承包人应按照其中要求最严格的标准执行。</w:t>
      </w:r>
    </w:p>
    <w:p w14:paraId="08DBEF88">
      <w:pPr>
        <w:pStyle w:val="114"/>
        <w:adjustRightInd w:val="0"/>
        <w:snapToGrid w:val="0"/>
        <w:spacing w:line="380" w:lineRule="exact"/>
        <w:jc w:val="left"/>
        <w:rPr>
          <w:rFonts w:hint="eastAsia" w:ascii="仿宋" w:hAnsi="仿宋" w:eastAsia="仿宋" w:cs="仿宋"/>
          <w:bCs/>
          <w:color w:val="auto"/>
          <w:kern w:val="2"/>
          <w:sz w:val="21"/>
          <w:szCs w:val="21"/>
          <w:highlight w:val="none"/>
        </w:rPr>
      </w:pPr>
      <w:r>
        <w:rPr>
          <w:rFonts w:hint="eastAsia" w:ascii="仿宋" w:hAnsi="仿宋" w:eastAsia="仿宋" w:cs="仿宋"/>
          <w:bCs/>
          <w:color w:val="auto"/>
          <w:kern w:val="2"/>
          <w:sz w:val="21"/>
          <w:szCs w:val="21"/>
          <w:highlight w:val="none"/>
        </w:rPr>
        <w:t>5.1.3</w:t>
      </w:r>
      <w:r>
        <w:rPr>
          <w:rFonts w:hint="eastAsia" w:ascii="仿宋" w:hAnsi="仿宋" w:eastAsia="仿宋" w:cs="仿宋"/>
          <w:bCs/>
          <w:color w:val="auto"/>
          <w:kern w:val="2"/>
          <w:sz w:val="21"/>
          <w:szCs w:val="21"/>
          <w:highlight w:val="none"/>
        </w:rPr>
        <w:tab/>
      </w:r>
      <w:r>
        <w:rPr>
          <w:rFonts w:hint="eastAsia" w:ascii="仿宋" w:hAnsi="仿宋" w:eastAsia="仿宋" w:cs="仿宋"/>
          <w:bCs/>
          <w:color w:val="auto"/>
          <w:kern w:val="2"/>
          <w:sz w:val="21"/>
          <w:szCs w:val="21"/>
          <w:highlight w:val="none"/>
        </w:rPr>
        <w:t>除合同另有约定外，材料、施工工艺和本工程都应依照本技术标准和要求以及适用的现行规范、标准和规程的最新版本执行。若适用的现行规范、标准和规程的最新版本是在基准日后颁布的，且相应标准发生变更并成为合同文件中最严格的标准，则应按合同条款约定办理。</w:t>
      </w:r>
    </w:p>
    <w:p w14:paraId="5DC5BABC">
      <w:pPr>
        <w:pStyle w:val="114"/>
        <w:adjustRightInd w:val="0"/>
        <w:snapToGrid w:val="0"/>
        <w:spacing w:line="380" w:lineRule="exact"/>
        <w:jc w:val="left"/>
        <w:rPr>
          <w:rFonts w:hint="eastAsia" w:ascii="仿宋" w:hAnsi="仿宋" w:eastAsia="仿宋" w:cs="仿宋"/>
          <w:bCs/>
          <w:color w:val="auto"/>
          <w:kern w:val="2"/>
          <w:sz w:val="21"/>
          <w:szCs w:val="21"/>
          <w:highlight w:val="none"/>
        </w:rPr>
      </w:pPr>
      <w:r>
        <w:rPr>
          <w:rFonts w:hint="eastAsia" w:ascii="仿宋" w:hAnsi="仿宋" w:eastAsia="仿宋" w:cs="仿宋"/>
          <w:bCs/>
          <w:color w:val="auto"/>
          <w:kern w:val="2"/>
          <w:sz w:val="21"/>
          <w:szCs w:val="21"/>
          <w:highlight w:val="none"/>
        </w:rPr>
        <w:t>5.2</w:t>
      </w:r>
      <w:r>
        <w:rPr>
          <w:rFonts w:hint="eastAsia" w:ascii="仿宋" w:hAnsi="仿宋" w:eastAsia="仿宋" w:cs="仿宋"/>
          <w:bCs/>
          <w:color w:val="auto"/>
          <w:kern w:val="2"/>
          <w:sz w:val="21"/>
          <w:szCs w:val="21"/>
          <w:highlight w:val="none"/>
        </w:rPr>
        <w:tab/>
      </w:r>
      <w:r>
        <w:rPr>
          <w:rFonts w:hint="eastAsia" w:ascii="仿宋" w:hAnsi="仿宋" w:eastAsia="仿宋" w:cs="仿宋"/>
          <w:bCs/>
          <w:color w:val="auto"/>
          <w:kern w:val="2"/>
          <w:sz w:val="21"/>
          <w:szCs w:val="21"/>
          <w:highlight w:val="none"/>
        </w:rPr>
        <w:t>特殊技术标准和要求</w:t>
      </w:r>
    </w:p>
    <w:p w14:paraId="16EC8127">
      <w:pPr>
        <w:pStyle w:val="114"/>
        <w:adjustRightInd w:val="0"/>
        <w:snapToGrid w:val="0"/>
        <w:spacing w:line="380" w:lineRule="exact"/>
        <w:jc w:val="left"/>
        <w:rPr>
          <w:rFonts w:hint="eastAsia" w:ascii="仿宋" w:hAnsi="仿宋" w:eastAsia="仿宋" w:cs="仿宋"/>
          <w:bCs/>
          <w:color w:val="auto"/>
          <w:kern w:val="2"/>
          <w:sz w:val="21"/>
          <w:szCs w:val="21"/>
          <w:highlight w:val="none"/>
        </w:rPr>
      </w:pPr>
      <w:r>
        <w:rPr>
          <w:rFonts w:hint="eastAsia" w:ascii="仿宋" w:hAnsi="仿宋" w:eastAsia="仿宋" w:cs="仿宋"/>
          <w:bCs/>
          <w:color w:val="auto"/>
          <w:kern w:val="2"/>
          <w:sz w:val="21"/>
          <w:szCs w:val="21"/>
          <w:highlight w:val="none"/>
        </w:rPr>
        <w:t>5.2.1</w:t>
      </w:r>
      <w:r>
        <w:rPr>
          <w:rFonts w:hint="eastAsia" w:ascii="仿宋" w:hAnsi="仿宋" w:eastAsia="仿宋" w:cs="仿宋"/>
          <w:bCs/>
          <w:color w:val="auto"/>
          <w:kern w:val="2"/>
          <w:sz w:val="21"/>
          <w:szCs w:val="21"/>
          <w:highlight w:val="none"/>
        </w:rPr>
        <w:tab/>
      </w:r>
      <w:r>
        <w:rPr>
          <w:rFonts w:hint="eastAsia" w:ascii="仿宋" w:hAnsi="仿宋" w:eastAsia="仿宋" w:cs="仿宋"/>
          <w:bCs/>
          <w:color w:val="auto"/>
          <w:kern w:val="2"/>
          <w:sz w:val="21"/>
          <w:szCs w:val="21"/>
          <w:highlight w:val="none"/>
        </w:rPr>
        <w:t>适用本工程的特殊技术标准和要求见本章第二节。</w:t>
      </w:r>
    </w:p>
    <w:p w14:paraId="4CD6D187">
      <w:pPr>
        <w:pStyle w:val="114"/>
        <w:adjustRightInd w:val="0"/>
        <w:snapToGrid w:val="0"/>
        <w:spacing w:line="380" w:lineRule="exact"/>
        <w:jc w:val="left"/>
        <w:rPr>
          <w:rFonts w:hint="eastAsia" w:ascii="仿宋" w:hAnsi="仿宋" w:eastAsia="仿宋" w:cs="仿宋"/>
          <w:bCs/>
          <w:color w:val="auto"/>
          <w:kern w:val="2"/>
          <w:sz w:val="21"/>
          <w:szCs w:val="21"/>
          <w:highlight w:val="none"/>
        </w:rPr>
      </w:pPr>
      <w:r>
        <w:rPr>
          <w:rFonts w:hint="eastAsia" w:ascii="仿宋" w:hAnsi="仿宋" w:eastAsia="仿宋" w:cs="仿宋"/>
          <w:bCs/>
          <w:color w:val="auto"/>
          <w:kern w:val="2"/>
          <w:sz w:val="21"/>
          <w:szCs w:val="21"/>
          <w:highlight w:val="none"/>
        </w:rPr>
        <w:t>5.2.2</w:t>
      </w:r>
      <w:r>
        <w:rPr>
          <w:rFonts w:hint="eastAsia" w:ascii="仿宋" w:hAnsi="仿宋" w:eastAsia="仿宋" w:cs="仿宋"/>
          <w:bCs/>
          <w:color w:val="auto"/>
          <w:kern w:val="2"/>
          <w:sz w:val="21"/>
          <w:szCs w:val="21"/>
          <w:highlight w:val="none"/>
        </w:rPr>
        <w:tab/>
      </w:r>
      <w:r>
        <w:rPr>
          <w:rFonts w:hint="eastAsia" w:ascii="仿宋" w:hAnsi="仿宋" w:eastAsia="仿宋" w:cs="仿宋"/>
          <w:bCs/>
          <w:color w:val="auto"/>
          <w:kern w:val="2"/>
          <w:sz w:val="21"/>
          <w:szCs w:val="21"/>
          <w:highlight w:val="none"/>
        </w:rPr>
        <w:t>有合同约束力的图纸和其他设计文件中的有关文字说明是本节的组成内容。</w:t>
      </w:r>
    </w:p>
    <w:p w14:paraId="7D6E11CA">
      <w:pPr>
        <w:pStyle w:val="114"/>
        <w:adjustRightInd w:val="0"/>
        <w:snapToGrid w:val="0"/>
        <w:spacing w:line="380" w:lineRule="exact"/>
        <w:jc w:val="left"/>
        <w:rPr>
          <w:rFonts w:hint="eastAsia" w:ascii="仿宋" w:hAnsi="仿宋" w:eastAsia="仿宋" w:cs="仿宋"/>
          <w:color w:val="auto"/>
          <w:kern w:val="2"/>
          <w:sz w:val="21"/>
          <w:highlight w:val="none"/>
        </w:rPr>
      </w:pPr>
      <w:r>
        <w:rPr>
          <w:rFonts w:hint="eastAsia" w:ascii="仿宋" w:hAnsi="仿宋" w:eastAsia="仿宋" w:cs="仿宋"/>
          <w:b/>
          <w:color w:val="auto"/>
          <w:kern w:val="2"/>
          <w:sz w:val="21"/>
          <w:highlight w:val="none"/>
        </w:rPr>
        <w:t>6.</w:t>
      </w:r>
      <w:r>
        <w:rPr>
          <w:rFonts w:hint="eastAsia" w:ascii="仿宋" w:hAnsi="仿宋" w:eastAsia="仿宋" w:cs="仿宋"/>
          <w:color w:val="auto"/>
          <w:kern w:val="2"/>
          <w:sz w:val="21"/>
          <w:highlight w:val="none"/>
        </w:rPr>
        <w:t>安全文明施工</w:t>
      </w:r>
    </w:p>
    <w:p w14:paraId="690292A7">
      <w:pPr>
        <w:pStyle w:val="114"/>
        <w:adjustRightInd w:val="0"/>
        <w:snapToGrid w:val="0"/>
        <w:spacing w:line="380" w:lineRule="exact"/>
        <w:jc w:val="left"/>
        <w:rPr>
          <w:rFonts w:hint="eastAsia" w:ascii="仿宋" w:hAnsi="仿宋" w:eastAsia="仿宋" w:cs="仿宋"/>
          <w:bCs/>
          <w:color w:val="auto"/>
          <w:kern w:val="2"/>
          <w:sz w:val="21"/>
          <w:szCs w:val="21"/>
          <w:highlight w:val="none"/>
        </w:rPr>
      </w:pPr>
      <w:r>
        <w:rPr>
          <w:rFonts w:hint="eastAsia" w:ascii="仿宋" w:hAnsi="仿宋" w:eastAsia="仿宋" w:cs="仿宋"/>
          <w:bCs/>
          <w:color w:val="auto"/>
          <w:kern w:val="2"/>
          <w:sz w:val="21"/>
          <w:szCs w:val="21"/>
          <w:highlight w:val="none"/>
        </w:rPr>
        <w:t>6.1</w:t>
      </w:r>
      <w:r>
        <w:rPr>
          <w:rFonts w:hint="eastAsia" w:ascii="仿宋" w:hAnsi="仿宋" w:eastAsia="仿宋" w:cs="仿宋"/>
          <w:bCs/>
          <w:color w:val="auto"/>
          <w:kern w:val="2"/>
          <w:sz w:val="21"/>
          <w:szCs w:val="21"/>
          <w:highlight w:val="none"/>
        </w:rPr>
        <w:tab/>
      </w:r>
      <w:r>
        <w:rPr>
          <w:rFonts w:hint="eastAsia" w:ascii="仿宋" w:hAnsi="仿宋" w:eastAsia="仿宋" w:cs="仿宋"/>
          <w:bCs/>
          <w:color w:val="auto"/>
          <w:kern w:val="2"/>
          <w:sz w:val="21"/>
          <w:szCs w:val="21"/>
          <w:highlight w:val="none"/>
        </w:rPr>
        <w:t>安全防护</w:t>
      </w:r>
    </w:p>
    <w:p w14:paraId="7BEF30EE">
      <w:pPr>
        <w:pStyle w:val="114"/>
        <w:adjustRightInd w:val="0"/>
        <w:snapToGrid w:val="0"/>
        <w:spacing w:line="380" w:lineRule="exact"/>
        <w:jc w:val="left"/>
        <w:rPr>
          <w:rFonts w:hint="eastAsia" w:ascii="仿宋" w:hAnsi="仿宋" w:eastAsia="仿宋" w:cs="仿宋"/>
          <w:bCs/>
          <w:color w:val="auto"/>
          <w:kern w:val="2"/>
          <w:sz w:val="21"/>
          <w:szCs w:val="21"/>
          <w:highlight w:val="none"/>
        </w:rPr>
      </w:pPr>
      <w:r>
        <w:rPr>
          <w:rFonts w:hint="eastAsia" w:ascii="仿宋" w:hAnsi="仿宋" w:eastAsia="仿宋" w:cs="仿宋"/>
          <w:bCs/>
          <w:color w:val="auto"/>
          <w:kern w:val="2"/>
          <w:sz w:val="21"/>
          <w:szCs w:val="21"/>
          <w:highlight w:val="none"/>
        </w:rPr>
        <w:t>6.1.1</w:t>
      </w:r>
      <w:r>
        <w:rPr>
          <w:rFonts w:hint="eastAsia" w:ascii="仿宋" w:hAnsi="仿宋" w:eastAsia="仿宋" w:cs="仿宋"/>
          <w:bCs/>
          <w:color w:val="auto"/>
          <w:kern w:val="2"/>
          <w:sz w:val="21"/>
          <w:szCs w:val="21"/>
          <w:highlight w:val="none"/>
        </w:rPr>
        <w:tab/>
      </w:r>
      <w:r>
        <w:rPr>
          <w:rFonts w:hint="eastAsia" w:ascii="仿宋" w:hAnsi="仿宋" w:eastAsia="仿宋" w:cs="仿宋"/>
          <w:bCs/>
          <w:color w:val="auto"/>
          <w:kern w:val="2"/>
          <w:sz w:val="21"/>
          <w:szCs w:val="21"/>
          <w:highlight w:val="none"/>
        </w:rPr>
        <w:t>在工程施工、竣工、交付及修补任何缺陷的过程中，承包人应当始终遵守国家和地方有关安全生产的法律、法规、规范、标准和规程等，按照合同条款的约定履行其安全施工职责。</w:t>
      </w:r>
    </w:p>
    <w:p w14:paraId="04FDEA67">
      <w:pPr>
        <w:pStyle w:val="114"/>
        <w:adjustRightInd w:val="0"/>
        <w:snapToGrid w:val="0"/>
        <w:spacing w:line="380" w:lineRule="exact"/>
        <w:jc w:val="left"/>
        <w:rPr>
          <w:rFonts w:hint="eastAsia" w:ascii="仿宋" w:hAnsi="仿宋" w:eastAsia="仿宋" w:cs="仿宋"/>
          <w:bCs/>
          <w:color w:val="auto"/>
          <w:kern w:val="2"/>
          <w:sz w:val="21"/>
          <w:szCs w:val="21"/>
          <w:highlight w:val="none"/>
        </w:rPr>
      </w:pPr>
      <w:r>
        <w:rPr>
          <w:rFonts w:hint="eastAsia" w:ascii="仿宋" w:hAnsi="仿宋" w:eastAsia="仿宋" w:cs="仿宋"/>
          <w:bCs/>
          <w:color w:val="auto"/>
          <w:kern w:val="2"/>
          <w:sz w:val="21"/>
          <w:szCs w:val="21"/>
          <w:highlight w:val="none"/>
        </w:rPr>
        <w:t>6.1.2</w:t>
      </w:r>
      <w:r>
        <w:rPr>
          <w:rFonts w:hint="eastAsia" w:ascii="仿宋" w:hAnsi="仿宋" w:eastAsia="仿宋" w:cs="仿宋"/>
          <w:bCs/>
          <w:color w:val="auto"/>
          <w:kern w:val="2"/>
          <w:sz w:val="21"/>
          <w:szCs w:val="21"/>
          <w:highlight w:val="none"/>
        </w:rPr>
        <w:tab/>
      </w:r>
      <w:r>
        <w:rPr>
          <w:rFonts w:hint="eastAsia" w:ascii="仿宋" w:hAnsi="仿宋" w:eastAsia="仿宋" w:cs="仿宋"/>
          <w:bCs/>
          <w:color w:val="auto"/>
          <w:kern w:val="2"/>
          <w:sz w:val="21"/>
          <w:szCs w:val="21"/>
          <w:highlight w:val="none"/>
        </w:rPr>
        <w:t>承包人应坚持“安全第一，预防为主”的方针，建立、健全安全生产责任制度和安全生产教育培训制度。在整个工程施工期间，承包人应在施工场地（现场）设立、提供和维护并在有关工作完成或竣工后撤除：</w:t>
      </w:r>
    </w:p>
    <w:p w14:paraId="3A735EC2">
      <w:pPr>
        <w:pStyle w:val="114"/>
        <w:adjustRightInd w:val="0"/>
        <w:snapToGrid w:val="0"/>
        <w:spacing w:line="380" w:lineRule="exact"/>
        <w:jc w:val="left"/>
        <w:rPr>
          <w:rFonts w:hint="eastAsia" w:ascii="仿宋" w:hAnsi="仿宋" w:eastAsia="仿宋" w:cs="仿宋"/>
          <w:bCs/>
          <w:color w:val="auto"/>
          <w:kern w:val="2"/>
          <w:sz w:val="21"/>
          <w:szCs w:val="21"/>
          <w:highlight w:val="none"/>
        </w:rPr>
      </w:pPr>
      <w:r>
        <w:rPr>
          <w:rFonts w:hint="eastAsia" w:ascii="仿宋" w:hAnsi="仿宋" w:eastAsia="仿宋" w:cs="仿宋"/>
          <w:bCs/>
          <w:color w:val="auto"/>
          <w:kern w:val="2"/>
          <w:sz w:val="21"/>
          <w:szCs w:val="21"/>
          <w:highlight w:val="none"/>
        </w:rPr>
        <w:t>（1）</w:t>
      </w:r>
      <w:r>
        <w:rPr>
          <w:rFonts w:hint="eastAsia" w:ascii="仿宋" w:hAnsi="仿宋" w:eastAsia="仿宋" w:cs="仿宋"/>
          <w:bCs/>
          <w:color w:val="auto"/>
          <w:kern w:val="2"/>
          <w:sz w:val="21"/>
          <w:szCs w:val="21"/>
          <w:highlight w:val="none"/>
        </w:rPr>
        <w:tab/>
      </w:r>
      <w:r>
        <w:rPr>
          <w:rFonts w:hint="eastAsia" w:ascii="仿宋" w:hAnsi="仿宋" w:eastAsia="仿宋" w:cs="仿宋"/>
          <w:bCs/>
          <w:color w:val="auto"/>
          <w:kern w:val="2"/>
          <w:sz w:val="21"/>
          <w:szCs w:val="21"/>
          <w:highlight w:val="none"/>
        </w:rPr>
        <w:t>设立在现场入口显著位置的现场施工总平面图、总平面管理、安全生产、文明施工、环境保护、质量控制、材料管理等的规章制度和主要参建单位名称和工程概况等说明的图板；</w:t>
      </w:r>
    </w:p>
    <w:p w14:paraId="39EE3E3F">
      <w:pPr>
        <w:pStyle w:val="114"/>
        <w:adjustRightInd w:val="0"/>
        <w:snapToGrid w:val="0"/>
        <w:spacing w:line="380" w:lineRule="exact"/>
        <w:jc w:val="left"/>
        <w:rPr>
          <w:rFonts w:hint="eastAsia" w:ascii="仿宋" w:hAnsi="仿宋" w:eastAsia="仿宋" w:cs="仿宋"/>
          <w:bCs/>
          <w:color w:val="auto"/>
          <w:kern w:val="2"/>
          <w:sz w:val="21"/>
          <w:szCs w:val="21"/>
          <w:highlight w:val="none"/>
        </w:rPr>
      </w:pPr>
      <w:r>
        <w:rPr>
          <w:rFonts w:hint="eastAsia" w:ascii="仿宋" w:hAnsi="仿宋" w:eastAsia="仿宋" w:cs="仿宋"/>
          <w:bCs/>
          <w:color w:val="auto"/>
          <w:kern w:val="2"/>
          <w:sz w:val="21"/>
          <w:szCs w:val="21"/>
          <w:highlight w:val="none"/>
        </w:rPr>
        <w:t>（2）</w:t>
      </w:r>
      <w:r>
        <w:rPr>
          <w:rFonts w:hint="eastAsia" w:ascii="仿宋" w:hAnsi="仿宋" w:eastAsia="仿宋" w:cs="仿宋"/>
          <w:bCs/>
          <w:color w:val="auto"/>
          <w:kern w:val="2"/>
          <w:sz w:val="21"/>
          <w:szCs w:val="21"/>
          <w:highlight w:val="none"/>
        </w:rPr>
        <w:tab/>
      </w:r>
      <w:r>
        <w:rPr>
          <w:rFonts w:hint="eastAsia" w:ascii="仿宋" w:hAnsi="仿宋" w:eastAsia="仿宋" w:cs="仿宋"/>
          <w:bCs/>
          <w:color w:val="auto"/>
          <w:kern w:val="2"/>
          <w:sz w:val="21"/>
          <w:szCs w:val="21"/>
          <w:highlight w:val="none"/>
        </w:rPr>
        <w:t>为确保工程安全施工须设立的足够的标志、宣传画、标语、指示牌、警告牌、火警、匪警和急救电话提示牌等；</w:t>
      </w:r>
    </w:p>
    <w:p w14:paraId="4103A607">
      <w:pPr>
        <w:pStyle w:val="114"/>
        <w:adjustRightInd w:val="0"/>
        <w:snapToGrid w:val="0"/>
        <w:spacing w:line="380" w:lineRule="exact"/>
        <w:jc w:val="left"/>
        <w:rPr>
          <w:rFonts w:hint="eastAsia" w:ascii="仿宋" w:hAnsi="仿宋" w:eastAsia="仿宋" w:cs="仿宋"/>
          <w:bCs/>
          <w:color w:val="auto"/>
          <w:kern w:val="2"/>
          <w:sz w:val="21"/>
          <w:szCs w:val="21"/>
          <w:highlight w:val="none"/>
        </w:rPr>
      </w:pPr>
      <w:r>
        <w:rPr>
          <w:rFonts w:hint="eastAsia" w:ascii="仿宋" w:hAnsi="仿宋" w:eastAsia="仿宋" w:cs="仿宋"/>
          <w:bCs/>
          <w:color w:val="auto"/>
          <w:kern w:val="2"/>
          <w:sz w:val="21"/>
          <w:szCs w:val="21"/>
          <w:highlight w:val="none"/>
        </w:rPr>
        <w:t>（3）</w:t>
      </w:r>
      <w:r>
        <w:rPr>
          <w:rFonts w:hint="eastAsia" w:ascii="仿宋" w:hAnsi="仿宋" w:eastAsia="仿宋" w:cs="仿宋"/>
          <w:bCs/>
          <w:color w:val="auto"/>
          <w:kern w:val="2"/>
          <w:sz w:val="21"/>
          <w:szCs w:val="21"/>
          <w:highlight w:val="none"/>
        </w:rPr>
        <w:tab/>
      </w:r>
      <w:r>
        <w:rPr>
          <w:rFonts w:hint="eastAsia" w:ascii="仿宋" w:hAnsi="仿宋" w:eastAsia="仿宋" w:cs="仿宋"/>
          <w:bCs/>
          <w:color w:val="auto"/>
          <w:kern w:val="2"/>
          <w:sz w:val="21"/>
          <w:szCs w:val="21"/>
          <w:highlight w:val="none"/>
        </w:rPr>
        <w:t>洞口和临边位置的安全防护设施，包括护身栏杆、脚手架、洞口盖板和加筋、竖井防护栏杆、防护棚、防护网、坡道等等；</w:t>
      </w:r>
    </w:p>
    <w:p w14:paraId="426529F3">
      <w:pPr>
        <w:pStyle w:val="114"/>
        <w:adjustRightInd w:val="0"/>
        <w:snapToGrid w:val="0"/>
        <w:spacing w:line="380" w:lineRule="exact"/>
        <w:jc w:val="left"/>
        <w:rPr>
          <w:rFonts w:hint="eastAsia" w:ascii="仿宋" w:hAnsi="仿宋" w:eastAsia="仿宋" w:cs="仿宋"/>
          <w:bCs/>
          <w:color w:val="auto"/>
          <w:kern w:val="2"/>
          <w:sz w:val="21"/>
          <w:szCs w:val="21"/>
          <w:highlight w:val="none"/>
        </w:rPr>
      </w:pPr>
      <w:r>
        <w:rPr>
          <w:rFonts w:hint="eastAsia" w:ascii="仿宋" w:hAnsi="仿宋" w:eastAsia="仿宋" w:cs="仿宋"/>
          <w:bCs/>
          <w:color w:val="auto"/>
          <w:kern w:val="2"/>
          <w:sz w:val="21"/>
          <w:szCs w:val="21"/>
          <w:highlight w:val="none"/>
        </w:rPr>
        <w:t>（4）</w:t>
      </w:r>
      <w:r>
        <w:rPr>
          <w:rFonts w:hint="eastAsia" w:ascii="仿宋" w:hAnsi="仿宋" w:eastAsia="仿宋" w:cs="仿宋"/>
          <w:bCs/>
          <w:color w:val="auto"/>
          <w:kern w:val="2"/>
          <w:sz w:val="21"/>
          <w:szCs w:val="21"/>
          <w:highlight w:val="none"/>
        </w:rPr>
        <w:tab/>
      </w:r>
      <w:r>
        <w:rPr>
          <w:rFonts w:hint="eastAsia" w:ascii="仿宋" w:hAnsi="仿宋" w:eastAsia="仿宋" w:cs="仿宋"/>
          <w:bCs/>
          <w:color w:val="auto"/>
          <w:kern w:val="2"/>
          <w:sz w:val="21"/>
          <w:szCs w:val="21"/>
          <w:highlight w:val="none"/>
        </w:rPr>
        <w:t>安全带、安全绳、安全帽、安全网、绝缘鞋、绝缘手套、防护口罩和防护衣等安全生产用品；</w:t>
      </w:r>
    </w:p>
    <w:p w14:paraId="4B9069B9">
      <w:pPr>
        <w:pStyle w:val="114"/>
        <w:adjustRightInd w:val="0"/>
        <w:snapToGrid w:val="0"/>
        <w:spacing w:line="380" w:lineRule="exact"/>
        <w:jc w:val="left"/>
        <w:rPr>
          <w:rFonts w:hint="eastAsia" w:ascii="仿宋" w:hAnsi="仿宋" w:eastAsia="仿宋" w:cs="仿宋"/>
          <w:bCs/>
          <w:color w:val="auto"/>
          <w:kern w:val="2"/>
          <w:sz w:val="21"/>
          <w:szCs w:val="21"/>
          <w:highlight w:val="none"/>
        </w:rPr>
      </w:pPr>
      <w:r>
        <w:rPr>
          <w:rFonts w:hint="eastAsia" w:ascii="仿宋" w:hAnsi="仿宋" w:eastAsia="仿宋" w:cs="仿宋"/>
          <w:bCs/>
          <w:color w:val="auto"/>
          <w:kern w:val="2"/>
          <w:sz w:val="21"/>
          <w:szCs w:val="21"/>
          <w:highlight w:val="none"/>
        </w:rPr>
        <w:t>（5）</w:t>
      </w:r>
      <w:r>
        <w:rPr>
          <w:rFonts w:hint="eastAsia" w:ascii="仿宋" w:hAnsi="仿宋" w:eastAsia="仿宋" w:cs="仿宋"/>
          <w:bCs/>
          <w:color w:val="auto"/>
          <w:kern w:val="2"/>
          <w:sz w:val="21"/>
          <w:szCs w:val="21"/>
          <w:highlight w:val="none"/>
        </w:rPr>
        <w:tab/>
      </w:r>
      <w:r>
        <w:rPr>
          <w:rFonts w:hint="eastAsia" w:ascii="仿宋" w:hAnsi="仿宋" w:eastAsia="仿宋" w:cs="仿宋"/>
          <w:bCs/>
          <w:color w:val="auto"/>
          <w:kern w:val="2"/>
          <w:sz w:val="21"/>
          <w:szCs w:val="21"/>
          <w:highlight w:val="none"/>
        </w:rPr>
        <w:t>所有机械设备包括各类电动工具的安全保护和接地装置和操作说明；</w:t>
      </w:r>
    </w:p>
    <w:p w14:paraId="08ABBB89">
      <w:pPr>
        <w:pStyle w:val="114"/>
        <w:adjustRightInd w:val="0"/>
        <w:snapToGrid w:val="0"/>
        <w:spacing w:line="380" w:lineRule="exact"/>
        <w:jc w:val="left"/>
        <w:rPr>
          <w:rFonts w:hint="eastAsia" w:ascii="仿宋" w:hAnsi="仿宋" w:eastAsia="仿宋" w:cs="仿宋"/>
          <w:bCs/>
          <w:color w:val="auto"/>
          <w:kern w:val="2"/>
          <w:sz w:val="21"/>
          <w:szCs w:val="21"/>
          <w:highlight w:val="none"/>
        </w:rPr>
      </w:pPr>
      <w:r>
        <w:rPr>
          <w:rFonts w:hint="eastAsia" w:ascii="仿宋" w:hAnsi="仿宋" w:eastAsia="仿宋" w:cs="仿宋"/>
          <w:bCs/>
          <w:color w:val="auto"/>
          <w:kern w:val="2"/>
          <w:sz w:val="21"/>
          <w:szCs w:val="21"/>
          <w:highlight w:val="none"/>
        </w:rPr>
        <w:t>（6）</w:t>
      </w:r>
      <w:r>
        <w:rPr>
          <w:rFonts w:hint="eastAsia" w:ascii="仿宋" w:hAnsi="仿宋" w:eastAsia="仿宋" w:cs="仿宋"/>
          <w:bCs/>
          <w:color w:val="auto"/>
          <w:kern w:val="2"/>
          <w:sz w:val="21"/>
          <w:szCs w:val="21"/>
          <w:highlight w:val="none"/>
        </w:rPr>
        <w:tab/>
      </w:r>
      <w:r>
        <w:rPr>
          <w:rFonts w:hint="eastAsia" w:ascii="仿宋" w:hAnsi="仿宋" w:eastAsia="仿宋" w:cs="仿宋"/>
          <w:bCs/>
          <w:color w:val="auto"/>
          <w:kern w:val="2"/>
          <w:sz w:val="21"/>
          <w:szCs w:val="21"/>
          <w:highlight w:val="none"/>
        </w:rPr>
        <w:t>装备良好的临时急救站和配备称职的医护人员；</w:t>
      </w:r>
    </w:p>
    <w:p w14:paraId="60595141">
      <w:pPr>
        <w:pStyle w:val="114"/>
        <w:adjustRightInd w:val="0"/>
        <w:snapToGrid w:val="0"/>
        <w:spacing w:line="380" w:lineRule="exact"/>
        <w:jc w:val="left"/>
        <w:rPr>
          <w:rFonts w:hint="eastAsia" w:ascii="仿宋" w:hAnsi="仿宋" w:eastAsia="仿宋" w:cs="仿宋"/>
          <w:bCs/>
          <w:color w:val="auto"/>
          <w:kern w:val="2"/>
          <w:sz w:val="21"/>
          <w:szCs w:val="21"/>
          <w:highlight w:val="none"/>
        </w:rPr>
      </w:pPr>
      <w:r>
        <w:rPr>
          <w:rFonts w:hint="eastAsia" w:ascii="仿宋" w:hAnsi="仿宋" w:eastAsia="仿宋" w:cs="仿宋"/>
          <w:bCs/>
          <w:color w:val="auto"/>
          <w:kern w:val="2"/>
          <w:sz w:val="21"/>
          <w:szCs w:val="21"/>
          <w:highlight w:val="none"/>
        </w:rPr>
        <w:t>（7）</w:t>
      </w:r>
      <w:r>
        <w:rPr>
          <w:rFonts w:hint="eastAsia" w:ascii="仿宋" w:hAnsi="仿宋" w:eastAsia="仿宋" w:cs="仿宋"/>
          <w:bCs/>
          <w:color w:val="auto"/>
          <w:kern w:val="2"/>
          <w:sz w:val="21"/>
          <w:szCs w:val="21"/>
          <w:highlight w:val="none"/>
        </w:rPr>
        <w:tab/>
      </w:r>
      <w:r>
        <w:rPr>
          <w:rFonts w:hint="eastAsia" w:ascii="仿宋" w:hAnsi="仿宋" w:eastAsia="仿宋" w:cs="仿宋"/>
          <w:bCs/>
          <w:color w:val="auto"/>
          <w:kern w:val="2"/>
          <w:sz w:val="21"/>
          <w:szCs w:val="21"/>
          <w:highlight w:val="none"/>
        </w:rPr>
        <w:t>主要作业场所和临时安全疏散通道24小时36伏安全照明和必要的警示等以防止各种可能的事故；</w:t>
      </w:r>
    </w:p>
    <w:p w14:paraId="3673E2E1">
      <w:pPr>
        <w:pStyle w:val="114"/>
        <w:adjustRightInd w:val="0"/>
        <w:snapToGrid w:val="0"/>
        <w:spacing w:line="360" w:lineRule="auto"/>
        <w:jc w:val="left"/>
        <w:rPr>
          <w:rFonts w:hint="eastAsia" w:ascii="仿宋" w:hAnsi="仿宋" w:eastAsia="仿宋" w:cs="仿宋"/>
          <w:bCs/>
          <w:color w:val="auto"/>
          <w:kern w:val="2"/>
          <w:sz w:val="21"/>
          <w:szCs w:val="21"/>
          <w:highlight w:val="none"/>
        </w:rPr>
      </w:pPr>
      <w:r>
        <w:rPr>
          <w:rFonts w:hint="eastAsia" w:ascii="仿宋" w:hAnsi="仿宋" w:eastAsia="仿宋" w:cs="仿宋"/>
          <w:bCs/>
          <w:color w:val="auto"/>
          <w:kern w:val="2"/>
          <w:sz w:val="21"/>
          <w:szCs w:val="21"/>
          <w:highlight w:val="none"/>
        </w:rPr>
        <w:t>（8）</w:t>
      </w:r>
      <w:r>
        <w:rPr>
          <w:rFonts w:hint="eastAsia" w:ascii="仿宋" w:hAnsi="仿宋" w:eastAsia="仿宋" w:cs="仿宋"/>
          <w:bCs/>
          <w:color w:val="auto"/>
          <w:kern w:val="2"/>
          <w:sz w:val="21"/>
          <w:szCs w:val="21"/>
          <w:highlight w:val="none"/>
        </w:rPr>
        <w:tab/>
      </w:r>
      <w:r>
        <w:rPr>
          <w:rFonts w:hint="eastAsia" w:ascii="仿宋" w:hAnsi="仿宋" w:eastAsia="仿宋" w:cs="仿宋"/>
          <w:bCs/>
          <w:color w:val="auto"/>
          <w:kern w:val="2"/>
          <w:sz w:val="21"/>
          <w:szCs w:val="21"/>
          <w:highlight w:val="none"/>
        </w:rPr>
        <w:t>足够数量的和合格的手提灭火器；</w:t>
      </w:r>
    </w:p>
    <w:p w14:paraId="000BEE91">
      <w:pPr>
        <w:pStyle w:val="114"/>
        <w:adjustRightInd w:val="0"/>
        <w:snapToGrid w:val="0"/>
        <w:spacing w:line="360" w:lineRule="auto"/>
        <w:jc w:val="left"/>
        <w:rPr>
          <w:rFonts w:hint="eastAsia" w:ascii="仿宋" w:hAnsi="仿宋" w:eastAsia="仿宋" w:cs="仿宋"/>
          <w:bCs/>
          <w:color w:val="auto"/>
          <w:kern w:val="2"/>
          <w:sz w:val="21"/>
          <w:szCs w:val="21"/>
          <w:highlight w:val="none"/>
        </w:rPr>
      </w:pPr>
      <w:r>
        <w:rPr>
          <w:rFonts w:hint="eastAsia" w:ascii="仿宋" w:hAnsi="仿宋" w:eastAsia="仿宋" w:cs="仿宋"/>
          <w:bCs/>
          <w:color w:val="auto"/>
          <w:kern w:val="2"/>
          <w:sz w:val="21"/>
          <w:szCs w:val="21"/>
          <w:highlight w:val="none"/>
        </w:rPr>
        <w:t>（9）</w:t>
      </w:r>
      <w:r>
        <w:rPr>
          <w:rFonts w:hint="eastAsia" w:ascii="仿宋" w:hAnsi="仿宋" w:eastAsia="仿宋" w:cs="仿宋"/>
          <w:bCs/>
          <w:color w:val="auto"/>
          <w:kern w:val="2"/>
          <w:sz w:val="21"/>
          <w:szCs w:val="21"/>
          <w:highlight w:val="none"/>
        </w:rPr>
        <w:tab/>
      </w:r>
      <w:r>
        <w:rPr>
          <w:rFonts w:hint="eastAsia" w:ascii="仿宋" w:hAnsi="仿宋" w:eastAsia="仿宋" w:cs="仿宋"/>
          <w:bCs/>
          <w:color w:val="auto"/>
          <w:kern w:val="2"/>
          <w:sz w:val="21"/>
          <w:szCs w:val="21"/>
          <w:highlight w:val="none"/>
        </w:rPr>
        <w:t>装备良好的易燃易爆物品仓库和相应的使用管理制度；</w:t>
      </w:r>
    </w:p>
    <w:p w14:paraId="50ABFAE9">
      <w:pPr>
        <w:pStyle w:val="114"/>
        <w:adjustRightInd w:val="0"/>
        <w:snapToGrid w:val="0"/>
        <w:spacing w:line="360" w:lineRule="auto"/>
        <w:jc w:val="left"/>
        <w:rPr>
          <w:rFonts w:hint="eastAsia" w:ascii="仿宋" w:hAnsi="仿宋" w:eastAsia="仿宋" w:cs="仿宋"/>
          <w:bCs/>
          <w:color w:val="auto"/>
          <w:kern w:val="2"/>
          <w:sz w:val="21"/>
          <w:szCs w:val="21"/>
          <w:highlight w:val="none"/>
        </w:rPr>
      </w:pPr>
      <w:r>
        <w:rPr>
          <w:rFonts w:hint="eastAsia" w:ascii="仿宋" w:hAnsi="仿宋" w:eastAsia="仿宋" w:cs="仿宋"/>
          <w:bCs/>
          <w:color w:val="auto"/>
          <w:kern w:val="2"/>
          <w:sz w:val="21"/>
          <w:szCs w:val="21"/>
          <w:highlight w:val="none"/>
        </w:rPr>
        <w:t>（10）</w:t>
      </w:r>
      <w:r>
        <w:rPr>
          <w:rFonts w:hint="eastAsia" w:ascii="仿宋" w:hAnsi="仿宋" w:eastAsia="仿宋" w:cs="仿宋"/>
          <w:bCs/>
          <w:color w:val="auto"/>
          <w:kern w:val="2"/>
          <w:sz w:val="21"/>
          <w:szCs w:val="21"/>
          <w:highlight w:val="none"/>
        </w:rPr>
        <w:tab/>
      </w:r>
      <w:r>
        <w:rPr>
          <w:rFonts w:hint="eastAsia" w:ascii="仿宋" w:hAnsi="仿宋" w:eastAsia="仿宋" w:cs="仿宋"/>
          <w:bCs/>
          <w:color w:val="auto"/>
          <w:kern w:val="2"/>
          <w:sz w:val="21"/>
          <w:szCs w:val="21"/>
          <w:highlight w:val="none"/>
        </w:rPr>
        <w:t>对涉及明火施工的工作制定诸如用火证等的管理制度；</w:t>
      </w:r>
    </w:p>
    <w:p w14:paraId="120E6BC7">
      <w:pPr>
        <w:pStyle w:val="114"/>
        <w:adjustRightInd w:val="0"/>
        <w:snapToGrid w:val="0"/>
        <w:spacing w:line="360" w:lineRule="auto"/>
        <w:jc w:val="left"/>
        <w:rPr>
          <w:rFonts w:hint="eastAsia" w:ascii="仿宋" w:hAnsi="仿宋" w:eastAsia="仿宋" w:cs="仿宋"/>
          <w:bCs/>
          <w:color w:val="auto"/>
          <w:kern w:val="2"/>
          <w:sz w:val="21"/>
          <w:szCs w:val="21"/>
          <w:highlight w:val="none"/>
        </w:rPr>
      </w:pPr>
      <w:r>
        <w:rPr>
          <w:rFonts w:hint="eastAsia" w:ascii="仿宋" w:hAnsi="仿宋" w:eastAsia="仿宋" w:cs="仿宋"/>
          <w:bCs/>
          <w:color w:val="auto"/>
          <w:kern w:val="2"/>
          <w:sz w:val="21"/>
          <w:szCs w:val="21"/>
          <w:highlight w:val="none"/>
        </w:rPr>
        <w:t>（11）</w:t>
      </w:r>
      <w:r>
        <w:rPr>
          <w:rFonts w:hint="eastAsia" w:ascii="仿宋" w:hAnsi="仿宋" w:eastAsia="仿宋" w:cs="仿宋"/>
          <w:bCs/>
          <w:color w:val="auto"/>
          <w:kern w:val="2"/>
          <w:sz w:val="21"/>
          <w:szCs w:val="21"/>
          <w:highlight w:val="none"/>
        </w:rPr>
        <w:tab/>
      </w:r>
      <w:r>
        <w:rPr>
          <w:rFonts w:hint="eastAsia" w:ascii="仿宋" w:hAnsi="仿宋" w:eastAsia="仿宋" w:cs="仿宋"/>
          <w:bCs/>
          <w:color w:val="auto"/>
          <w:kern w:val="2"/>
          <w:sz w:val="21"/>
          <w:szCs w:val="21"/>
          <w:highlight w:val="none"/>
        </w:rPr>
        <w:t>其他：</w:t>
      </w:r>
    </w:p>
    <w:p w14:paraId="4F798AD3">
      <w:pPr>
        <w:pStyle w:val="114"/>
        <w:adjustRightInd w:val="0"/>
        <w:snapToGrid w:val="0"/>
        <w:spacing w:line="360" w:lineRule="auto"/>
        <w:jc w:val="left"/>
        <w:rPr>
          <w:rFonts w:hint="eastAsia" w:ascii="仿宋" w:hAnsi="仿宋" w:eastAsia="仿宋" w:cs="仿宋"/>
          <w:bCs/>
          <w:color w:val="auto"/>
          <w:kern w:val="2"/>
          <w:sz w:val="21"/>
          <w:szCs w:val="21"/>
          <w:highlight w:val="none"/>
        </w:rPr>
      </w:pPr>
      <w:r>
        <w:rPr>
          <w:rFonts w:hint="eastAsia" w:ascii="仿宋" w:hAnsi="仿宋" w:eastAsia="仿宋" w:cs="仿宋"/>
          <w:bCs/>
          <w:color w:val="auto"/>
          <w:kern w:val="2"/>
          <w:sz w:val="21"/>
          <w:szCs w:val="21"/>
          <w:highlight w:val="none"/>
        </w:rPr>
        <w:t>6.1.3</w:t>
      </w:r>
      <w:r>
        <w:rPr>
          <w:rFonts w:hint="eastAsia" w:ascii="仿宋" w:hAnsi="仿宋" w:eastAsia="仿宋" w:cs="仿宋"/>
          <w:bCs/>
          <w:color w:val="auto"/>
          <w:kern w:val="2"/>
          <w:sz w:val="21"/>
          <w:szCs w:val="21"/>
          <w:highlight w:val="none"/>
        </w:rPr>
        <w:tab/>
      </w:r>
      <w:r>
        <w:rPr>
          <w:rFonts w:hint="eastAsia" w:ascii="仿宋" w:hAnsi="仿宋" w:eastAsia="仿宋" w:cs="仿宋"/>
          <w:bCs/>
          <w:color w:val="auto"/>
          <w:kern w:val="2"/>
          <w:sz w:val="21"/>
          <w:szCs w:val="21"/>
          <w:highlight w:val="none"/>
        </w:rPr>
        <w:t>安全文明施工的费用必须专款专用，承包人应对其由于安全防护专项费用和施工安全措施不到位而发生的安全事故承担全部责任。</w:t>
      </w:r>
    </w:p>
    <w:p w14:paraId="6B477A47">
      <w:pPr>
        <w:pStyle w:val="114"/>
        <w:adjustRightInd w:val="0"/>
        <w:snapToGrid w:val="0"/>
        <w:spacing w:line="360" w:lineRule="auto"/>
        <w:jc w:val="left"/>
        <w:rPr>
          <w:rFonts w:hint="eastAsia" w:ascii="仿宋" w:hAnsi="仿宋" w:eastAsia="仿宋" w:cs="仿宋"/>
          <w:bCs/>
          <w:color w:val="auto"/>
          <w:kern w:val="2"/>
          <w:sz w:val="21"/>
          <w:szCs w:val="21"/>
          <w:highlight w:val="none"/>
        </w:rPr>
      </w:pPr>
      <w:r>
        <w:rPr>
          <w:rFonts w:hint="eastAsia" w:ascii="仿宋" w:hAnsi="仿宋" w:eastAsia="仿宋" w:cs="仿宋"/>
          <w:bCs/>
          <w:color w:val="auto"/>
          <w:kern w:val="2"/>
          <w:sz w:val="21"/>
          <w:szCs w:val="21"/>
          <w:highlight w:val="none"/>
        </w:rPr>
        <w:t>6.1.4</w:t>
      </w:r>
      <w:r>
        <w:rPr>
          <w:rFonts w:hint="eastAsia" w:ascii="仿宋" w:hAnsi="仿宋" w:eastAsia="仿宋" w:cs="仿宋"/>
          <w:bCs/>
          <w:color w:val="auto"/>
          <w:kern w:val="2"/>
          <w:sz w:val="21"/>
          <w:szCs w:val="21"/>
          <w:highlight w:val="none"/>
        </w:rPr>
        <w:tab/>
      </w:r>
      <w:r>
        <w:rPr>
          <w:rFonts w:hint="eastAsia" w:ascii="仿宋" w:hAnsi="仿宋" w:eastAsia="仿宋" w:cs="仿宋"/>
          <w:bCs/>
          <w:color w:val="auto"/>
          <w:kern w:val="2"/>
          <w:sz w:val="21"/>
          <w:szCs w:val="21"/>
          <w:highlight w:val="none"/>
        </w:rPr>
        <w:t>承包人应建立专门的施工场地（现场）安全生产管理机构，配备足够数量的和符合有关规定的专职安全生产管理人员，负责日常安全生产巡查和专项检查，召集和主持现场全体人员参加的安全生产例会（每周至少一次），负责安全技术交底和技术方案的安全把关，负责制定或审核安全隐患的整改措施并监督落实，负责安全资料的整理和管理，及时消除安全隐患，做好安全检查记录，确保所有的安全设施都处于良好的运转状态。承包人项目经理（建造师）和专职安全生产管理人员均应当具备有效的安全生产考核合格证书。</w:t>
      </w:r>
    </w:p>
    <w:p w14:paraId="25265665">
      <w:pPr>
        <w:pStyle w:val="114"/>
        <w:adjustRightInd w:val="0"/>
        <w:snapToGrid w:val="0"/>
        <w:spacing w:line="360" w:lineRule="auto"/>
        <w:jc w:val="left"/>
        <w:rPr>
          <w:rFonts w:hint="eastAsia" w:ascii="仿宋" w:hAnsi="仿宋" w:eastAsia="仿宋" w:cs="仿宋"/>
          <w:bCs/>
          <w:color w:val="auto"/>
          <w:kern w:val="2"/>
          <w:sz w:val="21"/>
          <w:szCs w:val="21"/>
          <w:highlight w:val="none"/>
        </w:rPr>
      </w:pPr>
      <w:r>
        <w:rPr>
          <w:rFonts w:hint="eastAsia" w:ascii="仿宋" w:hAnsi="仿宋" w:eastAsia="仿宋" w:cs="仿宋"/>
          <w:bCs/>
          <w:color w:val="auto"/>
          <w:kern w:val="2"/>
          <w:sz w:val="21"/>
          <w:szCs w:val="21"/>
          <w:highlight w:val="none"/>
        </w:rPr>
        <w:t>6.1.5</w:t>
      </w:r>
      <w:r>
        <w:rPr>
          <w:rFonts w:hint="eastAsia" w:ascii="仿宋" w:hAnsi="仿宋" w:eastAsia="仿宋" w:cs="仿宋"/>
          <w:bCs/>
          <w:color w:val="auto"/>
          <w:kern w:val="2"/>
          <w:sz w:val="21"/>
          <w:szCs w:val="21"/>
          <w:highlight w:val="none"/>
        </w:rPr>
        <w:tab/>
      </w:r>
      <w:r>
        <w:rPr>
          <w:rFonts w:hint="eastAsia" w:ascii="仿宋" w:hAnsi="仿宋" w:eastAsia="仿宋" w:cs="仿宋"/>
          <w:bCs/>
          <w:color w:val="auto"/>
          <w:kern w:val="2"/>
          <w:sz w:val="21"/>
          <w:szCs w:val="21"/>
          <w:highlight w:val="none"/>
        </w:rPr>
        <w:t>承包人应遵照有关法规要求，编印安全防护手册发给进场施工人员，做好进场施工人员上岗前的安全教育和培训工作，并建立考核制度，只有考核合格的人员才能进场施工作业。特种作业人员还应经过专门的安全作业培训，并取得特种作业操作资格证书后方可上岗。在任何分部分项工程开始施工前，承包人应当就有关安全施工的技术要求向施工作业班组和作业人员等进行安全交底，并由双方签字确认。</w:t>
      </w:r>
    </w:p>
    <w:p w14:paraId="1431C9FF">
      <w:pPr>
        <w:pStyle w:val="114"/>
        <w:adjustRightInd w:val="0"/>
        <w:snapToGrid w:val="0"/>
        <w:spacing w:line="360" w:lineRule="auto"/>
        <w:jc w:val="left"/>
        <w:rPr>
          <w:rFonts w:hint="eastAsia" w:ascii="仿宋" w:hAnsi="仿宋" w:eastAsia="仿宋" w:cs="仿宋"/>
          <w:bCs/>
          <w:color w:val="auto"/>
          <w:kern w:val="2"/>
          <w:sz w:val="21"/>
          <w:szCs w:val="21"/>
          <w:highlight w:val="none"/>
        </w:rPr>
      </w:pPr>
      <w:r>
        <w:rPr>
          <w:rFonts w:hint="eastAsia" w:ascii="仿宋" w:hAnsi="仿宋" w:eastAsia="仿宋" w:cs="仿宋"/>
          <w:bCs/>
          <w:color w:val="auto"/>
          <w:kern w:val="2"/>
          <w:sz w:val="21"/>
          <w:szCs w:val="21"/>
          <w:highlight w:val="none"/>
        </w:rPr>
        <w:t>6.1.6</w:t>
      </w:r>
      <w:r>
        <w:rPr>
          <w:rFonts w:hint="eastAsia" w:ascii="仿宋" w:hAnsi="仿宋" w:eastAsia="仿宋" w:cs="仿宋"/>
          <w:bCs/>
          <w:color w:val="auto"/>
          <w:kern w:val="2"/>
          <w:sz w:val="21"/>
          <w:szCs w:val="21"/>
          <w:highlight w:val="none"/>
        </w:rPr>
        <w:tab/>
      </w:r>
      <w:r>
        <w:rPr>
          <w:rFonts w:hint="eastAsia" w:ascii="仿宋" w:hAnsi="仿宋" w:eastAsia="仿宋" w:cs="仿宋"/>
          <w:bCs/>
          <w:color w:val="auto"/>
          <w:kern w:val="2"/>
          <w:sz w:val="21"/>
          <w:szCs w:val="21"/>
          <w:highlight w:val="none"/>
        </w:rPr>
        <w:t>承包人应为其进场施工人员配备必需的安全防护设施和设备，承包人还应为施工场地（现场）邻近地区的所有者和占有者、公众和其他人员，提供一切必要的临时道路、人行道、防护棚、围栏及警告等，以确保财产和人身安全以及最大程度地降低施工可能造成的不便。</w:t>
      </w:r>
    </w:p>
    <w:p w14:paraId="31C6E839">
      <w:pPr>
        <w:pStyle w:val="114"/>
        <w:adjustRightInd w:val="0"/>
        <w:snapToGrid w:val="0"/>
        <w:spacing w:line="360" w:lineRule="auto"/>
        <w:jc w:val="left"/>
        <w:rPr>
          <w:rFonts w:hint="eastAsia" w:ascii="仿宋" w:hAnsi="仿宋" w:eastAsia="仿宋" w:cs="仿宋"/>
          <w:bCs/>
          <w:color w:val="auto"/>
          <w:kern w:val="2"/>
          <w:sz w:val="21"/>
          <w:szCs w:val="21"/>
          <w:highlight w:val="none"/>
        </w:rPr>
      </w:pPr>
      <w:r>
        <w:rPr>
          <w:rFonts w:hint="eastAsia" w:ascii="仿宋" w:hAnsi="仿宋" w:eastAsia="仿宋" w:cs="仿宋"/>
          <w:bCs/>
          <w:color w:val="auto"/>
          <w:kern w:val="2"/>
          <w:sz w:val="21"/>
          <w:szCs w:val="21"/>
          <w:highlight w:val="none"/>
        </w:rPr>
        <w:t>6.1.7</w:t>
      </w:r>
      <w:r>
        <w:rPr>
          <w:rFonts w:hint="eastAsia" w:ascii="仿宋" w:hAnsi="仿宋" w:eastAsia="仿宋" w:cs="仿宋"/>
          <w:bCs/>
          <w:color w:val="auto"/>
          <w:kern w:val="2"/>
          <w:sz w:val="21"/>
          <w:szCs w:val="21"/>
          <w:highlight w:val="none"/>
        </w:rPr>
        <w:tab/>
      </w:r>
      <w:r>
        <w:rPr>
          <w:rFonts w:hint="eastAsia" w:ascii="仿宋" w:hAnsi="仿宋" w:eastAsia="仿宋" w:cs="仿宋"/>
          <w:bCs/>
          <w:color w:val="auto"/>
          <w:kern w:val="2"/>
          <w:sz w:val="21"/>
          <w:szCs w:val="21"/>
          <w:highlight w:val="none"/>
        </w:rPr>
        <w:t>承包人应在施工场地（现场）入口处、施工起重机械、临时用电设施、脚手架、出入通道口、楼梯口、电梯井口、孔洞口、隧道口、基坑边沿、危险品存放处等危险部位设置一切必需的安全警示标志，包括但不限于标准道路标志、报警标志、危险标志、控制标志、安全标志、指示标志、警告标志等，并配备必要的照明、防护和看守。承包人应当按监理人的指示，经常补充或更换失效的警示和标志。</w:t>
      </w:r>
    </w:p>
    <w:p w14:paraId="4E4469ED">
      <w:pPr>
        <w:pStyle w:val="114"/>
        <w:adjustRightInd w:val="0"/>
        <w:snapToGrid w:val="0"/>
        <w:spacing w:line="360" w:lineRule="auto"/>
        <w:jc w:val="left"/>
        <w:rPr>
          <w:rFonts w:hint="eastAsia" w:ascii="仿宋" w:hAnsi="仿宋" w:eastAsia="仿宋" w:cs="仿宋"/>
          <w:bCs/>
          <w:color w:val="auto"/>
          <w:kern w:val="2"/>
          <w:sz w:val="21"/>
          <w:szCs w:val="21"/>
          <w:highlight w:val="none"/>
        </w:rPr>
      </w:pPr>
      <w:r>
        <w:rPr>
          <w:rFonts w:hint="eastAsia" w:ascii="仿宋" w:hAnsi="仿宋" w:eastAsia="仿宋" w:cs="仿宋"/>
          <w:bCs/>
          <w:color w:val="auto"/>
          <w:kern w:val="2"/>
          <w:sz w:val="21"/>
          <w:szCs w:val="21"/>
          <w:highlight w:val="none"/>
        </w:rPr>
        <w:t>6.1.8</w:t>
      </w:r>
      <w:r>
        <w:rPr>
          <w:rFonts w:hint="eastAsia" w:ascii="仿宋" w:hAnsi="仿宋" w:eastAsia="仿宋" w:cs="仿宋"/>
          <w:bCs/>
          <w:color w:val="auto"/>
          <w:kern w:val="2"/>
          <w:sz w:val="21"/>
          <w:szCs w:val="21"/>
          <w:highlight w:val="none"/>
        </w:rPr>
        <w:tab/>
      </w:r>
      <w:r>
        <w:rPr>
          <w:rFonts w:hint="eastAsia" w:ascii="仿宋" w:hAnsi="仿宋" w:eastAsia="仿宋" w:cs="仿宋"/>
          <w:bCs/>
          <w:color w:val="auto"/>
          <w:kern w:val="2"/>
          <w:sz w:val="21"/>
          <w:szCs w:val="21"/>
          <w:highlight w:val="none"/>
        </w:rPr>
        <w:t>承包人应对施工场地（现场）内由其提供并安装的所有施工机械和设备进行安全围护，包括卸料平台门的安全开关、警示铃和警示灯，卸料平台的护身栏杆，脚手架和安全网等等；所有的机械设备应设置安全操作防护罩，并在醒目位置张挂详细的安全操作要点等。</w:t>
      </w:r>
    </w:p>
    <w:p w14:paraId="22A5FBBD">
      <w:pPr>
        <w:pStyle w:val="114"/>
        <w:adjustRightInd w:val="0"/>
        <w:snapToGrid w:val="0"/>
        <w:spacing w:line="360" w:lineRule="auto"/>
        <w:jc w:val="left"/>
        <w:rPr>
          <w:rFonts w:hint="eastAsia" w:ascii="仿宋" w:hAnsi="仿宋" w:eastAsia="仿宋" w:cs="仿宋"/>
          <w:bCs/>
          <w:color w:val="auto"/>
          <w:kern w:val="2"/>
          <w:sz w:val="21"/>
          <w:szCs w:val="21"/>
          <w:highlight w:val="none"/>
        </w:rPr>
      </w:pPr>
      <w:r>
        <w:rPr>
          <w:rFonts w:hint="eastAsia" w:ascii="仿宋" w:hAnsi="仿宋" w:eastAsia="仿宋" w:cs="仿宋"/>
          <w:bCs/>
          <w:color w:val="auto"/>
          <w:kern w:val="2"/>
          <w:sz w:val="21"/>
          <w:szCs w:val="21"/>
          <w:highlight w:val="none"/>
        </w:rPr>
        <w:t>6.1.9</w:t>
      </w:r>
      <w:r>
        <w:rPr>
          <w:rFonts w:hint="eastAsia" w:ascii="仿宋" w:hAnsi="仿宋" w:eastAsia="仿宋" w:cs="仿宋"/>
          <w:bCs/>
          <w:color w:val="auto"/>
          <w:kern w:val="2"/>
          <w:sz w:val="21"/>
          <w:szCs w:val="21"/>
          <w:highlight w:val="none"/>
        </w:rPr>
        <w:tab/>
      </w:r>
      <w:r>
        <w:rPr>
          <w:rFonts w:hint="eastAsia" w:ascii="仿宋" w:hAnsi="仿宋" w:eastAsia="仿宋" w:cs="仿宋"/>
          <w:bCs/>
          <w:color w:val="auto"/>
          <w:kern w:val="2"/>
          <w:sz w:val="21"/>
          <w:szCs w:val="21"/>
          <w:highlight w:val="none"/>
        </w:rPr>
        <w:t>承包人应对所有用于提升的挂钩、挂环、钢丝绳、铁扁担等进行定期检测、检查和标定；如果监理人认为，任何此类设施已经损坏或有使用不当之处，承包人应立即以合格的产品进行更换；所有垂直和水平运输机械的搭设、顶升、使用和拆除必须严格依照现行有关法规、规章、规范、标准和规程等的要求。</w:t>
      </w:r>
    </w:p>
    <w:p w14:paraId="30374C0B">
      <w:pPr>
        <w:pStyle w:val="114"/>
        <w:adjustRightInd w:val="0"/>
        <w:snapToGrid w:val="0"/>
        <w:spacing w:line="360" w:lineRule="auto"/>
        <w:jc w:val="left"/>
        <w:rPr>
          <w:rFonts w:hint="eastAsia" w:ascii="仿宋" w:hAnsi="仿宋" w:eastAsia="仿宋" w:cs="仿宋"/>
          <w:bCs/>
          <w:color w:val="auto"/>
          <w:kern w:val="2"/>
          <w:sz w:val="21"/>
          <w:szCs w:val="21"/>
          <w:highlight w:val="none"/>
        </w:rPr>
      </w:pPr>
      <w:r>
        <w:rPr>
          <w:rFonts w:hint="eastAsia" w:ascii="仿宋" w:hAnsi="仿宋" w:eastAsia="仿宋" w:cs="仿宋"/>
          <w:bCs/>
          <w:color w:val="auto"/>
          <w:kern w:val="2"/>
          <w:sz w:val="21"/>
          <w:szCs w:val="21"/>
          <w:highlight w:val="none"/>
        </w:rPr>
        <w:t>6.1.10</w:t>
      </w:r>
      <w:r>
        <w:rPr>
          <w:rFonts w:hint="eastAsia" w:ascii="仿宋" w:hAnsi="仿宋" w:eastAsia="仿宋" w:cs="仿宋"/>
          <w:bCs/>
          <w:color w:val="auto"/>
          <w:kern w:val="2"/>
          <w:sz w:val="21"/>
          <w:szCs w:val="21"/>
          <w:highlight w:val="none"/>
        </w:rPr>
        <w:tab/>
      </w:r>
      <w:r>
        <w:rPr>
          <w:rFonts w:hint="eastAsia" w:ascii="仿宋" w:hAnsi="仿宋" w:eastAsia="仿宋" w:cs="仿宋"/>
          <w:bCs/>
          <w:color w:val="auto"/>
          <w:kern w:val="2"/>
          <w:sz w:val="21"/>
          <w:szCs w:val="21"/>
          <w:highlight w:val="none"/>
        </w:rPr>
        <w:t>所有机械和工器具应定期保养、校核和维护，以保证它们处于良好和安全的工作状态。保养、校核和维护工作应尽可能安排在非工作时间进行，并为上述机械和工器具准备足够的备用配件，以确保工程的施工能不间断地进行。</w:t>
      </w:r>
    </w:p>
    <w:p w14:paraId="5DD80560">
      <w:pPr>
        <w:pStyle w:val="114"/>
        <w:adjustRightInd w:val="0"/>
        <w:snapToGrid w:val="0"/>
        <w:spacing w:line="360" w:lineRule="auto"/>
        <w:jc w:val="left"/>
        <w:rPr>
          <w:rFonts w:hint="eastAsia" w:ascii="仿宋" w:hAnsi="仿宋" w:eastAsia="仿宋" w:cs="仿宋"/>
          <w:bCs/>
          <w:color w:val="auto"/>
          <w:kern w:val="2"/>
          <w:sz w:val="21"/>
          <w:szCs w:val="21"/>
          <w:highlight w:val="none"/>
        </w:rPr>
      </w:pPr>
      <w:r>
        <w:rPr>
          <w:rFonts w:hint="eastAsia" w:ascii="仿宋" w:hAnsi="仿宋" w:eastAsia="仿宋" w:cs="仿宋"/>
          <w:bCs/>
          <w:color w:val="auto"/>
          <w:kern w:val="2"/>
          <w:sz w:val="21"/>
          <w:szCs w:val="21"/>
          <w:highlight w:val="none"/>
        </w:rPr>
        <w:t>6.1.11</w:t>
      </w:r>
      <w:r>
        <w:rPr>
          <w:rFonts w:hint="eastAsia" w:ascii="仿宋" w:hAnsi="仿宋" w:eastAsia="仿宋" w:cs="仿宋"/>
          <w:bCs/>
          <w:color w:val="auto"/>
          <w:kern w:val="2"/>
          <w:sz w:val="21"/>
          <w:szCs w:val="21"/>
          <w:highlight w:val="none"/>
        </w:rPr>
        <w:tab/>
      </w:r>
      <w:r>
        <w:rPr>
          <w:rFonts w:hint="eastAsia" w:ascii="仿宋" w:hAnsi="仿宋" w:eastAsia="仿宋" w:cs="仿宋"/>
          <w:bCs/>
          <w:color w:val="auto"/>
          <w:kern w:val="2"/>
          <w:sz w:val="21"/>
          <w:szCs w:val="21"/>
          <w:highlight w:val="none"/>
        </w:rPr>
        <w:t>在永久工程和施工边坡、基坑等的开挖过程中，应根据其施工安全的需要和（或）监理人指示，安装必要的施工安全监测仪器，及时进行必要的施工安全监测，并定期将安全监测成果提交监理人，以防止引起任何沉降、变形或其他影响正常施工进度的损害。</w:t>
      </w:r>
    </w:p>
    <w:p w14:paraId="139BD662">
      <w:pPr>
        <w:pStyle w:val="114"/>
        <w:adjustRightInd w:val="0"/>
        <w:snapToGrid w:val="0"/>
        <w:spacing w:line="360" w:lineRule="auto"/>
        <w:jc w:val="left"/>
        <w:rPr>
          <w:rFonts w:hint="eastAsia" w:ascii="仿宋" w:hAnsi="仿宋" w:eastAsia="仿宋" w:cs="仿宋"/>
          <w:bCs/>
          <w:color w:val="auto"/>
          <w:kern w:val="2"/>
          <w:sz w:val="21"/>
          <w:szCs w:val="21"/>
          <w:highlight w:val="none"/>
        </w:rPr>
      </w:pPr>
      <w:r>
        <w:rPr>
          <w:rFonts w:hint="eastAsia" w:ascii="仿宋" w:hAnsi="仿宋" w:eastAsia="仿宋" w:cs="仿宋"/>
          <w:bCs/>
          <w:color w:val="auto"/>
          <w:kern w:val="2"/>
          <w:sz w:val="21"/>
          <w:szCs w:val="21"/>
          <w:highlight w:val="none"/>
        </w:rPr>
        <w:t>6.1.12</w:t>
      </w:r>
      <w:r>
        <w:rPr>
          <w:rFonts w:hint="eastAsia" w:ascii="仿宋" w:hAnsi="仿宋" w:eastAsia="仿宋" w:cs="仿宋"/>
          <w:bCs/>
          <w:color w:val="auto"/>
          <w:kern w:val="2"/>
          <w:sz w:val="21"/>
          <w:szCs w:val="21"/>
          <w:highlight w:val="none"/>
        </w:rPr>
        <w:tab/>
      </w:r>
      <w:r>
        <w:rPr>
          <w:rFonts w:hint="eastAsia" w:ascii="仿宋" w:hAnsi="仿宋" w:eastAsia="仿宋" w:cs="仿宋"/>
          <w:bCs/>
          <w:color w:val="auto"/>
          <w:kern w:val="2"/>
          <w:sz w:val="21"/>
          <w:szCs w:val="21"/>
          <w:highlight w:val="none"/>
        </w:rPr>
        <w:t>承包人应对任何施工中的永久工程进行必要的支撑或临时加固。除非承包人已获得监理人书面许可并按要求进行了必要的加固或支撑，不允许承包人在任何已完成的永久性结构上堆放超过设计允许荷载的任何材料、物品或设备。在任何情况下，承包人均应对其任何上述超载行为引起的后果负责，并承担相应的修缮费用。</w:t>
      </w:r>
    </w:p>
    <w:p w14:paraId="354767B2">
      <w:pPr>
        <w:pStyle w:val="114"/>
        <w:adjustRightInd w:val="0"/>
        <w:snapToGrid w:val="0"/>
        <w:spacing w:line="360" w:lineRule="auto"/>
        <w:jc w:val="left"/>
        <w:rPr>
          <w:rFonts w:hint="eastAsia" w:ascii="仿宋" w:hAnsi="仿宋" w:eastAsia="仿宋" w:cs="仿宋"/>
          <w:bCs/>
          <w:color w:val="auto"/>
          <w:kern w:val="2"/>
          <w:sz w:val="21"/>
          <w:szCs w:val="21"/>
          <w:highlight w:val="none"/>
        </w:rPr>
      </w:pPr>
      <w:r>
        <w:rPr>
          <w:rFonts w:hint="eastAsia" w:ascii="仿宋" w:hAnsi="仿宋" w:eastAsia="仿宋" w:cs="仿宋"/>
          <w:bCs/>
          <w:color w:val="auto"/>
          <w:kern w:val="2"/>
          <w:sz w:val="21"/>
          <w:szCs w:val="21"/>
          <w:highlight w:val="none"/>
        </w:rPr>
        <w:t>6.1.13</w:t>
      </w:r>
      <w:r>
        <w:rPr>
          <w:rFonts w:hint="eastAsia" w:ascii="仿宋" w:hAnsi="仿宋" w:eastAsia="仿宋" w:cs="仿宋"/>
          <w:bCs/>
          <w:color w:val="auto"/>
          <w:kern w:val="2"/>
          <w:sz w:val="21"/>
          <w:szCs w:val="21"/>
          <w:highlight w:val="none"/>
        </w:rPr>
        <w:tab/>
      </w:r>
      <w:r>
        <w:rPr>
          <w:rFonts w:hint="eastAsia" w:ascii="仿宋" w:hAnsi="仿宋" w:eastAsia="仿宋" w:cs="仿宋"/>
          <w:bCs/>
          <w:color w:val="auto"/>
          <w:kern w:val="2"/>
          <w:sz w:val="21"/>
          <w:szCs w:val="21"/>
          <w:highlight w:val="none"/>
        </w:rPr>
        <w:t>承包人应成立应急救援小组，配备必要的应急救援器材和设备，制定灾害和生产安全事故的应急救援预案，并将应急救援预案报送监理人。应急救援预案应能随时组织应救专职人员、并定期组织演练。</w:t>
      </w:r>
    </w:p>
    <w:p w14:paraId="5A69A0C7">
      <w:pPr>
        <w:pStyle w:val="114"/>
        <w:adjustRightInd w:val="0"/>
        <w:snapToGrid w:val="0"/>
        <w:spacing w:line="360" w:lineRule="auto"/>
        <w:jc w:val="left"/>
        <w:rPr>
          <w:rFonts w:hint="eastAsia" w:ascii="仿宋" w:hAnsi="仿宋" w:eastAsia="仿宋" w:cs="仿宋"/>
          <w:bCs/>
          <w:color w:val="auto"/>
          <w:kern w:val="2"/>
          <w:sz w:val="21"/>
          <w:szCs w:val="21"/>
          <w:highlight w:val="none"/>
        </w:rPr>
      </w:pPr>
      <w:r>
        <w:rPr>
          <w:rFonts w:hint="eastAsia" w:ascii="仿宋" w:hAnsi="仿宋" w:eastAsia="仿宋" w:cs="仿宋"/>
          <w:bCs/>
          <w:color w:val="auto"/>
          <w:kern w:val="2"/>
          <w:sz w:val="21"/>
          <w:szCs w:val="21"/>
          <w:highlight w:val="none"/>
        </w:rPr>
        <w:t>6.1.14</w:t>
      </w:r>
      <w:r>
        <w:rPr>
          <w:rFonts w:hint="eastAsia" w:ascii="仿宋" w:hAnsi="仿宋" w:eastAsia="仿宋" w:cs="仿宋"/>
          <w:bCs/>
          <w:color w:val="auto"/>
          <w:kern w:val="2"/>
          <w:sz w:val="21"/>
          <w:szCs w:val="21"/>
          <w:highlight w:val="none"/>
        </w:rPr>
        <w:tab/>
      </w:r>
      <w:r>
        <w:rPr>
          <w:rFonts w:hint="eastAsia" w:ascii="仿宋" w:hAnsi="仿宋" w:eastAsia="仿宋" w:cs="仿宋"/>
          <w:bCs/>
          <w:color w:val="auto"/>
          <w:kern w:val="2"/>
          <w:sz w:val="21"/>
          <w:szCs w:val="21"/>
          <w:highlight w:val="none"/>
        </w:rPr>
        <w:t>施工过程中需要使用爆破或带炸药的工具等危险性施工方法时，承包人应提前通知监理人。经监理人批准后，承包人应依照有关法律、法规、规章以及政府有关主管机构制定的规范性文件等的规定，向有关机构提出申请并获得相关许可。承包人应严格依照上述规定使用、储藏、管理爆破物品或带炸药的工具等，并负责由于这类物品的使用可能引起的任何损失或损害的赔偿。任何情况下，承包人不得在已完永久性工程中和空心砌体中使用爆破方法。</w:t>
      </w:r>
    </w:p>
    <w:p w14:paraId="42DA9ECC">
      <w:pPr>
        <w:pStyle w:val="114"/>
        <w:adjustRightInd w:val="0"/>
        <w:snapToGrid w:val="0"/>
        <w:spacing w:line="360" w:lineRule="auto"/>
        <w:jc w:val="left"/>
        <w:rPr>
          <w:rFonts w:hint="eastAsia" w:ascii="仿宋" w:hAnsi="仿宋" w:eastAsia="仿宋" w:cs="仿宋"/>
          <w:bCs/>
          <w:color w:val="auto"/>
          <w:kern w:val="2"/>
          <w:sz w:val="21"/>
          <w:szCs w:val="21"/>
          <w:highlight w:val="none"/>
        </w:rPr>
      </w:pPr>
      <w:r>
        <w:rPr>
          <w:rFonts w:hint="eastAsia" w:ascii="仿宋" w:hAnsi="仿宋" w:eastAsia="仿宋" w:cs="仿宋"/>
          <w:bCs/>
          <w:color w:val="auto"/>
          <w:kern w:val="2"/>
          <w:sz w:val="21"/>
          <w:szCs w:val="21"/>
          <w:highlight w:val="none"/>
        </w:rPr>
        <w:t>6.1.15</w:t>
      </w:r>
      <w:r>
        <w:rPr>
          <w:rFonts w:hint="eastAsia" w:ascii="仿宋" w:hAnsi="仿宋" w:eastAsia="仿宋" w:cs="仿宋"/>
          <w:bCs/>
          <w:color w:val="auto"/>
          <w:kern w:val="2"/>
          <w:sz w:val="21"/>
          <w:szCs w:val="21"/>
          <w:highlight w:val="none"/>
        </w:rPr>
        <w:tab/>
      </w:r>
      <w:r>
        <w:rPr>
          <w:rFonts w:hint="eastAsia" w:ascii="仿宋" w:hAnsi="仿宋" w:eastAsia="仿宋" w:cs="仿宋"/>
          <w:bCs/>
          <w:color w:val="auto"/>
          <w:kern w:val="2"/>
          <w:sz w:val="21"/>
          <w:szCs w:val="21"/>
          <w:highlight w:val="none"/>
        </w:rPr>
        <w:t>基坑支护与降水工程、土方开挖工程、模板工程、起重吊装工程、脚手架工程、拆除工程和爆破工程等达到一定规模和危险性较大的分部分项工程，承包人应当编制专项施工方案，其中深基坑、地下暗挖和高大模板工程的专项施工方案，还应组织专家进行论证和审查。</w:t>
      </w:r>
    </w:p>
    <w:p w14:paraId="1177EB0B">
      <w:pPr>
        <w:pStyle w:val="114"/>
        <w:adjustRightInd w:val="0"/>
        <w:snapToGrid w:val="0"/>
        <w:spacing w:line="360" w:lineRule="auto"/>
        <w:jc w:val="left"/>
        <w:rPr>
          <w:rFonts w:hint="eastAsia" w:ascii="仿宋" w:hAnsi="仿宋" w:eastAsia="仿宋" w:cs="仿宋"/>
          <w:bCs/>
          <w:color w:val="auto"/>
          <w:kern w:val="2"/>
          <w:sz w:val="21"/>
          <w:szCs w:val="21"/>
          <w:highlight w:val="none"/>
        </w:rPr>
      </w:pPr>
      <w:r>
        <w:rPr>
          <w:rFonts w:hint="eastAsia" w:ascii="仿宋" w:hAnsi="仿宋" w:eastAsia="仿宋" w:cs="仿宋"/>
          <w:bCs/>
          <w:color w:val="auto"/>
          <w:kern w:val="2"/>
          <w:sz w:val="21"/>
          <w:szCs w:val="21"/>
          <w:highlight w:val="none"/>
        </w:rPr>
        <w:t>6.1.16</w:t>
      </w:r>
      <w:r>
        <w:rPr>
          <w:rFonts w:hint="eastAsia" w:ascii="仿宋" w:hAnsi="仿宋" w:eastAsia="仿宋" w:cs="仿宋"/>
          <w:bCs/>
          <w:color w:val="auto"/>
          <w:kern w:val="2"/>
          <w:sz w:val="21"/>
          <w:szCs w:val="21"/>
          <w:highlight w:val="none"/>
        </w:rPr>
        <w:tab/>
      </w:r>
      <w:r>
        <w:rPr>
          <w:rFonts w:hint="eastAsia" w:ascii="仿宋" w:hAnsi="仿宋" w:eastAsia="仿宋" w:cs="仿宋"/>
          <w:bCs/>
          <w:color w:val="auto"/>
          <w:kern w:val="2"/>
          <w:sz w:val="21"/>
          <w:szCs w:val="21"/>
          <w:highlight w:val="none"/>
        </w:rPr>
        <w:t>承包人应按照通用合同条款第9.5款的约定处理本工程施工过程中发生的事故。发生施工安全事故后，承包人必须立即报告监理人和发包人，并在事故发生后一小时内向发包人提交事故情况书面报告，并根据《生产安全事故报告和调查处理条例》的规定，及时向工程所在地县级以上地方人民政府安全生产监督管理部门和建设行政主管部门报告。情况紧急时，事故现场有关人员可以直接向工程所在地县级以上地方人民政府安全生产监督管理部门和建设行政主管部门报告。</w:t>
      </w:r>
    </w:p>
    <w:p w14:paraId="06F5B474">
      <w:pPr>
        <w:pStyle w:val="114"/>
        <w:adjustRightInd w:val="0"/>
        <w:snapToGrid w:val="0"/>
        <w:spacing w:line="360" w:lineRule="auto"/>
        <w:jc w:val="left"/>
        <w:rPr>
          <w:rFonts w:hint="eastAsia" w:ascii="仿宋" w:hAnsi="仿宋" w:eastAsia="仿宋" w:cs="仿宋"/>
          <w:bCs/>
          <w:color w:val="auto"/>
          <w:kern w:val="2"/>
          <w:sz w:val="21"/>
          <w:szCs w:val="21"/>
          <w:highlight w:val="none"/>
        </w:rPr>
      </w:pPr>
      <w:r>
        <w:rPr>
          <w:rFonts w:hint="eastAsia" w:ascii="仿宋" w:hAnsi="仿宋" w:eastAsia="仿宋" w:cs="仿宋"/>
          <w:bCs/>
          <w:color w:val="auto"/>
          <w:kern w:val="2"/>
          <w:sz w:val="21"/>
          <w:szCs w:val="21"/>
          <w:highlight w:val="none"/>
        </w:rPr>
        <w:t>6.1.17</w:t>
      </w:r>
      <w:r>
        <w:rPr>
          <w:rFonts w:hint="eastAsia" w:ascii="仿宋" w:hAnsi="仿宋" w:eastAsia="仿宋" w:cs="仿宋"/>
          <w:bCs/>
          <w:color w:val="auto"/>
          <w:kern w:val="2"/>
          <w:sz w:val="21"/>
          <w:szCs w:val="21"/>
          <w:highlight w:val="none"/>
        </w:rPr>
        <w:tab/>
      </w:r>
      <w:r>
        <w:rPr>
          <w:rFonts w:hint="eastAsia" w:ascii="仿宋" w:hAnsi="仿宋" w:eastAsia="仿宋" w:cs="仿宋"/>
          <w:bCs/>
          <w:color w:val="auto"/>
          <w:kern w:val="2"/>
          <w:sz w:val="21"/>
          <w:szCs w:val="21"/>
          <w:highlight w:val="none"/>
        </w:rPr>
        <w:t>承包人还应根据有关法律、法规、规定和条例等的要求，制定一套安全生产应急措施和程序，保证一旦出现任何安全事故，能立即保护好现场，抢救伤员和财产，保证施工生产的正常进行，防止损失扩大。</w:t>
      </w:r>
    </w:p>
    <w:p w14:paraId="3A5C11EE">
      <w:pPr>
        <w:pStyle w:val="114"/>
        <w:adjustRightInd w:val="0"/>
        <w:snapToGrid w:val="0"/>
        <w:spacing w:line="360" w:lineRule="auto"/>
        <w:jc w:val="left"/>
        <w:rPr>
          <w:rFonts w:hint="eastAsia" w:ascii="仿宋" w:hAnsi="仿宋" w:eastAsia="仿宋" w:cs="仿宋"/>
          <w:bCs/>
          <w:color w:val="auto"/>
          <w:kern w:val="2"/>
          <w:sz w:val="21"/>
          <w:szCs w:val="21"/>
          <w:highlight w:val="none"/>
        </w:rPr>
      </w:pPr>
      <w:r>
        <w:rPr>
          <w:rFonts w:hint="eastAsia" w:ascii="仿宋" w:hAnsi="仿宋" w:eastAsia="仿宋" w:cs="仿宋"/>
          <w:bCs/>
          <w:color w:val="auto"/>
          <w:kern w:val="2"/>
          <w:sz w:val="21"/>
          <w:szCs w:val="21"/>
          <w:highlight w:val="none"/>
        </w:rPr>
        <w:t>6.1.18</w:t>
      </w:r>
      <w:r>
        <w:rPr>
          <w:rFonts w:hint="eastAsia" w:ascii="仿宋" w:hAnsi="仿宋" w:eastAsia="仿宋" w:cs="仿宋"/>
          <w:bCs/>
          <w:color w:val="auto"/>
          <w:kern w:val="2"/>
          <w:sz w:val="21"/>
          <w:szCs w:val="21"/>
          <w:highlight w:val="none"/>
        </w:rPr>
        <w:tab/>
      </w:r>
      <w:r>
        <w:rPr>
          <w:rFonts w:hint="eastAsia" w:ascii="仿宋" w:hAnsi="仿宋" w:eastAsia="仿宋" w:cs="仿宋"/>
          <w:bCs/>
          <w:color w:val="auto"/>
          <w:kern w:val="2"/>
          <w:sz w:val="21"/>
          <w:szCs w:val="21"/>
          <w:highlight w:val="none"/>
        </w:rPr>
        <w:t>安全防护方面的其他要求如下：</w:t>
      </w:r>
      <w:r>
        <w:rPr>
          <w:rFonts w:hint="eastAsia" w:ascii="仿宋" w:hAnsi="仿宋" w:eastAsia="仿宋" w:cs="仿宋"/>
          <w:bCs/>
          <w:color w:val="auto"/>
          <w:kern w:val="2"/>
          <w:sz w:val="21"/>
          <w:szCs w:val="21"/>
          <w:highlight w:val="none"/>
          <w:u w:val="single"/>
        </w:rPr>
        <w:t>无</w:t>
      </w:r>
    </w:p>
    <w:p w14:paraId="5FE71AE5">
      <w:pPr>
        <w:pStyle w:val="114"/>
        <w:adjustRightInd w:val="0"/>
        <w:snapToGrid w:val="0"/>
        <w:spacing w:line="360" w:lineRule="auto"/>
        <w:jc w:val="left"/>
        <w:rPr>
          <w:rFonts w:hint="eastAsia" w:ascii="仿宋" w:hAnsi="仿宋" w:eastAsia="仿宋" w:cs="仿宋"/>
          <w:bCs/>
          <w:color w:val="auto"/>
          <w:kern w:val="2"/>
          <w:sz w:val="21"/>
          <w:szCs w:val="21"/>
          <w:highlight w:val="none"/>
        </w:rPr>
      </w:pPr>
      <w:r>
        <w:rPr>
          <w:rFonts w:hint="eastAsia" w:ascii="仿宋" w:hAnsi="仿宋" w:eastAsia="仿宋" w:cs="仿宋"/>
          <w:bCs/>
          <w:color w:val="auto"/>
          <w:kern w:val="2"/>
          <w:sz w:val="21"/>
          <w:szCs w:val="21"/>
          <w:highlight w:val="none"/>
        </w:rPr>
        <w:t>6.2</w:t>
      </w:r>
      <w:r>
        <w:rPr>
          <w:rFonts w:hint="eastAsia" w:ascii="仿宋" w:hAnsi="仿宋" w:eastAsia="仿宋" w:cs="仿宋"/>
          <w:bCs/>
          <w:color w:val="auto"/>
          <w:kern w:val="2"/>
          <w:sz w:val="21"/>
          <w:szCs w:val="21"/>
          <w:highlight w:val="none"/>
        </w:rPr>
        <w:tab/>
      </w:r>
      <w:r>
        <w:rPr>
          <w:rFonts w:hint="eastAsia" w:ascii="仿宋" w:hAnsi="仿宋" w:eastAsia="仿宋" w:cs="仿宋"/>
          <w:bCs/>
          <w:color w:val="auto"/>
          <w:kern w:val="2"/>
          <w:sz w:val="21"/>
          <w:szCs w:val="21"/>
          <w:highlight w:val="none"/>
        </w:rPr>
        <w:t>临时消防</w:t>
      </w:r>
    </w:p>
    <w:p w14:paraId="237295FD">
      <w:pPr>
        <w:pStyle w:val="114"/>
        <w:adjustRightInd w:val="0"/>
        <w:snapToGrid w:val="0"/>
        <w:spacing w:line="360" w:lineRule="auto"/>
        <w:jc w:val="left"/>
        <w:rPr>
          <w:rFonts w:hint="eastAsia" w:ascii="仿宋" w:hAnsi="仿宋" w:eastAsia="仿宋" w:cs="仿宋"/>
          <w:bCs/>
          <w:color w:val="auto"/>
          <w:kern w:val="2"/>
          <w:sz w:val="21"/>
          <w:szCs w:val="21"/>
          <w:highlight w:val="none"/>
        </w:rPr>
      </w:pPr>
      <w:r>
        <w:rPr>
          <w:rFonts w:hint="eastAsia" w:ascii="仿宋" w:hAnsi="仿宋" w:eastAsia="仿宋" w:cs="仿宋"/>
          <w:bCs/>
          <w:color w:val="auto"/>
          <w:kern w:val="2"/>
          <w:sz w:val="21"/>
          <w:szCs w:val="21"/>
          <w:highlight w:val="none"/>
        </w:rPr>
        <w:t>6.2.1</w:t>
      </w:r>
      <w:r>
        <w:rPr>
          <w:rFonts w:hint="eastAsia" w:ascii="仿宋" w:hAnsi="仿宋" w:eastAsia="仿宋" w:cs="仿宋"/>
          <w:bCs/>
          <w:color w:val="auto"/>
          <w:kern w:val="2"/>
          <w:sz w:val="21"/>
          <w:szCs w:val="21"/>
          <w:highlight w:val="none"/>
        </w:rPr>
        <w:tab/>
      </w:r>
      <w:r>
        <w:rPr>
          <w:rFonts w:hint="eastAsia" w:ascii="仿宋" w:hAnsi="仿宋" w:eastAsia="仿宋" w:cs="仿宋"/>
          <w:bCs/>
          <w:color w:val="auto"/>
          <w:kern w:val="2"/>
          <w:sz w:val="21"/>
          <w:szCs w:val="21"/>
          <w:highlight w:val="none"/>
        </w:rPr>
        <w:t>承包人应建立消防安全责任制度，制定用火、用电和使用易燃易爆等危险品的消防安全管理制度和操作规程。各项制度和规程等应满足相关法律法规和政府消防管理机构的要求。</w:t>
      </w:r>
    </w:p>
    <w:p w14:paraId="3CCD173F">
      <w:pPr>
        <w:pStyle w:val="114"/>
        <w:adjustRightInd w:val="0"/>
        <w:snapToGrid w:val="0"/>
        <w:spacing w:line="360" w:lineRule="auto"/>
        <w:jc w:val="left"/>
        <w:rPr>
          <w:rFonts w:hint="eastAsia" w:ascii="仿宋" w:hAnsi="仿宋" w:eastAsia="仿宋" w:cs="仿宋"/>
          <w:bCs/>
          <w:color w:val="auto"/>
          <w:kern w:val="2"/>
          <w:sz w:val="21"/>
          <w:szCs w:val="21"/>
          <w:highlight w:val="none"/>
        </w:rPr>
      </w:pPr>
      <w:r>
        <w:rPr>
          <w:rFonts w:hint="eastAsia" w:ascii="仿宋" w:hAnsi="仿宋" w:eastAsia="仿宋" w:cs="仿宋"/>
          <w:bCs/>
          <w:color w:val="auto"/>
          <w:kern w:val="2"/>
          <w:sz w:val="21"/>
          <w:szCs w:val="21"/>
          <w:highlight w:val="none"/>
        </w:rPr>
        <w:t>6.2.2</w:t>
      </w:r>
      <w:r>
        <w:rPr>
          <w:rFonts w:hint="eastAsia" w:ascii="仿宋" w:hAnsi="仿宋" w:eastAsia="仿宋" w:cs="仿宋"/>
          <w:bCs/>
          <w:color w:val="auto"/>
          <w:kern w:val="2"/>
          <w:sz w:val="21"/>
          <w:szCs w:val="21"/>
          <w:highlight w:val="none"/>
        </w:rPr>
        <w:tab/>
      </w:r>
      <w:r>
        <w:rPr>
          <w:rFonts w:hint="eastAsia" w:ascii="仿宋" w:hAnsi="仿宋" w:eastAsia="仿宋" w:cs="仿宋"/>
          <w:bCs/>
          <w:color w:val="auto"/>
          <w:kern w:val="2"/>
          <w:sz w:val="21"/>
          <w:szCs w:val="21"/>
          <w:highlight w:val="none"/>
        </w:rPr>
        <w:t>承包人应根据相关法律法规和消防管理部门的要求，为施工中的永久工程和所有临时工程提供必要的临时消防和紧急疏散设施，包括提供并维持畅通的消防通道、临时消火栓、灭火器、水龙带、灭火桶、灭火铲、灭火斧、消防水管等，消防设施的设立和消防设备的型号和功率应满足消防任务的需要，始终保持能够随时投入正常使用的状态，并设立明显标志。承包人的临时消防系统和配置应分别经过监理人和消防管理部门的审批和验收；承包人还应自费获得消防管理部门的临时消防证书。所有的临时消防设施属于承包人所有，至工程实际竣工时从现场拆除。</w:t>
      </w:r>
    </w:p>
    <w:p w14:paraId="719A2E4D">
      <w:pPr>
        <w:pStyle w:val="114"/>
        <w:adjustRightInd w:val="0"/>
        <w:snapToGrid w:val="0"/>
        <w:spacing w:line="360" w:lineRule="auto"/>
        <w:jc w:val="left"/>
        <w:rPr>
          <w:rFonts w:hint="eastAsia" w:ascii="仿宋" w:hAnsi="仿宋" w:eastAsia="仿宋" w:cs="仿宋"/>
          <w:bCs/>
          <w:color w:val="auto"/>
          <w:kern w:val="2"/>
          <w:sz w:val="21"/>
          <w:szCs w:val="21"/>
          <w:highlight w:val="none"/>
        </w:rPr>
      </w:pPr>
      <w:r>
        <w:rPr>
          <w:rFonts w:hint="eastAsia" w:ascii="仿宋" w:hAnsi="仿宋" w:eastAsia="仿宋" w:cs="仿宋"/>
          <w:bCs/>
          <w:color w:val="auto"/>
          <w:kern w:val="2"/>
          <w:sz w:val="21"/>
          <w:szCs w:val="21"/>
          <w:highlight w:val="none"/>
        </w:rPr>
        <w:t>6.2.3</w:t>
      </w:r>
      <w:r>
        <w:rPr>
          <w:rFonts w:hint="eastAsia" w:ascii="仿宋" w:hAnsi="仿宋" w:eastAsia="仿宋" w:cs="仿宋"/>
          <w:bCs/>
          <w:color w:val="auto"/>
          <w:kern w:val="2"/>
          <w:sz w:val="21"/>
          <w:szCs w:val="21"/>
          <w:highlight w:val="none"/>
        </w:rPr>
        <w:tab/>
      </w:r>
      <w:r>
        <w:rPr>
          <w:rFonts w:hint="eastAsia" w:ascii="仿宋" w:hAnsi="仿宋" w:eastAsia="仿宋" w:cs="仿宋"/>
          <w:bCs/>
          <w:color w:val="auto"/>
          <w:kern w:val="2"/>
          <w:sz w:val="21"/>
          <w:szCs w:val="21"/>
          <w:highlight w:val="none"/>
        </w:rPr>
        <w:t>承包人应当成立由项目主要负责人担任组长的临时消防组或消防队，宣传消防基本知识和基本操作培训，组织消防演练，保证一旦发生火灾，能够组织有效的自救，保护生命和财产安全。</w:t>
      </w:r>
    </w:p>
    <w:p w14:paraId="524DB122">
      <w:pPr>
        <w:pStyle w:val="114"/>
        <w:adjustRightInd w:val="0"/>
        <w:snapToGrid w:val="0"/>
        <w:spacing w:line="360" w:lineRule="auto"/>
        <w:jc w:val="left"/>
        <w:rPr>
          <w:rFonts w:hint="eastAsia" w:ascii="仿宋" w:hAnsi="仿宋" w:eastAsia="仿宋" w:cs="仿宋"/>
          <w:bCs/>
          <w:color w:val="auto"/>
          <w:kern w:val="2"/>
          <w:sz w:val="21"/>
          <w:szCs w:val="21"/>
          <w:highlight w:val="none"/>
        </w:rPr>
      </w:pPr>
      <w:r>
        <w:rPr>
          <w:rFonts w:hint="eastAsia" w:ascii="仿宋" w:hAnsi="仿宋" w:eastAsia="仿宋" w:cs="仿宋"/>
          <w:bCs/>
          <w:color w:val="auto"/>
          <w:kern w:val="2"/>
          <w:sz w:val="21"/>
          <w:szCs w:val="21"/>
          <w:highlight w:val="none"/>
        </w:rPr>
        <w:t>6.2.4</w:t>
      </w:r>
      <w:r>
        <w:rPr>
          <w:rFonts w:hint="eastAsia" w:ascii="仿宋" w:hAnsi="仿宋" w:eastAsia="仿宋" w:cs="仿宋"/>
          <w:bCs/>
          <w:color w:val="auto"/>
          <w:kern w:val="2"/>
          <w:sz w:val="21"/>
          <w:szCs w:val="21"/>
          <w:highlight w:val="none"/>
        </w:rPr>
        <w:tab/>
      </w:r>
      <w:r>
        <w:rPr>
          <w:rFonts w:hint="eastAsia" w:ascii="仿宋" w:hAnsi="仿宋" w:eastAsia="仿宋" w:cs="仿宋"/>
          <w:bCs/>
          <w:color w:val="auto"/>
          <w:kern w:val="2"/>
          <w:sz w:val="21"/>
          <w:szCs w:val="21"/>
          <w:highlight w:val="none"/>
        </w:rPr>
        <w:t>施工场地（现场）内的易燃、易爆物品应单独和安全地存放，设专人进行存放和领用管理。施工场地（现场）储有或正在使用易燃、易爆或可燃材料时或有明火施工的工序，应当实行严格的“用火证”管理制度。</w:t>
      </w:r>
    </w:p>
    <w:p w14:paraId="635CA930">
      <w:pPr>
        <w:pStyle w:val="114"/>
        <w:adjustRightInd w:val="0"/>
        <w:snapToGrid w:val="0"/>
        <w:spacing w:line="360" w:lineRule="auto"/>
        <w:jc w:val="left"/>
        <w:rPr>
          <w:rFonts w:hint="eastAsia" w:ascii="仿宋" w:hAnsi="仿宋" w:eastAsia="仿宋" w:cs="仿宋"/>
          <w:bCs/>
          <w:color w:val="auto"/>
          <w:kern w:val="2"/>
          <w:sz w:val="21"/>
          <w:szCs w:val="21"/>
          <w:highlight w:val="none"/>
        </w:rPr>
      </w:pPr>
      <w:r>
        <w:rPr>
          <w:rFonts w:hint="eastAsia" w:ascii="仿宋" w:hAnsi="仿宋" w:eastAsia="仿宋" w:cs="仿宋"/>
          <w:bCs/>
          <w:color w:val="auto"/>
          <w:kern w:val="2"/>
          <w:sz w:val="21"/>
          <w:szCs w:val="21"/>
          <w:highlight w:val="none"/>
        </w:rPr>
        <w:t>6.2.5</w:t>
      </w:r>
      <w:r>
        <w:rPr>
          <w:rFonts w:hint="eastAsia" w:ascii="仿宋" w:hAnsi="仿宋" w:eastAsia="仿宋" w:cs="仿宋"/>
          <w:bCs/>
          <w:color w:val="auto"/>
          <w:kern w:val="2"/>
          <w:sz w:val="21"/>
          <w:szCs w:val="21"/>
          <w:highlight w:val="none"/>
        </w:rPr>
        <w:tab/>
      </w:r>
      <w:r>
        <w:rPr>
          <w:rFonts w:hint="eastAsia" w:ascii="仿宋" w:hAnsi="仿宋" w:eastAsia="仿宋" w:cs="仿宋"/>
          <w:bCs/>
          <w:color w:val="auto"/>
          <w:kern w:val="2"/>
          <w:sz w:val="21"/>
          <w:szCs w:val="21"/>
          <w:highlight w:val="none"/>
        </w:rPr>
        <w:t>临时消防方面的其他要求如下：</w:t>
      </w:r>
      <w:r>
        <w:rPr>
          <w:rFonts w:hint="eastAsia" w:ascii="仿宋" w:hAnsi="仿宋" w:eastAsia="仿宋" w:cs="仿宋"/>
          <w:bCs/>
          <w:color w:val="auto"/>
          <w:kern w:val="2"/>
          <w:sz w:val="21"/>
          <w:szCs w:val="21"/>
          <w:highlight w:val="none"/>
          <w:u w:val="single"/>
        </w:rPr>
        <w:t>无</w:t>
      </w:r>
    </w:p>
    <w:p w14:paraId="2B24EA4B">
      <w:pPr>
        <w:pStyle w:val="114"/>
        <w:adjustRightInd w:val="0"/>
        <w:snapToGrid w:val="0"/>
        <w:spacing w:line="360" w:lineRule="auto"/>
        <w:jc w:val="left"/>
        <w:rPr>
          <w:rFonts w:hint="eastAsia" w:ascii="仿宋" w:hAnsi="仿宋" w:eastAsia="仿宋" w:cs="仿宋"/>
          <w:bCs/>
          <w:color w:val="auto"/>
          <w:kern w:val="2"/>
          <w:sz w:val="21"/>
          <w:szCs w:val="21"/>
          <w:highlight w:val="none"/>
        </w:rPr>
      </w:pPr>
      <w:r>
        <w:rPr>
          <w:rFonts w:hint="eastAsia" w:ascii="仿宋" w:hAnsi="仿宋" w:eastAsia="仿宋" w:cs="仿宋"/>
          <w:bCs/>
          <w:color w:val="auto"/>
          <w:kern w:val="2"/>
          <w:sz w:val="21"/>
          <w:szCs w:val="21"/>
          <w:highlight w:val="none"/>
        </w:rPr>
        <w:t>6.3</w:t>
      </w:r>
      <w:r>
        <w:rPr>
          <w:rFonts w:hint="eastAsia" w:ascii="仿宋" w:hAnsi="仿宋" w:eastAsia="仿宋" w:cs="仿宋"/>
          <w:bCs/>
          <w:color w:val="auto"/>
          <w:kern w:val="2"/>
          <w:sz w:val="21"/>
          <w:szCs w:val="21"/>
          <w:highlight w:val="none"/>
        </w:rPr>
        <w:tab/>
      </w:r>
      <w:r>
        <w:rPr>
          <w:rFonts w:hint="eastAsia" w:ascii="仿宋" w:hAnsi="仿宋" w:eastAsia="仿宋" w:cs="仿宋"/>
          <w:bCs/>
          <w:color w:val="auto"/>
          <w:kern w:val="2"/>
          <w:sz w:val="21"/>
          <w:szCs w:val="21"/>
          <w:highlight w:val="none"/>
        </w:rPr>
        <w:t>临时供电</w:t>
      </w:r>
    </w:p>
    <w:p w14:paraId="6CAD3CC1">
      <w:pPr>
        <w:pStyle w:val="114"/>
        <w:adjustRightInd w:val="0"/>
        <w:snapToGrid w:val="0"/>
        <w:spacing w:line="360" w:lineRule="auto"/>
        <w:jc w:val="left"/>
        <w:rPr>
          <w:rFonts w:hint="eastAsia" w:ascii="仿宋" w:hAnsi="仿宋" w:eastAsia="仿宋" w:cs="仿宋"/>
          <w:bCs/>
          <w:color w:val="auto"/>
          <w:kern w:val="2"/>
          <w:sz w:val="21"/>
          <w:szCs w:val="21"/>
          <w:highlight w:val="none"/>
        </w:rPr>
      </w:pPr>
      <w:r>
        <w:rPr>
          <w:rFonts w:hint="eastAsia" w:ascii="仿宋" w:hAnsi="仿宋" w:eastAsia="仿宋" w:cs="仿宋"/>
          <w:bCs/>
          <w:color w:val="auto"/>
          <w:kern w:val="2"/>
          <w:sz w:val="21"/>
          <w:szCs w:val="21"/>
          <w:highlight w:val="none"/>
        </w:rPr>
        <w:t>6.3.1</w:t>
      </w:r>
      <w:r>
        <w:rPr>
          <w:rFonts w:hint="eastAsia" w:ascii="仿宋" w:hAnsi="仿宋" w:eastAsia="仿宋" w:cs="仿宋"/>
          <w:bCs/>
          <w:color w:val="auto"/>
          <w:kern w:val="2"/>
          <w:sz w:val="21"/>
          <w:szCs w:val="21"/>
          <w:highlight w:val="none"/>
        </w:rPr>
        <w:tab/>
      </w:r>
      <w:r>
        <w:rPr>
          <w:rFonts w:hint="eastAsia" w:ascii="仿宋" w:hAnsi="仿宋" w:eastAsia="仿宋" w:cs="仿宋"/>
          <w:bCs/>
          <w:color w:val="auto"/>
          <w:kern w:val="2"/>
          <w:sz w:val="21"/>
          <w:szCs w:val="21"/>
          <w:highlight w:val="none"/>
        </w:rPr>
        <w:t>承包人应当根据《施工现场临时用电安全技术规范》（JGJ46-2005）及其适用的修订版本的规定和施工要求编制施工临时用电方案。临时用电方案及其变更必须履行“编制、审核、批准”程序。施工临时用电方案应当由电气工程技术人员组织编制，经企业技术负责人批准后实施，经编制、审核、批准部门和使用单位共同验收合格后方可投入使用。</w:t>
      </w:r>
    </w:p>
    <w:p w14:paraId="20D4E6E6">
      <w:pPr>
        <w:pStyle w:val="114"/>
        <w:adjustRightInd w:val="0"/>
        <w:snapToGrid w:val="0"/>
        <w:spacing w:line="360" w:lineRule="auto"/>
        <w:jc w:val="left"/>
        <w:rPr>
          <w:rFonts w:hint="eastAsia" w:ascii="仿宋" w:hAnsi="仿宋" w:eastAsia="仿宋" w:cs="仿宋"/>
          <w:bCs/>
          <w:color w:val="auto"/>
          <w:kern w:val="2"/>
          <w:sz w:val="21"/>
          <w:szCs w:val="21"/>
          <w:highlight w:val="none"/>
        </w:rPr>
      </w:pPr>
      <w:r>
        <w:rPr>
          <w:rFonts w:hint="eastAsia" w:ascii="仿宋" w:hAnsi="仿宋" w:eastAsia="仿宋" w:cs="仿宋"/>
          <w:bCs/>
          <w:color w:val="auto"/>
          <w:kern w:val="2"/>
          <w:sz w:val="21"/>
          <w:szCs w:val="21"/>
          <w:highlight w:val="none"/>
        </w:rPr>
        <w:t>6.3.2</w:t>
      </w:r>
      <w:r>
        <w:rPr>
          <w:rFonts w:hint="eastAsia" w:ascii="仿宋" w:hAnsi="仿宋" w:eastAsia="仿宋" w:cs="仿宋"/>
          <w:bCs/>
          <w:color w:val="auto"/>
          <w:kern w:val="2"/>
          <w:sz w:val="21"/>
          <w:szCs w:val="21"/>
          <w:highlight w:val="none"/>
        </w:rPr>
        <w:tab/>
      </w:r>
      <w:r>
        <w:rPr>
          <w:rFonts w:hint="eastAsia" w:ascii="仿宋" w:hAnsi="仿宋" w:eastAsia="仿宋" w:cs="仿宋"/>
          <w:bCs/>
          <w:color w:val="auto"/>
          <w:kern w:val="2"/>
          <w:sz w:val="21"/>
          <w:szCs w:val="21"/>
          <w:highlight w:val="none"/>
        </w:rPr>
        <w:t>承包人应为施工场地（现场）提供、设立和维护必要的临时电力供应系统，并保证电力供应系统始终处于满足供电管理部门要求和正常施工生产所要求的状态，并在工程实际竣工后从现场拆除。</w:t>
      </w:r>
    </w:p>
    <w:p w14:paraId="67212E50">
      <w:pPr>
        <w:pStyle w:val="114"/>
        <w:adjustRightInd w:val="0"/>
        <w:snapToGrid w:val="0"/>
        <w:spacing w:line="360" w:lineRule="auto"/>
        <w:jc w:val="left"/>
        <w:rPr>
          <w:rFonts w:hint="eastAsia" w:ascii="仿宋" w:hAnsi="仿宋" w:eastAsia="仿宋" w:cs="仿宋"/>
          <w:bCs/>
          <w:color w:val="auto"/>
          <w:kern w:val="2"/>
          <w:sz w:val="21"/>
          <w:szCs w:val="21"/>
          <w:highlight w:val="none"/>
        </w:rPr>
      </w:pPr>
      <w:r>
        <w:rPr>
          <w:rFonts w:hint="eastAsia" w:ascii="仿宋" w:hAnsi="仿宋" w:eastAsia="仿宋" w:cs="仿宋"/>
          <w:bCs/>
          <w:color w:val="auto"/>
          <w:kern w:val="2"/>
          <w:sz w:val="21"/>
          <w:szCs w:val="21"/>
          <w:highlight w:val="none"/>
        </w:rPr>
        <w:t>6.3.3</w:t>
      </w:r>
      <w:r>
        <w:rPr>
          <w:rFonts w:hint="eastAsia" w:ascii="仿宋" w:hAnsi="仿宋" w:eastAsia="仿宋" w:cs="仿宋"/>
          <w:bCs/>
          <w:color w:val="auto"/>
          <w:kern w:val="2"/>
          <w:sz w:val="21"/>
          <w:szCs w:val="21"/>
          <w:highlight w:val="none"/>
        </w:rPr>
        <w:tab/>
      </w:r>
      <w:r>
        <w:rPr>
          <w:rFonts w:hint="eastAsia" w:ascii="仿宋" w:hAnsi="仿宋" w:eastAsia="仿宋" w:cs="仿宋"/>
          <w:bCs/>
          <w:color w:val="auto"/>
          <w:kern w:val="2"/>
          <w:sz w:val="21"/>
          <w:szCs w:val="21"/>
          <w:highlight w:val="none"/>
        </w:rPr>
        <w:t>临时供电系统的电缆、电线、配电箱、控制柜、开关箱、漏电保护器等材料设备均应当具有生产（制造）许可证、产品合格证并经过检验合格的产品。临时用电采用三相五线制、三级配电和两极漏电保护供电，三相四线制配电的电缆线路必须采用五芯电缆，按规定设立零线和接地线。电缆和电线的铺设要符合安全用电标准要求，电缆线路应采用埋地或架空敷设，严禁严地面明设，并应避免机械损伤和介质腐蚀。埋地电缆路径应设方位标志。各种配电设备均设有防止漏电和防雨防水设施。</w:t>
      </w:r>
    </w:p>
    <w:p w14:paraId="64C80BEE">
      <w:pPr>
        <w:pStyle w:val="114"/>
        <w:adjustRightInd w:val="0"/>
        <w:snapToGrid w:val="0"/>
        <w:spacing w:line="360" w:lineRule="auto"/>
        <w:jc w:val="left"/>
        <w:rPr>
          <w:rFonts w:hint="eastAsia" w:ascii="仿宋" w:hAnsi="仿宋" w:eastAsia="仿宋" w:cs="仿宋"/>
          <w:bCs/>
          <w:color w:val="auto"/>
          <w:kern w:val="2"/>
          <w:sz w:val="21"/>
          <w:szCs w:val="21"/>
          <w:highlight w:val="none"/>
        </w:rPr>
      </w:pPr>
      <w:r>
        <w:rPr>
          <w:rFonts w:hint="eastAsia" w:ascii="仿宋" w:hAnsi="仿宋" w:eastAsia="仿宋" w:cs="仿宋"/>
          <w:bCs/>
          <w:color w:val="auto"/>
          <w:kern w:val="2"/>
          <w:sz w:val="21"/>
          <w:szCs w:val="21"/>
          <w:highlight w:val="none"/>
        </w:rPr>
        <w:t>6.3.4</w:t>
      </w:r>
      <w:r>
        <w:rPr>
          <w:rFonts w:hint="eastAsia" w:ascii="仿宋" w:hAnsi="仿宋" w:eastAsia="仿宋" w:cs="仿宋"/>
          <w:bCs/>
          <w:color w:val="auto"/>
          <w:kern w:val="2"/>
          <w:sz w:val="21"/>
          <w:szCs w:val="21"/>
          <w:highlight w:val="none"/>
        </w:rPr>
        <w:tab/>
      </w:r>
      <w:r>
        <w:rPr>
          <w:rFonts w:hint="eastAsia" w:ascii="仿宋" w:hAnsi="仿宋" w:eastAsia="仿宋" w:cs="仿宋"/>
          <w:bCs/>
          <w:color w:val="auto"/>
          <w:kern w:val="2"/>
          <w:sz w:val="21"/>
          <w:szCs w:val="21"/>
          <w:highlight w:val="none"/>
        </w:rPr>
        <w:t>承包人应在施工作业区、施工道路、临时设施、办公区和生活区设置足够的照明，照明系统的电压不得高于36V，在潮湿和易触及带电体场所的照明供电电压不应大于24V。不便于使用电器照明的工作面应采用特殊照明设施。</w:t>
      </w:r>
    </w:p>
    <w:p w14:paraId="428169BB">
      <w:pPr>
        <w:pStyle w:val="114"/>
        <w:adjustRightInd w:val="0"/>
        <w:snapToGrid w:val="0"/>
        <w:spacing w:line="360" w:lineRule="auto"/>
        <w:jc w:val="left"/>
        <w:rPr>
          <w:rFonts w:hint="eastAsia" w:ascii="仿宋" w:hAnsi="仿宋" w:eastAsia="仿宋" w:cs="仿宋"/>
          <w:bCs/>
          <w:color w:val="auto"/>
          <w:kern w:val="2"/>
          <w:sz w:val="21"/>
          <w:szCs w:val="21"/>
          <w:highlight w:val="none"/>
        </w:rPr>
      </w:pPr>
      <w:r>
        <w:rPr>
          <w:rFonts w:hint="eastAsia" w:ascii="仿宋" w:hAnsi="仿宋" w:eastAsia="仿宋" w:cs="仿宋"/>
          <w:bCs/>
          <w:color w:val="auto"/>
          <w:kern w:val="2"/>
          <w:sz w:val="21"/>
          <w:szCs w:val="21"/>
          <w:highlight w:val="none"/>
        </w:rPr>
        <w:t>6.3.5</w:t>
      </w:r>
      <w:r>
        <w:rPr>
          <w:rFonts w:hint="eastAsia" w:ascii="仿宋" w:hAnsi="仿宋" w:eastAsia="仿宋" w:cs="仿宋"/>
          <w:bCs/>
          <w:color w:val="auto"/>
          <w:kern w:val="2"/>
          <w:sz w:val="21"/>
          <w:szCs w:val="21"/>
          <w:highlight w:val="none"/>
        </w:rPr>
        <w:tab/>
      </w:r>
      <w:r>
        <w:rPr>
          <w:rFonts w:hint="eastAsia" w:ascii="仿宋" w:hAnsi="仿宋" w:eastAsia="仿宋" w:cs="仿宋"/>
          <w:bCs/>
          <w:color w:val="auto"/>
          <w:kern w:val="2"/>
          <w:sz w:val="21"/>
          <w:szCs w:val="21"/>
          <w:highlight w:val="none"/>
        </w:rPr>
        <w:t>凡可能漏电伤人或易受雷击的电器及建筑物均应设置接地和避雷装置。承包人应负责避雷装置的采购、安装、管理和维修，并建立定期检查制度。</w:t>
      </w:r>
    </w:p>
    <w:p w14:paraId="09EA2378">
      <w:pPr>
        <w:pStyle w:val="114"/>
        <w:adjustRightInd w:val="0"/>
        <w:snapToGrid w:val="0"/>
        <w:spacing w:line="360" w:lineRule="auto"/>
        <w:jc w:val="left"/>
        <w:rPr>
          <w:rFonts w:hint="eastAsia" w:ascii="仿宋" w:hAnsi="仿宋" w:eastAsia="仿宋" w:cs="仿宋"/>
          <w:bCs/>
          <w:color w:val="auto"/>
          <w:kern w:val="2"/>
          <w:sz w:val="21"/>
          <w:szCs w:val="21"/>
          <w:highlight w:val="none"/>
        </w:rPr>
      </w:pPr>
      <w:r>
        <w:rPr>
          <w:rFonts w:hint="eastAsia" w:ascii="仿宋" w:hAnsi="仿宋" w:eastAsia="仿宋" w:cs="仿宋"/>
          <w:bCs/>
          <w:color w:val="auto"/>
          <w:kern w:val="2"/>
          <w:sz w:val="21"/>
          <w:szCs w:val="21"/>
          <w:highlight w:val="none"/>
        </w:rPr>
        <w:t>6.3.6临时用电方面的其他要求如下：</w:t>
      </w:r>
      <w:r>
        <w:rPr>
          <w:rFonts w:hint="eastAsia" w:ascii="仿宋" w:hAnsi="仿宋" w:eastAsia="仿宋" w:cs="仿宋"/>
          <w:bCs/>
          <w:color w:val="auto"/>
          <w:kern w:val="2"/>
          <w:sz w:val="21"/>
          <w:szCs w:val="21"/>
          <w:highlight w:val="none"/>
          <w:u w:val="single"/>
        </w:rPr>
        <w:t>无</w:t>
      </w:r>
    </w:p>
    <w:p w14:paraId="03330144">
      <w:pPr>
        <w:pStyle w:val="114"/>
        <w:adjustRightInd w:val="0"/>
        <w:snapToGrid w:val="0"/>
        <w:spacing w:line="360" w:lineRule="auto"/>
        <w:jc w:val="left"/>
        <w:rPr>
          <w:rFonts w:hint="eastAsia" w:ascii="仿宋" w:hAnsi="仿宋" w:eastAsia="仿宋" w:cs="仿宋"/>
          <w:bCs/>
          <w:color w:val="auto"/>
          <w:kern w:val="2"/>
          <w:sz w:val="21"/>
          <w:szCs w:val="21"/>
          <w:highlight w:val="none"/>
        </w:rPr>
      </w:pPr>
      <w:r>
        <w:rPr>
          <w:rFonts w:hint="eastAsia" w:ascii="仿宋" w:hAnsi="仿宋" w:eastAsia="仿宋" w:cs="仿宋"/>
          <w:bCs/>
          <w:color w:val="auto"/>
          <w:kern w:val="2"/>
          <w:sz w:val="21"/>
          <w:szCs w:val="21"/>
          <w:highlight w:val="none"/>
        </w:rPr>
        <w:t>6.4</w:t>
      </w:r>
      <w:r>
        <w:rPr>
          <w:rFonts w:hint="eastAsia" w:ascii="仿宋" w:hAnsi="仿宋" w:eastAsia="仿宋" w:cs="仿宋"/>
          <w:bCs/>
          <w:color w:val="auto"/>
          <w:kern w:val="2"/>
          <w:sz w:val="21"/>
          <w:szCs w:val="21"/>
          <w:highlight w:val="none"/>
        </w:rPr>
        <w:tab/>
      </w:r>
      <w:r>
        <w:rPr>
          <w:rFonts w:hint="eastAsia" w:ascii="仿宋" w:hAnsi="仿宋" w:eastAsia="仿宋" w:cs="仿宋"/>
          <w:bCs/>
          <w:color w:val="auto"/>
          <w:kern w:val="2"/>
          <w:sz w:val="21"/>
          <w:szCs w:val="21"/>
          <w:highlight w:val="none"/>
        </w:rPr>
        <w:t>劳动保护</w:t>
      </w:r>
    </w:p>
    <w:p w14:paraId="461D0A85">
      <w:pPr>
        <w:pStyle w:val="114"/>
        <w:adjustRightInd w:val="0"/>
        <w:snapToGrid w:val="0"/>
        <w:spacing w:line="360" w:lineRule="auto"/>
        <w:jc w:val="left"/>
        <w:rPr>
          <w:rFonts w:hint="eastAsia" w:ascii="仿宋" w:hAnsi="仿宋" w:eastAsia="仿宋" w:cs="仿宋"/>
          <w:bCs/>
          <w:color w:val="auto"/>
          <w:kern w:val="2"/>
          <w:sz w:val="21"/>
          <w:szCs w:val="21"/>
          <w:highlight w:val="none"/>
        </w:rPr>
      </w:pPr>
      <w:r>
        <w:rPr>
          <w:rFonts w:hint="eastAsia" w:ascii="仿宋" w:hAnsi="仿宋" w:eastAsia="仿宋" w:cs="仿宋"/>
          <w:bCs/>
          <w:color w:val="auto"/>
          <w:kern w:val="2"/>
          <w:sz w:val="21"/>
          <w:szCs w:val="21"/>
          <w:highlight w:val="none"/>
        </w:rPr>
        <w:t>6.4.1</w:t>
      </w:r>
      <w:r>
        <w:rPr>
          <w:rFonts w:hint="eastAsia" w:ascii="仿宋" w:hAnsi="仿宋" w:eastAsia="仿宋" w:cs="仿宋"/>
          <w:bCs/>
          <w:color w:val="auto"/>
          <w:kern w:val="2"/>
          <w:sz w:val="21"/>
          <w:szCs w:val="21"/>
          <w:highlight w:val="none"/>
        </w:rPr>
        <w:tab/>
      </w:r>
      <w:r>
        <w:rPr>
          <w:rFonts w:hint="eastAsia" w:ascii="仿宋" w:hAnsi="仿宋" w:eastAsia="仿宋" w:cs="仿宋"/>
          <w:bCs/>
          <w:color w:val="auto"/>
          <w:kern w:val="2"/>
          <w:sz w:val="21"/>
          <w:szCs w:val="21"/>
          <w:highlight w:val="none"/>
        </w:rPr>
        <w:t>承包人应遵守所有适用于本合同的劳动法规及其他有关法律、法规、规章和规定中关于工人工资标准、劳动时间和劳动条件的规定，合理安排现场作业人员的劳动和休息时间，保障劳动者必须的休息时间，支付合理的报酬和费用。承包人应按有关行政管理部门的规定为本合同下雇佣的职员和工人办理任何必要的证件、许可、保险和注册等，并保障发包人免于因承包人不能依照或完全依照上述所有法律、法规、规章和规定等可能给发包人带来的任何处罚、索赔、损失和损害等。</w:t>
      </w:r>
    </w:p>
    <w:p w14:paraId="3D85AA38">
      <w:pPr>
        <w:pStyle w:val="114"/>
        <w:adjustRightInd w:val="0"/>
        <w:snapToGrid w:val="0"/>
        <w:spacing w:line="360" w:lineRule="auto"/>
        <w:jc w:val="left"/>
        <w:rPr>
          <w:rFonts w:hint="eastAsia" w:ascii="仿宋" w:hAnsi="仿宋" w:eastAsia="仿宋" w:cs="仿宋"/>
          <w:bCs/>
          <w:color w:val="auto"/>
          <w:kern w:val="2"/>
          <w:sz w:val="21"/>
          <w:szCs w:val="21"/>
          <w:highlight w:val="none"/>
        </w:rPr>
      </w:pPr>
      <w:r>
        <w:rPr>
          <w:rFonts w:hint="eastAsia" w:ascii="仿宋" w:hAnsi="仿宋" w:eastAsia="仿宋" w:cs="仿宋"/>
          <w:bCs/>
          <w:color w:val="auto"/>
          <w:kern w:val="2"/>
          <w:sz w:val="21"/>
          <w:szCs w:val="21"/>
          <w:highlight w:val="none"/>
        </w:rPr>
        <w:t>6.4.2</w:t>
      </w:r>
      <w:r>
        <w:rPr>
          <w:rFonts w:hint="eastAsia" w:ascii="仿宋" w:hAnsi="仿宋" w:eastAsia="仿宋" w:cs="仿宋"/>
          <w:bCs/>
          <w:color w:val="auto"/>
          <w:kern w:val="2"/>
          <w:sz w:val="21"/>
          <w:szCs w:val="21"/>
          <w:highlight w:val="none"/>
        </w:rPr>
        <w:tab/>
      </w:r>
      <w:r>
        <w:rPr>
          <w:rFonts w:hint="eastAsia" w:ascii="仿宋" w:hAnsi="仿宋" w:eastAsia="仿宋" w:cs="仿宋"/>
          <w:bCs/>
          <w:color w:val="auto"/>
          <w:kern w:val="2"/>
          <w:sz w:val="21"/>
          <w:szCs w:val="21"/>
          <w:highlight w:val="none"/>
        </w:rPr>
        <w:t>承包人应按照国家《劳动保护法》的规定，保障现场施工人员的劳动安全。承包人应为本合同下雇佣的职员和工人提供适当和充分的劳动保护，包括但不限于安全防护、防寒、防雨、防尘、绝缘保护、常用药品、急救设备、传染病预防等。</w:t>
      </w:r>
    </w:p>
    <w:p w14:paraId="57864969">
      <w:pPr>
        <w:pStyle w:val="114"/>
        <w:adjustRightInd w:val="0"/>
        <w:snapToGrid w:val="0"/>
        <w:spacing w:line="360" w:lineRule="auto"/>
        <w:jc w:val="left"/>
        <w:rPr>
          <w:rFonts w:hint="eastAsia" w:ascii="仿宋" w:hAnsi="仿宋" w:eastAsia="仿宋" w:cs="仿宋"/>
          <w:bCs/>
          <w:color w:val="auto"/>
          <w:kern w:val="2"/>
          <w:sz w:val="21"/>
          <w:szCs w:val="21"/>
          <w:highlight w:val="none"/>
        </w:rPr>
      </w:pPr>
      <w:r>
        <w:rPr>
          <w:rFonts w:hint="eastAsia" w:ascii="仿宋" w:hAnsi="仿宋" w:eastAsia="仿宋" w:cs="仿宋"/>
          <w:bCs/>
          <w:color w:val="auto"/>
          <w:kern w:val="2"/>
          <w:sz w:val="21"/>
          <w:szCs w:val="21"/>
          <w:highlight w:val="none"/>
        </w:rPr>
        <w:t>6.4.3</w:t>
      </w:r>
      <w:r>
        <w:rPr>
          <w:rFonts w:hint="eastAsia" w:ascii="仿宋" w:hAnsi="仿宋" w:eastAsia="仿宋" w:cs="仿宋"/>
          <w:bCs/>
          <w:color w:val="auto"/>
          <w:kern w:val="2"/>
          <w:sz w:val="21"/>
          <w:szCs w:val="21"/>
          <w:highlight w:val="none"/>
        </w:rPr>
        <w:tab/>
      </w:r>
      <w:r>
        <w:rPr>
          <w:rFonts w:hint="eastAsia" w:ascii="仿宋" w:hAnsi="仿宋" w:eastAsia="仿宋" w:cs="仿宋"/>
          <w:bCs/>
          <w:color w:val="auto"/>
          <w:kern w:val="2"/>
          <w:sz w:val="21"/>
          <w:szCs w:val="21"/>
          <w:highlight w:val="none"/>
        </w:rPr>
        <w:t>承包人应为其履行本合同所雇佣的职员和工人提供和维护任何必要的膳宿条件和生活环境，包括但不限于宿舍、围栏、供水（饮用及其他目的用水）、供电、卫生设备、食堂及炊具、防火及灭火设备、供热、家具及其他正常膳宿条件和生活环境所需的必需品，并应考虑宗教和民族习惯。</w:t>
      </w:r>
    </w:p>
    <w:p w14:paraId="10001EEC">
      <w:pPr>
        <w:pStyle w:val="114"/>
        <w:adjustRightInd w:val="0"/>
        <w:snapToGrid w:val="0"/>
        <w:spacing w:line="360" w:lineRule="auto"/>
        <w:jc w:val="left"/>
        <w:rPr>
          <w:rFonts w:hint="eastAsia" w:ascii="仿宋" w:hAnsi="仿宋" w:eastAsia="仿宋" w:cs="仿宋"/>
          <w:bCs/>
          <w:color w:val="auto"/>
          <w:kern w:val="2"/>
          <w:sz w:val="21"/>
          <w:szCs w:val="21"/>
          <w:highlight w:val="none"/>
        </w:rPr>
      </w:pPr>
      <w:r>
        <w:rPr>
          <w:rFonts w:hint="eastAsia" w:ascii="仿宋" w:hAnsi="仿宋" w:eastAsia="仿宋" w:cs="仿宋"/>
          <w:bCs/>
          <w:color w:val="auto"/>
          <w:kern w:val="2"/>
          <w:sz w:val="21"/>
          <w:szCs w:val="21"/>
          <w:highlight w:val="none"/>
        </w:rPr>
        <w:t>6.4.4</w:t>
      </w:r>
      <w:r>
        <w:rPr>
          <w:rFonts w:hint="eastAsia" w:ascii="仿宋" w:hAnsi="仿宋" w:eastAsia="仿宋" w:cs="仿宋"/>
          <w:bCs/>
          <w:color w:val="auto"/>
          <w:kern w:val="2"/>
          <w:sz w:val="21"/>
          <w:szCs w:val="21"/>
          <w:highlight w:val="none"/>
        </w:rPr>
        <w:tab/>
      </w:r>
      <w:r>
        <w:rPr>
          <w:rFonts w:hint="eastAsia" w:ascii="仿宋" w:hAnsi="仿宋" w:eastAsia="仿宋" w:cs="仿宋"/>
          <w:bCs/>
          <w:color w:val="auto"/>
          <w:kern w:val="2"/>
          <w:sz w:val="21"/>
          <w:szCs w:val="21"/>
          <w:highlight w:val="none"/>
        </w:rPr>
        <w:t>承包人应为现场工人提供符合政府卫生规定的生活条件并获得必要的许可，保证工人的健康和防止任何传染病，包括工人的食堂、厕所、工具房、宿舍等；承包人应聘请专业的卫生防疫部门定期对现场、工人生活基地和工程进行防疫和卫生的专业检查和处理，包括消灭白蚁、鼠害、蚊蝇和其它害虫，以防对施工人员、现场和永久工程造成任何危害。</w:t>
      </w:r>
    </w:p>
    <w:p w14:paraId="34A05A0C">
      <w:pPr>
        <w:pStyle w:val="114"/>
        <w:adjustRightInd w:val="0"/>
        <w:snapToGrid w:val="0"/>
        <w:spacing w:line="360" w:lineRule="auto"/>
        <w:jc w:val="left"/>
        <w:rPr>
          <w:rFonts w:hint="eastAsia" w:ascii="仿宋" w:hAnsi="仿宋" w:eastAsia="仿宋" w:cs="仿宋"/>
          <w:bCs/>
          <w:color w:val="auto"/>
          <w:kern w:val="2"/>
          <w:sz w:val="21"/>
          <w:szCs w:val="21"/>
          <w:highlight w:val="none"/>
        </w:rPr>
      </w:pPr>
      <w:r>
        <w:rPr>
          <w:rFonts w:hint="eastAsia" w:ascii="仿宋" w:hAnsi="仿宋" w:eastAsia="仿宋" w:cs="仿宋"/>
          <w:bCs/>
          <w:color w:val="auto"/>
          <w:kern w:val="2"/>
          <w:sz w:val="21"/>
          <w:szCs w:val="21"/>
          <w:highlight w:val="none"/>
        </w:rPr>
        <w:t>6.4.5</w:t>
      </w:r>
      <w:r>
        <w:rPr>
          <w:rFonts w:hint="eastAsia" w:ascii="仿宋" w:hAnsi="仿宋" w:eastAsia="仿宋" w:cs="仿宋"/>
          <w:bCs/>
          <w:color w:val="auto"/>
          <w:kern w:val="2"/>
          <w:sz w:val="21"/>
          <w:szCs w:val="21"/>
          <w:highlight w:val="none"/>
        </w:rPr>
        <w:tab/>
      </w:r>
      <w:r>
        <w:rPr>
          <w:rFonts w:hint="eastAsia" w:ascii="仿宋" w:hAnsi="仿宋" w:eastAsia="仿宋" w:cs="仿宋"/>
          <w:bCs/>
          <w:color w:val="auto"/>
          <w:kern w:val="2"/>
          <w:sz w:val="21"/>
          <w:szCs w:val="21"/>
          <w:highlight w:val="none"/>
        </w:rPr>
        <w:t>承包人应在现场设立专门的临时医疗站，配备足够的设施、药物和称职的医务人员，承包人还应准备急救担架，用于一旦发生安全事故时对受伤人员的急救。</w:t>
      </w:r>
    </w:p>
    <w:p w14:paraId="791EECE0">
      <w:pPr>
        <w:pStyle w:val="114"/>
        <w:adjustRightInd w:val="0"/>
        <w:snapToGrid w:val="0"/>
        <w:spacing w:line="360" w:lineRule="auto"/>
        <w:jc w:val="left"/>
        <w:rPr>
          <w:rFonts w:hint="eastAsia" w:ascii="仿宋" w:hAnsi="仿宋" w:eastAsia="仿宋" w:cs="仿宋"/>
          <w:bCs/>
          <w:color w:val="auto"/>
          <w:kern w:val="2"/>
          <w:sz w:val="21"/>
          <w:szCs w:val="21"/>
          <w:highlight w:val="none"/>
        </w:rPr>
      </w:pPr>
      <w:r>
        <w:rPr>
          <w:rFonts w:hint="eastAsia" w:ascii="仿宋" w:hAnsi="仿宋" w:eastAsia="仿宋" w:cs="仿宋"/>
          <w:bCs/>
          <w:color w:val="auto"/>
          <w:kern w:val="2"/>
          <w:sz w:val="21"/>
          <w:szCs w:val="21"/>
          <w:highlight w:val="none"/>
        </w:rPr>
        <w:t>6.4.6</w:t>
      </w:r>
      <w:r>
        <w:rPr>
          <w:rFonts w:hint="eastAsia" w:ascii="仿宋" w:hAnsi="仿宋" w:eastAsia="仿宋" w:cs="仿宋"/>
          <w:bCs/>
          <w:color w:val="auto"/>
          <w:kern w:val="2"/>
          <w:sz w:val="21"/>
          <w:szCs w:val="21"/>
          <w:highlight w:val="none"/>
        </w:rPr>
        <w:tab/>
      </w:r>
      <w:r>
        <w:rPr>
          <w:rFonts w:hint="eastAsia" w:ascii="仿宋" w:hAnsi="仿宋" w:eastAsia="仿宋" w:cs="仿宋"/>
          <w:bCs/>
          <w:color w:val="auto"/>
          <w:kern w:val="2"/>
          <w:sz w:val="21"/>
          <w:szCs w:val="21"/>
          <w:highlight w:val="none"/>
        </w:rPr>
        <w:t>劳动保护方面的其他要求如下：</w:t>
      </w:r>
      <w:r>
        <w:rPr>
          <w:rFonts w:hint="eastAsia" w:ascii="仿宋" w:hAnsi="仿宋" w:eastAsia="仿宋" w:cs="仿宋"/>
          <w:bCs/>
          <w:color w:val="auto"/>
          <w:kern w:val="2"/>
          <w:sz w:val="21"/>
          <w:szCs w:val="21"/>
          <w:highlight w:val="none"/>
          <w:u w:val="single"/>
        </w:rPr>
        <w:t>无</w:t>
      </w:r>
    </w:p>
    <w:p w14:paraId="6F6E65E4">
      <w:pPr>
        <w:pStyle w:val="114"/>
        <w:adjustRightInd w:val="0"/>
        <w:snapToGrid w:val="0"/>
        <w:spacing w:line="360" w:lineRule="auto"/>
        <w:jc w:val="left"/>
        <w:rPr>
          <w:rFonts w:hint="eastAsia" w:ascii="仿宋" w:hAnsi="仿宋" w:eastAsia="仿宋" w:cs="仿宋"/>
          <w:bCs/>
          <w:color w:val="auto"/>
          <w:kern w:val="2"/>
          <w:sz w:val="21"/>
          <w:szCs w:val="21"/>
          <w:highlight w:val="none"/>
        </w:rPr>
      </w:pPr>
      <w:r>
        <w:rPr>
          <w:rFonts w:hint="eastAsia" w:ascii="仿宋" w:hAnsi="仿宋" w:eastAsia="仿宋" w:cs="仿宋"/>
          <w:bCs/>
          <w:color w:val="auto"/>
          <w:kern w:val="2"/>
          <w:sz w:val="21"/>
          <w:szCs w:val="21"/>
          <w:highlight w:val="none"/>
        </w:rPr>
        <w:t>6.5</w:t>
      </w:r>
      <w:r>
        <w:rPr>
          <w:rFonts w:hint="eastAsia" w:ascii="仿宋" w:hAnsi="仿宋" w:eastAsia="仿宋" w:cs="仿宋"/>
          <w:bCs/>
          <w:color w:val="auto"/>
          <w:kern w:val="2"/>
          <w:sz w:val="21"/>
          <w:szCs w:val="21"/>
          <w:highlight w:val="none"/>
        </w:rPr>
        <w:tab/>
      </w:r>
      <w:r>
        <w:rPr>
          <w:rFonts w:hint="eastAsia" w:ascii="仿宋" w:hAnsi="仿宋" w:eastAsia="仿宋" w:cs="仿宋"/>
          <w:bCs/>
          <w:color w:val="auto"/>
          <w:kern w:val="2"/>
          <w:sz w:val="21"/>
          <w:szCs w:val="21"/>
          <w:highlight w:val="none"/>
        </w:rPr>
        <w:t>脚手架</w:t>
      </w:r>
    </w:p>
    <w:p w14:paraId="14E0356D">
      <w:pPr>
        <w:pStyle w:val="114"/>
        <w:adjustRightInd w:val="0"/>
        <w:snapToGrid w:val="0"/>
        <w:spacing w:line="360" w:lineRule="auto"/>
        <w:jc w:val="left"/>
        <w:rPr>
          <w:rFonts w:hint="eastAsia" w:ascii="仿宋" w:hAnsi="仿宋" w:eastAsia="仿宋" w:cs="仿宋"/>
          <w:bCs/>
          <w:color w:val="auto"/>
          <w:kern w:val="2"/>
          <w:sz w:val="21"/>
          <w:szCs w:val="21"/>
          <w:highlight w:val="none"/>
        </w:rPr>
      </w:pPr>
      <w:r>
        <w:rPr>
          <w:rFonts w:hint="eastAsia" w:ascii="仿宋" w:hAnsi="仿宋" w:eastAsia="仿宋" w:cs="仿宋"/>
          <w:bCs/>
          <w:color w:val="auto"/>
          <w:kern w:val="2"/>
          <w:sz w:val="21"/>
          <w:szCs w:val="21"/>
          <w:highlight w:val="none"/>
        </w:rPr>
        <w:t>6.5.1</w:t>
      </w:r>
      <w:r>
        <w:rPr>
          <w:rFonts w:hint="eastAsia" w:ascii="仿宋" w:hAnsi="仿宋" w:eastAsia="仿宋" w:cs="仿宋"/>
          <w:bCs/>
          <w:color w:val="auto"/>
          <w:kern w:val="2"/>
          <w:sz w:val="21"/>
          <w:szCs w:val="21"/>
          <w:highlight w:val="none"/>
        </w:rPr>
        <w:tab/>
      </w:r>
      <w:r>
        <w:rPr>
          <w:rFonts w:hint="eastAsia" w:ascii="仿宋" w:hAnsi="仿宋" w:eastAsia="仿宋" w:cs="仿宋"/>
          <w:bCs/>
          <w:color w:val="auto"/>
          <w:kern w:val="2"/>
          <w:sz w:val="21"/>
          <w:szCs w:val="21"/>
          <w:highlight w:val="none"/>
        </w:rPr>
        <w:t>承包人应搭设并维护一切必要的临时脚手架、脚手架的搭设应满足有关安全生产的法律、法规、规范、标准和规程等的要求。新搭设的脚手架投入使用前，承包人必须组织安全检查和验收，并对使用脚手架的作业人员进行安全交底。</w:t>
      </w:r>
    </w:p>
    <w:p w14:paraId="0F243CE3">
      <w:pPr>
        <w:pStyle w:val="114"/>
        <w:adjustRightInd w:val="0"/>
        <w:snapToGrid w:val="0"/>
        <w:spacing w:line="360" w:lineRule="auto"/>
        <w:jc w:val="left"/>
        <w:rPr>
          <w:rFonts w:hint="eastAsia" w:ascii="仿宋" w:hAnsi="仿宋" w:eastAsia="仿宋" w:cs="仿宋"/>
          <w:bCs/>
          <w:color w:val="auto"/>
          <w:kern w:val="2"/>
          <w:sz w:val="21"/>
          <w:szCs w:val="21"/>
          <w:highlight w:val="none"/>
        </w:rPr>
      </w:pPr>
      <w:r>
        <w:rPr>
          <w:rFonts w:hint="eastAsia" w:ascii="仿宋" w:hAnsi="仿宋" w:eastAsia="仿宋" w:cs="仿宋"/>
          <w:bCs/>
          <w:color w:val="auto"/>
          <w:kern w:val="2"/>
          <w:sz w:val="21"/>
          <w:szCs w:val="21"/>
          <w:highlight w:val="none"/>
        </w:rPr>
        <w:t>6.5.2</w:t>
      </w:r>
      <w:r>
        <w:rPr>
          <w:rFonts w:hint="eastAsia" w:ascii="仿宋" w:hAnsi="仿宋" w:eastAsia="仿宋" w:cs="仿宋"/>
          <w:bCs/>
          <w:color w:val="auto"/>
          <w:kern w:val="2"/>
          <w:sz w:val="21"/>
          <w:szCs w:val="21"/>
          <w:highlight w:val="none"/>
        </w:rPr>
        <w:tab/>
      </w:r>
      <w:r>
        <w:rPr>
          <w:rFonts w:hint="eastAsia" w:ascii="仿宋" w:hAnsi="仿宋" w:eastAsia="仿宋" w:cs="仿宋"/>
          <w:bCs/>
          <w:color w:val="auto"/>
          <w:kern w:val="2"/>
          <w:sz w:val="21"/>
          <w:szCs w:val="21"/>
          <w:highlight w:val="none"/>
        </w:rPr>
        <w:t>所有脚手架，尤其是大型、复杂、高耸和非常规脚手架，要编制专项施工方案，还应当经过安全验算，脚手架安全验算结果必须报送监理人核查后方可实施。</w:t>
      </w:r>
    </w:p>
    <w:p w14:paraId="51AFBE67">
      <w:pPr>
        <w:pStyle w:val="114"/>
        <w:adjustRightInd w:val="0"/>
        <w:snapToGrid w:val="0"/>
        <w:spacing w:line="360" w:lineRule="auto"/>
        <w:jc w:val="left"/>
        <w:rPr>
          <w:rFonts w:hint="eastAsia" w:ascii="仿宋" w:hAnsi="仿宋" w:eastAsia="仿宋" w:cs="仿宋"/>
          <w:bCs/>
          <w:color w:val="auto"/>
          <w:kern w:val="2"/>
          <w:sz w:val="21"/>
          <w:szCs w:val="21"/>
          <w:highlight w:val="none"/>
        </w:rPr>
      </w:pPr>
      <w:r>
        <w:rPr>
          <w:rFonts w:hint="eastAsia" w:ascii="仿宋" w:hAnsi="仿宋" w:eastAsia="仿宋" w:cs="仿宋"/>
          <w:bCs/>
          <w:color w:val="auto"/>
          <w:kern w:val="2"/>
          <w:sz w:val="21"/>
          <w:szCs w:val="21"/>
          <w:highlight w:val="none"/>
        </w:rPr>
        <w:t>6.5.3</w:t>
      </w:r>
      <w:r>
        <w:rPr>
          <w:rFonts w:hint="eastAsia" w:ascii="仿宋" w:hAnsi="仿宋" w:eastAsia="仿宋" w:cs="仿宋"/>
          <w:bCs/>
          <w:color w:val="auto"/>
          <w:kern w:val="2"/>
          <w:sz w:val="21"/>
          <w:szCs w:val="21"/>
          <w:highlight w:val="none"/>
        </w:rPr>
        <w:tab/>
      </w:r>
      <w:r>
        <w:rPr>
          <w:rFonts w:hint="eastAsia" w:ascii="仿宋" w:hAnsi="仿宋" w:eastAsia="仿宋" w:cs="仿宋"/>
          <w:bCs/>
          <w:color w:val="auto"/>
          <w:kern w:val="2"/>
          <w:sz w:val="21"/>
          <w:szCs w:val="21"/>
          <w:highlight w:val="none"/>
        </w:rPr>
        <w:t>承包人应当加强脚手架的日常安全巡查，及时对其中的安全隐患进行整改，确保脚手架使用安全。雨、雪、雾、霜和大风等天气后，承包人必须对脚手架进行安全巡查，并及时消除安全隐患。</w:t>
      </w:r>
    </w:p>
    <w:p w14:paraId="6D1A1D8A">
      <w:pPr>
        <w:pStyle w:val="114"/>
        <w:adjustRightInd w:val="0"/>
        <w:snapToGrid w:val="0"/>
        <w:spacing w:line="360" w:lineRule="auto"/>
        <w:jc w:val="left"/>
        <w:rPr>
          <w:rFonts w:hint="eastAsia" w:ascii="仿宋" w:hAnsi="仿宋" w:eastAsia="仿宋" w:cs="仿宋"/>
          <w:bCs/>
          <w:color w:val="auto"/>
          <w:kern w:val="2"/>
          <w:sz w:val="21"/>
          <w:szCs w:val="21"/>
          <w:highlight w:val="none"/>
        </w:rPr>
      </w:pPr>
      <w:r>
        <w:rPr>
          <w:rFonts w:hint="eastAsia" w:ascii="仿宋" w:hAnsi="仿宋" w:eastAsia="仿宋" w:cs="仿宋"/>
          <w:bCs/>
          <w:color w:val="auto"/>
          <w:kern w:val="2"/>
          <w:sz w:val="21"/>
          <w:szCs w:val="21"/>
          <w:highlight w:val="none"/>
        </w:rPr>
        <w:t>6.5.4</w:t>
      </w:r>
      <w:r>
        <w:rPr>
          <w:rFonts w:hint="eastAsia" w:ascii="仿宋" w:hAnsi="仿宋" w:eastAsia="仿宋" w:cs="仿宋"/>
          <w:bCs/>
          <w:color w:val="auto"/>
          <w:kern w:val="2"/>
          <w:sz w:val="21"/>
          <w:szCs w:val="21"/>
          <w:highlight w:val="none"/>
        </w:rPr>
        <w:tab/>
      </w:r>
      <w:r>
        <w:rPr>
          <w:rFonts w:hint="eastAsia" w:ascii="仿宋" w:hAnsi="仿宋" w:eastAsia="仿宋" w:cs="仿宋"/>
          <w:bCs/>
          <w:color w:val="auto"/>
          <w:kern w:val="2"/>
          <w:sz w:val="21"/>
          <w:szCs w:val="21"/>
          <w:highlight w:val="none"/>
        </w:rPr>
        <w:t>脚手架的其他要求如下：</w:t>
      </w:r>
      <w:r>
        <w:rPr>
          <w:rFonts w:hint="eastAsia" w:ascii="仿宋" w:hAnsi="仿宋" w:eastAsia="仿宋" w:cs="仿宋"/>
          <w:bCs/>
          <w:color w:val="auto"/>
          <w:kern w:val="2"/>
          <w:sz w:val="21"/>
          <w:szCs w:val="21"/>
          <w:highlight w:val="none"/>
          <w:u w:val="single"/>
        </w:rPr>
        <w:t>无</w:t>
      </w:r>
    </w:p>
    <w:p w14:paraId="2C67A6CB">
      <w:pPr>
        <w:pStyle w:val="114"/>
        <w:adjustRightInd w:val="0"/>
        <w:snapToGrid w:val="0"/>
        <w:spacing w:line="360" w:lineRule="auto"/>
        <w:jc w:val="left"/>
        <w:rPr>
          <w:rFonts w:hint="eastAsia" w:ascii="仿宋" w:hAnsi="仿宋" w:eastAsia="仿宋" w:cs="仿宋"/>
          <w:bCs/>
          <w:color w:val="auto"/>
          <w:kern w:val="2"/>
          <w:sz w:val="21"/>
          <w:szCs w:val="21"/>
          <w:highlight w:val="none"/>
        </w:rPr>
      </w:pPr>
      <w:r>
        <w:rPr>
          <w:rFonts w:hint="eastAsia" w:ascii="仿宋" w:hAnsi="仿宋" w:eastAsia="仿宋" w:cs="仿宋"/>
          <w:bCs/>
          <w:color w:val="auto"/>
          <w:kern w:val="2"/>
          <w:sz w:val="21"/>
          <w:szCs w:val="21"/>
          <w:highlight w:val="none"/>
        </w:rPr>
        <w:t>6.6</w:t>
      </w:r>
      <w:r>
        <w:rPr>
          <w:rFonts w:hint="eastAsia" w:ascii="仿宋" w:hAnsi="仿宋" w:eastAsia="仿宋" w:cs="仿宋"/>
          <w:bCs/>
          <w:color w:val="auto"/>
          <w:kern w:val="2"/>
          <w:sz w:val="21"/>
          <w:szCs w:val="21"/>
          <w:highlight w:val="none"/>
        </w:rPr>
        <w:tab/>
      </w:r>
      <w:r>
        <w:rPr>
          <w:rFonts w:hint="eastAsia" w:ascii="仿宋" w:hAnsi="仿宋" w:eastAsia="仿宋" w:cs="仿宋"/>
          <w:bCs/>
          <w:color w:val="auto"/>
          <w:kern w:val="2"/>
          <w:sz w:val="21"/>
          <w:szCs w:val="21"/>
          <w:highlight w:val="none"/>
        </w:rPr>
        <w:t>施工安全措施计划</w:t>
      </w:r>
    </w:p>
    <w:p w14:paraId="606AA4CD">
      <w:pPr>
        <w:pStyle w:val="114"/>
        <w:adjustRightInd w:val="0"/>
        <w:snapToGrid w:val="0"/>
        <w:spacing w:line="360" w:lineRule="auto"/>
        <w:jc w:val="left"/>
        <w:rPr>
          <w:rFonts w:hint="eastAsia" w:ascii="仿宋" w:hAnsi="仿宋" w:eastAsia="仿宋" w:cs="仿宋"/>
          <w:bCs/>
          <w:color w:val="auto"/>
          <w:kern w:val="2"/>
          <w:sz w:val="21"/>
          <w:szCs w:val="21"/>
          <w:highlight w:val="none"/>
        </w:rPr>
      </w:pPr>
      <w:r>
        <w:rPr>
          <w:rFonts w:hint="eastAsia" w:ascii="仿宋" w:hAnsi="仿宋" w:eastAsia="仿宋" w:cs="仿宋"/>
          <w:bCs/>
          <w:color w:val="auto"/>
          <w:kern w:val="2"/>
          <w:sz w:val="21"/>
          <w:szCs w:val="21"/>
          <w:highlight w:val="none"/>
        </w:rPr>
        <w:t>6.6.1</w:t>
      </w:r>
      <w:r>
        <w:rPr>
          <w:rFonts w:hint="eastAsia" w:ascii="仿宋" w:hAnsi="仿宋" w:eastAsia="仿宋" w:cs="仿宋"/>
          <w:bCs/>
          <w:color w:val="auto"/>
          <w:kern w:val="2"/>
          <w:sz w:val="21"/>
          <w:szCs w:val="21"/>
          <w:highlight w:val="none"/>
        </w:rPr>
        <w:tab/>
      </w:r>
      <w:r>
        <w:rPr>
          <w:rFonts w:hint="eastAsia" w:ascii="仿宋" w:hAnsi="仿宋" w:eastAsia="仿宋" w:cs="仿宋"/>
          <w:bCs/>
          <w:color w:val="auto"/>
          <w:kern w:val="2"/>
          <w:sz w:val="21"/>
          <w:szCs w:val="21"/>
          <w:highlight w:val="none"/>
        </w:rPr>
        <w:t>承包人应根据《中华人民共和国安全生产法》、《职业健康安全管理体系规范》、《中华人民共和国消防法》、《中华人民共和国道路交通安全法》、《中华人民共和国传染病防治法实施办法》和地方有关的法规等，按照合同条款的约定，编制一份施工安全措施计划，报送监理人审批。</w:t>
      </w:r>
    </w:p>
    <w:p w14:paraId="56ADC8D0">
      <w:pPr>
        <w:pStyle w:val="114"/>
        <w:adjustRightInd w:val="0"/>
        <w:snapToGrid w:val="0"/>
        <w:spacing w:line="360" w:lineRule="auto"/>
        <w:jc w:val="left"/>
        <w:rPr>
          <w:rFonts w:hint="eastAsia" w:ascii="仿宋" w:hAnsi="仿宋" w:eastAsia="仿宋" w:cs="仿宋"/>
          <w:bCs/>
          <w:color w:val="auto"/>
          <w:kern w:val="2"/>
          <w:sz w:val="21"/>
          <w:szCs w:val="21"/>
          <w:highlight w:val="none"/>
        </w:rPr>
      </w:pPr>
      <w:r>
        <w:rPr>
          <w:rFonts w:hint="eastAsia" w:ascii="仿宋" w:hAnsi="仿宋" w:eastAsia="仿宋" w:cs="仿宋"/>
          <w:bCs/>
          <w:color w:val="auto"/>
          <w:kern w:val="2"/>
          <w:sz w:val="21"/>
          <w:szCs w:val="21"/>
          <w:highlight w:val="none"/>
        </w:rPr>
        <w:t>6.6.2</w:t>
      </w:r>
      <w:r>
        <w:rPr>
          <w:rFonts w:hint="eastAsia" w:ascii="仿宋" w:hAnsi="仿宋" w:eastAsia="仿宋" w:cs="仿宋"/>
          <w:bCs/>
          <w:color w:val="auto"/>
          <w:kern w:val="2"/>
          <w:sz w:val="21"/>
          <w:szCs w:val="21"/>
          <w:highlight w:val="none"/>
        </w:rPr>
        <w:tab/>
      </w:r>
      <w:r>
        <w:rPr>
          <w:rFonts w:hint="eastAsia" w:ascii="仿宋" w:hAnsi="仿宋" w:eastAsia="仿宋" w:cs="仿宋"/>
          <w:bCs/>
          <w:color w:val="auto"/>
          <w:kern w:val="2"/>
          <w:sz w:val="21"/>
          <w:szCs w:val="21"/>
          <w:highlight w:val="none"/>
        </w:rPr>
        <w:t>施工安全措施计划是承包人阐明其安全管理方针、管理体系、安全制度和安全措施等的文件，其内容应当反映现行法律法规规定的和合同条款约定的以及本条上述约定的承包人安全职责，包括但不限于：</w:t>
      </w:r>
    </w:p>
    <w:p w14:paraId="6F8BEE10">
      <w:pPr>
        <w:pStyle w:val="114"/>
        <w:adjustRightInd w:val="0"/>
        <w:snapToGrid w:val="0"/>
        <w:spacing w:line="360" w:lineRule="auto"/>
        <w:jc w:val="left"/>
        <w:rPr>
          <w:rFonts w:hint="eastAsia" w:ascii="仿宋" w:hAnsi="仿宋" w:eastAsia="仿宋" w:cs="仿宋"/>
          <w:bCs/>
          <w:color w:val="auto"/>
          <w:kern w:val="2"/>
          <w:sz w:val="21"/>
          <w:szCs w:val="21"/>
          <w:highlight w:val="none"/>
        </w:rPr>
      </w:pPr>
      <w:r>
        <w:rPr>
          <w:rFonts w:hint="eastAsia" w:ascii="仿宋" w:hAnsi="仿宋" w:eastAsia="仿宋" w:cs="仿宋"/>
          <w:bCs/>
          <w:color w:val="auto"/>
          <w:kern w:val="2"/>
          <w:sz w:val="21"/>
          <w:szCs w:val="21"/>
          <w:highlight w:val="none"/>
        </w:rPr>
        <w:t>（1）施工安全管理机构的设置；</w:t>
      </w:r>
    </w:p>
    <w:p w14:paraId="06D14B4D">
      <w:pPr>
        <w:pStyle w:val="114"/>
        <w:adjustRightInd w:val="0"/>
        <w:snapToGrid w:val="0"/>
        <w:spacing w:line="360" w:lineRule="auto"/>
        <w:jc w:val="left"/>
        <w:rPr>
          <w:rFonts w:hint="eastAsia" w:ascii="仿宋" w:hAnsi="仿宋" w:eastAsia="仿宋" w:cs="仿宋"/>
          <w:bCs/>
          <w:color w:val="auto"/>
          <w:kern w:val="2"/>
          <w:sz w:val="21"/>
          <w:szCs w:val="21"/>
          <w:highlight w:val="none"/>
        </w:rPr>
      </w:pPr>
      <w:r>
        <w:rPr>
          <w:rFonts w:hint="eastAsia" w:ascii="仿宋" w:hAnsi="仿宋" w:eastAsia="仿宋" w:cs="仿宋"/>
          <w:bCs/>
          <w:color w:val="auto"/>
          <w:kern w:val="2"/>
          <w:sz w:val="21"/>
          <w:szCs w:val="21"/>
          <w:highlight w:val="none"/>
        </w:rPr>
        <w:t>（2）专职安全管理人员的配备；</w:t>
      </w:r>
    </w:p>
    <w:p w14:paraId="518EE09B">
      <w:pPr>
        <w:pStyle w:val="114"/>
        <w:adjustRightInd w:val="0"/>
        <w:snapToGrid w:val="0"/>
        <w:spacing w:line="360" w:lineRule="auto"/>
        <w:jc w:val="left"/>
        <w:rPr>
          <w:rFonts w:hint="eastAsia" w:ascii="仿宋" w:hAnsi="仿宋" w:eastAsia="仿宋" w:cs="仿宋"/>
          <w:bCs/>
          <w:color w:val="auto"/>
          <w:kern w:val="2"/>
          <w:sz w:val="21"/>
          <w:szCs w:val="21"/>
          <w:highlight w:val="none"/>
        </w:rPr>
      </w:pPr>
      <w:r>
        <w:rPr>
          <w:rFonts w:hint="eastAsia" w:ascii="仿宋" w:hAnsi="仿宋" w:eastAsia="仿宋" w:cs="仿宋"/>
          <w:bCs/>
          <w:color w:val="auto"/>
          <w:kern w:val="2"/>
          <w:sz w:val="21"/>
          <w:szCs w:val="21"/>
          <w:highlight w:val="none"/>
        </w:rPr>
        <w:t>（3）安全责任制度和管理措施；</w:t>
      </w:r>
    </w:p>
    <w:p w14:paraId="17DDABDE">
      <w:pPr>
        <w:pStyle w:val="114"/>
        <w:adjustRightInd w:val="0"/>
        <w:snapToGrid w:val="0"/>
        <w:spacing w:line="360" w:lineRule="auto"/>
        <w:jc w:val="left"/>
        <w:rPr>
          <w:rFonts w:hint="eastAsia" w:ascii="仿宋" w:hAnsi="仿宋" w:eastAsia="仿宋" w:cs="仿宋"/>
          <w:bCs/>
          <w:color w:val="auto"/>
          <w:kern w:val="2"/>
          <w:sz w:val="21"/>
          <w:szCs w:val="21"/>
          <w:highlight w:val="none"/>
        </w:rPr>
      </w:pPr>
      <w:r>
        <w:rPr>
          <w:rFonts w:hint="eastAsia" w:ascii="仿宋" w:hAnsi="仿宋" w:eastAsia="仿宋" w:cs="仿宋"/>
          <w:bCs/>
          <w:color w:val="auto"/>
          <w:kern w:val="2"/>
          <w:sz w:val="21"/>
          <w:szCs w:val="21"/>
          <w:highlight w:val="none"/>
        </w:rPr>
        <w:t>（4）安全教育和培训制度及管理措施；</w:t>
      </w:r>
    </w:p>
    <w:p w14:paraId="1BBCA326">
      <w:pPr>
        <w:pStyle w:val="114"/>
        <w:adjustRightInd w:val="0"/>
        <w:snapToGrid w:val="0"/>
        <w:spacing w:line="360" w:lineRule="auto"/>
        <w:jc w:val="left"/>
        <w:rPr>
          <w:rFonts w:hint="eastAsia" w:ascii="仿宋" w:hAnsi="仿宋" w:eastAsia="仿宋" w:cs="仿宋"/>
          <w:bCs/>
          <w:color w:val="auto"/>
          <w:kern w:val="2"/>
          <w:sz w:val="21"/>
          <w:szCs w:val="21"/>
          <w:highlight w:val="none"/>
        </w:rPr>
      </w:pPr>
      <w:r>
        <w:rPr>
          <w:rFonts w:hint="eastAsia" w:ascii="仿宋" w:hAnsi="仿宋" w:eastAsia="仿宋" w:cs="仿宋"/>
          <w:bCs/>
          <w:color w:val="auto"/>
          <w:kern w:val="2"/>
          <w:sz w:val="21"/>
          <w:szCs w:val="21"/>
          <w:highlight w:val="none"/>
        </w:rPr>
        <w:t>（5）各项安全生产规章制度和操作规程；</w:t>
      </w:r>
    </w:p>
    <w:p w14:paraId="72156030">
      <w:pPr>
        <w:pStyle w:val="114"/>
        <w:adjustRightInd w:val="0"/>
        <w:snapToGrid w:val="0"/>
        <w:spacing w:line="360" w:lineRule="auto"/>
        <w:jc w:val="left"/>
        <w:rPr>
          <w:rFonts w:hint="eastAsia" w:ascii="仿宋" w:hAnsi="仿宋" w:eastAsia="仿宋" w:cs="仿宋"/>
          <w:bCs/>
          <w:color w:val="auto"/>
          <w:kern w:val="2"/>
          <w:sz w:val="21"/>
          <w:szCs w:val="21"/>
          <w:highlight w:val="none"/>
        </w:rPr>
      </w:pPr>
      <w:r>
        <w:rPr>
          <w:rFonts w:hint="eastAsia" w:ascii="仿宋" w:hAnsi="仿宋" w:eastAsia="仿宋" w:cs="仿宋"/>
          <w:bCs/>
          <w:color w:val="auto"/>
          <w:kern w:val="2"/>
          <w:sz w:val="21"/>
          <w:szCs w:val="21"/>
          <w:highlight w:val="none"/>
        </w:rPr>
        <w:t>（6）各项施工安全措施和防护措施；</w:t>
      </w:r>
    </w:p>
    <w:p w14:paraId="54F8AAE3">
      <w:pPr>
        <w:pStyle w:val="114"/>
        <w:adjustRightInd w:val="0"/>
        <w:snapToGrid w:val="0"/>
        <w:spacing w:line="360" w:lineRule="auto"/>
        <w:jc w:val="left"/>
        <w:rPr>
          <w:rFonts w:hint="eastAsia" w:ascii="仿宋" w:hAnsi="仿宋" w:eastAsia="仿宋" w:cs="仿宋"/>
          <w:bCs/>
          <w:color w:val="auto"/>
          <w:kern w:val="2"/>
          <w:sz w:val="21"/>
          <w:szCs w:val="21"/>
          <w:highlight w:val="none"/>
        </w:rPr>
      </w:pPr>
      <w:r>
        <w:rPr>
          <w:rFonts w:hint="eastAsia" w:ascii="仿宋" w:hAnsi="仿宋" w:eastAsia="仿宋" w:cs="仿宋"/>
          <w:bCs/>
          <w:color w:val="auto"/>
          <w:kern w:val="2"/>
          <w:sz w:val="21"/>
          <w:szCs w:val="21"/>
          <w:highlight w:val="none"/>
        </w:rPr>
        <w:t>（7）危险品管理和使用制度；</w:t>
      </w:r>
    </w:p>
    <w:p w14:paraId="3021BBBA">
      <w:pPr>
        <w:pStyle w:val="114"/>
        <w:adjustRightInd w:val="0"/>
        <w:snapToGrid w:val="0"/>
        <w:spacing w:line="360" w:lineRule="auto"/>
        <w:jc w:val="left"/>
        <w:rPr>
          <w:rFonts w:hint="eastAsia" w:ascii="仿宋" w:hAnsi="仿宋" w:eastAsia="仿宋" w:cs="仿宋"/>
          <w:bCs/>
          <w:color w:val="auto"/>
          <w:kern w:val="2"/>
          <w:sz w:val="21"/>
          <w:szCs w:val="21"/>
          <w:highlight w:val="none"/>
        </w:rPr>
      </w:pPr>
      <w:r>
        <w:rPr>
          <w:rFonts w:hint="eastAsia" w:ascii="仿宋" w:hAnsi="仿宋" w:eastAsia="仿宋" w:cs="仿宋"/>
          <w:bCs/>
          <w:color w:val="auto"/>
          <w:kern w:val="2"/>
          <w:sz w:val="21"/>
          <w:szCs w:val="21"/>
          <w:highlight w:val="none"/>
        </w:rPr>
        <w:t>（8）安全设施、设备、器材和劳动保护用品的配置；</w:t>
      </w:r>
    </w:p>
    <w:p w14:paraId="38A8B188">
      <w:pPr>
        <w:pStyle w:val="114"/>
        <w:adjustRightInd w:val="0"/>
        <w:snapToGrid w:val="0"/>
        <w:spacing w:line="360" w:lineRule="auto"/>
        <w:jc w:val="left"/>
        <w:rPr>
          <w:rFonts w:hint="eastAsia" w:ascii="仿宋" w:hAnsi="仿宋" w:eastAsia="仿宋" w:cs="仿宋"/>
          <w:bCs/>
          <w:color w:val="auto"/>
          <w:kern w:val="2"/>
          <w:sz w:val="21"/>
          <w:szCs w:val="21"/>
          <w:highlight w:val="none"/>
        </w:rPr>
      </w:pPr>
      <w:r>
        <w:rPr>
          <w:rFonts w:hint="eastAsia" w:ascii="仿宋" w:hAnsi="仿宋" w:eastAsia="仿宋" w:cs="仿宋"/>
          <w:bCs/>
          <w:color w:val="auto"/>
          <w:kern w:val="2"/>
          <w:sz w:val="21"/>
          <w:szCs w:val="21"/>
          <w:highlight w:val="none"/>
        </w:rPr>
        <w:t>（9）其他：</w:t>
      </w:r>
    </w:p>
    <w:p w14:paraId="67EFD2BB">
      <w:pPr>
        <w:pStyle w:val="114"/>
        <w:adjustRightInd w:val="0"/>
        <w:snapToGrid w:val="0"/>
        <w:spacing w:line="360" w:lineRule="auto"/>
        <w:ind w:firstLine="315"/>
        <w:jc w:val="left"/>
        <w:rPr>
          <w:rFonts w:hint="eastAsia" w:ascii="仿宋" w:hAnsi="仿宋" w:eastAsia="仿宋" w:cs="仿宋"/>
          <w:bCs/>
          <w:color w:val="auto"/>
          <w:kern w:val="2"/>
          <w:sz w:val="21"/>
          <w:szCs w:val="21"/>
          <w:highlight w:val="none"/>
        </w:rPr>
      </w:pPr>
      <w:r>
        <w:rPr>
          <w:rFonts w:hint="eastAsia" w:ascii="仿宋" w:hAnsi="仿宋" w:eastAsia="仿宋" w:cs="仿宋"/>
          <w:bCs/>
          <w:color w:val="auto"/>
          <w:kern w:val="2"/>
          <w:sz w:val="21"/>
          <w:szCs w:val="21"/>
          <w:highlight w:val="none"/>
        </w:rPr>
        <w:t>施工安全措施的项目和范围，应符合国家颁发的《安全技术措施计划的项目总名称表》及其附录H、I、J的规定，即应采取以改善劳动条件，防止工伤事故，预防职业病和职业中毒为目的的一切施工安全措施，以及修建必要的安全设施、配备安全技术开发试验所需的器材、设备和技术资料，并对现场的施工管理及作业人员做好相应的安全宣传教育。</w:t>
      </w:r>
    </w:p>
    <w:p w14:paraId="107C90BE">
      <w:pPr>
        <w:pStyle w:val="114"/>
        <w:adjustRightInd w:val="0"/>
        <w:snapToGrid w:val="0"/>
        <w:spacing w:line="360" w:lineRule="auto"/>
        <w:jc w:val="left"/>
        <w:rPr>
          <w:rFonts w:hint="eastAsia" w:ascii="仿宋" w:hAnsi="仿宋" w:eastAsia="仿宋" w:cs="仿宋"/>
          <w:bCs/>
          <w:color w:val="auto"/>
          <w:kern w:val="2"/>
          <w:sz w:val="21"/>
          <w:szCs w:val="21"/>
          <w:highlight w:val="none"/>
        </w:rPr>
      </w:pPr>
      <w:r>
        <w:rPr>
          <w:rFonts w:hint="eastAsia" w:ascii="仿宋" w:hAnsi="仿宋" w:eastAsia="仿宋" w:cs="仿宋"/>
          <w:bCs/>
          <w:color w:val="auto"/>
          <w:kern w:val="2"/>
          <w:sz w:val="21"/>
          <w:szCs w:val="21"/>
          <w:highlight w:val="none"/>
        </w:rPr>
        <w:t>6.6.3</w:t>
      </w:r>
      <w:r>
        <w:rPr>
          <w:rFonts w:hint="eastAsia" w:ascii="仿宋" w:hAnsi="仿宋" w:eastAsia="仿宋" w:cs="仿宋"/>
          <w:bCs/>
          <w:color w:val="auto"/>
          <w:kern w:val="2"/>
          <w:sz w:val="21"/>
          <w:szCs w:val="21"/>
          <w:highlight w:val="none"/>
        </w:rPr>
        <w:tab/>
      </w:r>
      <w:r>
        <w:rPr>
          <w:rFonts w:hint="eastAsia" w:ascii="仿宋" w:hAnsi="仿宋" w:eastAsia="仿宋" w:cs="仿宋"/>
          <w:bCs/>
          <w:color w:val="auto"/>
          <w:kern w:val="2"/>
          <w:sz w:val="21"/>
          <w:szCs w:val="21"/>
          <w:highlight w:val="none"/>
        </w:rPr>
        <w:t>施工安全措施计划应当在合同条款约定的期限内报送监理人。承包人应当严格执行经监理人批准的施工安全措施计划，并及时补充、修订和完善施工安全措施计划，确保安全生产。</w:t>
      </w:r>
    </w:p>
    <w:p w14:paraId="0981ABEF">
      <w:pPr>
        <w:pStyle w:val="114"/>
        <w:adjustRightInd w:val="0"/>
        <w:snapToGrid w:val="0"/>
        <w:spacing w:line="360" w:lineRule="auto"/>
        <w:jc w:val="left"/>
        <w:rPr>
          <w:rFonts w:hint="eastAsia" w:ascii="仿宋" w:hAnsi="仿宋" w:eastAsia="仿宋" w:cs="仿宋"/>
          <w:bCs/>
          <w:color w:val="auto"/>
          <w:kern w:val="2"/>
          <w:sz w:val="21"/>
          <w:szCs w:val="21"/>
          <w:highlight w:val="none"/>
        </w:rPr>
      </w:pPr>
      <w:r>
        <w:rPr>
          <w:rFonts w:hint="eastAsia" w:ascii="仿宋" w:hAnsi="仿宋" w:eastAsia="仿宋" w:cs="仿宋"/>
          <w:bCs/>
          <w:color w:val="auto"/>
          <w:kern w:val="2"/>
          <w:sz w:val="21"/>
          <w:szCs w:val="21"/>
          <w:highlight w:val="none"/>
        </w:rPr>
        <w:t>6.7</w:t>
      </w:r>
      <w:r>
        <w:rPr>
          <w:rFonts w:hint="eastAsia" w:ascii="仿宋" w:hAnsi="仿宋" w:eastAsia="仿宋" w:cs="仿宋"/>
          <w:bCs/>
          <w:color w:val="auto"/>
          <w:kern w:val="2"/>
          <w:sz w:val="21"/>
          <w:szCs w:val="21"/>
          <w:highlight w:val="none"/>
        </w:rPr>
        <w:tab/>
      </w:r>
      <w:r>
        <w:rPr>
          <w:rFonts w:hint="eastAsia" w:ascii="仿宋" w:hAnsi="仿宋" w:eastAsia="仿宋" w:cs="仿宋"/>
          <w:bCs/>
          <w:color w:val="auto"/>
          <w:kern w:val="2"/>
          <w:sz w:val="21"/>
          <w:szCs w:val="21"/>
          <w:highlight w:val="none"/>
        </w:rPr>
        <w:t>文明施工</w:t>
      </w:r>
    </w:p>
    <w:p w14:paraId="6DF124CF">
      <w:pPr>
        <w:pStyle w:val="114"/>
        <w:adjustRightInd w:val="0"/>
        <w:snapToGrid w:val="0"/>
        <w:spacing w:line="360" w:lineRule="auto"/>
        <w:jc w:val="left"/>
        <w:rPr>
          <w:rFonts w:hint="eastAsia" w:ascii="仿宋" w:hAnsi="仿宋" w:eastAsia="仿宋" w:cs="仿宋"/>
          <w:bCs/>
          <w:color w:val="auto"/>
          <w:kern w:val="2"/>
          <w:sz w:val="21"/>
          <w:szCs w:val="21"/>
          <w:highlight w:val="none"/>
        </w:rPr>
      </w:pPr>
      <w:r>
        <w:rPr>
          <w:rFonts w:hint="eastAsia" w:ascii="仿宋" w:hAnsi="仿宋" w:eastAsia="仿宋" w:cs="仿宋"/>
          <w:bCs/>
          <w:color w:val="auto"/>
          <w:kern w:val="2"/>
          <w:sz w:val="21"/>
          <w:szCs w:val="21"/>
          <w:highlight w:val="none"/>
        </w:rPr>
        <w:t>6.7.1</w:t>
      </w:r>
      <w:r>
        <w:rPr>
          <w:rFonts w:hint="eastAsia" w:ascii="仿宋" w:hAnsi="仿宋" w:eastAsia="仿宋" w:cs="仿宋"/>
          <w:bCs/>
          <w:color w:val="auto"/>
          <w:kern w:val="2"/>
          <w:sz w:val="21"/>
          <w:szCs w:val="21"/>
          <w:highlight w:val="none"/>
        </w:rPr>
        <w:tab/>
      </w:r>
      <w:r>
        <w:rPr>
          <w:rFonts w:hint="eastAsia" w:ascii="仿宋" w:hAnsi="仿宋" w:eastAsia="仿宋" w:cs="仿宋"/>
          <w:bCs/>
          <w:color w:val="auto"/>
          <w:kern w:val="2"/>
          <w:sz w:val="21"/>
          <w:szCs w:val="21"/>
          <w:highlight w:val="none"/>
        </w:rPr>
        <w:t>承包人应遵守国家和工程所在地有关法规、规范、规程和标准的规定，履行文明施工义务，确保文明施工专项费用专款专用。</w:t>
      </w:r>
    </w:p>
    <w:p w14:paraId="251B2D51">
      <w:pPr>
        <w:pStyle w:val="114"/>
        <w:adjustRightInd w:val="0"/>
        <w:snapToGrid w:val="0"/>
        <w:spacing w:line="360" w:lineRule="auto"/>
        <w:jc w:val="left"/>
        <w:rPr>
          <w:rFonts w:hint="eastAsia" w:ascii="仿宋" w:hAnsi="仿宋" w:eastAsia="仿宋" w:cs="仿宋"/>
          <w:bCs/>
          <w:color w:val="auto"/>
          <w:kern w:val="2"/>
          <w:sz w:val="21"/>
          <w:szCs w:val="21"/>
          <w:highlight w:val="none"/>
        </w:rPr>
      </w:pPr>
      <w:r>
        <w:rPr>
          <w:rFonts w:hint="eastAsia" w:ascii="仿宋" w:hAnsi="仿宋" w:eastAsia="仿宋" w:cs="仿宋"/>
          <w:bCs/>
          <w:color w:val="auto"/>
          <w:kern w:val="2"/>
          <w:sz w:val="21"/>
          <w:szCs w:val="21"/>
          <w:highlight w:val="none"/>
        </w:rPr>
        <w:t>6.7.2</w:t>
      </w:r>
      <w:r>
        <w:rPr>
          <w:rFonts w:hint="eastAsia" w:ascii="仿宋" w:hAnsi="仿宋" w:eastAsia="仿宋" w:cs="仿宋"/>
          <w:bCs/>
          <w:color w:val="auto"/>
          <w:kern w:val="2"/>
          <w:sz w:val="21"/>
          <w:szCs w:val="21"/>
          <w:highlight w:val="none"/>
        </w:rPr>
        <w:tab/>
      </w:r>
      <w:r>
        <w:rPr>
          <w:rFonts w:hint="eastAsia" w:ascii="仿宋" w:hAnsi="仿宋" w:eastAsia="仿宋" w:cs="仿宋"/>
          <w:bCs/>
          <w:color w:val="auto"/>
          <w:kern w:val="2"/>
          <w:sz w:val="21"/>
          <w:szCs w:val="21"/>
          <w:highlight w:val="none"/>
        </w:rPr>
        <w:t>承包人应当规范现场施工秩序，实行标准化管理：</w:t>
      </w:r>
    </w:p>
    <w:p w14:paraId="14D15454">
      <w:pPr>
        <w:pStyle w:val="114"/>
        <w:adjustRightInd w:val="0"/>
        <w:snapToGrid w:val="0"/>
        <w:spacing w:line="360" w:lineRule="auto"/>
        <w:jc w:val="left"/>
        <w:rPr>
          <w:rFonts w:hint="eastAsia" w:ascii="仿宋" w:hAnsi="仿宋" w:eastAsia="仿宋" w:cs="仿宋"/>
          <w:bCs/>
          <w:color w:val="auto"/>
          <w:kern w:val="2"/>
          <w:sz w:val="21"/>
          <w:szCs w:val="21"/>
          <w:highlight w:val="none"/>
        </w:rPr>
      </w:pPr>
      <w:r>
        <w:rPr>
          <w:rFonts w:hint="eastAsia" w:ascii="仿宋" w:hAnsi="仿宋" w:eastAsia="仿宋" w:cs="仿宋"/>
          <w:bCs/>
          <w:color w:val="auto"/>
          <w:kern w:val="2"/>
          <w:sz w:val="21"/>
          <w:szCs w:val="21"/>
          <w:highlight w:val="none"/>
        </w:rPr>
        <w:t>（1）</w:t>
      </w:r>
      <w:r>
        <w:rPr>
          <w:rFonts w:hint="eastAsia" w:ascii="仿宋" w:hAnsi="仿宋" w:eastAsia="仿宋" w:cs="仿宋"/>
          <w:bCs/>
          <w:color w:val="auto"/>
          <w:kern w:val="2"/>
          <w:sz w:val="21"/>
          <w:szCs w:val="21"/>
          <w:highlight w:val="none"/>
        </w:rPr>
        <w:tab/>
      </w:r>
      <w:r>
        <w:rPr>
          <w:rFonts w:hint="eastAsia" w:ascii="仿宋" w:hAnsi="仿宋" w:eastAsia="仿宋" w:cs="仿宋"/>
          <w:bCs/>
          <w:color w:val="auto"/>
          <w:kern w:val="2"/>
          <w:sz w:val="21"/>
          <w:szCs w:val="21"/>
          <w:highlight w:val="none"/>
        </w:rPr>
        <w:t>承包人的施工场地（现场）必须干净整洁、做到无积水、无淤泥、无杂物，材料堆放整齐；</w:t>
      </w:r>
    </w:p>
    <w:p w14:paraId="7699ED11">
      <w:pPr>
        <w:pStyle w:val="114"/>
        <w:adjustRightInd w:val="0"/>
        <w:snapToGrid w:val="0"/>
        <w:spacing w:line="360" w:lineRule="auto"/>
        <w:jc w:val="left"/>
        <w:rPr>
          <w:rFonts w:hint="eastAsia" w:ascii="仿宋" w:hAnsi="仿宋" w:eastAsia="仿宋" w:cs="仿宋"/>
          <w:bCs/>
          <w:color w:val="auto"/>
          <w:kern w:val="2"/>
          <w:sz w:val="21"/>
          <w:szCs w:val="21"/>
          <w:highlight w:val="none"/>
        </w:rPr>
      </w:pPr>
      <w:r>
        <w:rPr>
          <w:rFonts w:hint="eastAsia" w:ascii="仿宋" w:hAnsi="仿宋" w:eastAsia="仿宋" w:cs="仿宋"/>
          <w:bCs/>
          <w:color w:val="auto"/>
          <w:kern w:val="2"/>
          <w:sz w:val="21"/>
          <w:szCs w:val="21"/>
          <w:highlight w:val="none"/>
        </w:rPr>
        <w:t>（2）</w:t>
      </w:r>
      <w:r>
        <w:rPr>
          <w:rFonts w:hint="eastAsia" w:ascii="仿宋" w:hAnsi="仿宋" w:eastAsia="仿宋" w:cs="仿宋"/>
          <w:bCs/>
          <w:color w:val="auto"/>
          <w:kern w:val="2"/>
          <w:sz w:val="21"/>
          <w:szCs w:val="21"/>
          <w:highlight w:val="none"/>
        </w:rPr>
        <w:tab/>
      </w:r>
      <w:r>
        <w:rPr>
          <w:rFonts w:hint="eastAsia" w:ascii="仿宋" w:hAnsi="仿宋" w:eastAsia="仿宋" w:cs="仿宋"/>
          <w:bCs/>
          <w:color w:val="auto"/>
          <w:kern w:val="2"/>
          <w:sz w:val="21"/>
          <w:szCs w:val="21"/>
          <w:highlight w:val="none"/>
        </w:rPr>
        <w:t>施工场地（现场）应进行硬化处理，定期定时洒水，做好防治扬尘和大气污染工作；</w:t>
      </w:r>
    </w:p>
    <w:p w14:paraId="1BF96886">
      <w:pPr>
        <w:pStyle w:val="114"/>
        <w:adjustRightInd w:val="0"/>
        <w:snapToGrid w:val="0"/>
        <w:spacing w:line="360" w:lineRule="auto"/>
        <w:jc w:val="left"/>
        <w:rPr>
          <w:rFonts w:hint="eastAsia" w:ascii="仿宋" w:hAnsi="仿宋" w:eastAsia="仿宋" w:cs="仿宋"/>
          <w:bCs/>
          <w:color w:val="auto"/>
          <w:kern w:val="2"/>
          <w:sz w:val="21"/>
          <w:szCs w:val="21"/>
          <w:highlight w:val="none"/>
        </w:rPr>
      </w:pPr>
      <w:r>
        <w:rPr>
          <w:rFonts w:hint="eastAsia" w:ascii="仿宋" w:hAnsi="仿宋" w:eastAsia="仿宋" w:cs="仿宋"/>
          <w:bCs/>
          <w:color w:val="auto"/>
          <w:kern w:val="2"/>
          <w:sz w:val="21"/>
          <w:szCs w:val="21"/>
          <w:highlight w:val="none"/>
        </w:rPr>
        <w:t>（3）</w:t>
      </w:r>
      <w:r>
        <w:rPr>
          <w:rFonts w:hint="eastAsia" w:ascii="仿宋" w:hAnsi="仿宋" w:eastAsia="仿宋" w:cs="仿宋"/>
          <w:bCs/>
          <w:color w:val="auto"/>
          <w:kern w:val="2"/>
          <w:sz w:val="21"/>
          <w:szCs w:val="21"/>
          <w:highlight w:val="none"/>
        </w:rPr>
        <w:tab/>
      </w:r>
      <w:r>
        <w:rPr>
          <w:rFonts w:hint="eastAsia" w:ascii="仿宋" w:hAnsi="仿宋" w:eastAsia="仿宋" w:cs="仿宋"/>
          <w:bCs/>
          <w:color w:val="auto"/>
          <w:kern w:val="2"/>
          <w:sz w:val="21"/>
          <w:szCs w:val="21"/>
          <w:highlight w:val="none"/>
        </w:rPr>
        <w:t>严格遵守“工完、料尽、场地净”的原则，不留垃圾、不留剩余施工材料和施工机具，各种设备运转正常；</w:t>
      </w:r>
    </w:p>
    <w:p w14:paraId="5BC2E67C">
      <w:pPr>
        <w:pStyle w:val="114"/>
        <w:adjustRightInd w:val="0"/>
        <w:snapToGrid w:val="0"/>
        <w:spacing w:line="360" w:lineRule="auto"/>
        <w:jc w:val="left"/>
        <w:rPr>
          <w:rFonts w:hint="eastAsia" w:ascii="仿宋" w:hAnsi="仿宋" w:eastAsia="仿宋" w:cs="仿宋"/>
          <w:bCs/>
          <w:color w:val="auto"/>
          <w:kern w:val="2"/>
          <w:sz w:val="21"/>
          <w:szCs w:val="21"/>
          <w:highlight w:val="none"/>
        </w:rPr>
      </w:pPr>
      <w:r>
        <w:rPr>
          <w:rFonts w:hint="eastAsia" w:ascii="仿宋" w:hAnsi="仿宋" w:eastAsia="仿宋" w:cs="仿宋"/>
          <w:bCs/>
          <w:color w:val="auto"/>
          <w:kern w:val="2"/>
          <w:sz w:val="21"/>
          <w:szCs w:val="21"/>
          <w:highlight w:val="none"/>
        </w:rPr>
        <w:t>（4）</w:t>
      </w:r>
      <w:r>
        <w:rPr>
          <w:rFonts w:hint="eastAsia" w:ascii="仿宋" w:hAnsi="仿宋" w:eastAsia="仿宋" w:cs="仿宋"/>
          <w:bCs/>
          <w:color w:val="auto"/>
          <w:kern w:val="2"/>
          <w:sz w:val="21"/>
          <w:szCs w:val="21"/>
          <w:highlight w:val="none"/>
        </w:rPr>
        <w:tab/>
      </w:r>
      <w:r>
        <w:rPr>
          <w:rFonts w:hint="eastAsia" w:ascii="仿宋" w:hAnsi="仿宋" w:eastAsia="仿宋" w:cs="仿宋"/>
          <w:bCs/>
          <w:color w:val="auto"/>
          <w:kern w:val="2"/>
          <w:sz w:val="21"/>
          <w:szCs w:val="21"/>
          <w:highlight w:val="none"/>
        </w:rPr>
        <w:t>承包人修建的施工临时设施应符合监理人批准的施工规划要求，并应满足本节规定的各项安全要求；</w:t>
      </w:r>
    </w:p>
    <w:p w14:paraId="1C9EFC3B">
      <w:pPr>
        <w:pStyle w:val="114"/>
        <w:adjustRightInd w:val="0"/>
        <w:snapToGrid w:val="0"/>
        <w:spacing w:line="360" w:lineRule="auto"/>
        <w:jc w:val="left"/>
        <w:rPr>
          <w:rFonts w:hint="eastAsia" w:ascii="仿宋" w:hAnsi="仿宋" w:eastAsia="仿宋" w:cs="仿宋"/>
          <w:bCs/>
          <w:color w:val="auto"/>
          <w:kern w:val="2"/>
          <w:sz w:val="21"/>
          <w:szCs w:val="21"/>
          <w:highlight w:val="none"/>
        </w:rPr>
      </w:pPr>
      <w:r>
        <w:rPr>
          <w:rFonts w:hint="eastAsia" w:ascii="仿宋" w:hAnsi="仿宋" w:eastAsia="仿宋" w:cs="仿宋"/>
          <w:bCs/>
          <w:color w:val="auto"/>
          <w:kern w:val="2"/>
          <w:sz w:val="21"/>
          <w:szCs w:val="21"/>
          <w:highlight w:val="none"/>
        </w:rPr>
        <w:t>（5）</w:t>
      </w:r>
      <w:r>
        <w:rPr>
          <w:rFonts w:hint="eastAsia" w:ascii="仿宋" w:hAnsi="仿宋" w:eastAsia="仿宋" w:cs="仿宋"/>
          <w:bCs/>
          <w:color w:val="auto"/>
          <w:kern w:val="2"/>
          <w:sz w:val="21"/>
          <w:szCs w:val="21"/>
          <w:highlight w:val="none"/>
        </w:rPr>
        <w:tab/>
      </w:r>
      <w:r>
        <w:rPr>
          <w:rFonts w:hint="eastAsia" w:ascii="仿宋" w:hAnsi="仿宋" w:eastAsia="仿宋" w:cs="仿宋"/>
          <w:bCs/>
          <w:color w:val="auto"/>
          <w:kern w:val="2"/>
          <w:sz w:val="21"/>
          <w:szCs w:val="21"/>
          <w:highlight w:val="none"/>
        </w:rPr>
        <w:t>监理人可要求承包人在施工场地（现场）设置各级承包人的安全文明施工责任牌等文明施工警示牌；</w:t>
      </w:r>
    </w:p>
    <w:p w14:paraId="293BE50F">
      <w:pPr>
        <w:pStyle w:val="114"/>
        <w:adjustRightInd w:val="0"/>
        <w:snapToGrid w:val="0"/>
        <w:spacing w:line="360" w:lineRule="auto"/>
        <w:jc w:val="left"/>
        <w:rPr>
          <w:rFonts w:hint="eastAsia" w:ascii="仿宋" w:hAnsi="仿宋" w:eastAsia="仿宋" w:cs="仿宋"/>
          <w:bCs/>
          <w:color w:val="auto"/>
          <w:kern w:val="2"/>
          <w:sz w:val="21"/>
          <w:szCs w:val="21"/>
          <w:highlight w:val="none"/>
        </w:rPr>
      </w:pPr>
      <w:r>
        <w:rPr>
          <w:rFonts w:hint="eastAsia" w:ascii="仿宋" w:hAnsi="仿宋" w:eastAsia="仿宋" w:cs="仿宋"/>
          <w:bCs/>
          <w:color w:val="auto"/>
          <w:kern w:val="2"/>
          <w:sz w:val="21"/>
          <w:szCs w:val="21"/>
          <w:highlight w:val="none"/>
        </w:rPr>
        <w:t>（6）</w:t>
      </w:r>
      <w:r>
        <w:rPr>
          <w:rFonts w:hint="eastAsia" w:ascii="仿宋" w:hAnsi="仿宋" w:eastAsia="仿宋" w:cs="仿宋"/>
          <w:bCs/>
          <w:color w:val="auto"/>
          <w:kern w:val="2"/>
          <w:sz w:val="21"/>
          <w:szCs w:val="21"/>
          <w:highlight w:val="none"/>
        </w:rPr>
        <w:tab/>
      </w:r>
      <w:r>
        <w:rPr>
          <w:rFonts w:hint="eastAsia" w:ascii="仿宋" w:hAnsi="仿宋" w:eastAsia="仿宋" w:cs="仿宋"/>
          <w:bCs/>
          <w:color w:val="auto"/>
          <w:kern w:val="2"/>
          <w:sz w:val="21"/>
          <w:szCs w:val="21"/>
          <w:highlight w:val="none"/>
        </w:rPr>
        <w:t>材料进入现场应按指定位置堆放整齐，不得影响现场施工和堵塞施工、消防通道。材料堆放场地应有专职的管理人员；</w:t>
      </w:r>
    </w:p>
    <w:p w14:paraId="5A9DCE95">
      <w:pPr>
        <w:pStyle w:val="114"/>
        <w:adjustRightInd w:val="0"/>
        <w:snapToGrid w:val="0"/>
        <w:spacing w:line="360" w:lineRule="auto"/>
        <w:jc w:val="left"/>
        <w:rPr>
          <w:rFonts w:hint="eastAsia" w:ascii="仿宋" w:hAnsi="仿宋" w:eastAsia="仿宋" w:cs="仿宋"/>
          <w:bCs/>
          <w:color w:val="auto"/>
          <w:kern w:val="2"/>
          <w:sz w:val="21"/>
          <w:szCs w:val="21"/>
          <w:highlight w:val="none"/>
        </w:rPr>
      </w:pPr>
      <w:r>
        <w:rPr>
          <w:rFonts w:hint="eastAsia" w:ascii="仿宋" w:hAnsi="仿宋" w:eastAsia="仿宋" w:cs="仿宋"/>
          <w:bCs/>
          <w:color w:val="auto"/>
          <w:kern w:val="2"/>
          <w:sz w:val="21"/>
          <w:szCs w:val="21"/>
          <w:highlight w:val="none"/>
        </w:rPr>
        <w:t>（7）</w:t>
      </w:r>
      <w:r>
        <w:rPr>
          <w:rFonts w:hint="eastAsia" w:ascii="仿宋" w:hAnsi="仿宋" w:eastAsia="仿宋" w:cs="仿宋"/>
          <w:bCs/>
          <w:color w:val="auto"/>
          <w:kern w:val="2"/>
          <w:sz w:val="21"/>
          <w:szCs w:val="21"/>
          <w:highlight w:val="none"/>
        </w:rPr>
        <w:tab/>
      </w:r>
      <w:r>
        <w:rPr>
          <w:rFonts w:hint="eastAsia" w:ascii="仿宋" w:hAnsi="仿宋" w:eastAsia="仿宋" w:cs="仿宋"/>
          <w:bCs/>
          <w:color w:val="auto"/>
          <w:kern w:val="2"/>
          <w:sz w:val="21"/>
          <w:szCs w:val="21"/>
          <w:highlight w:val="none"/>
        </w:rPr>
        <w:t>施工和安装用的各种扣件、紧固件、绳索具、小型配件、镙钉等应在专设的仓库内装箱放置；</w:t>
      </w:r>
    </w:p>
    <w:p w14:paraId="7CC638A4">
      <w:pPr>
        <w:pStyle w:val="114"/>
        <w:adjustRightInd w:val="0"/>
        <w:snapToGrid w:val="0"/>
        <w:spacing w:line="360" w:lineRule="auto"/>
        <w:jc w:val="left"/>
        <w:rPr>
          <w:rFonts w:hint="eastAsia" w:ascii="仿宋" w:hAnsi="仿宋" w:eastAsia="仿宋" w:cs="仿宋"/>
          <w:bCs/>
          <w:color w:val="auto"/>
          <w:kern w:val="2"/>
          <w:sz w:val="21"/>
          <w:szCs w:val="21"/>
          <w:highlight w:val="none"/>
        </w:rPr>
      </w:pPr>
      <w:r>
        <w:rPr>
          <w:rFonts w:hint="eastAsia" w:ascii="仿宋" w:hAnsi="仿宋" w:eastAsia="仿宋" w:cs="仿宋"/>
          <w:bCs/>
          <w:color w:val="auto"/>
          <w:kern w:val="2"/>
          <w:sz w:val="21"/>
          <w:szCs w:val="21"/>
          <w:highlight w:val="none"/>
        </w:rPr>
        <w:t>（8）</w:t>
      </w:r>
      <w:r>
        <w:rPr>
          <w:rFonts w:hint="eastAsia" w:ascii="仿宋" w:hAnsi="仿宋" w:eastAsia="仿宋" w:cs="仿宋"/>
          <w:bCs/>
          <w:color w:val="auto"/>
          <w:kern w:val="2"/>
          <w:sz w:val="21"/>
          <w:szCs w:val="21"/>
          <w:highlight w:val="none"/>
        </w:rPr>
        <w:tab/>
      </w:r>
      <w:r>
        <w:rPr>
          <w:rFonts w:hint="eastAsia" w:ascii="仿宋" w:hAnsi="仿宋" w:eastAsia="仿宋" w:cs="仿宋"/>
          <w:bCs/>
          <w:color w:val="auto"/>
          <w:kern w:val="2"/>
          <w:sz w:val="21"/>
          <w:szCs w:val="21"/>
          <w:highlight w:val="none"/>
        </w:rPr>
        <w:t>现场风、水管及照明电线的布置应安全、合理、规范、有序，做到整齐美观。不得随意架设和造成隐患或影响施工。</w:t>
      </w:r>
    </w:p>
    <w:p w14:paraId="1B2C46A6">
      <w:pPr>
        <w:pStyle w:val="114"/>
        <w:adjustRightInd w:val="0"/>
        <w:snapToGrid w:val="0"/>
        <w:spacing w:line="360" w:lineRule="auto"/>
        <w:jc w:val="left"/>
        <w:rPr>
          <w:rFonts w:hint="eastAsia" w:ascii="仿宋" w:hAnsi="仿宋" w:eastAsia="仿宋" w:cs="仿宋"/>
          <w:bCs/>
          <w:color w:val="auto"/>
          <w:kern w:val="2"/>
          <w:sz w:val="21"/>
          <w:szCs w:val="21"/>
          <w:highlight w:val="none"/>
        </w:rPr>
      </w:pPr>
      <w:r>
        <w:rPr>
          <w:rFonts w:hint="eastAsia" w:ascii="仿宋" w:hAnsi="仿宋" w:eastAsia="仿宋" w:cs="仿宋"/>
          <w:bCs/>
          <w:color w:val="auto"/>
          <w:kern w:val="2"/>
          <w:sz w:val="21"/>
          <w:szCs w:val="21"/>
          <w:highlight w:val="none"/>
        </w:rPr>
        <w:t>6.7.3</w:t>
      </w:r>
      <w:r>
        <w:rPr>
          <w:rFonts w:hint="eastAsia" w:ascii="仿宋" w:hAnsi="仿宋" w:eastAsia="仿宋" w:cs="仿宋"/>
          <w:bCs/>
          <w:color w:val="auto"/>
          <w:kern w:val="2"/>
          <w:sz w:val="21"/>
          <w:szCs w:val="21"/>
          <w:highlight w:val="none"/>
        </w:rPr>
        <w:tab/>
      </w:r>
      <w:r>
        <w:rPr>
          <w:rFonts w:hint="eastAsia" w:ascii="仿宋" w:hAnsi="仿宋" w:eastAsia="仿宋" w:cs="仿宋"/>
          <w:bCs/>
          <w:color w:val="auto"/>
          <w:kern w:val="2"/>
          <w:sz w:val="21"/>
          <w:szCs w:val="21"/>
          <w:highlight w:val="none"/>
        </w:rPr>
        <w:t>承包人应为其雇佣的施工工人建立并维护相应的生活宿舍、食堂、浴室、厕所和文化活动室等，其标准应满足政府有关机构的生活标准和卫生标准等的要求。</w:t>
      </w:r>
    </w:p>
    <w:p w14:paraId="0C1146E5">
      <w:pPr>
        <w:pStyle w:val="114"/>
        <w:adjustRightInd w:val="0"/>
        <w:snapToGrid w:val="0"/>
        <w:spacing w:line="360" w:lineRule="auto"/>
        <w:jc w:val="left"/>
        <w:rPr>
          <w:rFonts w:hint="eastAsia" w:ascii="仿宋" w:hAnsi="仿宋" w:eastAsia="仿宋" w:cs="仿宋"/>
          <w:bCs/>
          <w:color w:val="auto"/>
          <w:kern w:val="2"/>
          <w:sz w:val="21"/>
          <w:szCs w:val="21"/>
          <w:highlight w:val="none"/>
        </w:rPr>
      </w:pPr>
      <w:r>
        <w:rPr>
          <w:rFonts w:hint="eastAsia" w:ascii="仿宋" w:hAnsi="仿宋" w:eastAsia="仿宋" w:cs="仿宋"/>
          <w:bCs/>
          <w:color w:val="auto"/>
          <w:kern w:val="2"/>
          <w:sz w:val="21"/>
          <w:szCs w:val="21"/>
          <w:highlight w:val="none"/>
        </w:rPr>
        <w:t>6.7.4</w:t>
      </w:r>
      <w:r>
        <w:rPr>
          <w:rFonts w:hint="eastAsia" w:ascii="仿宋" w:hAnsi="仿宋" w:eastAsia="仿宋" w:cs="仿宋"/>
          <w:bCs/>
          <w:color w:val="auto"/>
          <w:kern w:val="2"/>
          <w:sz w:val="21"/>
          <w:szCs w:val="21"/>
          <w:highlight w:val="none"/>
        </w:rPr>
        <w:tab/>
      </w:r>
      <w:r>
        <w:rPr>
          <w:rFonts w:hint="eastAsia" w:ascii="仿宋" w:hAnsi="仿宋" w:eastAsia="仿宋" w:cs="仿宋"/>
          <w:bCs/>
          <w:color w:val="auto"/>
          <w:kern w:val="2"/>
          <w:sz w:val="21"/>
          <w:szCs w:val="21"/>
          <w:highlight w:val="none"/>
        </w:rPr>
        <w:t>承包人应为任何已完成的、正在施工的和将要进行的任何永久和临时工程、材料、物品、设备、以及因永久工程施工而暴露的任何毗邻财产提供必要的覆盖和保护措施，以避免恶劣天气影响工程施工和造成损失。保护措施包括必要的冬季供暖、雨季用阻燃防水油布覆盖、额外的临时仓库等等。因承包人措施不得力或不到位而给工程带来的任何损失或损害由承包人自己负责。</w:t>
      </w:r>
    </w:p>
    <w:p w14:paraId="505CE811">
      <w:pPr>
        <w:pStyle w:val="114"/>
        <w:adjustRightInd w:val="0"/>
        <w:snapToGrid w:val="0"/>
        <w:spacing w:line="360" w:lineRule="auto"/>
        <w:jc w:val="left"/>
        <w:rPr>
          <w:rFonts w:hint="eastAsia" w:ascii="仿宋" w:hAnsi="仿宋" w:eastAsia="仿宋" w:cs="仿宋"/>
          <w:bCs/>
          <w:color w:val="auto"/>
          <w:kern w:val="2"/>
          <w:sz w:val="21"/>
          <w:szCs w:val="21"/>
          <w:highlight w:val="none"/>
        </w:rPr>
      </w:pPr>
      <w:r>
        <w:rPr>
          <w:rFonts w:hint="eastAsia" w:ascii="仿宋" w:hAnsi="仿宋" w:eastAsia="仿宋" w:cs="仿宋"/>
          <w:bCs/>
          <w:color w:val="auto"/>
          <w:kern w:val="2"/>
          <w:sz w:val="21"/>
          <w:szCs w:val="21"/>
          <w:highlight w:val="none"/>
        </w:rPr>
        <w:t>6.7.5</w:t>
      </w:r>
      <w:r>
        <w:rPr>
          <w:rFonts w:hint="eastAsia" w:ascii="仿宋" w:hAnsi="仿宋" w:eastAsia="仿宋" w:cs="仿宋"/>
          <w:bCs/>
          <w:color w:val="auto"/>
          <w:kern w:val="2"/>
          <w:sz w:val="21"/>
          <w:szCs w:val="21"/>
          <w:highlight w:val="none"/>
        </w:rPr>
        <w:tab/>
      </w:r>
      <w:r>
        <w:rPr>
          <w:rFonts w:hint="eastAsia" w:ascii="仿宋" w:hAnsi="仿宋" w:eastAsia="仿宋" w:cs="仿宋"/>
          <w:bCs/>
          <w:color w:val="auto"/>
          <w:kern w:val="2"/>
          <w:sz w:val="21"/>
          <w:szCs w:val="21"/>
          <w:highlight w:val="none"/>
        </w:rPr>
        <w:t>在工程施工期间，承包人应始终避免现场出现不必要的障碍物，妥当存放并处置施工设备和多余的材料，及时从现场清除运走任何废料、垃圾或不再需要的临时工程和设施。</w:t>
      </w:r>
    </w:p>
    <w:p w14:paraId="3A529D0B">
      <w:pPr>
        <w:pStyle w:val="114"/>
        <w:adjustRightInd w:val="0"/>
        <w:snapToGrid w:val="0"/>
        <w:spacing w:line="360" w:lineRule="auto"/>
        <w:jc w:val="left"/>
        <w:rPr>
          <w:rFonts w:hint="eastAsia" w:ascii="仿宋" w:hAnsi="仿宋" w:eastAsia="仿宋" w:cs="仿宋"/>
          <w:bCs/>
          <w:color w:val="auto"/>
          <w:kern w:val="2"/>
          <w:sz w:val="21"/>
          <w:szCs w:val="21"/>
          <w:highlight w:val="none"/>
        </w:rPr>
      </w:pPr>
      <w:r>
        <w:rPr>
          <w:rFonts w:hint="eastAsia" w:ascii="仿宋" w:hAnsi="仿宋" w:eastAsia="仿宋" w:cs="仿宋"/>
          <w:bCs/>
          <w:color w:val="auto"/>
          <w:kern w:val="2"/>
          <w:sz w:val="21"/>
          <w:szCs w:val="21"/>
          <w:highlight w:val="none"/>
        </w:rPr>
        <w:t>6.7.6</w:t>
      </w:r>
      <w:r>
        <w:rPr>
          <w:rFonts w:hint="eastAsia" w:ascii="仿宋" w:hAnsi="仿宋" w:eastAsia="仿宋" w:cs="仿宋"/>
          <w:bCs/>
          <w:color w:val="auto"/>
          <w:kern w:val="2"/>
          <w:sz w:val="21"/>
          <w:szCs w:val="21"/>
          <w:highlight w:val="none"/>
        </w:rPr>
        <w:tab/>
      </w:r>
      <w:r>
        <w:rPr>
          <w:rFonts w:hint="eastAsia" w:ascii="仿宋" w:hAnsi="仿宋" w:eastAsia="仿宋" w:cs="仿宋"/>
          <w:bCs/>
          <w:color w:val="auto"/>
          <w:kern w:val="2"/>
          <w:sz w:val="21"/>
          <w:szCs w:val="21"/>
          <w:highlight w:val="none"/>
        </w:rPr>
        <w:t>承包人应为现场的工人和其他所有工作人员大小便等提供便利条件，不得对周围环境造成污染。</w:t>
      </w:r>
    </w:p>
    <w:p w14:paraId="5AB6F110">
      <w:pPr>
        <w:pStyle w:val="114"/>
        <w:adjustRightInd w:val="0"/>
        <w:snapToGrid w:val="0"/>
        <w:spacing w:line="360" w:lineRule="auto"/>
        <w:jc w:val="left"/>
        <w:rPr>
          <w:rFonts w:hint="eastAsia" w:ascii="仿宋" w:hAnsi="仿宋" w:eastAsia="仿宋" w:cs="仿宋"/>
          <w:bCs/>
          <w:color w:val="auto"/>
          <w:kern w:val="2"/>
          <w:sz w:val="21"/>
          <w:szCs w:val="21"/>
          <w:highlight w:val="none"/>
        </w:rPr>
      </w:pPr>
      <w:r>
        <w:rPr>
          <w:rFonts w:hint="eastAsia" w:ascii="仿宋" w:hAnsi="仿宋" w:eastAsia="仿宋" w:cs="仿宋"/>
          <w:bCs/>
          <w:color w:val="auto"/>
          <w:kern w:val="2"/>
          <w:sz w:val="21"/>
          <w:szCs w:val="21"/>
          <w:highlight w:val="none"/>
        </w:rPr>
        <w:t>6.7.7</w:t>
      </w:r>
      <w:r>
        <w:rPr>
          <w:rFonts w:hint="eastAsia" w:ascii="仿宋" w:hAnsi="仿宋" w:eastAsia="仿宋" w:cs="仿宋"/>
          <w:bCs/>
          <w:color w:val="auto"/>
          <w:kern w:val="2"/>
          <w:sz w:val="21"/>
          <w:szCs w:val="21"/>
          <w:highlight w:val="none"/>
        </w:rPr>
        <w:tab/>
      </w:r>
      <w:r>
        <w:rPr>
          <w:rFonts w:hint="eastAsia" w:ascii="仿宋" w:hAnsi="仿宋" w:eastAsia="仿宋" w:cs="仿宋"/>
          <w:bCs/>
          <w:color w:val="auto"/>
          <w:kern w:val="2"/>
          <w:sz w:val="21"/>
          <w:szCs w:val="21"/>
          <w:highlight w:val="none"/>
        </w:rPr>
        <w:t>承包人应在现场设立固定的垃圾临时存放点；所有垃圾必须在当天清除出现场，并按有关行政管理部门的规定，运送到指定的垃圾消纳场。</w:t>
      </w:r>
    </w:p>
    <w:p w14:paraId="021F0D8A">
      <w:pPr>
        <w:pStyle w:val="114"/>
        <w:adjustRightInd w:val="0"/>
        <w:snapToGrid w:val="0"/>
        <w:spacing w:line="360" w:lineRule="auto"/>
        <w:jc w:val="left"/>
        <w:rPr>
          <w:rFonts w:hint="eastAsia" w:ascii="仿宋" w:hAnsi="仿宋" w:eastAsia="仿宋" w:cs="仿宋"/>
          <w:bCs/>
          <w:color w:val="auto"/>
          <w:kern w:val="2"/>
          <w:sz w:val="21"/>
          <w:szCs w:val="21"/>
          <w:highlight w:val="none"/>
        </w:rPr>
      </w:pPr>
      <w:r>
        <w:rPr>
          <w:rFonts w:hint="eastAsia" w:ascii="仿宋" w:hAnsi="仿宋" w:eastAsia="仿宋" w:cs="仿宋"/>
          <w:bCs/>
          <w:color w:val="auto"/>
          <w:kern w:val="2"/>
          <w:sz w:val="21"/>
          <w:szCs w:val="21"/>
          <w:highlight w:val="none"/>
        </w:rPr>
        <w:t>6.7.8</w:t>
      </w:r>
      <w:r>
        <w:rPr>
          <w:rFonts w:hint="eastAsia" w:ascii="仿宋" w:hAnsi="仿宋" w:eastAsia="仿宋" w:cs="仿宋"/>
          <w:bCs/>
          <w:color w:val="auto"/>
          <w:kern w:val="2"/>
          <w:sz w:val="21"/>
          <w:szCs w:val="21"/>
          <w:highlight w:val="none"/>
        </w:rPr>
        <w:tab/>
      </w:r>
      <w:r>
        <w:rPr>
          <w:rFonts w:hint="eastAsia" w:ascii="仿宋" w:hAnsi="仿宋" w:eastAsia="仿宋" w:cs="仿宋"/>
          <w:bCs/>
          <w:color w:val="auto"/>
          <w:kern w:val="2"/>
          <w:sz w:val="21"/>
          <w:szCs w:val="21"/>
          <w:highlight w:val="none"/>
        </w:rPr>
        <w:t>承包人应对离场垃圾和所有车辆进行防遗洒和防污染公共道路的处理。承包人在运输任何材料的过程中，应采取一切必要的措施，防止遗洒和污染公共道路；一旦出现上述遗洒或污染现象，承包人应立即采取措施进行清扫，并承担所有费用。承包人在混凝土浇注、材料运输、材料装卸、现场清理等工作中应采取一切必要的措施防止影响公共交通。</w:t>
      </w:r>
    </w:p>
    <w:p w14:paraId="44F31CAA">
      <w:pPr>
        <w:pStyle w:val="114"/>
        <w:adjustRightInd w:val="0"/>
        <w:snapToGrid w:val="0"/>
        <w:spacing w:line="360" w:lineRule="auto"/>
        <w:jc w:val="left"/>
        <w:rPr>
          <w:rFonts w:hint="eastAsia" w:ascii="仿宋" w:hAnsi="仿宋" w:eastAsia="仿宋" w:cs="仿宋"/>
          <w:bCs/>
          <w:color w:val="auto"/>
          <w:kern w:val="2"/>
          <w:sz w:val="21"/>
          <w:szCs w:val="21"/>
          <w:highlight w:val="none"/>
        </w:rPr>
      </w:pPr>
      <w:r>
        <w:rPr>
          <w:rFonts w:hint="eastAsia" w:ascii="仿宋" w:hAnsi="仿宋" w:eastAsia="仿宋" w:cs="仿宋"/>
          <w:bCs/>
          <w:color w:val="auto"/>
          <w:kern w:val="2"/>
          <w:sz w:val="21"/>
          <w:szCs w:val="21"/>
          <w:highlight w:val="none"/>
        </w:rPr>
        <w:t>6.7.9</w:t>
      </w:r>
      <w:r>
        <w:rPr>
          <w:rFonts w:hint="eastAsia" w:ascii="仿宋" w:hAnsi="仿宋" w:eastAsia="仿宋" w:cs="仿宋"/>
          <w:bCs/>
          <w:color w:val="auto"/>
          <w:kern w:val="2"/>
          <w:sz w:val="21"/>
          <w:szCs w:val="21"/>
          <w:highlight w:val="none"/>
        </w:rPr>
        <w:tab/>
      </w:r>
      <w:r>
        <w:rPr>
          <w:rFonts w:hint="eastAsia" w:ascii="仿宋" w:hAnsi="仿宋" w:eastAsia="仿宋" w:cs="仿宋"/>
          <w:bCs/>
          <w:color w:val="auto"/>
          <w:kern w:val="2"/>
          <w:sz w:val="21"/>
          <w:szCs w:val="21"/>
          <w:highlight w:val="none"/>
        </w:rPr>
        <w:t>承包人应当制订成品保护措施计划，并提供必要的人员、材料和设备用于整个工程的成品保护，包括对已完成的所有分包人和独立承包人（如果有）的工程或工作的保护，防止已完工作遭受任何损坏或破坏。成品保护措施应当合理安排工序，并包括工作面移交制度和责任赔偿制度。成品保护措施计划最迟应当在任何专业分包人或独立承包人进场施工前不少于28天报监理人审批。</w:t>
      </w:r>
    </w:p>
    <w:p w14:paraId="698A4EE6">
      <w:pPr>
        <w:pStyle w:val="114"/>
        <w:adjustRightInd w:val="0"/>
        <w:snapToGrid w:val="0"/>
        <w:spacing w:line="360" w:lineRule="auto"/>
        <w:jc w:val="left"/>
        <w:rPr>
          <w:rFonts w:hint="eastAsia" w:ascii="仿宋" w:hAnsi="仿宋" w:eastAsia="仿宋" w:cs="仿宋"/>
          <w:bCs/>
          <w:color w:val="auto"/>
          <w:kern w:val="2"/>
          <w:sz w:val="21"/>
          <w:szCs w:val="21"/>
          <w:highlight w:val="none"/>
        </w:rPr>
      </w:pPr>
      <w:r>
        <w:rPr>
          <w:rFonts w:hint="eastAsia" w:ascii="仿宋" w:hAnsi="仿宋" w:eastAsia="仿宋" w:cs="仿宋"/>
          <w:bCs/>
          <w:color w:val="auto"/>
          <w:kern w:val="2"/>
          <w:sz w:val="21"/>
          <w:szCs w:val="21"/>
          <w:highlight w:val="none"/>
        </w:rPr>
        <w:t>6.7.10</w:t>
      </w:r>
      <w:r>
        <w:rPr>
          <w:rFonts w:hint="eastAsia" w:ascii="仿宋" w:hAnsi="仿宋" w:eastAsia="仿宋" w:cs="仿宋"/>
          <w:bCs/>
          <w:color w:val="auto"/>
          <w:kern w:val="2"/>
          <w:sz w:val="21"/>
          <w:szCs w:val="21"/>
          <w:highlight w:val="none"/>
        </w:rPr>
        <w:tab/>
      </w:r>
      <w:r>
        <w:rPr>
          <w:rFonts w:hint="eastAsia" w:ascii="仿宋" w:hAnsi="仿宋" w:eastAsia="仿宋" w:cs="仿宋"/>
          <w:bCs/>
          <w:color w:val="auto"/>
          <w:kern w:val="2"/>
          <w:sz w:val="21"/>
          <w:szCs w:val="21"/>
          <w:highlight w:val="none"/>
        </w:rPr>
        <w:t>文明施工方面的其他要求如下：</w:t>
      </w:r>
      <w:r>
        <w:rPr>
          <w:rFonts w:hint="eastAsia" w:ascii="仿宋" w:hAnsi="仿宋" w:eastAsia="仿宋" w:cs="仿宋"/>
          <w:bCs/>
          <w:color w:val="auto"/>
          <w:kern w:val="2"/>
          <w:sz w:val="21"/>
          <w:szCs w:val="21"/>
          <w:highlight w:val="none"/>
          <w:u w:val="single"/>
        </w:rPr>
        <w:t>无</w:t>
      </w:r>
    </w:p>
    <w:p w14:paraId="0B603EC4">
      <w:pPr>
        <w:pStyle w:val="114"/>
        <w:adjustRightInd w:val="0"/>
        <w:snapToGrid w:val="0"/>
        <w:spacing w:line="360" w:lineRule="auto"/>
        <w:jc w:val="left"/>
        <w:rPr>
          <w:rFonts w:hint="eastAsia" w:ascii="仿宋" w:hAnsi="仿宋" w:eastAsia="仿宋" w:cs="仿宋"/>
          <w:bCs/>
          <w:color w:val="auto"/>
          <w:kern w:val="2"/>
          <w:sz w:val="21"/>
          <w:szCs w:val="21"/>
          <w:highlight w:val="none"/>
        </w:rPr>
      </w:pPr>
      <w:r>
        <w:rPr>
          <w:rFonts w:hint="eastAsia" w:ascii="仿宋" w:hAnsi="仿宋" w:eastAsia="仿宋" w:cs="仿宋"/>
          <w:bCs/>
          <w:color w:val="auto"/>
          <w:kern w:val="2"/>
          <w:sz w:val="21"/>
          <w:szCs w:val="21"/>
          <w:highlight w:val="none"/>
        </w:rPr>
        <w:t>6.8</w:t>
      </w:r>
      <w:r>
        <w:rPr>
          <w:rFonts w:hint="eastAsia" w:ascii="仿宋" w:hAnsi="仿宋" w:eastAsia="仿宋" w:cs="仿宋"/>
          <w:bCs/>
          <w:color w:val="auto"/>
          <w:kern w:val="2"/>
          <w:sz w:val="21"/>
          <w:szCs w:val="21"/>
          <w:highlight w:val="none"/>
        </w:rPr>
        <w:tab/>
      </w:r>
      <w:r>
        <w:rPr>
          <w:rFonts w:hint="eastAsia" w:ascii="仿宋" w:hAnsi="仿宋" w:eastAsia="仿宋" w:cs="仿宋"/>
          <w:bCs/>
          <w:color w:val="auto"/>
          <w:kern w:val="2"/>
          <w:sz w:val="21"/>
          <w:szCs w:val="21"/>
          <w:highlight w:val="none"/>
        </w:rPr>
        <w:t>环境保护</w:t>
      </w:r>
    </w:p>
    <w:p w14:paraId="7BA02C38">
      <w:pPr>
        <w:pStyle w:val="114"/>
        <w:adjustRightInd w:val="0"/>
        <w:snapToGrid w:val="0"/>
        <w:spacing w:line="360" w:lineRule="auto"/>
        <w:jc w:val="left"/>
        <w:rPr>
          <w:rFonts w:hint="eastAsia" w:ascii="仿宋" w:hAnsi="仿宋" w:eastAsia="仿宋" w:cs="仿宋"/>
          <w:bCs/>
          <w:color w:val="auto"/>
          <w:kern w:val="2"/>
          <w:sz w:val="21"/>
          <w:szCs w:val="21"/>
          <w:highlight w:val="none"/>
        </w:rPr>
      </w:pPr>
      <w:r>
        <w:rPr>
          <w:rFonts w:hint="eastAsia" w:ascii="仿宋" w:hAnsi="仿宋" w:eastAsia="仿宋" w:cs="仿宋"/>
          <w:bCs/>
          <w:color w:val="auto"/>
          <w:kern w:val="2"/>
          <w:sz w:val="21"/>
          <w:szCs w:val="21"/>
          <w:highlight w:val="none"/>
        </w:rPr>
        <w:t>6.8.1</w:t>
      </w:r>
      <w:r>
        <w:rPr>
          <w:rFonts w:hint="eastAsia" w:ascii="仿宋" w:hAnsi="仿宋" w:eastAsia="仿宋" w:cs="仿宋"/>
          <w:bCs/>
          <w:color w:val="auto"/>
          <w:kern w:val="2"/>
          <w:sz w:val="21"/>
          <w:szCs w:val="21"/>
          <w:highlight w:val="none"/>
        </w:rPr>
        <w:tab/>
      </w:r>
      <w:r>
        <w:rPr>
          <w:rFonts w:hint="eastAsia" w:ascii="仿宋" w:hAnsi="仿宋" w:eastAsia="仿宋" w:cs="仿宋"/>
          <w:bCs/>
          <w:color w:val="auto"/>
          <w:kern w:val="2"/>
          <w:sz w:val="21"/>
          <w:szCs w:val="21"/>
          <w:highlight w:val="none"/>
        </w:rPr>
        <w:t>在工程施工、完工及修补任何缺陷的过程中，承包人应当始终遵守国家和工程所在地有关环境保护、水土保护和污染防治的法律、法规、规章、规范、标准和规程等，按照通用合同条款的约定履行其环境与生态保护职责。</w:t>
      </w:r>
    </w:p>
    <w:p w14:paraId="6A60F7C8">
      <w:pPr>
        <w:pStyle w:val="114"/>
        <w:adjustRightInd w:val="0"/>
        <w:snapToGrid w:val="0"/>
        <w:spacing w:line="360" w:lineRule="auto"/>
        <w:jc w:val="left"/>
        <w:rPr>
          <w:rFonts w:hint="eastAsia" w:ascii="仿宋" w:hAnsi="仿宋" w:eastAsia="仿宋" w:cs="仿宋"/>
          <w:bCs/>
          <w:color w:val="auto"/>
          <w:kern w:val="2"/>
          <w:sz w:val="21"/>
          <w:szCs w:val="21"/>
          <w:highlight w:val="none"/>
        </w:rPr>
      </w:pPr>
      <w:r>
        <w:rPr>
          <w:rFonts w:hint="eastAsia" w:ascii="仿宋" w:hAnsi="仿宋" w:eastAsia="仿宋" w:cs="仿宋"/>
          <w:bCs/>
          <w:color w:val="auto"/>
          <w:kern w:val="2"/>
          <w:sz w:val="21"/>
          <w:szCs w:val="21"/>
          <w:highlight w:val="none"/>
        </w:rPr>
        <w:t>6.8.2</w:t>
      </w:r>
      <w:r>
        <w:rPr>
          <w:rFonts w:hint="eastAsia" w:ascii="仿宋" w:hAnsi="仿宋" w:eastAsia="仿宋" w:cs="仿宋"/>
          <w:bCs/>
          <w:color w:val="auto"/>
          <w:kern w:val="2"/>
          <w:sz w:val="21"/>
          <w:szCs w:val="21"/>
          <w:highlight w:val="none"/>
        </w:rPr>
        <w:tab/>
      </w:r>
      <w:r>
        <w:rPr>
          <w:rFonts w:hint="eastAsia" w:ascii="仿宋" w:hAnsi="仿宋" w:eastAsia="仿宋" w:cs="仿宋"/>
          <w:bCs/>
          <w:color w:val="auto"/>
          <w:kern w:val="2"/>
          <w:sz w:val="21"/>
          <w:szCs w:val="21"/>
          <w:highlight w:val="none"/>
        </w:rPr>
        <w:t>承包人应按合同约定和监理人指示，接受国家和地方环境保护行政主管部门的监督、监测和检查。承包人应对其违反现行法律、法规、规章、规范、标准和规程等以及本合同约定所造成的环境污染、水土流失、人员伤害和财产损失等承担赔偿责任。</w:t>
      </w:r>
    </w:p>
    <w:p w14:paraId="7C4E3B6F">
      <w:pPr>
        <w:pStyle w:val="114"/>
        <w:adjustRightInd w:val="0"/>
        <w:snapToGrid w:val="0"/>
        <w:spacing w:line="360" w:lineRule="auto"/>
        <w:jc w:val="left"/>
        <w:rPr>
          <w:rFonts w:hint="eastAsia" w:ascii="仿宋" w:hAnsi="仿宋" w:eastAsia="仿宋" w:cs="仿宋"/>
          <w:bCs/>
          <w:color w:val="auto"/>
          <w:kern w:val="2"/>
          <w:sz w:val="21"/>
          <w:szCs w:val="21"/>
          <w:highlight w:val="none"/>
        </w:rPr>
      </w:pPr>
      <w:r>
        <w:rPr>
          <w:rFonts w:hint="eastAsia" w:ascii="仿宋" w:hAnsi="仿宋" w:eastAsia="仿宋" w:cs="仿宋"/>
          <w:bCs/>
          <w:color w:val="auto"/>
          <w:kern w:val="2"/>
          <w:sz w:val="21"/>
          <w:szCs w:val="21"/>
          <w:highlight w:val="none"/>
        </w:rPr>
        <w:t>6.8.3</w:t>
      </w:r>
      <w:r>
        <w:rPr>
          <w:rFonts w:hint="eastAsia" w:ascii="仿宋" w:hAnsi="仿宋" w:eastAsia="仿宋" w:cs="仿宋"/>
          <w:bCs/>
          <w:color w:val="auto"/>
          <w:kern w:val="2"/>
          <w:sz w:val="21"/>
          <w:szCs w:val="21"/>
          <w:highlight w:val="none"/>
        </w:rPr>
        <w:tab/>
      </w:r>
      <w:r>
        <w:rPr>
          <w:rFonts w:hint="eastAsia" w:ascii="仿宋" w:hAnsi="仿宋" w:eastAsia="仿宋" w:cs="仿宋"/>
          <w:bCs/>
          <w:color w:val="auto"/>
          <w:kern w:val="2"/>
          <w:sz w:val="21"/>
          <w:szCs w:val="21"/>
          <w:highlight w:val="none"/>
        </w:rPr>
        <w:t>承包人制订施工方案和组织措施时应当同步考虑环境和资源保护，包括水土资源保护、噪声、振动和照明污染防治、固体废弃物处理、污水和废气处理、粉尘和扬尘控制、道路污染防治、卫生防疫、禁止有害材料、节能减排以及不可再生资源的循环使用等因素。</w:t>
      </w:r>
    </w:p>
    <w:p w14:paraId="10728792">
      <w:pPr>
        <w:pStyle w:val="114"/>
        <w:adjustRightInd w:val="0"/>
        <w:snapToGrid w:val="0"/>
        <w:spacing w:line="360" w:lineRule="auto"/>
        <w:jc w:val="left"/>
        <w:rPr>
          <w:rFonts w:hint="eastAsia" w:ascii="仿宋" w:hAnsi="仿宋" w:eastAsia="仿宋" w:cs="仿宋"/>
          <w:bCs/>
          <w:color w:val="auto"/>
          <w:kern w:val="2"/>
          <w:sz w:val="21"/>
          <w:szCs w:val="21"/>
          <w:highlight w:val="none"/>
        </w:rPr>
      </w:pPr>
      <w:r>
        <w:rPr>
          <w:rFonts w:hint="eastAsia" w:ascii="仿宋" w:hAnsi="仿宋" w:eastAsia="仿宋" w:cs="仿宋"/>
          <w:bCs/>
          <w:color w:val="auto"/>
          <w:kern w:val="2"/>
          <w:sz w:val="21"/>
          <w:szCs w:val="21"/>
          <w:highlight w:val="none"/>
        </w:rPr>
        <w:t>6.8.4</w:t>
      </w:r>
      <w:r>
        <w:rPr>
          <w:rFonts w:hint="eastAsia" w:ascii="仿宋" w:hAnsi="仿宋" w:eastAsia="仿宋" w:cs="仿宋"/>
          <w:bCs/>
          <w:color w:val="auto"/>
          <w:kern w:val="2"/>
          <w:sz w:val="21"/>
          <w:szCs w:val="21"/>
          <w:highlight w:val="none"/>
        </w:rPr>
        <w:tab/>
      </w:r>
      <w:r>
        <w:rPr>
          <w:rFonts w:hint="eastAsia" w:ascii="仿宋" w:hAnsi="仿宋" w:eastAsia="仿宋" w:cs="仿宋"/>
          <w:bCs/>
          <w:color w:val="auto"/>
          <w:kern w:val="2"/>
          <w:sz w:val="21"/>
          <w:szCs w:val="21"/>
          <w:highlight w:val="none"/>
        </w:rPr>
        <w:t>承包人应当做好施工场地（现场）范围内各项工程的开挖支护、截水、排水等工程防护措施。施工场地（现场）内所有边坡应当采取有效的水土流失防治和保持措施。承包人采用的降水方案应当充分考虑对地下水的保护和合理使用，如果国家和（或）地方人民政府有特别规定的，承包人应当遵守有关规定。承包人还应设置完善的排水系统，保持施工场地（现场）始终处于良好的排水状态，防止降雨径流对施工场地（现场）的冲刷。</w:t>
      </w:r>
    </w:p>
    <w:p w14:paraId="22EE3820">
      <w:pPr>
        <w:pStyle w:val="114"/>
        <w:adjustRightInd w:val="0"/>
        <w:snapToGrid w:val="0"/>
        <w:spacing w:line="360" w:lineRule="auto"/>
        <w:jc w:val="left"/>
        <w:rPr>
          <w:rFonts w:hint="eastAsia" w:ascii="仿宋" w:hAnsi="仿宋" w:eastAsia="仿宋" w:cs="仿宋"/>
          <w:bCs/>
          <w:color w:val="auto"/>
          <w:kern w:val="2"/>
          <w:sz w:val="21"/>
          <w:szCs w:val="21"/>
          <w:highlight w:val="none"/>
        </w:rPr>
      </w:pPr>
      <w:r>
        <w:rPr>
          <w:rFonts w:hint="eastAsia" w:ascii="仿宋" w:hAnsi="仿宋" w:eastAsia="仿宋" w:cs="仿宋"/>
          <w:bCs/>
          <w:color w:val="auto"/>
          <w:kern w:val="2"/>
          <w:sz w:val="21"/>
          <w:szCs w:val="21"/>
          <w:highlight w:val="none"/>
        </w:rPr>
        <w:t>6.8.5</w:t>
      </w:r>
      <w:r>
        <w:rPr>
          <w:rFonts w:hint="eastAsia" w:ascii="仿宋" w:hAnsi="仿宋" w:eastAsia="仿宋" w:cs="仿宋"/>
          <w:bCs/>
          <w:color w:val="auto"/>
          <w:kern w:val="2"/>
          <w:sz w:val="21"/>
          <w:szCs w:val="21"/>
          <w:highlight w:val="none"/>
        </w:rPr>
        <w:tab/>
      </w:r>
      <w:r>
        <w:rPr>
          <w:rFonts w:hint="eastAsia" w:ascii="仿宋" w:hAnsi="仿宋" w:eastAsia="仿宋" w:cs="仿宋"/>
          <w:bCs/>
          <w:color w:val="auto"/>
          <w:kern w:val="2"/>
          <w:sz w:val="21"/>
          <w:szCs w:val="21"/>
          <w:highlight w:val="none"/>
        </w:rPr>
        <w:t>承包人应当确保其所提供的材料、工程设备、施工设备和其他材料都是绿色环保产品，列入国家强制认证产品名录的，还应当是通过国家强制认证的产品。承包人不得在任何临时和永久性工程中使用任何政府明令禁止使用的对人体有害的任何材料（如放射性材料、石棉制品等）和方法，同时也不得在永久性工程中使用政府虽未明令禁止但会给居住或使用人带来不适感觉或味觉的任何材料和添加剂等；承包人应在其施工环保措施计划中明确防止误用的保证措施；承包人违背此项约定的责任和后果全部由承包人承担。</w:t>
      </w:r>
    </w:p>
    <w:p w14:paraId="1D76972A">
      <w:pPr>
        <w:pStyle w:val="114"/>
        <w:adjustRightInd w:val="0"/>
        <w:snapToGrid w:val="0"/>
        <w:spacing w:line="360" w:lineRule="auto"/>
        <w:jc w:val="left"/>
        <w:rPr>
          <w:rFonts w:hint="eastAsia" w:ascii="仿宋" w:hAnsi="仿宋" w:eastAsia="仿宋" w:cs="仿宋"/>
          <w:bCs/>
          <w:color w:val="auto"/>
          <w:kern w:val="2"/>
          <w:sz w:val="21"/>
          <w:szCs w:val="21"/>
          <w:highlight w:val="none"/>
        </w:rPr>
      </w:pPr>
      <w:r>
        <w:rPr>
          <w:rFonts w:hint="eastAsia" w:ascii="仿宋" w:hAnsi="仿宋" w:eastAsia="仿宋" w:cs="仿宋"/>
          <w:bCs/>
          <w:color w:val="auto"/>
          <w:kern w:val="2"/>
          <w:sz w:val="21"/>
          <w:szCs w:val="21"/>
          <w:highlight w:val="none"/>
        </w:rPr>
        <w:t>6.8.6</w:t>
      </w:r>
      <w:r>
        <w:rPr>
          <w:rFonts w:hint="eastAsia" w:ascii="仿宋" w:hAnsi="仿宋" w:eastAsia="仿宋" w:cs="仿宋"/>
          <w:bCs/>
          <w:color w:val="auto"/>
          <w:kern w:val="2"/>
          <w:sz w:val="21"/>
          <w:szCs w:val="21"/>
          <w:highlight w:val="none"/>
        </w:rPr>
        <w:tab/>
      </w:r>
      <w:r>
        <w:rPr>
          <w:rFonts w:hint="eastAsia" w:ascii="仿宋" w:hAnsi="仿宋" w:eastAsia="仿宋" w:cs="仿宋"/>
          <w:bCs/>
          <w:color w:val="auto"/>
          <w:kern w:val="2"/>
          <w:sz w:val="21"/>
          <w:szCs w:val="21"/>
          <w:highlight w:val="none"/>
        </w:rPr>
        <w:t>承包人应为防止进出场的车辆的遗洒和轮胎夹带物等污染周边和公共道路等行为制定并落实必要的措施，这类措施应至少包括在现场出入口设立冲刷池、对现场道路做硬化处理和采用密闭车厢或者对车厢进行必要的覆盖等等。</w:t>
      </w:r>
    </w:p>
    <w:p w14:paraId="2645EA52">
      <w:pPr>
        <w:pStyle w:val="114"/>
        <w:adjustRightInd w:val="0"/>
        <w:snapToGrid w:val="0"/>
        <w:spacing w:line="360" w:lineRule="auto"/>
        <w:jc w:val="left"/>
        <w:rPr>
          <w:rFonts w:hint="eastAsia" w:ascii="仿宋" w:hAnsi="仿宋" w:eastAsia="仿宋" w:cs="仿宋"/>
          <w:bCs/>
          <w:color w:val="auto"/>
          <w:kern w:val="2"/>
          <w:sz w:val="21"/>
          <w:szCs w:val="21"/>
          <w:highlight w:val="none"/>
        </w:rPr>
      </w:pPr>
      <w:r>
        <w:rPr>
          <w:rFonts w:hint="eastAsia" w:ascii="仿宋" w:hAnsi="仿宋" w:eastAsia="仿宋" w:cs="仿宋"/>
          <w:bCs/>
          <w:color w:val="auto"/>
          <w:kern w:val="2"/>
          <w:sz w:val="21"/>
          <w:szCs w:val="21"/>
          <w:highlight w:val="none"/>
        </w:rPr>
        <w:t>6.8.7</w:t>
      </w:r>
      <w:r>
        <w:rPr>
          <w:rFonts w:hint="eastAsia" w:ascii="仿宋" w:hAnsi="仿宋" w:eastAsia="仿宋" w:cs="仿宋"/>
          <w:bCs/>
          <w:color w:val="auto"/>
          <w:kern w:val="2"/>
          <w:sz w:val="21"/>
          <w:szCs w:val="21"/>
          <w:highlight w:val="none"/>
        </w:rPr>
        <w:tab/>
      </w:r>
      <w:r>
        <w:rPr>
          <w:rFonts w:hint="eastAsia" w:ascii="仿宋" w:hAnsi="仿宋" w:eastAsia="仿宋" w:cs="仿宋"/>
          <w:bCs/>
          <w:color w:val="auto"/>
          <w:kern w:val="2"/>
          <w:sz w:val="21"/>
          <w:szCs w:val="21"/>
          <w:highlight w:val="none"/>
        </w:rPr>
        <w:t>承包人应当保证施工生产用水和生活用水符合国家有关标准的规定。</w:t>
      </w:r>
    </w:p>
    <w:p w14:paraId="25376BAE">
      <w:pPr>
        <w:pStyle w:val="114"/>
        <w:adjustRightInd w:val="0"/>
        <w:snapToGrid w:val="0"/>
        <w:spacing w:line="360" w:lineRule="auto"/>
        <w:jc w:val="left"/>
        <w:rPr>
          <w:rFonts w:hint="eastAsia" w:ascii="仿宋" w:hAnsi="仿宋" w:eastAsia="仿宋" w:cs="仿宋"/>
          <w:bCs/>
          <w:color w:val="auto"/>
          <w:kern w:val="2"/>
          <w:sz w:val="21"/>
          <w:szCs w:val="21"/>
          <w:highlight w:val="none"/>
        </w:rPr>
      </w:pPr>
      <w:r>
        <w:rPr>
          <w:rFonts w:hint="eastAsia" w:ascii="仿宋" w:hAnsi="仿宋" w:eastAsia="仿宋" w:cs="仿宋"/>
          <w:bCs/>
          <w:color w:val="auto"/>
          <w:kern w:val="2"/>
          <w:sz w:val="21"/>
          <w:szCs w:val="21"/>
          <w:highlight w:val="none"/>
        </w:rPr>
        <w:t>6.8.8</w:t>
      </w:r>
      <w:r>
        <w:rPr>
          <w:rFonts w:hint="eastAsia" w:ascii="仿宋" w:hAnsi="仿宋" w:eastAsia="仿宋" w:cs="仿宋"/>
          <w:bCs/>
          <w:color w:val="auto"/>
          <w:kern w:val="2"/>
          <w:sz w:val="21"/>
          <w:szCs w:val="21"/>
          <w:highlight w:val="none"/>
        </w:rPr>
        <w:tab/>
      </w:r>
      <w:r>
        <w:rPr>
          <w:rFonts w:hint="eastAsia" w:ascii="仿宋" w:hAnsi="仿宋" w:eastAsia="仿宋" w:cs="仿宋"/>
          <w:bCs/>
          <w:color w:val="auto"/>
          <w:kern w:val="2"/>
          <w:sz w:val="21"/>
          <w:szCs w:val="21"/>
          <w:highlight w:val="none"/>
        </w:rPr>
        <w:t>承包人应当采取有效措施，建立相应的过滤、分离、分解或沉淀等处理系统，不得让有害物质（如燃料、油料、化学品、酸等，以及超过剂量的有害气体和尘埃、污水、泥土或水、弃渣等）污染施工场地（现场）及其周边环境。承包人施工工序、工作时间安排和施工设备的配置应当充分考虑降低噪声和照明等对施工场地（现场）周边生产和生活的影响，并满足国家和地方政府有关规定的要求。</w:t>
      </w:r>
    </w:p>
    <w:p w14:paraId="3BC29E17">
      <w:pPr>
        <w:pStyle w:val="114"/>
        <w:adjustRightInd w:val="0"/>
        <w:snapToGrid w:val="0"/>
        <w:spacing w:line="360" w:lineRule="auto"/>
        <w:jc w:val="left"/>
        <w:rPr>
          <w:rFonts w:hint="eastAsia" w:ascii="仿宋" w:hAnsi="仿宋" w:eastAsia="仿宋" w:cs="仿宋"/>
          <w:bCs/>
          <w:color w:val="auto"/>
          <w:kern w:val="2"/>
          <w:sz w:val="21"/>
          <w:szCs w:val="21"/>
          <w:highlight w:val="none"/>
        </w:rPr>
      </w:pPr>
      <w:r>
        <w:rPr>
          <w:rFonts w:hint="eastAsia" w:ascii="仿宋" w:hAnsi="仿宋" w:eastAsia="仿宋" w:cs="仿宋"/>
          <w:bCs/>
          <w:color w:val="auto"/>
          <w:kern w:val="2"/>
          <w:sz w:val="21"/>
          <w:szCs w:val="21"/>
          <w:highlight w:val="none"/>
        </w:rPr>
        <w:t>6.8.9</w:t>
      </w:r>
      <w:r>
        <w:rPr>
          <w:rFonts w:hint="eastAsia" w:ascii="仿宋" w:hAnsi="仿宋" w:eastAsia="仿宋" w:cs="仿宋"/>
          <w:bCs/>
          <w:color w:val="auto"/>
          <w:kern w:val="2"/>
          <w:sz w:val="21"/>
          <w:szCs w:val="21"/>
          <w:highlight w:val="none"/>
        </w:rPr>
        <w:tab/>
      </w:r>
      <w:r>
        <w:rPr>
          <w:rFonts w:hint="eastAsia" w:ascii="仿宋" w:hAnsi="仿宋" w:eastAsia="仿宋" w:cs="仿宋"/>
          <w:bCs/>
          <w:color w:val="auto"/>
          <w:kern w:val="2"/>
          <w:sz w:val="21"/>
          <w:szCs w:val="21"/>
          <w:highlight w:val="none"/>
        </w:rPr>
        <w:t>环境保护方面的其他要求如下：</w:t>
      </w:r>
      <w:r>
        <w:rPr>
          <w:rFonts w:hint="eastAsia" w:ascii="仿宋" w:hAnsi="仿宋" w:eastAsia="仿宋" w:cs="仿宋"/>
          <w:bCs/>
          <w:color w:val="auto"/>
          <w:kern w:val="2"/>
          <w:sz w:val="21"/>
          <w:szCs w:val="21"/>
          <w:highlight w:val="none"/>
          <w:u w:val="single"/>
        </w:rPr>
        <w:t>无</w:t>
      </w:r>
    </w:p>
    <w:p w14:paraId="1F223F59">
      <w:pPr>
        <w:pStyle w:val="114"/>
        <w:adjustRightInd w:val="0"/>
        <w:snapToGrid w:val="0"/>
        <w:spacing w:line="360" w:lineRule="auto"/>
        <w:jc w:val="left"/>
        <w:rPr>
          <w:rFonts w:hint="eastAsia" w:ascii="仿宋" w:hAnsi="仿宋" w:eastAsia="仿宋" w:cs="仿宋"/>
          <w:bCs/>
          <w:color w:val="auto"/>
          <w:kern w:val="2"/>
          <w:sz w:val="21"/>
          <w:szCs w:val="21"/>
          <w:highlight w:val="none"/>
        </w:rPr>
      </w:pPr>
      <w:r>
        <w:rPr>
          <w:rFonts w:hint="eastAsia" w:ascii="仿宋" w:hAnsi="仿宋" w:eastAsia="仿宋" w:cs="仿宋"/>
          <w:bCs/>
          <w:color w:val="auto"/>
          <w:kern w:val="2"/>
          <w:sz w:val="21"/>
          <w:szCs w:val="21"/>
          <w:highlight w:val="none"/>
        </w:rPr>
        <w:t>6.9</w:t>
      </w:r>
      <w:r>
        <w:rPr>
          <w:rFonts w:hint="eastAsia" w:ascii="仿宋" w:hAnsi="仿宋" w:eastAsia="仿宋" w:cs="仿宋"/>
          <w:bCs/>
          <w:color w:val="auto"/>
          <w:kern w:val="2"/>
          <w:sz w:val="21"/>
          <w:szCs w:val="21"/>
          <w:highlight w:val="none"/>
        </w:rPr>
        <w:tab/>
      </w:r>
      <w:r>
        <w:rPr>
          <w:rFonts w:hint="eastAsia" w:ascii="仿宋" w:hAnsi="仿宋" w:eastAsia="仿宋" w:cs="仿宋"/>
          <w:bCs/>
          <w:color w:val="auto"/>
          <w:kern w:val="2"/>
          <w:sz w:val="21"/>
          <w:szCs w:val="21"/>
          <w:highlight w:val="none"/>
        </w:rPr>
        <w:t>施工环保措施计划</w:t>
      </w:r>
    </w:p>
    <w:p w14:paraId="73BD6D65">
      <w:pPr>
        <w:pStyle w:val="114"/>
        <w:adjustRightInd w:val="0"/>
        <w:snapToGrid w:val="0"/>
        <w:spacing w:line="360" w:lineRule="auto"/>
        <w:jc w:val="left"/>
        <w:rPr>
          <w:rFonts w:hint="eastAsia" w:ascii="仿宋" w:hAnsi="仿宋" w:eastAsia="仿宋" w:cs="仿宋"/>
          <w:bCs/>
          <w:color w:val="auto"/>
          <w:kern w:val="2"/>
          <w:sz w:val="21"/>
          <w:szCs w:val="21"/>
          <w:highlight w:val="none"/>
        </w:rPr>
      </w:pPr>
      <w:r>
        <w:rPr>
          <w:rFonts w:hint="eastAsia" w:ascii="仿宋" w:hAnsi="仿宋" w:eastAsia="仿宋" w:cs="仿宋"/>
          <w:bCs/>
          <w:color w:val="auto"/>
          <w:kern w:val="2"/>
          <w:sz w:val="21"/>
          <w:szCs w:val="21"/>
          <w:highlight w:val="none"/>
        </w:rPr>
        <w:t>6.9.1</w:t>
      </w:r>
      <w:r>
        <w:rPr>
          <w:rFonts w:hint="eastAsia" w:ascii="仿宋" w:hAnsi="仿宋" w:eastAsia="仿宋" w:cs="仿宋"/>
          <w:bCs/>
          <w:color w:val="auto"/>
          <w:kern w:val="2"/>
          <w:sz w:val="21"/>
          <w:szCs w:val="21"/>
          <w:highlight w:val="none"/>
        </w:rPr>
        <w:tab/>
      </w:r>
      <w:r>
        <w:rPr>
          <w:rFonts w:hint="eastAsia" w:ascii="仿宋" w:hAnsi="仿宋" w:eastAsia="仿宋" w:cs="仿宋"/>
          <w:bCs/>
          <w:color w:val="auto"/>
          <w:kern w:val="2"/>
          <w:sz w:val="21"/>
          <w:szCs w:val="21"/>
          <w:highlight w:val="none"/>
        </w:rPr>
        <w:t>合同条款约定的施工环保措施计划是承包人阐明环保方针和拟采用的环保措施及方法等的文件，其内容应包括但不限于：</w:t>
      </w:r>
    </w:p>
    <w:p w14:paraId="22EADE53">
      <w:pPr>
        <w:pStyle w:val="114"/>
        <w:adjustRightInd w:val="0"/>
        <w:snapToGrid w:val="0"/>
        <w:spacing w:line="360" w:lineRule="auto"/>
        <w:jc w:val="left"/>
        <w:rPr>
          <w:rFonts w:hint="eastAsia" w:ascii="仿宋" w:hAnsi="仿宋" w:eastAsia="仿宋" w:cs="仿宋"/>
          <w:bCs/>
          <w:color w:val="auto"/>
          <w:kern w:val="2"/>
          <w:sz w:val="21"/>
          <w:szCs w:val="21"/>
          <w:highlight w:val="none"/>
        </w:rPr>
      </w:pPr>
      <w:r>
        <w:rPr>
          <w:rFonts w:hint="eastAsia" w:ascii="仿宋" w:hAnsi="仿宋" w:eastAsia="仿宋" w:cs="仿宋"/>
          <w:bCs/>
          <w:color w:val="auto"/>
          <w:kern w:val="2"/>
          <w:sz w:val="21"/>
          <w:szCs w:val="21"/>
          <w:highlight w:val="none"/>
        </w:rPr>
        <w:t>（1）</w:t>
      </w:r>
      <w:r>
        <w:rPr>
          <w:rFonts w:hint="eastAsia" w:ascii="仿宋" w:hAnsi="仿宋" w:eastAsia="仿宋" w:cs="仿宋"/>
          <w:bCs/>
          <w:color w:val="auto"/>
          <w:kern w:val="2"/>
          <w:sz w:val="21"/>
          <w:szCs w:val="21"/>
          <w:highlight w:val="none"/>
        </w:rPr>
        <w:tab/>
      </w:r>
      <w:r>
        <w:rPr>
          <w:rFonts w:hint="eastAsia" w:ascii="仿宋" w:hAnsi="仿宋" w:eastAsia="仿宋" w:cs="仿宋"/>
          <w:bCs/>
          <w:color w:val="auto"/>
          <w:kern w:val="2"/>
          <w:sz w:val="21"/>
          <w:szCs w:val="21"/>
          <w:highlight w:val="none"/>
        </w:rPr>
        <w:t>承包人生活区（如果有）的生活用水和生活污水处理措施；</w:t>
      </w:r>
    </w:p>
    <w:p w14:paraId="30E6A777">
      <w:pPr>
        <w:pStyle w:val="114"/>
        <w:adjustRightInd w:val="0"/>
        <w:snapToGrid w:val="0"/>
        <w:spacing w:line="360" w:lineRule="auto"/>
        <w:jc w:val="left"/>
        <w:rPr>
          <w:rFonts w:hint="eastAsia" w:ascii="仿宋" w:hAnsi="仿宋" w:eastAsia="仿宋" w:cs="仿宋"/>
          <w:bCs/>
          <w:color w:val="auto"/>
          <w:kern w:val="2"/>
          <w:sz w:val="21"/>
          <w:szCs w:val="21"/>
          <w:highlight w:val="none"/>
        </w:rPr>
      </w:pPr>
      <w:r>
        <w:rPr>
          <w:rFonts w:hint="eastAsia" w:ascii="仿宋" w:hAnsi="仿宋" w:eastAsia="仿宋" w:cs="仿宋"/>
          <w:bCs/>
          <w:color w:val="auto"/>
          <w:kern w:val="2"/>
          <w:sz w:val="21"/>
          <w:szCs w:val="21"/>
          <w:highlight w:val="none"/>
        </w:rPr>
        <w:t>（2）</w:t>
      </w:r>
      <w:r>
        <w:rPr>
          <w:rFonts w:hint="eastAsia" w:ascii="仿宋" w:hAnsi="仿宋" w:eastAsia="仿宋" w:cs="仿宋"/>
          <w:bCs/>
          <w:color w:val="auto"/>
          <w:kern w:val="2"/>
          <w:sz w:val="21"/>
          <w:szCs w:val="21"/>
          <w:highlight w:val="none"/>
        </w:rPr>
        <w:tab/>
      </w:r>
      <w:r>
        <w:rPr>
          <w:rFonts w:hint="eastAsia" w:ascii="仿宋" w:hAnsi="仿宋" w:eastAsia="仿宋" w:cs="仿宋"/>
          <w:bCs/>
          <w:color w:val="auto"/>
          <w:kern w:val="2"/>
          <w:sz w:val="21"/>
          <w:szCs w:val="21"/>
          <w:highlight w:val="none"/>
        </w:rPr>
        <w:t>施工生产废水处理措施；</w:t>
      </w:r>
    </w:p>
    <w:p w14:paraId="294176C5">
      <w:pPr>
        <w:pStyle w:val="114"/>
        <w:adjustRightInd w:val="0"/>
        <w:snapToGrid w:val="0"/>
        <w:spacing w:line="360" w:lineRule="auto"/>
        <w:jc w:val="left"/>
        <w:rPr>
          <w:rFonts w:hint="eastAsia" w:ascii="仿宋" w:hAnsi="仿宋" w:eastAsia="仿宋" w:cs="仿宋"/>
          <w:bCs/>
          <w:color w:val="auto"/>
          <w:kern w:val="2"/>
          <w:sz w:val="21"/>
          <w:szCs w:val="21"/>
          <w:highlight w:val="none"/>
        </w:rPr>
      </w:pPr>
      <w:r>
        <w:rPr>
          <w:rFonts w:hint="eastAsia" w:ascii="仿宋" w:hAnsi="仿宋" w:eastAsia="仿宋" w:cs="仿宋"/>
          <w:bCs/>
          <w:color w:val="auto"/>
          <w:kern w:val="2"/>
          <w:sz w:val="21"/>
          <w:szCs w:val="21"/>
          <w:highlight w:val="none"/>
        </w:rPr>
        <w:t>（3）</w:t>
      </w:r>
      <w:r>
        <w:rPr>
          <w:rFonts w:hint="eastAsia" w:ascii="仿宋" w:hAnsi="仿宋" w:eastAsia="仿宋" w:cs="仿宋"/>
          <w:bCs/>
          <w:color w:val="auto"/>
          <w:kern w:val="2"/>
          <w:sz w:val="21"/>
          <w:szCs w:val="21"/>
          <w:highlight w:val="none"/>
        </w:rPr>
        <w:tab/>
      </w:r>
      <w:r>
        <w:rPr>
          <w:rFonts w:hint="eastAsia" w:ascii="仿宋" w:hAnsi="仿宋" w:eastAsia="仿宋" w:cs="仿宋"/>
          <w:bCs/>
          <w:color w:val="auto"/>
          <w:kern w:val="2"/>
          <w:sz w:val="21"/>
          <w:szCs w:val="21"/>
          <w:highlight w:val="none"/>
        </w:rPr>
        <w:t>施工扬尘和废气的处理措施；</w:t>
      </w:r>
    </w:p>
    <w:p w14:paraId="60D3BA1C">
      <w:pPr>
        <w:pStyle w:val="114"/>
        <w:adjustRightInd w:val="0"/>
        <w:snapToGrid w:val="0"/>
        <w:spacing w:line="360" w:lineRule="auto"/>
        <w:jc w:val="left"/>
        <w:rPr>
          <w:rFonts w:hint="eastAsia" w:ascii="仿宋" w:hAnsi="仿宋" w:eastAsia="仿宋" w:cs="仿宋"/>
          <w:bCs/>
          <w:color w:val="auto"/>
          <w:kern w:val="2"/>
          <w:sz w:val="21"/>
          <w:szCs w:val="21"/>
          <w:highlight w:val="none"/>
        </w:rPr>
      </w:pPr>
      <w:r>
        <w:rPr>
          <w:rFonts w:hint="eastAsia" w:ascii="仿宋" w:hAnsi="仿宋" w:eastAsia="仿宋" w:cs="仿宋"/>
          <w:bCs/>
          <w:color w:val="auto"/>
          <w:kern w:val="2"/>
          <w:sz w:val="21"/>
          <w:szCs w:val="21"/>
          <w:highlight w:val="none"/>
        </w:rPr>
        <w:t>（4）</w:t>
      </w:r>
      <w:r>
        <w:rPr>
          <w:rFonts w:hint="eastAsia" w:ascii="仿宋" w:hAnsi="仿宋" w:eastAsia="仿宋" w:cs="仿宋"/>
          <w:bCs/>
          <w:color w:val="auto"/>
          <w:kern w:val="2"/>
          <w:sz w:val="21"/>
          <w:szCs w:val="21"/>
          <w:highlight w:val="none"/>
        </w:rPr>
        <w:tab/>
      </w:r>
      <w:r>
        <w:rPr>
          <w:rFonts w:hint="eastAsia" w:ascii="仿宋" w:hAnsi="仿宋" w:eastAsia="仿宋" w:cs="仿宋"/>
          <w:bCs/>
          <w:color w:val="auto"/>
          <w:kern w:val="2"/>
          <w:sz w:val="21"/>
          <w:szCs w:val="21"/>
          <w:highlight w:val="none"/>
        </w:rPr>
        <w:t>施工噪声和光污染控制措施；</w:t>
      </w:r>
    </w:p>
    <w:p w14:paraId="2182B4B8">
      <w:pPr>
        <w:pStyle w:val="114"/>
        <w:adjustRightInd w:val="0"/>
        <w:snapToGrid w:val="0"/>
        <w:spacing w:line="360" w:lineRule="auto"/>
        <w:jc w:val="left"/>
        <w:rPr>
          <w:rFonts w:hint="eastAsia" w:ascii="仿宋" w:hAnsi="仿宋" w:eastAsia="仿宋" w:cs="仿宋"/>
          <w:bCs/>
          <w:color w:val="auto"/>
          <w:kern w:val="2"/>
          <w:sz w:val="21"/>
          <w:szCs w:val="21"/>
          <w:highlight w:val="none"/>
        </w:rPr>
      </w:pPr>
      <w:r>
        <w:rPr>
          <w:rFonts w:hint="eastAsia" w:ascii="仿宋" w:hAnsi="仿宋" w:eastAsia="仿宋" w:cs="仿宋"/>
          <w:bCs/>
          <w:color w:val="auto"/>
          <w:kern w:val="2"/>
          <w:sz w:val="21"/>
          <w:szCs w:val="21"/>
          <w:highlight w:val="none"/>
        </w:rPr>
        <w:t>（5）</w:t>
      </w:r>
      <w:r>
        <w:rPr>
          <w:rFonts w:hint="eastAsia" w:ascii="仿宋" w:hAnsi="仿宋" w:eastAsia="仿宋" w:cs="仿宋"/>
          <w:bCs/>
          <w:color w:val="auto"/>
          <w:kern w:val="2"/>
          <w:sz w:val="21"/>
          <w:szCs w:val="21"/>
          <w:highlight w:val="none"/>
        </w:rPr>
        <w:tab/>
      </w:r>
      <w:r>
        <w:rPr>
          <w:rFonts w:hint="eastAsia" w:ascii="仿宋" w:hAnsi="仿宋" w:eastAsia="仿宋" w:cs="仿宋"/>
          <w:bCs/>
          <w:color w:val="auto"/>
          <w:kern w:val="2"/>
          <w:sz w:val="21"/>
          <w:szCs w:val="21"/>
          <w:highlight w:val="none"/>
        </w:rPr>
        <w:t>节能减排措施；</w:t>
      </w:r>
    </w:p>
    <w:p w14:paraId="5B79C93B">
      <w:pPr>
        <w:pStyle w:val="114"/>
        <w:adjustRightInd w:val="0"/>
        <w:snapToGrid w:val="0"/>
        <w:spacing w:line="360" w:lineRule="auto"/>
        <w:jc w:val="left"/>
        <w:rPr>
          <w:rFonts w:hint="eastAsia" w:ascii="仿宋" w:hAnsi="仿宋" w:eastAsia="仿宋" w:cs="仿宋"/>
          <w:bCs/>
          <w:color w:val="auto"/>
          <w:kern w:val="2"/>
          <w:sz w:val="21"/>
          <w:szCs w:val="21"/>
          <w:highlight w:val="none"/>
        </w:rPr>
      </w:pPr>
      <w:r>
        <w:rPr>
          <w:rFonts w:hint="eastAsia" w:ascii="仿宋" w:hAnsi="仿宋" w:eastAsia="仿宋" w:cs="仿宋"/>
          <w:bCs/>
          <w:color w:val="auto"/>
          <w:kern w:val="2"/>
          <w:sz w:val="21"/>
          <w:szCs w:val="21"/>
          <w:highlight w:val="none"/>
        </w:rPr>
        <w:t>（6）</w:t>
      </w:r>
      <w:r>
        <w:rPr>
          <w:rFonts w:hint="eastAsia" w:ascii="仿宋" w:hAnsi="仿宋" w:eastAsia="仿宋" w:cs="仿宋"/>
          <w:bCs/>
          <w:color w:val="auto"/>
          <w:kern w:val="2"/>
          <w:sz w:val="21"/>
          <w:szCs w:val="21"/>
          <w:highlight w:val="none"/>
        </w:rPr>
        <w:tab/>
      </w:r>
      <w:r>
        <w:rPr>
          <w:rFonts w:hint="eastAsia" w:ascii="仿宋" w:hAnsi="仿宋" w:eastAsia="仿宋" w:cs="仿宋"/>
          <w:bCs/>
          <w:color w:val="auto"/>
          <w:kern w:val="2"/>
          <w:sz w:val="21"/>
          <w:szCs w:val="21"/>
          <w:highlight w:val="none"/>
        </w:rPr>
        <w:t>不可再生资源循环利用措施；</w:t>
      </w:r>
    </w:p>
    <w:p w14:paraId="3B78C702">
      <w:pPr>
        <w:pStyle w:val="114"/>
        <w:adjustRightInd w:val="0"/>
        <w:snapToGrid w:val="0"/>
        <w:spacing w:line="360" w:lineRule="auto"/>
        <w:jc w:val="left"/>
        <w:rPr>
          <w:rFonts w:hint="eastAsia" w:ascii="仿宋" w:hAnsi="仿宋" w:eastAsia="仿宋" w:cs="仿宋"/>
          <w:bCs/>
          <w:color w:val="auto"/>
          <w:kern w:val="2"/>
          <w:sz w:val="21"/>
          <w:szCs w:val="21"/>
          <w:highlight w:val="none"/>
        </w:rPr>
      </w:pPr>
      <w:r>
        <w:rPr>
          <w:rFonts w:hint="eastAsia" w:ascii="仿宋" w:hAnsi="仿宋" w:eastAsia="仿宋" w:cs="仿宋"/>
          <w:bCs/>
          <w:color w:val="auto"/>
          <w:kern w:val="2"/>
          <w:sz w:val="21"/>
          <w:szCs w:val="21"/>
          <w:highlight w:val="none"/>
        </w:rPr>
        <w:t>（7）</w:t>
      </w:r>
      <w:r>
        <w:rPr>
          <w:rFonts w:hint="eastAsia" w:ascii="仿宋" w:hAnsi="仿宋" w:eastAsia="仿宋" w:cs="仿宋"/>
          <w:bCs/>
          <w:color w:val="auto"/>
          <w:kern w:val="2"/>
          <w:sz w:val="21"/>
          <w:szCs w:val="21"/>
          <w:highlight w:val="none"/>
        </w:rPr>
        <w:tab/>
      </w:r>
      <w:r>
        <w:rPr>
          <w:rFonts w:hint="eastAsia" w:ascii="仿宋" w:hAnsi="仿宋" w:eastAsia="仿宋" w:cs="仿宋"/>
          <w:bCs/>
          <w:color w:val="auto"/>
          <w:kern w:val="2"/>
          <w:sz w:val="21"/>
          <w:szCs w:val="21"/>
          <w:highlight w:val="none"/>
        </w:rPr>
        <w:t>固体废弃物处理措施；</w:t>
      </w:r>
    </w:p>
    <w:p w14:paraId="5C61B352">
      <w:pPr>
        <w:pStyle w:val="114"/>
        <w:adjustRightInd w:val="0"/>
        <w:snapToGrid w:val="0"/>
        <w:spacing w:line="360" w:lineRule="auto"/>
        <w:jc w:val="left"/>
        <w:rPr>
          <w:rFonts w:hint="eastAsia" w:ascii="仿宋" w:hAnsi="仿宋" w:eastAsia="仿宋" w:cs="仿宋"/>
          <w:bCs/>
          <w:color w:val="auto"/>
          <w:kern w:val="2"/>
          <w:sz w:val="21"/>
          <w:szCs w:val="21"/>
          <w:highlight w:val="none"/>
        </w:rPr>
      </w:pPr>
      <w:r>
        <w:rPr>
          <w:rFonts w:hint="eastAsia" w:ascii="仿宋" w:hAnsi="仿宋" w:eastAsia="仿宋" w:cs="仿宋"/>
          <w:bCs/>
          <w:color w:val="auto"/>
          <w:kern w:val="2"/>
          <w:sz w:val="21"/>
          <w:szCs w:val="21"/>
          <w:highlight w:val="none"/>
        </w:rPr>
        <w:t>（8）</w:t>
      </w:r>
      <w:r>
        <w:rPr>
          <w:rFonts w:hint="eastAsia" w:ascii="仿宋" w:hAnsi="仿宋" w:eastAsia="仿宋" w:cs="仿宋"/>
          <w:bCs/>
          <w:color w:val="auto"/>
          <w:kern w:val="2"/>
          <w:sz w:val="21"/>
          <w:szCs w:val="21"/>
          <w:highlight w:val="none"/>
        </w:rPr>
        <w:tab/>
      </w:r>
      <w:r>
        <w:rPr>
          <w:rFonts w:hint="eastAsia" w:ascii="仿宋" w:hAnsi="仿宋" w:eastAsia="仿宋" w:cs="仿宋"/>
          <w:bCs/>
          <w:color w:val="auto"/>
          <w:kern w:val="2"/>
          <w:sz w:val="21"/>
          <w:szCs w:val="21"/>
          <w:highlight w:val="none"/>
        </w:rPr>
        <w:t>人群健康保护和卫生防疫措施；</w:t>
      </w:r>
    </w:p>
    <w:p w14:paraId="62A01674">
      <w:pPr>
        <w:pStyle w:val="114"/>
        <w:adjustRightInd w:val="0"/>
        <w:snapToGrid w:val="0"/>
        <w:spacing w:line="360" w:lineRule="auto"/>
        <w:jc w:val="left"/>
        <w:rPr>
          <w:rFonts w:hint="eastAsia" w:ascii="仿宋" w:hAnsi="仿宋" w:eastAsia="仿宋" w:cs="仿宋"/>
          <w:bCs/>
          <w:color w:val="auto"/>
          <w:kern w:val="2"/>
          <w:sz w:val="21"/>
          <w:szCs w:val="21"/>
          <w:highlight w:val="none"/>
        </w:rPr>
      </w:pPr>
      <w:r>
        <w:rPr>
          <w:rFonts w:hint="eastAsia" w:ascii="仿宋" w:hAnsi="仿宋" w:eastAsia="仿宋" w:cs="仿宋"/>
          <w:bCs/>
          <w:color w:val="auto"/>
          <w:kern w:val="2"/>
          <w:sz w:val="21"/>
          <w:szCs w:val="21"/>
          <w:highlight w:val="none"/>
        </w:rPr>
        <w:t>（9）</w:t>
      </w:r>
      <w:r>
        <w:rPr>
          <w:rFonts w:hint="eastAsia" w:ascii="仿宋" w:hAnsi="仿宋" w:eastAsia="仿宋" w:cs="仿宋"/>
          <w:bCs/>
          <w:color w:val="auto"/>
          <w:kern w:val="2"/>
          <w:sz w:val="21"/>
          <w:szCs w:val="21"/>
          <w:highlight w:val="none"/>
        </w:rPr>
        <w:tab/>
      </w:r>
      <w:r>
        <w:rPr>
          <w:rFonts w:hint="eastAsia" w:ascii="仿宋" w:hAnsi="仿宋" w:eastAsia="仿宋" w:cs="仿宋"/>
          <w:bCs/>
          <w:color w:val="auto"/>
          <w:kern w:val="2"/>
          <w:sz w:val="21"/>
          <w:szCs w:val="21"/>
          <w:highlight w:val="none"/>
        </w:rPr>
        <w:t>防止误用有害材料的保证措施；</w:t>
      </w:r>
    </w:p>
    <w:p w14:paraId="02C6504D">
      <w:pPr>
        <w:pStyle w:val="114"/>
        <w:adjustRightInd w:val="0"/>
        <w:snapToGrid w:val="0"/>
        <w:spacing w:line="360" w:lineRule="auto"/>
        <w:jc w:val="left"/>
        <w:rPr>
          <w:rFonts w:hint="eastAsia" w:ascii="仿宋" w:hAnsi="仿宋" w:eastAsia="仿宋" w:cs="仿宋"/>
          <w:bCs/>
          <w:color w:val="auto"/>
          <w:kern w:val="2"/>
          <w:sz w:val="21"/>
          <w:szCs w:val="21"/>
          <w:highlight w:val="none"/>
        </w:rPr>
      </w:pPr>
      <w:r>
        <w:rPr>
          <w:rFonts w:hint="eastAsia" w:ascii="仿宋" w:hAnsi="仿宋" w:eastAsia="仿宋" w:cs="仿宋"/>
          <w:bCs/>
          <w:color w:val="auto"/>
          <w:kern w:val="2"/>
          <w:sz w:val="21"/>
          <w:szCs w:val="21"/>
          <w:highlight w:val="none"/>
        </w:rPr>
        <w:t>（10）</w:t>
      </w:r>
      <w:r>
        <w:rPr>
          <w:rFonts w:hint="eastAsia" w:ascii="仿宋" w:hAnsi="仿宋" w:eastAsia="仿宋" w:cs="仿宋"/>
          <w:bCs/>
          <w:color w:val="auto"/>
          <w:kern w:val="2"/>
          <w:sz w:val="21"/>
          <w:szCs w:val="21"/>
          <w:highlight w:val="none"/>
        </w:rPr>
        <w:tab/>
      </w:r>
      <w:r>
        <w:rPr>
          <w:rFonts w:hint="eastAsia" w:ascii="仿宋" w:hAnsi="仿宋" w:eastAsia="仿宋" w:cs="仿宋"/>
          <w:bCs/>
          <w:color w:val="auto"/>
          <w:kern w:val="2"/>
          <w:sz w:val="21"/>
          <w:szCs w:val="21"/>
          <w:highlight w:val="none"/>
        </w:rPr>
        <w:t>施工边坡工程的水土流失保护措施；</w:t>
      </w:r>
    </w:p>
    <w:p w14:paraId="110CBDD8">
      <w:pPr>
        <w:pStyle w:val="114"/>
        <w:adjustRightInd w:val="0"/>
        <w:snapToGrid w:val="0"/>
        <w:spacing w:line="360" w:lineRule="auto"/>
        <w:jc w:val="left"/>
        <w:rPr>
          <w:rFonts w:hint="eastAsia" w:ascii="仿宋" w:hAnsi="仿宋" w:eastAsia="仿宋" w:cs="仿宋"/>
          <w:bCs/>
          <w:color w:val="auto"/>
          <w:kern w:val="2"/>
          <w:sz w:val="21"/>
          <w:szCs w:val="21"/>
          <w:highlight w:val="none"/>
        </w:rPr>
      </w:pPr>
      <w:r>
        <w:rPr>
          <w:rFonts w:hint="eastAsia" w:ascii="仿宋" w:hAnsi="仿宋" w:eastAsia="仿宋" w:cs="仿宋"/>
          <w:bCs/>
          <w:color w:val="auto"/>
          <w:kern w:val="2"/>
          <w:sz w:val="21"/>
          <w:szCs w:val="21"/>
          <w:highlight w:val="none"/>
        </w:rPr>
        <w:t>（11）</w:t>
      </w:r>
      <w:r>
        <w:rPr>
          <w:rFonts w:hint="eastAsia" w:ascii="仿宋" w:hAnsi="仿宋" w:eastAsia="仿宋" w:cs="仿宋"/>
          <w:bCs/>
          <w:color w:val="auto"/>
          <w:kern w:val="2"/>
          <w:sz w:val="21"/>
          <w:szCs w:val="21"/>
          <w:highlight w:val="none"/>
        </w:rPr>
        <w:tab/>
      </w:r>
      <w:r>
        <w:rPr>
          <w:rFonts w:hint="eastAsia" w:ascii="仿宋" w:hAnsi="仿宋" w:eastAsia="仿宋" w:cs="仿宋"/>
          <w:bCs/>
          <w:color w:val="auto"/>
          <w:kern w:val="2"/>
          <w:sz w:val="21"/>
          <w:szCs w:val="21"/>
          <w:highlight w:val="none"/>
        </w:rPr>
        <w:t>道路污染防治措施；</w:t>
      </w:r>
    </w:p>
    <w:p w14:paraId="6B6C0DB5">
      <w:pPr>
        <w:pStyle w:val="114"/>
        <w:adjustRightInd w:val="0"/>
        <w:snapToGrid w:val="0"/>
        <w:spacing w:line="360" w:lineRule="auto"/>
        <w:jc w:val="left"/>
        <w:rPr>
          <w:rFonts w:hint="eastAsia" w:ascii="仿宋" w:hAnsi="仿宋" w:eastAsia="仿宋" w:cs="仿宋"/>
          <w:bCs/>
          <w:color w:val="auto"/>
          <w:kern w:val="2"/>
          <w:sz w:val="21"/>
          <w:szCs w:val="21"/>
          <w:highlight w:val="none"/>
        </w:rPr>
      </w:pPr>
      <w:r>
        <w:rPr>
          <w:rFonts w:hint="eastAsia" w:ascii="仿宋" w:hAnsi="仿宋" w:eastAsia="仿宋" w:cs="仿宋"/>
          <w:bCs/>
          <w:color w:val="auto"/>
          <w:kern w:val="2"/>
          <w:sz w:val="21"/>
          <w:szCs w:val="21"/>
          <w:highlight w:val="none"/>
        </w:rPr>
        <w:t>（12）</w:t>
      </w:r>
      <w:r>
        <w:rPr>
          <w:rFonts w:hint="eastAsia" w:ascii="仿宋" w:hAnsi="仿宋" w:eastAsia="仿宋" w:cs="仿宋"/>
          <w:bCs/>
          <w:color w:val="auto"/>
          <w:kern w:val="2"/>
          <w:sz w:val="21"/>
          <w:szCs w:val="21"/>
          <w:highlight w:val="none"/>
        </w:rPr>
        <w:tab/>
      </w:r>
      <w:r>
        <w:rPr>
          <w:rFonts w:hint="eastAsia" w:ascii="仿宋" w:hAnsi="仿宋" w:eastAsia="仿宋" w:cs="仿宋"/>
          <w:bCs/>
          <w:color w:val="auto"/>
          <w:kern w:val="2"/>
          <w:sz w:val="21"/>
          <w:szCs w:val="21"/>
          <w:highlight w:val="none"/>
        </w:rPr>
        <w:t>完工后场地清理及其植被（如果有）恢复的规划和措施；</w:t>
      </w:r>
    </w:p>
    <w:p w14:paraId="50099DA7">
      <w:pPr>
        <w:pStyle w:val="114"/>
        <w:adjustRightInd w:val="0"/>
        <w:snapToGrid w:val="0"/>
        <w:spacing w:line="360" w:lineRule="auto"/>
        <w:jc w:val="left"/>
        <w:rPr>
          <w:rFonts w:hint="eastAsia" w:ascii="仿宋" w:hAnsi="仿宋" w:eastAsia="仿宋" w:cs="仿宋"/>
          <w:bCs/>
          <w:color w:val="auto"/>
          <w:kern w:val="2"/>
          <w:sz w:val="21"/>
          <w:szCs w:val="21"/>
          <w:highlight w:val="none"/>
        </w:rPr>
      </w:pPr>
      <w:r>
        <w:rPr>
          <w:rFonts w:hint="eastAsia" w:ascii="仿宋" w:hAnsi="仿宋" w:eastAsia="仿宋" w:cs="仿宋"/>
          <w:bCs/>
          <w:color w:val="auto"/>
          <w:kern w:val="2"/>
          <w:sz w:val="21"/>
          <w:szCs w:val="21"/>
          <w:highlight w:val="none"/>
        </w:rPr>
        <w:t>（13）</w:t>
      </w:r>
      <w:r>
        <w:rPr>
          <w:rFonts w:hint="eastAsia" w:ascii="仿宋" w:hAnsi="仿宋" w:eastAsia="仿宋" w:cs="仿宋"/>
          <w:bCs/>
          <w:color w:val="auto"/>
          <w:kern w:val="2"/>
          <w:sz w:val="21"/>
          <w:szCs w:val="21"/>
          <w:highlight w:val="none"/>
        </w:rPr>
        <w:tab/>
      </w:r>
      <w:r>
        <w:rPr>
          <w:rFonts w:hint="eastAsia" w:ascii="仿宋" w:hAnsi="仿宋" w:eastAsia="仿宋" w:cs="仿宋"/>
          <w:bCs/>
          <w:color w:val="auto"/>
          <w:kern w:val="2"/>
          <w:sz w:val="21"/>
          <w:szCs w:val="21"/>
          <w:highlight w:val="none"/>
        </w:rPr>
        <w:t>其他：</w:t>
      </w:r>
    </w:p>
    <w:p w14:paraId="00C06E91">
      <w:pPr>
        <w:pStyle w:val="114"/>
        <w:adjustRightInd w:val="0"/>
        <w:snapToGrid w:val="0"/>
        <w:spacing w:line="360" w:lineRule="auto"/>
        <w:jc w:val="left"/>
        <w:rPr>
          <w:rFonts w:hint="eastAsia" w:ascii="仿宋" w:hAnsi="仿宋" w:eastAsia="仿宋" w:cs="仿宋"/>
          <w:bCs/>
          <w:color w:val="auto"/>
          <w:kern w:val="2"/>
          <w:sz w:val="21"/>
          <w:szCs w:val="21"/>
          <w:highlight w:val="none"/>
        </w:rPr>
      </w:pPr>
      <w:r>
        <w:rPr>
          <w:rFonts w:hint="eastAsia" w:ascii="仿宋" w:hAnsi="仿宋" w:eastAsia="仿宋" w:cs="仿宋"/>
          <w:bCs/>
          <w:color w:val="auto"/>
          <w:kern w:val="2"/>
          <w:sz w:val="21"/>
          <w:szCs w:val="21"/>
          <w:highlight w:val="none"/>
        </w:rPr>
        <w:t xml:space="preserve"> 6.9.2</w:t>
      </w:r>
      <w:r>
        <w:rPr>
          <w:rFonts w:hint="eastAsia" w:ascii="仿宋" w:hAnsi="仿宋" w:eastAsia="仿宋" w:cs="仿宋"/>
          <w:bCs/>
          <w:color w:val="auto"/>
          <w:kern w:val="2"/>
          <w:sz w:val="21"/>
          <w:szCs w:val="21"/>
          <w:highlight w:val="none"/>
        </w:rPr>
        <w:tab/>
      </w:r>
      <w:r>
        <w:rPr>
          <w:rFonts w:hint="eastAsia" w:ascii="仿宋" w:hAnsi="仿宋" w:eastAsia="仿宋" w:cs="仿宋"/>
          <w:bCs/>
          <w:color w:val="auto"/>
          <w:kern w:val="2"/>
          <w:sz w:val="21"/>
          <w:szCs w:val="21"/>
          <w:highlight w:val="none"/>
        </w:rPr>
        <w:t>施工环保措施计划应当在合同条款约定的期限内报送监理人。承包人应当严格执行经监理人批准的施工环保措施计划，并及时补充、修订和完善施工环保措施计划。</w:t>
      </w:r>
    </w:p>
    <w:p w14:paraId="73B3D27D">
      <w:pPr>
        <w:pStyle w:val="114"/>
        <w:adjustRightInd w:val="0"/>
        <w:snapToGrid w:val="0"/>
        <w:spacing w:line="360" w:lineRule="auto"/>
        <w:jc w:val="left"/>
        <w:rPr>
          <w:rFonts w:hint="eastAsia" w:ascii="仿宋" w:hAnsi="仿宋" w:eastAsia="仿宋" w:cs="仿宋"/>
          <w:color w:val="auto"/>
          <w:kern w:val="2"/>
          <w:sz w:val="21"/>
          <w:highlight w:val="none"/>
        </w:rPr>
      </w:pPr>
      <w:r>
        <w:rPr>
          <w:rFonts w:hint="eastAsia" w:ascii="仿宋" w:hAnsi="仿宋" w:eastAsia="仿宋" w:cs="仿宋"/>
          <w:b/>
          <w:color w:val="auto"/>
          <w:kern w:val="2"/>
          <w:sz w:val="21"/>
          <w:highlight w:val="none"/>
        </w:rPr>
        <w:t>7.</w:t>
      </w:r>
      <w:r>
        <w:rPr>
          <w:rFonts w:hint="eastAsia" w:ascii="仿宋" w:hAnsi="仿宋" w:eastAsia="仿宋" w:cs="仿宋"/>
          <w:color w:val="auto"/>
          <w:kern w:val="2"/>
          <w:sz w:val="21"/>
          <w:highlight w:val="none"/>
        </w:rPr>
        <w:t>治安保卫</w:t>
      </w:r>
    </w:p>
    <w:p w14:paraId="60A1C32A">
      <w:pPr>
        <w:pStyle w:val="114"/>
        <w:adjustRightInd w:val="0"/>
        <w:snapToGrid w:val="0"/>
        <w:spacing w:line="360" w:lineRule="auto"/>
        <w:jc w:val="left"/>
        <w:rPr>
          <w:rFonts w:hint="eastAsia" w:ascii="仿宋" w:hAnsi="仿宋" w:eastAsia="仿宋" w:cs="仿宋"/>
          <w:bCs/>
          <w:color w:val="auto"/>
          <w:kern w:val="2"/>
          <w:sz w:val="21"/>
          <w:szCs w:val="21"/>
          <w:highlight w:val="none"/>
        </w:rPr>
      </w:pPr>
      <w:r>
        <w:rPr>
          <w:rFonts w:hint="eastAsia" w:ascii="仿宋" w:hAnsi="仿宋" w:eastAsia="仿宋" w:cs="仿宋"/>
          <w:bCs/>
          <w:color w:val="auto"/>
          <w:kern w:val="2"/>
          <w:sz w:val="21"/>
          <w:szCs w:val="21"/>
          <w:highlight w:val="none"/>
        </w:rPr>
        <w:t>7.1</w:t>
      </w:r>
      <w:r>
        <w:rPr>
          <w:rFonts w:hint="eastAsia" w:ascii="仿宋" w:hAnsi="仿宋" w:eastAsia="仿宋" w:cs="仿宋"/>
          <w:bCs/>
          <w:color w:val="auto"/>
          <w:kern w:val="2"/>
          <w:sz w:val="21"/>
          <w:szCs w:val="21"/>
          <w:highlight w:val="none"/>
        </w:rPr>
        <w:tab/>
      </w:r>
      <w:r>
        <w:rPr>
          <w:rFonts w:hint="eastAsia" w:ascii="仿宋" w:hAnsi="仿宋" w:eastAsia="仿宋" w:cs="仿宋"/>
          <w:bCs/>
          <w:color w:val="auto"/>
          <w:kern w:val="2"/>
          <w:sz w:val="21"/>
          <w:szCs w:val="21"/>
          <w:highlight w:val="none"/>
        </w:rPr>
        <w:t>承包人应为施工场地（现场）提供24小时的保安保卫服务，配备足够的保安人员和保安设备，防止未经批准的任何人进入现场，控制人员、材料和设备等的进出场，防止现场材料、设备或其他任何物品的失窃，禁止任何现场内的打架斗殴事件。</w:t>
      </w:r>
    </w:p>
    <w:p w14:paraId="3842864C">
      <w:pPr>
        <w:pStyle w:val="114"/>
        <w:adjustRightInd w:val="0"/>
        <w:snapToGrid w:val="0"/>
        <w:spacing w:line="360" w:lineRule="auto"/>
        <w:jc w:val="left"/>
        <w:rPr>
          <w:rFonts w:hint="eastAsia" w:ascii="仿宋" w:hAnsi="仿宋" w:eastAsia="仿宋" w:cs="仿宋"/>
          <w:bCs/>
          <w:color w:val="auto"/>
          <w:kern w:val="2"/>
          <w:sz w:val="21"/>
          <w:szCs w:val="21"/>
          <w:highlight w:val="none"/>
        </w:rPr>
      </w:pPr>
      <w:r>
        <w:rPr>
          <w:rFonts w:hint="eastAsia" w:ascii="仿宋" w:hAnsi="仿宋" w:eastAsia="仿宋" w:cs="仿宋"/>
          <w:bCs/>
          <w:color w:val="auto"/>
          <w:kern w:val="2"/>
          <w:sz w:val="21"/>
          <w:szCs w:val="21"/>
          <w:highlight w:val="none"/>
        </w:rPr>
        <w:t>7.2</w:t>
      </w:r>
      <w:r>
        <w:rPr>
          <w:rFonts w:hint="eastAsia" w:ascii="仿宋" w:hAnsi="仿宋" w:eastAsia="仿宋" w:cs="仿宋"/>
          <w:bCs/>
          <w:color w:val="auto"/>
          <w:kern w:val="2"/>
          <w:sz w:val="21"/>
          <w:szCs w:val="21"/>
          <w:highlight w:val="none"/>
        </w:rPr>
        <w:tab/>
      </w:r>
      <w:r>
        <w:rPr>
          <w:rFonts w:hint="eastAsia" w:ascii="仿宋" w:hAnsi="仿宋" w:eastAsia="仿宋" w:cs="仿宋"/>
          <w:bCs/>
          <w:color w:val="auto"/>
          <w:kern w:val="2"/>
          <w:sz w:val="21"/>
          <w:szCs w:val="21"/>
          <w:highlight w:val="none"/>
        </w:rPr>
        <w:t>承包人的保安人员应是训练有素的专业保安人员，承包人可以雇佣专业保安公司负责现场保安和保卫；保安保卫制度除规范现场出入大门控制外，还应规定定时和不定时的施工场地(现场)周边和全现场的保安巡逻。</w:t>
      </w:r>
    </w:p>
    <w:p w14:paraId="4ECAFE97">
      <w:pPr>
        <w:pStyle w:val="114"/>
        <w:adjustRightInd w:val="0"/>
        <w:snapToGrid w:val="0"/>
        <w:spacing w:line="360" w:lineRule="auto"/>
        <w:jc w:val="left"/>
        <w:rPr>
          <w:rFonts w:hint="eastAsia" w:ascii="仿宋" w:hAnsi="仿宋" w:eastAsia="仿宋" w:cs="仿宋"/>
          <w:bCs/>
          <w:color w:val="auto"/>
          <w:kern w:val="2"/>
          <w:sz w:val="21"/>
          <w:szCs w:val="21"/>
          <w:highlight w:val="none"/>
        </w:rPr>
      </w:pPr>
      <w:r>
        <w:rPr>
          <w:rFonts w:hint="eastAsia" w:ascii="仿宋" w:hAnsi="仿宋" w:eastAsia="仿宋" w:cs="仿宋"/>
          <w:bCs/>
          <w:color w:val="auto"/>
          <w:kern w:val="2"/>
          <w:sz w:val="21"/>
          <w:szCs w:val="21"/>
          <w:highlight w:val="none"/>
        </w:rPr>
        <w:t>7.3</w:t>
      </w:r>
      <w:r>
        <w:rPr>
          <w:rFonts w:hint="eastAsia" w:ascii="仿宋" w:hAnsi="仿宋" w:eastAsia="仿宋" w:cs="仿宋"/>
          <w:bCs/>
          <w:color w:val="auto"/>
          <w:kern w:val="2"/>
          <w:sz w:val="21"/>
          <w:szCs w:val="21"/>
          <w:highlight w:val="none"/>
        </w:rPr>
        <w:tab/>
      </w:r>
      <w:r>
        <w:rPr>
          <w:rFonts w:hint="eastAsia" w:ascii="仿宋" w:hAnsi="仿宋" w:eastAsia="仿宋" w:cs="仿宋"/>
          <w:bCs/>
          <w:color w:val="auto"/>
          <w:kern w:val="2"/>
          <w:sz w:val="21"/>
          <w:szCs w:val="21"/>
          <w:highlight w:val="none"/>
        </w:rPr>
        <w:t>承包人应制定并实施严格的施工场地（现场）出入制度并报监理人审批；车辆的出入须有出入审批制度，并有指定的专人负责管理；人员进出现场应有出入证，出入证须以经过监理人批准的格式印制。</w:t>
      </w:r>
    </w:p>
    <w:p w14:paraId="7FD879B2">
      <w:pPr>
        <w:pStyle w:val="114"/>
        <w:adjustRightInd w:val="0"/>
        <w:snapToGrid w:val="0"/>
        <w:spacing w:line="360" w:lineRule="auto"/>
        <w:jc w:val="left"/>
        <w:rPr>
          <w:rFonts w:hint="eastAsia" w:ascii="仿宋" w:hAnsi="仿宋" w:eastAsia="仿宋" w:cs="仿宋"/>
          <w:bCs/>
          <w:color w:val="auto"/>
          <w:kern w:val="2"/>
          <w:sz w:val="21"/>
          <w:szCs w:val="21"/>
          <w:highlight w:val="none"/>
        </w:rPr>
      </w:pPr>
      <w:r>
        <w:rPr>
          <w:rFonts w:hint="eastAsia" w:ascii="仿宋" w:hAnsi="仿宋" w:eastAsia="仿宋" w:cs="仿宋"/>
          <w:bCs/>
          <w:color w:val="auto"/>
          <w:kern w:val="2"/>
          <w:sz w:val="21"/>
          <w:szCs w:val="21"/>
          <w:highlight w:val="none"/>
        </w:rPr>
        <w:t>7.4</w:t>
      </w:r>
      <w:r>
        <w:rPr>
          <w:rFonts w:hint="eastAsia" w:ascii="仿宋" w:hAnsi="仿宋" w:eastAsia="仿宋" w:cs="仿宋"/>
          <w:bCs/>
          <w:color w:val="auto"/>
          <w:kern w:val="2"/>
          <w:sz w:val="21"/>
          <w:szCs w:val="21"/>
          <w:highlight w:val="none"/>
        </w:rPr>
        <w:tab/>
      </w:r>
      <w:r>
        <w:rPr>
          <w:rFonts w:hint="eastAsia" w:ascii="仿宋" w:hAnsi="仿宋" w:eastAsia="仿宋" w:cs="仿宋"/>
          <w:bCs/>
          <w:color w:val="auto"/>
          <w:kern w:val="2"/>
          <w:sz w:val="21"/>
          <w:szCs w:val="21"/>
          <w:highlight w:val="none"/>
        </w:rPr>
        <w:t>承包人应确保任何未经监理人同意的参观人员进入现场；承包人应准备足够数量的专门用于参观人员的安全帽并带明显标志，承包人同时应准备一个参观人员登记簿用于记录所有参观现场人员的姓名、参观目的和参观时间等内容；承包人应确保每个参观现场的人员了解和遵守现场的安全管理规章制度，佩带安全帽，确保所有经发包人和监理人批准的参观人员的人身安全。</w:t>
      </w:r>
    </w:p>
    <w:p w14:paraId="5DFAFAF8">
      <w:pPr>
        <w:pStyle w:val="114"/>
        <w:adjustRightInd w:val="0"/>
        <w:snapToGrid w:val="0"/>
        <w:spacing w:line="360" w:lineRule="auto"/>
        <w:jc w:val="left"/>
        <w:rPr>
          <w:rFonts w:hint="eastAsia" w:ascii="仿宋" w:hAnsi="仿宋" w:eastAsia="仿宋" w:cs="仿宋"/>
          <w:bCs/>
          <w:color w:val="auto"/>
          <w:kern w:val="2"/>
          <w:sz w:val="21"/>
          <w:szCs w:val="21"/>
          <w:highlight w:val="none"/>
        </w:rPr>
      </w:pPr>
      <w:r>
        <w:rPr>
          <w:rFonts w:hint="eastAsia" w:ascii="仿宋" w:hAnsi="仿宋" w:eastAsia="仿宋" w:cs="仿宋"/>
          <w:bCs/>
          <w:color w:val="auto"/>
          <w:kern w:val="2"/>
          <w:sz w:val="21"/>
          <w:szCs w:val="21"/>
          <w:highlight w:val="none"/>
        </w:rPr>
        <w:t>7.5</w:t>
      </w:r>
      <w:r>
        <w:rPr>
          <w:rFonts w:hint="eastAsia" w:ascii="仿宋" w:hAnsi="仿宋" w:eastAsia="仿宋" w:cs="仿宋"/>
          <w:bCs/>
          <w:color w:val="auto"/>
          <w:kern w:val="2"/>
          <w:sz w:val="21"/>
          <w:szCs w:val="21"/>
          <w:highlight w:val="none"/>
        </w:rPr>
        <w:tab/>
      </w:r>
      <w:r>
        <w:rPr>
          <w:rFonts w:hint="eastAsia" w:ascii="仿宋" w:hAnsi="仿宋" w:eastAsia="仿宋" w:cs="仿宋"/>
          <w:bCs/>
          <w:color w:val="auto"/>
          <w:kern w:val="2"/>
          <w:sz w:val="21"/>
          <w:szCs w:val="21"/>
          <w:highlight w:val="none"/>
        </w:rPr>
        <w:t>承包人应为施工场地（现场）提供和维护符合建设行政主管部门和市容管理部门规定的临时围挡和其他安全维护，并在工程进度需要时，进行必要的改造。</w:t>
      </w:r>
    </w:p>
    <w:p w14:paraId="70FD256A">
      <w:pPr>
        <w:pStyle w:val="114"/>
        <w:adjustRightInd w:val="0"/>
        <w:snapToGrid w:val="0"/>
        <w:spacing w:line="360" w:lineRule="auto"/>
        <w:jc w:val="left"/>
        <w:rPr>
          <w:rFonts w:hint="eastAsia" w:ascii="仿宋" w:hAnsi="仿宋" w:eastAsia="仿宋" w:cs="仿宋"/>
          <w:bCs/>
          <w:color w:val="auto"/>
          <w:kern w:val="2"/>
          <w:sz w:val="21"/>
          <w:szCs w:val="21"/>
          <w:highlight w:val="none"/>
        </w:rPr>
      </w:pPr>
      <w:r>
        <w:rPr>
          <w:rFonts w:hint="eastAsia" w:ascii="仿宋" w:hAnsi="仿宋" w:eastAsia="仿宋" w:cs="仿宋"/>
          <w:bCs/>
          <w:color w:val="auto"/>
          <w:kern w:val="2"/>
          <w:sz w:val="21"/>
          <w:szCs w:val="21"/>
          <w:highlight w:val="none"/>
        </w:rPr>
        <w:t>7.6</w:t>
      </w:r>
      <w:r>
        <w:rPr>
          <w:rFonts w:hint="eastAsia" w:ascii="仿宋" w:hAnsi="仿宋" w:eastAsia="仿宋" w:cs="仿宋"/>
          <w:bCs/>
          <w:color w:val="auto"/>
          <w:kern w:val="2"/>
          <w:sz w:val="21"/>
          <w:szCs w:val="21"/>
          <w:highlight w:val="none"/>
        </w:rPr>
        <w:tab/>
      </w:r>
      <w:r>
        <w:rPr>
          <w:rFonts w:hint="eastAsia" w:ascii="仿宋" w:hAnsi="仿宋" w:eastAsia="仿宋" w:cs="仿宋"/>
          <w:bCs/>
          <w:color w:val="auto"/>
          <w:kern w:val="2"/>
          <w:sz w:val="21"/>
          <w:szCs w:val="21"/>
          <w:highlight w:val="none"/>
        </w:rPr>
        <w:t>承包人应当保证发包人支付的工程款项仅用于本合同目的，及时和足额地向所雇佣的人员支付劳动报酬，并制定严格的工人工资支付保障措施，确保所有分包人及时支付所雇佣工人的工资，有效防止影响社会安定的群体事件发生，并保障发包人免于因承包人（包括其分包人）拖欠工人工资而可能遭受的任何处罚、索赔、损失和损害等。</w:t>
      </w:r>
    </w:p>
    <w:p w14:paraId="3458B4C5">
      <w:pPr>
        <w:pStyle w:val="114"/>
        <w:adjustRightInd w:val="0"/>
        <w:snapToGrid w:val="0"/>
        <w:spacing w:line="360" w:lineRule="auto"/>
        <w:jc w:val="left"/>
        <w:rPr>
          <w:rFonts w:hint="eastAsia" w:ascii="仿宋" w:hAnsi="仿宋" w:eastAsia="仿宋" w:cs="仿宋"/>
          <w:bCs/>
          <w:color w:val="auto"/>
          <w:kern w:val="2"/>
          <w:sz w:val="21"/>
          <w:szCs w:val="21"/>
          <w:highlight w:val="none"/>
        </w:rPr>
      </w:pPr>
      <w:r>
        <w:rPr>
          <w:rFonts w:hint="eastAsia" w:ascii="仿宋" w:hAnsi="仿宋" w:eastAsia="仿宋" w:cs="仿宋"/>
          <w:bCs/>
          <w:color w:val="auto"/>
          <w:kern w:val="2"/>
          <w:sz w:val="21"/>
          <w:szCs w:val="21"/>
          <w:highlight w:val="none"/>
        </w:rPr>
        <w:t>7.7</w:t>
      </w:r>
      <w:r>
        <w:rPr>
          <w:rFonts w:hint="eastAsia" w:ascii="仿宋" w:hAnsi="仿宋" w:eastAsia="仿宋" w:cs="仿宋"/>
          <w:bCs/>
          <w:color w:val="auto"/>
          <w:kern w:val="2"/>
          <w:sz w:val="21"/>
          <w:szCs w:val="21"/>
          <w:highlight w:val="none"/>
        </w:rPr>
        <w:tab/>
      </w:r>
      <w:r>
        <w:rPr>
          <w:rFonts w:hint="eastAsia" w:ascii="仿宋" w:hAnsi="仿宋" w:eastAsia="仿宋" w:cs="仿宋"/>
          <w:bCs/>
          <w:color w:val="auto"/>
          <w:kern w:val="2"/>
          <w:sz w:val="21"/>
          <w:szCs w:val="21"/>
          <w:highlight w:val="none"/>
        </w:rPr>
        <w:t>施工场地（现场）治安管理计划的要求：</w:t>
      </w:r>
      <w:r>
        <w:rPr>
          <w:rFonts w:hint="eastAsia" w:ascii="仿宋" w:hAnsi="仿宋" w:eastAsia="仿宋" w:cs="仿宋"/>
          <w:bCs/>
          <w:color w:val="auto"/>
          <w:kern w:val="2"/>
          <w:sz w:val="21"/>
          <w:szCs w:val="21"/>
          <w:highlight w:val="none"/>
          <w:u w:val="single"/>
        </w:rPr>
        <w:t>无</w:t>
      </w:r>
    </w:p>
    <w:p w14:paraId="589A206A">
      <w:pPr>
        <w:pStyle w:val="114"/>
        <w:adjustRightInd w:val="0"/>
        <w:snapToGrid w:val="0"/>
        <w:spacing w:line="360" w:lineRule="auto"/>
        <w:jc w:val="left"/>
        <w:rPr>
          <w:rFonts w:hint="eastAsia" w:ascii="仿宋" w:hAnsi="仿宋" w:eastAsia="仿宋" w:cs="仿宋"/>
          <w:bCs/>
          <w:color w:val="auto"/>
          <w:kern w:val="2"/>
          <w:sz w:val="21"/>
          <w:szCs w:val="21"/>
          <w:highlight w:val="none"/>
        </w:rPr>
      </w:pPr>
      <w:r>
        <w:rPr>
          <w:rFonts w:hint="eastAsia" w:ascii="仿宋" w:hAnsi="仿宋" w:eastAsia="仿宋" w:cs="仿宋"/>
          <w:bCs/>
          <w:color w:val="auto"/>
          <w:kern w:val="2"/>
          <w:sz w:val="21"/>
          <w:szCs w:val="21"/>
          <w:highlight w:val="none"/>
        </w:rPr>
        <w:t>7.8</w:t>
      </w:r>
      <w:r>
        <w:rPr>
          <w:rFonts w:hint="eastAsia" w:ascii="仿宋" w:hAnsi="仿宋" w:eastAsia="仿宋" w:cs="仿宋"/>
          <w:bCs/>
          <w:color w:val="auto"/>
          <w:kern w:val="2"/>
          <w:sz w:val="21"/>
          <w:szCs w:val="21"/>
          <w:highlight w:val="none"/>
        </w:rPr>
        <w:tab/>
      </w:r>
      <w:r>
        <w:rPr>
          <w:rFonts w:hint="eastAsia" w:ascii="仿宋" w:hAnsi="仿宋" w:eastAsia="仿宋" w:cs="仿宋"/>
          <w:bCs/>
          <w:color w:val="auto"/>
          <w:kern w:val="2"/>
          <w:sz w:val="21"/>
          <w:szCs w:val="21"/>
          <w:highlight w:val="none"/>
        </w:rPr>
        <w:t>突发治安事件紧急预案的要求：</w:t>
      </w:r>
      <w:r>
        <w:rPr>
          <w:rFonts w:hint="eastAsia" w:ascii="仿宋" w:hAnsi="仿宋" w:eastAsia="仿宋" w:cs="仿宋"/>
          <w:bCs/>
          <w:color w:val="auto"/>
          <w:kern w:val="2"/>
          <w:sz w:val="21"/>
          <w:szCs w:val="21"/>
          <w:highlight w:val="none"/>
          <w:u w:val="single"/>
        </w:rPr>
        <w:t>无</w:t>
      </w:r>
    </w:p>
    <w:p w14:paraId="19F5ED41">
      <w:pPr>
        <w:pStyle w:val="114"/>
        <w:adjustRightInd w:val="0"/>
        <w:snapToGrid w:val="0"/>
        <w:spacing w:line="360" w:lineRule="auto"/>
        <w:jc w:val="left"/>
        <w:rPr>
          <w:rFonts w:hint="eastAsia" w:ascii="仿宋" w:hAnsi="仿宋" w:eastAsia="仿宋" w:cs="仿宋"/>
          <w:bCs/>
          <w:color w:val="auto"/>
          <w:kern w:val="2"/>
          <w:sz w:val="21"/>
          <w:szCs w:val="21"/>
          <w:highlight w:val="none"/>
        </w:rPr>
      </w:pPr>
      <w:r>
        <w:rPr>
          <w:rFonts w:hint="eastAsia" w:ascii="仿宋" w:hAnsi="仿宋" w:eastAsia="仿宋" w:cs="仿宋"/>
          <w:bCs/>
          <w:color w:val="auto"/>
          <w:kern w:val="2"/>
          <w:sz w:val="21"/>
          <w:szCs w:val="21"/>
          <w:highlight w:val="none"/>
        </w:rPr>
        <w:t>7.9</w:t>
      </w:r>
      <w:r>
        <w:rPr>
          <w:rFonts w:hint="eastAsia" w:ascii="仿宋" w:hAnsi="仿宋" w:eastAsia="仿宋" w:cs="仿宋"/>
          <w:bCs/>
          <w:color w:val="auto"/>
          <w:kern w:val="2"/>
          <w:sz w:val="21"/>
          <w:szCs w:val="21"/>
          <w:highlight w:val="none"/>
        </w:rPr>
        <w:tab/>
      </w:r>
      <w:r>
        <w:rPr>
          <w:rFonts w:hint="eastAsia" w:ascii="仿宋" w:hAnsi="仿宋" w:eastAsia="仿宋" w:cs="仿宋"/>
          <w:bCs/>
          <w:color w:val="auto"/>
          <w:kern w:val="2"/>
          <w:sz w:val="21"/>
          <w:szCs w:val="21"/>
          <w:highlight w:val="none"/>
        </w:rPr>
        <w:t>治安保卫方面的其他要求如下：</w:t>
      </w:r>
      <w:r>
        <w:rPr>
          <w:rFonts w:hint="eastAsia" w:ascii="仿宋" w:hAnsi="仿宋" w:eastAsia="仿宋" w:cs="仿宋"/>
          <w:bCs/>
          <w:color w:val="auto"/>
          <w:kern w:val="2"/>
          <w:sz w:val="21"/>
          <w:szCs w:val="21"/>
          <w:highlight w:val="none"/>
          <w:u w:val="single"/>
        </w:rPr>
        <w:t>无</w:t>
      </w:r>
    </w:p>
    <w:p w14:paraId="3DA148A5">
      <w:pPr>
        <w:pStyle w:val="114"/>
        <w:adjustRightInd w:val="0"/>
        <w:snapToGrid w:val="0"/>
        <w:spacing w:line="360" w:lineRule="auto"/>
        <w:jc w:val="left"/>
        <w:rPr>
          <w:rFonts w:hint="eastAsia" w:ascii="仿宋" w:hAnsi="仿宋" w:eastAsia="仿宋" w:cs="仿宋"/>
          <w:color w:val="auto"/>
          <w:kern w:val="2"/>
          <w:sz w:val="21"/>
          <w:highlight w:val="none"/>
        </w:rPr>
      </w:pPr>
      <w:r>
        <w:rPr>
          <w:rFonts w:hint="eastAsia" w:ascii="仿宋" w:hAnsi="仿宋" w:eastAsia="仿宋" w:cs="仿宋"/>
          <w:b/>
          <w:color w:val="auto"/>
          <w:kern w:val="2"/>
          <w:sz w:val="21"/>
          <w:highlight w:val="none"/>
        </w:rPr>
        <w:t>8.</w:t>
      </w:r>
      <w:r>
        <w:rPr>
          <w:rFonts w:hint="eastAsia" w:ascii="仿宋" w:hAnsi="仿宋" w:eastAsia="仿宋" w:cs="仿宋"/>
          <w:color w:val="auto"/>
          <w:kern w:val="2"/>
          <w:sz w:val="21"/>
          <w:highlight w:val="none"/>
        </w:rPr>
        <w:t>地上、地下设施和周边建筑物的临时保护</w:t>
      </w:r>
    </w:p>
    <w:p w14:paraId="0BE1CFA7">
      <w:pPr>
        <w:pStyle w:val="114"/>
        <w:adjustRightInd w:val="0"/>
        <w:snapToGrid w:val="0"/>
        <w:spacing w:line="360" w:lineRule="auto"/>
        <w:jc w:val="left"/>
        <w:rPr>
          <w:rFonts w:hint="eastAsia" w:ascii="仿宋" w:hAnsi="仿宋" w:eastAsia="仿宋" w:cs="仿宋"/>
          <w:bCs/>
          <w:color w:val="auto"/>
          <w:kern w:val="2"/>
          <w:sz w:val="21"/>
          <w:szCs w:val="21"/>
          <w:highlight w:val="none"/>
        </w:rPr>
      </w:pPr>
      <w:r>
        <w:rPr>
          <w:rFonts w:hint="eastAsia" w:ascii="仿宋" w:hAnsi="仿宋" w:eastAsia="仿宋" w:cs="仿宋"/>
          <w:bCs/>
          <w:color w:val="auto"/>
          <w:kern w:val="2"/>
          <w:sz w:val="21"/>
          <w:szCs w:val="21"/>
          <w:highlight w:val="none"/>
        </w:rPr>
        <w:t>8.1</w:t>
      </w:r>
      <w:r>
        <w:rPr>
          <w:rFonts w:hint="eastAsia" w:ascii="仿宋" w:hAnsi="仿宋" w:eastAsia="仿宋" w:cs="仿宋"/>
          <w:bCs/>
          <w:color w:val="auto"/>
          <w:kern w:val="2"/>
          <w:sz w:val="21"/>
          <w:szCs w:val="21"/>
          <w:highlight w:val="none"/>
        </w:rPr>
        <w:tab/>
      </w:r>
      <w:r>
        <w:rPr>
          <w:rFonts w:hint="eastAsia" w:ascii="仿宋" w:hAnsi="仿宋" w:eastAsia="仿宋" w:cs="仿宋"/>
          <w:bCs/>
          <w:color w:val="auto"/>
          <w:kern w:val="2"/>
          <w:sz w:val="21"/>
          <w:szCs w:val="21"/>
          <w:highlight w:val="none"/>
        </w:rPr>
        <w:t>承包人应为施工场地及其周边现有的地上、地下设施和建筑物提供足够的临时保护设施，确保施工过程中这些设施和建筑物不会受到干扰和破坏。</w:t>
      </w:r>
    </w:p>
    <w:p w14:paraId="7FF35170">
      <w:pPr>
        <w:pStyle w:val="114"/>
        <w:adjustRightInd w:val="0"/>
        <w:snapToGrid w:val="0"/>
        <w:spacing w:line="360" w:lineRule="auto"/>
        <w:jc w:val="left"/>
        <w:rPr>
          <w:rFonts w:hint="eastAsia" w:ascii="仿宋" w:hAnsi="仿宋" w:eastAsia="仿宋" w:cs="仿宋"/>
          <w:bCs/>
          <w:color w:val="auto"/>
          <w:kern w:val="2"/>
          <w:sz w:val="21"/>
          <w:szCs w:val="21"/>
          <w:highlight w:val="none"/>
        </w:rPr>
      </w:pPr>
      <w:r>
        <w:rPr>
          <w:rFonts w:hint="eastAsia" w:ascii="仿宋" w:hAnsi="仿宋" w:eastAsia="仿宋" w:cs="仿宋"/>
          <w:bCs/>
          <w:color w:val="auto"/>
          <w:kern w:val="2"/>
          <w:sz w:val="21"/>
          <w:szCs w:val="21"/>
          <w:highlight w:val="none"/>
        </w:rPr>
        <w:t>8.2</w:t>
      </w:r>
      <w:r>
        <w:rPr>
          <w:rFonts w:hint="eastAsia" w:ascii="仿宋" w:hAnsi="仿宋" w:eastAsia="仿宋" w:cs="仿宋"/>
          <w:bCs/>
          <w:color w:val="auto"/>
          <w:kern w:val="2"/>
          <w:sz w:val="21"/>
          <w:szCs w:val="21"/>
          <w:highlight w:val="none"/>
        </w:rPr>
        <w:tab/>
      </w:r>
      <w:r>
        <w:rPr>
          <w:rFonts w:hint="eastAsia" w:ascii="仿宋" w:hAnsi="仿宋" w:eastAsia="仿宋" w:cs="仿宋"/>
          <w:bCs/>
          <w:color w:val="auto"/>
          <w:kern w:val="2"/>
          <w:sz w:val="21"/>
          <w:szCs w:val="21"/>
          <w:highlight w:val="none"/>
        </w:rPr>
        <w:t>承包人应当制订现有设施临时保护方案和应急处理方案，并在本工程开工前至少提前7天报送监理人，监理人应在收到现有设施临时保护方案后的3天内批复承包人。承包人应当严格执行经监理人批准的保护方案，并保证在任何可能影响周边现有的地上、地下设施或周边建筑物的施工作业开始前，相应的临时保护设施能够落实到位。</w:t>
      </w:r>
    </w:p>
    <w:p w14:paraId="7B94C33C">
      <w:pPr>
        <w:pStyle w:val="114"/>
        <w:adjustRightInd w:val="0"/>
        <w:snapToGrid w:val="0"/>
        <w:spacing w:line="360" w:lineRule="auto"/>
        <w:jc w:val="left"/>
        <w:rPr>
          <w:rFonts w:hint="eastAsia" w:ascii="仿宋" w:hAnsi="仿宋" w:eastAsia="仿宋" w:cs="仿宋"/>
          <w:bCs/>
          <w:color w:val="auto"/>
          <w:kern w:val="2"/>
          <w:sz w:val="21"/>
          <w:szCs w:val="21"/>
          <w:highlight w:val="none"/>
        </w:rPr>
      </w:pPr>
      <w:r>
        <w:rPr>
          <w:rFonts w:hint="eastAsia" w:ascii="仿宋" w:hAnsi="仿宋" w:eastAsia="仿宋" w:cs="仿宋"/>
          <w:bCs/>
          <w:color w:val="auto"/>
          <w:kern w:val="2"/>
          <w:sz w:val="21"/>
          <w:szCs w:val="21"/>
          <w:highlight w:val="none"/>
        </w:rPr>
        <w:t>8.3</w:t>
      </w:r>
      <w:r>
        <w:rPr>
          <w:rFonts w:hint="eastAsia" w:ascii="仿宋" w:hAnsi="仿宋" w:eastAsia="仿宋" w:cs="仿宋"/>
          <w:bCs/>
          <w:color w:val="auto"/>
          <w:kern w:val="2"/>
          <w:sz w:val="21"/>
          <w:szCs w:val="21"/>
          <w:highlight w:val="none"/>
        </w:rPr>
        <w:tab/>
      </w:r>
      <w:r>
        <w:rPr>
          <w:rFonts w:hint="eastAsia" w:ascii="仿宋" w:hAnsi="仿宋" w:eastAsia="仿宋" w:cs="仿宋"/>
          <w:bCs/>
          <w:color w:val="auto"/>
          <w:kern w:val="2"/>
          <w:sz w:val="21"/>
          <w:szCs w:val="21"/>
          <w:highlight w:val="none"/>
        </w:rPr>
        <w:t>发包人特别提醒承包人注意以下地上、地下设施和周边建筑物的保护：</w:t>
      </w:r>
      <w:r>
        <w:rPr>
          <w:rFonts w:hint="eastAsia" w:ascii="仿宋" w:hAnsi="仿宋" w:eastAsia="仿宋" w:cs="仿宋"/>
          <w:bCs/>
          <w:color w:val="auto"/>
          <w:kern w:val="2"/>
          <w:sz w:val="21"/>
          <w:szCs w:val="21"/>
          <w:highlight w:val="none"/>
          <w:u w:val="single"/>
        </w:rPr>
        <w:t>无</w:t>
      </w:r>
    </w:p>
    <w:p w14:paraId="1600E9BF">
      <w:pPr>
        <w:pStyle w:val="114"/>
        <w:adjustRightInd w:val="0"/>
        <w:snapToGrid w:val="0"/>
        <w:spacing w:line="360" w:lineRule="auto"/>
        <w:jc w:val="left"/>
        <w:rPr>
          <w:rFonts w:hint="eastAsia" w:ascii="仿宋" w:hAnsi="仿宋" w:eastAsia="仿宋" w:cs="仿宋"/>
          <w:bCs/>
          <w:color w:val="auto"/>
          <w:kern w:val="2"/>
          <w:sz w:val="21"/>
          <w:szCs w:val="21"/>
          <w:highlight w:val="none"/>
        </w:rPr>
      </w:pPr>
      <w:r>
        <w:rPr>
          <w:rFonts w:hint="eastAsia" w:ascii="仿宋" w:hAnsi="仿宋" w:eastAsia="仿宋" w:cs="仿宋"/>
          <w:bCs/>
          <w:color w:val="auto"/>
          <w:kern w:val="2"/>
          <w:sz w:val="21"/>
          <w:szCs w:val="21"/>
          <w:highlight w:val="none"/>
        </w:rPr>
        <w:t>8.4</w:t>
      </w:r>
      <w:r>
        <w:rPr>
          <w:rFonts w:hint="eastAsia" w:ascii="仿宋" w:hAnsi="仿宋" w:eastAsia="仿宋" w:cs="仿宋"/>
          <w:bCs/>
          <w:color w:val="auto"/>
          <w:kern w:val="2"/>
          <w:sz w:val="21"/>
          <w:szCs w:val="21"/>
          <w:highlight w:val="none"/>
        </w:rPr>
        <w:tab/>
      </w:r>
      <w:r>
        <w:rPr>
          <w:rFonts w:hint="eastAsia" w:ascii="仿宋" w:hAnsi="仿宋" w:eastAsia="仿宋" w:cs="仿宋"/>
          <w:bCs/>
          <w:color w:val="auto"/>
          <w:kern w:val="2"/>
          <w:sz w:val="21"/>
          <w:szCs w:val="21"/>
          <w:highlight w:val="none"/>
        </w:rPr>
        <w:t>地上、地下设施和周边建筑物的临时保护的其他要求如下:</w:t>
      </w:r>
      <w:r>
        <w:rPr>
          <w:rFonts w:hint="eastAsia" w:ascii="仿宋" w:hAnsi="仿宋" w:eastAsia="仿宋" w:cs="仿宋"/>
          <w:bCs/>
          <w:color w:val="auto"/>
          <w:kern w:val="2"/>
          <w:sz w:val="21"/>
          <w:szCs w:val="21"/>
          <w:highlight w:val="none"/>
          <w:u w:val="single"/>
        </w:rPr>
        <w:t>无</w:t>
      </w:r>
    </w:p>
    <w:p w14:paraId="32135566">
      <w:pPr>
        <w:pStyle w:val="114"/>
        <w:adjustRightInd w:val="0"/>
        <w:snapToGrid w:val="0"/>
        <w:spacing w:line="360" w:lineRule="auto"/>
        <w:jc w:val="left"/>
        <w:rPr>
          <w:rFonts w:hint="eastAsia" w:ascii="仿宋" w:hAnsi="仿宋" w:eastAsia="仿宋" w:cs="仿宋"/>
          <w:color w:val="auto"/>
          <w:kern w:val="2"/>
          <w:sz w:val="21"/>
          <w:highlight w:val="none"/>
        </w:rPr>
      </w:pPr>
      <w:r>
        <w:rPr>
          <w:rFonts w:hint="eastAsia" w:ascii="仿宋" w:hAnsi="仿宋" w:eastAsia="仿宋" w:cs="仿宋"/>
          <w:color w:val="auto"/>
          <w:kern w:val="2"/>
          <w:sz w:val="21"/>
          <w:highlight w:val="none"/>
        </w:rPr>
        <w:t>9. 样品和材料代换</w:t>
      </w:r>
    </w:p>
    <w:p w14:paraId="5C88841A">
      <w:pPr>
        <w:pStyle w:val="114"/>
        <w:adjustRightInd w:val="0"/>
        <w:snapToGrid w:val="0"/>
        <w:spacing w:line="360" w:lineRule="auto"/>
        <w:jc w:val="left"/>
        <w:rPr>
          <w:rFonts w:hint="eastAsia" w:ascii="仿宋" w:hAnsi="仿宋" w:eastAsia="仿宋" w:cs="仿宋"/>
          <w:bCs/>
          <w:color w:val="auto"/>
          <w:kern w:val="2"/>
          <w:sz w:val="21"/>
          <w:szCs w:val="21"/>
          <w:highlight w:val="none"/>
        </w:rPr>
      </w:pPr>
      <w:r>
        <w:rPr>
          <w:rFonts w:hint="eastAsia" w:ascii="仿宋" w:hAnsi="仿宋" w:eastAsia="仿宋" w:cs="仿宋"/>
          <w:bCs/>
          <w:color w:val="auto"/>
          <w:kern w:val="2"/>
          <w:sz w:val="21"/>
          <w:szCs w:val="21"/>
          <w:highlight w:val="none"/>
        </w:rPr>
        <w:t>9.1</w:t>
      </w:r>
      <w:r>
        <w:rPr>
          <w:rFonts w:hint="eastAsia" w:ascii="仿宋" w:hAnsi="仿宋" w:eastAsia="仿宋" w:cs="仿宋"/>
          <w:bCs/>
          <w:color w:val="auto"/>
          <w:kern w:val="2"/>
          <w:sz w:val="21"/>
          <w:szCs w:val="21"/>
          <w:highlight w:val="none"/>
        </w:rPr>
        <w:tab/>
      </w:r>
      <w:r>
        <w:rPr>
          <w:rFonts w:hint="eastAsia" w:ascii="仿宋" w:hAnsi="仿宋" w:eastAsia="仿宋" w:cs="仿宋"/>
          <w:bCs/>
          <w:color w:val="auto"/>
          <w:kern w:val="2"/>
          <w:sz w:val="21"/>
          <w:szCs w:val="21"/>
          <w:highlight w:val="none"/>
        </w:rPr>
        <w:t>样品</w:t>
      </w:r>
    </w:p>
    <w:p w14:paraId="1FA25669">
      <w:pPr>
        <w:pStyle w:val="114"/>
        <w:adjustRightInd w:val="0"/>
        <w:snapToGrid w:val="0"/>
        <w:spacing w:line="360" w:lineRule="auto"/>
        <w:jc w:val="left"/>
        <w:rPr>
          <w:rFonts w:hint="eastAsia" w:ascii="仿宋" w:hAnsi="仿宋" w:eastAsia="仿宋" w:cs="仿宋"/>
          <w:bCs/>
          <w:color w:val="auto"/>
          <w:kern w:val="2"/>
          <w:sz w:val="21"/>
          <w:szCs w:val="21"/>
          <w:highlight w:val="none"/>
        </w:rPr>
      </w:pPr>
      <w:r>
        <w:rPr>
          <w:rFonts w:hint="eastAsia" w:ascii="仿宋" w:hAnsi="仿宋" w:eastAsia="仿宋" w:cs="仿宋"/>
          <w:bCs/>
          <w:color w:val="auto"/>
          <w:kern w:val="2"/>
          <w:sz w:val="21"/>
          <w:szCs w:val="21"/>
          <w:highlight w:val="none"/>
        </w:rPr>
        <w:t>9.1.1</w:t>
      </w:r>
      <w:r>
        <w:rPr>
          <w:rFonts w:hint="eastAsia" w:ascii="仿宋" w:hAnsi="仿宋" w:eastAsia="仿宋" w:cs="仿宋"/>
          <w:bCs/>
          <w:color w:val="auto"/>
          <w:kern w:val="2"/>
          <w:sz w:val="21"/>
          <w:szCs w:val="21"/>
          <w:highlight w:val="none"/>
        </w:rPr>
        <w:tab/>
      </w:r>
      <w:r>
        <w:rPr>
          <w:rFonts w:hint="eastAsia" w:ascii="仿宋" w:hAnsi="仿宋" w:eastAsia="仿宋" w:cs="仿宋"/>
          <w:bCs/>
          <w:color w:val="auto"/>
          <w:kern w:val="2"/>
          <w:sz w:val="21"/>
          <w:szCs w:val="21"/>
          <w:highlight w:val="none"/>
        </w:rPr>
        <w:t>本工程需要承包人提供样品的材料和工程设备如下：</w:t>
      </w:r>
      <w:r>
        <w:rPr>
          <w:rFonts w:hint="eastAsia" w:ascii="仿宋" w:hAnsi="仿宋" w:eastAsia="仿宋" w:cs="仿宋"/>
          <w:bCs/>
          <w:color w:val="auto"/>
          <w:kern w:val="2"/>
          <w:sz w:val="21"/>
          <w:szCs w:val="21"/>
          <w:highlight w:val="none"/>
          <w:u w:val="single"/>
        </w:rPr>
        <w:t>无</w:t>
      </w:r>
    </w:p>
    <w:p w14:paraId="57E2AF50">
      <w:pPr>
        <w:pStyle w:val="114"/>
        <w:adjustRightInd w:val="0"/>
        <w:snapToGrid w:val="0"/>
        <w:spacing w:line="360" w:lineRule="auto"/>
        <w:jc w:val="left"/>
        <w:rPr>
          <w:rFonts w:hint="eastAsia" w:ascii="仿宋" w:hAnsi="仿宋" w:eastAsia="仿宋" w:cs="仿宋"/>
          <w:bCs/>
          <w:color w:val="auto"/>
          <w:kern w:val="2"/>
          <w:sz w:val="21"/>
          <w:szCs w:val="21"/>
          <w:highlight w:val="none"/>
        </w:rPr>
      </w:pPr>
      <w:r>
        <w:rPr>
          <w:rFonts w:hint="eastAsia" w:ascii="仿宋" w:hAnsi="仿宋" w:eastAsia="仿宋" w:cs="仿宋"/>
          <w:bCs/>
          <w:color w:val="auto"/>
          <w:kern w:val="2"/>
          <w:sz w:val="21"/>
          <w:szCs w:val="21"/>
          <w:highlight w:val="none"/>
        </w:rPr>
        <w:t>9.1.2</w:t>
      </w:r>
      <w:r>
        <w:rPr>
          <w:rFonts w:hint="eastAsia" w:ascii="仿宋" w:hAnsi="仿宋" w:eastAsia="仿宋" w:cs="仿宋"/>
          <w:bCs/>
          <w:color w:val="auto"/>
          <w:kern w:val="2"/>
          <w:sz w:val="21"/>
          <w:szCs w:val="21"/>
          <w:highlight w:val="none"/>
        </w:rPr>
        <w:tab/>
      </w:r>
      <w:r>
        <w:rPr>
          <w:rFonts w:hint="eastAsia" w:ascii="仿宋" w:hAnsi="仿宋" w:eastAsia="仿宋" w:cs="仿宋"/>
          <w:bCs/>
          <w:color w:val="auto"/>
          <w:kern w:val="2"/>
          <w:sz w:val="21"/>
          <w:szCs w:val="21"/>
          <w:highlight w:val="none"/>
        </w:rPr>
        <w:t>对于本款第9.1.1项约定的材料和工程设备，承包人应按照合同条款约定的期限，向监理人提交样品并附上任何必要的说明书、生产（制造）许可证书、出厂合格证明或者证书、出厂检测报告、性能介绍、使用说明等相关资料，同时注明材料和工程设备的供货人及品种、规格、数量和供货时间等，以供检验和审批。样品送达的地点和样品的数量或尺寸应符合监理人和发包人的要求。除合同另有约定外，承包人在报送任何样品时应按监理人同意的格式填写并递交样品报送单。监理人应及时签收样品。</w:t>
      </w:r>
    </w:p>
    <w:p w14:paraId="1B9BC833">
      <w:pPr>
        <w:pStyle w:val="114"/>
        <w:adjustRightInd w:val="0"/>
        <w:snapToGrid w:val="0"/>
        <w:spacing w:line="360" w:lineRule="auto"/>
        <w:jc w:val="left"/>
        <w:rPr>
          <w:rFonts w:hint="eastAsia" w:ascii="仿宋" w:hAnsi="仿宋" w:eastAsia="仿宋" w:cs="仿宋"/>
          <w:bCs/>
          <w:color w:val="auto"/>
          <w:kern w:val="2"/>
          <w:sz w:val="21"/>
          <w:szCs w:val="21"/>
          <w:highlight w:val="none"/>
        </w:rPr>
      </w:pPr>
      <w:r>
        <w:rPr>
          <w:rFonts w:hint="eastAsia" w:ascii="仿宋" w:hAnsi="仿宋" w:eastAsia="仿宋" w:cs="仿宋"/>
          <w:bCs/>
          <w:color w:val="auto"/>
          <w:kern w:val="2"/>
          <w:sz w:val="21"/>
          <w:szCs w:val="21"/>
          <w:highlight w:val="none"/>
        </w:rPr>
        <w:t>9.1.3</w:t>
      </w:r>
      <w:r>
        <w:rPr>
          <w:rFonts w:hint="eastAsia" w:ascii="仿宋" w:hAnsi="仿宋" w:eastAsia="仿宋" w:cs="仿宋"/>
          <w:bCs/>
          <w:color w:val="auto"/>
          <w:kern w:val="2"/>
          <w:sz w:val="21"/>
          <w:szCs w:val="21"/>
          <w:highlight w:val="none"/>
        </w:rPr>
        <w:tab/>
      </w:r>
      <w:r>
        <w:rPr>
          <w:rFonts w:hint="eastAsia" w:ascii="仿宋" w:hAnsi="仿宋" w:eastAsia="仿宋" w:cs="仿宋"/>
          <w:bCs/>
          <w:color w:val="auto"/>
          <w:kern w:val="2"/>
          <w:sz w:val="21"/>
          <w:szCs w:val="21"/>
          <w:highlight w:val="none"/>
        </w:rPr>
        <w:t>合同条款约定的依法不需要招标的、以暂估价形式包括在工程量清单中的材料和工程设备，所附资料除本款第9.1.2项约定的内容外，还应附上价格资料，每一类材料设备，至少应准备符合合同要求的三个产品，价格分高、中、低三档，以便监理人和发包人选择和批准。</w:t>
      </w:r>
    </w:p>
    <w:p w14:paraId="5D0B33D9">
      <w:pPr>
        <w:pStyle w:val="114"/>
        <w:adjustRightInd w:val="0"/>
        <w:snapToGrid w:val="0"/>
        <w:spacing w:line="360" w:lineRule="auto"/>
        <w:jc w:val="left"/>
        <w:rPr>
          <w:rFonts w:hint="eastAsia" w:ascii="仿宋" w:hAnsi="仿宋" w:eastAsia="仿宋" w:cs="仿宋"/>
          <w:bCs/>
          <w:color w:val="auto"/>
          <w:kern w:val="2"/>
          <w:sz w:val="21"/>
          <w:szCs w:val="21"/>
          <w:highlight w:val="none"/>
        </w:rPr>
      </w:pPr>
      <w:r>
        <w:rPr>
          <w:rFonts w:hint="eastAsia" w:ascii="仿宋" w:hAnsi="仿宋" w:eastAsia="仿宋" w:cs="仿宋"/>
          <w:bCs/>
          <w:color w:val="auto"/>
          <w:kern w:val="2"/>
          <w:sz w:val="21"/>
          <w:szCs w:val="21"/>
          <w:highlight w:val="none"/>
        </w:rPr>
        <w:t>9.1.4</w:t>
      </w:r>
      <w:r>
        <w:rPr>
          <w:rFonts w:hint="eastAsia" w:ascii="仿宋" w:hAnsi="仿宋" w:eastAsia="仿宋" w:cs="仿宋"/>
          <w:bCs/>
          <w:color w:val="auto"/>
          <w:kern w:val="2"/>
          <w:sz w:val="21"/>
          <w:szCs w:val="21"/>
          <w:highlight w:val="none"/>
        </w:rPr>
        <w:tab/>
      </w:r>
      <w:r>
        <w:rPr>
          <w:rFonts w:hint="eastAsia" w:ascii="仿宋" w:hAnsi="仿宋" w:eastAsia="仿宋" w:cs="仿宋"/>
          <w:bCs/>
          <w:color w:val="auto"/>
          <w:kern w:val="2"/>
          <w:sz w:val="21"/>
          <w:szCs w:val="21"/>
          <w:highlight w:val="none"/>
        </w:rPr>
        <w:t>监理人应在收到承包人报送的样品后7天内转呈发包人并附上监理人的书面审批意见。发包人在收到通过监理人转交的样品以及监理人的审批意见后7天内就此样品给出书面批复。监理人应在收到样品后21天内通知承包人他相关样品所做出的决定或指示（同时抄送一份给发包人）。承包人应根据监理人的书面批复和指示相应地进行下一步工作。如果监理人未能在承包人报送样品后21天内给出书面批复，承包人应就此通知监理人，要求尽快批复。如果发包人在收到此类通知后7天内仍未对样品进行批复，则视为监理人和发包人已经批准。</w:t>
      </w:r>
    </w:p>
    <w:p w14:paraId="2366CBF9">
      <w:pPr>
        <w:pStyle w:val="114"/>
        <w:adjustRightInd w:val="0"/>
        <w:snapToGrid w:val="0"/>
        <w:spacing w:line="360" w:lineRule="auto"/>
        <w:jc w:val="left"/>
        <w:rPr>
          <w:rFonts w:hint="eastAsia" w:ascii="仿宋" w:hAnsi="仿宋" w:eastAsia="仿宋" w:cs="仿宋"/>
          <w:bCs/>
          <w:color w:val="auto"/>
          <w:kern w:val="2"/>
          <w:sz w:val="21"/>
          <w:szCs w:val="21"/>
          <w:highlight w:val="none"/>
        </w:rPr>
      </w:pPr>
      <w:r>
        <w:rPr>
          <w:rFonts w:hint="eastAsia" w:ascii="仿宋" w:hAnsi="仿宋" w:eastAsia="仿宋" w:cs="仿宋"/>
          <w:bCs/>
          <w:color w:val="auto"/>
          <w:kern w:val="2"/>
          <w:sz w:val="21"/>
          <w:szCs w:val="21"/>
          <w:highlight w:val="none"/>
        </w:rPr>
        <w:t>9.1.5</w:t>
      </w:r>
      <w:r>
        <w:rPr>
          <w:rFonts w:hint="eastAsia" w:ascii="仿宋" w:hAnsi="仿宋" w:eastAsia="仿宋" w:cs="仿宋"/>
          <w:bCs/>
          <w:color w:val="auto"/>
          <w:kern w:val="2"/>
          <w:sz w:val="21"/>
          <w:szCs w:val="21"/>
          <w:highlight w:val="none"/>
        </w:rPr>
        <w:tab/>
      </w:r>
      <w:r>
        <w:rPr>
          <w:rFonts w:hint="eastAsia" w:ascii="仿宋" w:hAnsi="仿宋" w:eastAsia="仿宋" w:cs="仿宋"/>
          <w:bCs/>
          <w:color w:val="auto"/>
          <w:kern w:val="2"/>
          <w:sz w:val="21"/>
          <w:szCs w:val="21"/>
          <w:highlight w:val="none"/>
        </w:rPr>
        <w:t>得到批准后的样品由监理人负责存放。但承包人应为保存样品提供适当和固定的场所并保持适当和良好的环境条件。</w:t>
      </w:r>
    </w:p>
    <w:p w14:paraId="45EBB0F2">
      <w:pPr>
        <w:pStyle w:val="114"/>
        <w:adjustRightInd w:val="0"/>
        <w:snapToGrid w:val="0"/>
        <w:spacing w:line="360" w:lineRule="auto"/>
        <w:jc w:val="left"/>
        <w:rPr>
          <w:rFonts w:hint="eastAsia" w:ascii="仿宋" w:hAnsi="仿宋" w:eastAsia="仿宋" w:cs="仿宋"/>
          <w:bCs/>
          <w:color w:val="auto"/>
          <w:kern w:val="2"/>
          <w:sz w:val="21"/>
          <w:szCs w:val="21"/>
          <w:highlight w:val="none"/>
        </w:rPr>
      </w:pPr>
      <w:r>
        <w:rPr>
          <w:rFonts w:hint="eastAsia" w:ascii="仿宋" w:hAnsi="仿宋" w:eastAsia="仿宋" w:cs="仿宋"/>
          <w:bCs/>
          <w:color w:val="auto"/>
          <w:kern w:val="2"/>
          <w:sz w:val="21"/>
          <w:szCs w:val="21"/>
          <w:highlight w:val="none"/>
        </w:rPr>
        <w:t>9.1.6</w:t>
      </w:r>
      <w:r>
        <w:rPr>
          <w:rFonts w:hint="eastAsia" w:ascii="仿宋" w:hAnsi="仿宋" w:eastAsia="仿宋" w:cs="仿宋"/>
          <w:bCs/>
          <w:color w:val="auto"/>
          <w:kern w:val="2"/>
          <w:sz w:val="21"/>
          <w:szCs w:val="21"/>
          <w:highlight w:val="none"/>
        </w:rPr>
        <w:tab/>
      </w:r>
      <w:r>
        <w:rPr>
          <w:rFonts w:hint="eastAsia" w:ascii="仿宋" w:hAnsi="仿宋" w:eastAsia="仿宋" w:cs="仿宋"/>
          <w:bCs/>
          <w:color w:val="auto"/>
          <w:kern w:val="2"/>
          <w:sz w:val="21"/>
          <w:szCs w:val="21"/>
          <w:highlight w:val="none"/>
        </w:rPr>
        <w:t>提供样品和提供存放样品场所的费用由承包人承担。</w:t>
      </w:r>
    </w:p>
    <w:p w14:paraId="6985B524">
      <w:pPr>
        <w:pStyle w:val="114"/>
        <w:adjustRightInd w:val="0"/>
        <w:snapToGrid w:val="0"/>
        <w:spacing w:line="360" w:lineRule="auto"/>
        <w:jc w:val="left"/>
        <w:rPr>
          <w:rFonts w:hint="eastAsia" w:ascii="仿宋" w:hAnsi="仿宋" w:eastAsia="仿宋" w:cs="仿宋"/>
          <w:bCs/>
          <w:color w:val="auto"/>
          <w:kern w:val="2"/>
          <w:sz w:val="21"/>
          <w:szCs w:val="21"/>
          <w:highlight w:val="none"/>
        </w:rPr>
      </w:pPr>
      <w:r>
        <w:rPr>
          <w:rFonts w:hint="eastAsia" w:ascii="仿宋" w:hAnsi="仿宋" w:eastAsia="仿宋" w:cs="仿宋"/>
          <w:bCs/>
          <w:color w:val="auto"/>
          <w:kern w:val="2"/>
          <w:sz w:val="21"/>
          <w:szCs w:val="21"/>
          <w:highlight w:val="none"/>
        </w:rPr>
        <w:t>9.2</w:t>
      </w:r>
      <w:r>
        <w:rPr>
          <w:rFonts w:hint="eastAsia" w:ascii="仿宋" w:hAnsi="仿宋" w:eastAsia="仿宋" w:cs="仿宋"/>
          <w:bCs/>
          <w:color w:val="auto"/>
          <w:kern w:val="2"/>
          <w:sz w:val="21"/>
          <w:szCs w:val="21"/>
          <w:highlight w:val="none"/>
        </w:rPr>
        <w:tab/>
      </w:r>
      <w:r>
        <w:rPr>
          <w:rFonts w:hint="eastAsia" w:ascii="仿宋" w:hAnsi="仿宋" w:eastAsia="仿宋" w:cs="仿宋"/>
          <w:bCs/>
          <w:color w:val="auto"/>
          <w:kern w:val="2"/>
          <w:sz w:val="21"/>
          <w:szCs w:val="21"/>
          <w:highlight w:val="none"/>
        </w:rPr>
        <w:t>材料代换</w:t>
      </w:r>
    </w:p>
    <w:p w14:paraId="35C67FA3">
      <w:pPr>
        <w:pStyle w:val="114"/>
        <w:adjustRightInd w:val="0"/>
        <w:snapToGrid w:val="0"/>
        <w:spacing w:line="360" w:lineRule="auto"/>
        <w:jc w:val="left"/>
        <w:rPr>
          <w:rFonts w:hint="eastAsia" w:ascii="仿宋" w:hAnsi="仿宋" w:eastAsia="仿宋" w:cs="仿宋"/>
          <w:bCs/>
          <w:color w:val="auto"/>
          <w:kern w:val="2"/>
          <w:sz w:val="21"/>
          <w:szCs w:val="21"/>
          <w:highlight w:val="none"/>
        </w:rPr>
      </w:pPr>
      <w:r>
        <w:rPr>
          <w:rFonts w:hint="eastAsia" w:ascii="仿宋" w:hAnsi="仿宋" w:eastAsia="仿宋" w:cs="仿宋"/>
          <w:bCs/>
          <w:color w:val="auto"/>
          <w:kern w:val="2"/>
          <w:sz w:val="21"/>
          <w:szCs w:val="21"/>
          <w:highlight w:val="none"/>
        </w:rPr>
        <w:t>9.2.1</w:t>
      </w:r>
      <w:r>
        <w:rPr>
          <w:rFonts w:hint="eastAsia" w:ascii="仿宋" w:hAnsi="仿宋" w:eastAsia="仿宋" w:cs="仿宋"/>
          <w:bCs/>
          <w:color w:val="auto"/>
          <w:kern w:val="2"/>
          <w:sz w:val="21"/>
          <w:szCs w:val="21"/>
          <w:highlight w:val="none"/>
        </w:rPr>
        <w:tab/>
      </w:r>
      <w:r>
        <w:rPr>
          <w:rFonts w:hint="eastAsia" w:ascii="仿宋" w:hAnsi="仿宋" w:eastAsia="仿宋" w:cs="仿宋"/>
          <w:bCs/>
          <w:color w:val="auto"/>
          <w:kern w:val="2"/>
          <w:sz w:val="21"/>
          <w:szCs w:val="21"/>
          <w:highlight w:val="none"/>
        </w:rPr>
        <w:t>如果任何后继法律、法规、规章、规范、标准和规程等等禁止使用合同中约定的材料和工程设备，承包人应当按本款约定的程序使用其他替代品来实施工程或修补缺陷。监理人对使用替代品的批准以及承包人据此使用替代品不应减免合同约定的承包人的任何责任和义务。</w:t>
      </w:r>
    </w:p>
    <w:p w14:paraId="6FD2641C">
      <w:pPr>
        <w:pStyle w:val="114"/>
        <w:adjustRightInd w:val="0"/>
        <w:snapToGrid w:val="0"/>
        <w:spacing w:line="360" w:lineRule="auto"/>
        <w:jc w:val="left"/>
        <w:rPr>
          <w:rFonts w:hint="eastAsia" w:ascii="仿宋" w:hAnsi="仿宋" w:eastAsia="仿宋" w:cs="仿宋"/>
          <w:bCs/>
          <w:color w:val="auto"/>
          <w:kern w:val="2"/>
          <w:sz w:val="21"/>
          <w:szCs w:val="21"/>
          <w:highlight w:val="none"/>
        </w:rPr>
      </w:pPr>
      <w:r>
        <w:rPr>
          <w:rFonts w:hint="eastAsia" w:ascii="仿宋" w:hAnsi="仿宋" w:eastAsia="仿宋" w:cs="仿宋"/>
          <w:bCs/>
          <w:color w:val="auto"/>
          <w:kern w:val="2"/>
          <w:sz w:val="21"/>
          <w:szCs w:val="21"/>
          <w:highlight w:val="none"/>
        </w:rPr>
        <w:t>9.2.2</w:t>
      </w:r>
      <w:r>
        <w:rPr>
          <w:rFonts w:hint="eastAsia" w:ascii="仿宋" w:hAnsi="仿宋" w:eastAsia="仿宋" w:cs="仿宋"/>
          <w:bCs/>
          <w:color w:val="auto"/>
          <w:kern w:val="2"/>
          <w:sz w:val="21"/>
          <w:szCs w:val="21"/>
          <w:highlight w:val="none"/>
        </w:rPr>
        <w:tab/>
      </w:r>
      <w:r>
        <w:rPr>
          <w:rFonts w:hint="eastAsia" w:ascii="仿宋" w:hAnsi="仿宋" w:eastAsia="仿宋" w:cs="仿宋"/>
          <w:bCs/>
          <w:color w:val="auto"/>
          <w:kern w:val="2"/>
          <w:sz w:val="21"/>
          <w:szCs w:val="21"/>
          <w:highlight w:val="none"/>
        </w:rPr>
        <w:t>如果使用替代品，承包人应至少在被替代品按批准的进度计划用于永久工程前56天以书面形式通知监理人并随此通知提交下列文件：</w:t>
      </w:r>
    </w:p>
    <w:p w14:paraId="5F6AE063">
      <w:pPr>
        <w:pStyle w:val="114"/>
        <w:adjustRightInd w:val="0"/>
        <w:snapToGrid w:val="0"/>
        <w:spacing w:line="360" w:lineRule="auto"/>
        <w:jc w:val="left"/>
        <w:rPr>
          <w:rFonts w:hint="eastAsia" w:ascii="仿宋" w:hAnsi="仿宋" w:eastAsia="仿宋" w:cs="仿宋"/>
          <w:bCs/>
          <w:color w:val="auto"/>
          <w:kern w:val="2"/>
          <w:sz w:val="21"/>
          <w:szCs w:val="21"/>
          <w:highlight w:val="none"/>
        </w:rPr>
      </w:pPr>
      <w:r>
        <w:rPr>
          <w:rFonts w:hint="eastAsia" w:ascii="仿宋" w:hAnsi="仿宋" w:eastAsia="仿宋" w:cs="仿宋"/>
          <w:bCs/>
          <w:color w:val="auto"/>
          <w:kern w:val="2"/>
          <w:sz w:val="21"/>
          <w:szCs w:val="21"/>
          <w:highlight w:val="none"/>
        </w:rPr>
        <w:t>（1）拟被替代的合同约定的材料和工程设备的名称、数量、规格、型号、品牌、性能、价格及其他任何详细资料；</w:t>
      </w:r>
    </w:p>
    <w:p w14:paraId="0B4703F1">
      <w:pPr>
        <w:pStyle w:val="114"/>
        <w:adjustRightInd w:val="0"/>
        <w:snapToGrid w:val="0"/>
        <w:spacing w:line="360" w:lineRule="auto"/>
        <w:jc w:val="left"/>
        <w:rPr>
          <w:rFonts w:hint="eastAsia" w:ascii="仿宋" w:hAnsi="仿宋" w:eastAsia="仿宋" w:cs="仿宋"/>
          <w:bCs/>
          <w:color w:val="auto"/>
          <w:kern w:val="2"/>
          <w:sz w:val="21"/>
          <w:szCs w:val="21"/>
          <w:highlight w:val="none"/>
        </w:rPr>
      </w:pPr>
      <w:r>
        <w:rPr>
          <w:rFonts w:hint="eastAsia" w:ascii="仿宋" w:hAnsi="仿宋" w:eastAsia="仿宋" w:cs="仿宋"/>
          <w:bCs/>
          <w:color w:val="auto"/>
          <w:kern w:val="2"/>
          <w:sz w:val="21"/>
          <w:szCs w:val="21"/>
          <w:highlight w:val="none"/>
        </w:rPr>
        <w:t>（2）拟采用的替代品的名称、数量、规格、型号、品牌、性能、价格及其他任何必要的详细资料；</w:t>
      </w:r>
    </w:p>
    <w:p w14:paraId="13FD8D8D">
      <w:pPr>
        <w:pStyle w:val="114"/>
        <w:adjustRightInd w:val="0"/>
        <w:snapToGrid w:val="0"/>
        <w:spacing w:line="360" w:lineRule="auto"/>
        <w:jc w:val="left"/>
        <w:rPr>
          <w:rFonts w:hint="eastAsia" w:ascii="仿宋" w:hAnsi="仿宋" w:eastAsia="仿宋" w:cs="仿宋"/>
          <w:bCs/>
          <w:color w:val="auto"/>
          <w:kern w:val="2"/>
          <w:sz w:val="21"/>
          <w:szCs w:val="21"/>
          <w:highlight w:val="none"/>
        </w:rPr>
      </w:pPr>
      <w:r>
        <w:rPr>
          <w:rFonts w:hint="eastAsia" w:ascii="仿宋" w:hAnsi="仿宋" w:eastAsia="仿宋" w:cs="仿宋"/>
          <w:bCs/>
          <w:color w:val="auto"/>
          <w:kern w:val="2"/>
          <w:sz w:val="21"/>
          <w:szCs w:val="21"/>
          <w:highlight w:val="none"/>
        </w:rPr>
        <w:t>（3）替代品使用的工程部位；</w:t>
      </w:r>
    </w:p>
    <w:p w14:paraId="4695A48D">
      <w:pPr>
        <w:pStyle w:val="114"/>
        <w:adjustRightInd w:val="0"/>
        <w:snapToGrid w:val="0"/>
        <w:spacing w:line="360" w:lineRule="auto"/>
        <w:jc w:val="left"/>
        <w:rPr>
          <w:rFonts w:hint="eastAsia" w:ascii="仿宋" w:hAnsi="仿宋" w:eastAsia="仿宋" w:cs="仿宋"/>
          <w:bCs/>
          <w:color w:val="auto"/>
          <w:kern w:val="2"/>
          <w:sz w:val="21"/>
          <w:szCs w:val="21"/>
          <w:highlight w:val="none"/>
        </w:rPr>
      </w:pPr>
      <w:r>
        <w:rPr>
          <w:rFonts w:hint="eastAsia" w:ascii="仿宋" w:hAnsi="仿宋" w:eastAsia="仿宋" w:cs="仿宋"/>
          <w:bCs/>
          <w:color w:val="auto"/>
          <w:kern w:val="2"/>
          <w:sz w:val="21"/>
          <w:szCs w:val="21"/>
          <w:highlight w:val="none"/>
        </w:rPr>
        <w:t>（4）采用替代品的理由和原因说明；</w:t>
      </w:r>
    </w:p>
    <w:p w14:paraId="482D9353">
      <w:pPr>
        <w:pStyle w:val="114"/>
        <w:adjustRightInd w:val="0"/>
        <w:snapToGrid w:val="0"/>
        <w:spacing w:line="360" w:lineRule="auto"/>
        <w:jc w:val="left"/>
        <w:rPr>
          <w:rFonts w:hint="eastAsia" w:ascii="仿宋" w:hAnsi="仿宋" w:eastAsia="仿宋" w:cs="仿宋"/>
          <w:bCs/>
          <w:color w:val="auto"/>
          <w:kern w:val="2"/>
          <w:sz w:val="21"/>
          <w:szCs w:val="21"/>
          <w:highlight w:val="none"/>
        </w:rPr>
      </w:pPr>
      <w:r>
        <w:rPr>
          <w:rFonts w:hint="eastAsia" w:ascii="仿宋" w:hAnsi="仿宋" w:eastAsia="仿宋" w:cs="仿宋"/>
          <w:bCs/>
          <w:color w:val="auto"/>
          <w:kern w:val="2"/>
          <w:sz w:val="21"/>
          <w:szCs w:val="21"/>
          <w:highlight w:val="none"/>
        </w:rPr>
        <w:t>（5）替代品与合同中约定的产品之间的差异以及使用替代品后可能对工程产生的任何影响；</w:t>
      </w:r>
    </w:p>
    <w:p w14:paraId="0BC99627">
      <w:pPr>
        <w:pStyle w:val="114"/>
        <w:adjustRightInd w:val="0"/>
        <w:snapToGrid w:val="0"/>
        <w:spacing w:line="360" w:lineRule="auto"/>
        <w:jc w:val="left"/>
        <w:rPr>
          <w:rFonts w:hint="eastAsia" w:ascii="仿宋" w:hAnsi="仿宋" w:eastAsia="仿宋" w:cs="仿宋"/>
          <w:bCs/>
          <w:color w:val="auto"/>
          <w:kern w:val="2"/>
          <w:sz w:val="21"/>
          <w:szCs w:val="21"/>
          <w:highlight w:val="none"/>
        </w:rPr>
      </w:pPr>
      <w:r>
        <w:rPr>
          <w:rFonts w:hint="eastAsia" w:ascii="仿宋" w:hAnsi="仿宋" w:eastAsia="仿宋" w:cs="仿宋"/>
          <w:bCs/>
          <w:color w:val="auto"/>
          <w:kern w:val="2"/>
          <w:sz w:val="21"/>
          <w:szCs w:val="21"/>
          <w:highlight w:val="none"/>
        </w:rPr>
        <w:t>（6）价格上的差异；</w:t>
      </w:r>
    </w:p>
    <w:p w14:paraId="174B2D0A">
      <w:pPr>
        <w:pStyle w:val="114"/>
        <w:adjustRightInd w:val="0"/>
        <w:snapToGrid w:val="0"/>
        <w:spacing w:line="360" w:lineRule="auto"/>
        <w:jc w:val="left"/>
        <w:rPr>
          <w:rFonts w:hint="eastAsia" w:ascii="仿宋" w:hAnsi="仿宋" w:eastAsia="仿宋" w:cs="仿宋"/>
          <w:bCs/>
          <w:color w:val="auto"/>
          <w:kern w:val="2"/>
          <w:sz w:val="21"/>
          <w:szCs w:val="21"/>
          <w:highlight w:val="none"/>
        </w:rPr>
      </w:pPr>
      <w:r>
        <w:rPr>
          <w:rFonts w:hint="eastAsia" w:ascii="仿宋" w:hAnsi="仿宋" w:eastAsia="仿宋" w:cs="仿宋"/>
          <w:bCs/>
          <w:color w:val="auto"/>
          <w:kern w:val="2"/>
          <w:sz w:val="21"/>
          <w:szCs w:val="21"/>
          <w:highlight w:val="none"/>
        </w:rPr>
        <w:t>（7）监理人为做出适当的决定而随时要求承包人提供的任何其他文件。</w:t>
      </w:r>
    </w:p>
    <w:p w14:paraId="6A8805D5">
      <w:pPr>
        <w:pStyle w:val="114"/>
        <w:adjustRightInd w:val="0"/>
        <w:snapToGrid w:val="0"/>
        <w:spacing w:line="360" w:lineRule="auto"/>
        <w:jc w:val="left"/>
        <w:rPr>
          <w:rFonts w:hint="eastAsia" w:ascii="仿宋" w:hAnsi="仿宋" w:eastAsia="仿宋" w:cs="仿宋"/>
          <w:bCs/>
          <w:color w:val="auto"/>
          <w:kern w:val="2"/>
          <w:sz w:val="21"/>
          <w:szCs w:val="21"/>
          <w:highlight w:val="none"/>
        </w:rPr>
      </w:pPr>
      <w:r>
        <w:rPr>
          <w:rFonts w:hint="eastAsia" w:ascii="仿宋" w:hAnsi="仿宋" w:eastAsia="仿宋" w:cs="仿宋"/>
          <w:bCs/>
          <w:color w:val="auto"/>
          <w:kern w:val="2"/>
          <w:sz w:val="21"/>
          <w:szCs w:val="21"/>
          <w:highlight w:val="none"/>
        </w:rPr>
        <w:t>监理人在收到此类通知及上述文件后，应在28天内向承包人给出书面指示。如果28天内监理人未给出书面指示，应视为监理人和发包人已经批准使用上述替代品，承包人可以据此使用替代品。</w:t>
      </w:r>
    </w:p>
    <w:p w14:paraId="4767F533">
      <w:pPr>
        <w:pStyle w:val="114"/>
        <w:adjustRightInd w:val="0"/>
        <w:snapToGrid w:val="0"/>
        <w:spacing w:line="360" w:lineRule="auto"/>
        <w:jc w:val="left"/>
        <w:rPr>
          <w:rFonts w:hint="eastAsia" w:ascii="仿宋" w:hAnsi="仿宋" w:eastAsia="仿宋" w:cs="仿宋"/>
          <w:bCs/>
          <w:color w:val="auto"/>
          <w:kern w:val="2"/>
          <w:sz w:val="21"/>
          <w:szCs w:val="21"/>
          <w:highlight w:val="none"/>
        </w:rPr>
      </w:pPr>
      <w:r>
        <w:rPr>
          <w:rFonts w:hint="eastAsia" w:ascii="仿宋" w:hAnsi="仿宋" w:eastAsia="仿宋" w:cs="仿宋"/>
          <w:bCs/>
          <w:color w:val="auto"/>
          <w:kern w:val="2"/>
          <w:sz w:val="21"/>
          <w:szCs w:val="21"/>
          <w:highlight w:val="none"/>
        </w:rPr>
        <w:t>9.2.3</w:t>
      </w:r>
      <w:r>
        <w:rPr>
          <w:rFonts w:hint="eastAsia" w:ascii="仿宋" w:hAnsi="仿宋" w:eastAsia="仿宋" w:cs="仿宋"/>
          <w:bCs/>
          <w:color w:val="auto"/>
          <w:kern w:val="2"/>
          <w:sz w:val="21"/>
          <w:szCs w:val="21"/>
          <w:highlight w:val="none"/>
        </w:rPr>
        <w:tab/>
      </w:r>
      <w:r>
        <w:rPr>
          <w:rFonts w:hint="eastAsia" w:ascii="仿宋" w:hAnsi="仿宋" w:eastAsia="仿宋" w:cs="仿宋"/>
          <w:bCs/>
          <w:color w:val="auto"/>
          <w:kern w:val="2"/>
          <w:sz w:val="21"/>
          <w:szCs w:val="21"/>
          <w:highlight w:val="none"/>
        </w:rPr>
        <w:t>任何情况下，替代品都应遵守本合同中对相关材料和工程设备的要求。</w:t>
      </w:r>
    </w:p>
    <w:p w14:paraId="2407B9CD">
      <w:pPr>
        <w:pStyle w:val="114"/>
        <w:adjustRightInd w:val="0"/>
        <w:snapToGrid w:val="0"/>
        <w:spacing w:line="360" w:lineRule="auto"/>
        <w:jc w:val="left"/>
        <w:rPr>
          <w:rFonts w:hint="eastAsia" w:ascii="仿宋" w:hAnsi="仿宋" w:eastAsia="仿宋" w:cs="仿宋"/>
          <w:bCs/>
          <w:color w:val="auto"/>
          <w:kern w:val="2"/>
          <w:sz w:val="21"/>
          <w:szCs w:val="21"/>
          <w:highlight w:val="none"/>
        </w:rPr>
      </w:pPr>
      <w:r>
        <w:rPr>
          <w:rFonts w:hint="eastAsia" w:ascii="仿宋" w:hAnsi="仿宋" w:eastAsia="仿宋" w:cs="仿宋"/>
          <w:bCs/>
          <w:color w:val="auto"/>
          <w:kern w:val="2"/>
          <w:sz w:val="21"/>
          <w:szCs w:val="21"/>
          <w:highlight w:val="none"/>
        </w:rPr>
        <w:t>9.2.4</w:t>
      </w:r>
      <w:r>
        <w:rPr>
          <w:rFonts w:hint="eastAsia" w:ascii="仿宋" w:hAnsi="仿宋" w:eastAsia="仿宋" w:cs="仿宋"/>
          <w:bCs/>
          <w:color w:val="auto"/>
          <w:kern w:val="2"/>
          <w:sz w:val="21"/>
          <w:szCs w:val="21"/>
          <w:highlight w:val="none"/>
        </w:rPr>
        <w:tab/>
      </w:r>
      <w:r>
        <w:rPr>
          <w:rFonts w:hint="eastAsia" w:ascii="仿宋" w:hAnsi="仿宋" w:eastAsia="仿宋" w:cs="仿宋"/>
          <w:bCs/>
          <w:color w:val="auto"/>
          <w:kern w:val="2"/>
          <w:sz w:val="21"/>
          <w:szCs w:val="21"/>
          <w:highlight w:val="none"/>
        </w:rPr>
        <w:t>如果承包人根据本条约定使用了替代品，监理人应与承包人适当协商之后并在合理的期限内确定替代材料和工程设备与合同中约定的材料和工程设备之间的价值差值。</w:t>
      </w:r>
    </w:p>
    <w:p w14:paraId="76A906D5">
      <w:pPr>
        <w:pStyle w:val="114"/>
        <w:adjustRightInd w:val="0"/>
        <w:snapToGrid w:val="0"/>
        <w:spacing w:line="360" w:lineRule="auto"/>
        <w:jc w:val="left"/>
        <w:rPr>
          <w:rFonts w:hint="eastAsia" w:ascii="仿宋" w:hAnsi="仿宋" w:eastAsia="仿宋" w:cs="仿宋"/>
          <w:color w:val="auto"/>
          <w:kern w:val="2"/>
          <w:sz w:val="21"/>
          <w:highlight w:val="none"/>
        </w:rPr>
      </w:pPr>
      <w:r>
        <w:rPr>
          <w:rFonts w:hint="eastAsia" w:ascii="仿宋" w:hAnsi="仿宋" w:eastAsia="仿宋" w:cs="仿宋"/>
          <w:color w:val="auto"/>
          <w:kern w:val="2"/>
          <w:sz w:val="21"/>
          <w:highlight w:val="none"/>
        </w:rPr>
        <w:t>10. 进口材料和工程设备</w:t>
      </w:r>
    </w:p>
    <w:p w14:paraId="5EEDC0A8">
      <w:pPr>
        <w:pStyle w:val="114"/>
        <w:adjustRightInd w:val="0"/>
        <w:snapToGrid w:val="0"/>
        <w:spacing w:line="360" w:lineRule="auto"/>
        <w:jc w:val="left"/>
        <w:rPr>
          <w:rFonts w:hint="eastAsia" w:ascii="仿宋" w:hAnsi="仿宋" w:eastAsia="仿宋" w:cs="仿宋"/>
          <w:bCs/>
          <w:color w:val="auto"/>
          <w:kern w:val="2"/>
          <w:sz w:val="21"/>
          <w:szCs w:val="21"/>
          <w:highlight w:val="none"/>
        </w:rPr>
      </w:pPr>
      <w:r>
        <w:rPr>
          <w:rFonts w:hint="eastAsia" w:ascii="仿宋" w:hAnsi="仿宋" w:eastAsia="仿宋" w:cs="仿宋"/>
          <w:bCs/>
          <w:color w:val="auto"/>
          <w:kern w:val="2"/>
          <w:sz w:val="21"/>
          <w:szCs w:val="21"/>
          <w:highlight w:val="none"/>
        </w:rPr>
        <w:t>10.1</w:t>
      </w:r>
      <w:r>
        <w:rPr>
          <w:rFonts w:hint="eastAsia" w:ascii="仿宋" w:hAnsi="仿宋" w:eastAsia="仿宋" w:cs="仿宋"/>
          <w:bCs/>
          <w:color w:val="auto"/>
          <w:kern w:val="2"/>
          <w:sz w:val="21"/>
          <w:szCs w:val="21"/>
          <w:highlight w:val="none"/>
        </w:rPr>
        <w:tab/>
      </w:r>
      <w:r>
        <w:rPr>
          <w:rFonts w:hint="eastAsia" w:ascii="仿宋" w:hAnsi="仿宋" w:eastAsia="仿宋" w:cs="仿宋"/>
          <w:bCs/>
          <w:color w:val="auto"/>
          <w:kern w:val="2"/>
          <w:sz w:val="21"/>
          <w:szCs w:val="21"/>
          <w:highlight w:val="none"/>
        </w:rPr>
        <w:t>本工程需要进口的材料和工程设备如下：</w:t>
      </w:r>
      <w:r>
        <w:rPr>
          <w:rFonts w:hint="eastAsia" w:ascii="仿宋" w:hAnsi="仿宋" w:eastAsia="仿宋" w:cs="仿宋"/>
          <w:bCs/>
          <w:color w:val="auto"/>
          <w:kern w:val="2"/>
          <w:sz w:val="21"/>
          <w:szCs w:val="21"/>
          <w:highlight w:val="none"/>
          <w:u w:val="single"/>
        </w:rPr>
        <w:t>无</w:t>
      </w:r>
    </w:p>
    <w:p w14:paraId="56C6BE56">
      <w:pPr>
        <w:pStyle w:val="114"/>
        <w:adjustRightInd w:val="0"/>
        <w:snapToGrid w:val="0"/>
        <w:spacing w:line="360" w:lineRule="auto"/>
        <w:jc w:val="left"/>
        <w:rPr>
          <w:rFonts w:hint="eastAsia" w:ascii="仿宋" w:hAnsi="仿宋" w:eastAsia="仿宋" w:cs="仿宋"/>
          <w:bCs/>
          <w:color w:val="auto"/>
          <w:kern w:val="2"/>
          <w:sz w:val="21"/>
          <w:szCs w:val="21"/>
          <w:highlight w:val="none"/>
        </w:rPr>
      </w:pPr>
      <w:r>
        <w:rPr>
          <w:rFonts w:hint="eastAsia" w:ascii="仿宋" w:hAnsi="仿宋" w:eastAsia="仿宋" w:cs="仿宋"/>
          <w:bCs/>
          <w:color w:val="auto"/>
          <w:kern w:val="2"/>
          <w:sz w:val="21"/>
          <w:szCs w:val="21"/>
          <w:highlight w:val="none"/>
        </w:rPr>
        <w:t>10.2</w:t>
      </w:r>
      <w:r>
        <w:rPr>
          <w:rFonts w:hint="eastAsia" w:ascii="仿宋" w:hAnsi="仿宋" w:eastAsia="仿宋" w:cs="仿宋"/>
          <w:bCs/>
          <w:color w:val="auto"/>
          <w:kern w:val="2"/>
          <w:sz w:val="21"/>
          <w:szCs w:val="21"/>
          <w:highlight w:val="none"/>
        </w:rPr>
        <w:tab/>
      </w:r>
      <w:r>
        <w:rPr>
          <w:rFonts w:hint="eastAsia" w:ascii="仿宋" w:hAnsi="仿宋" w:eastAsia="仿宋" w:cs="仿宋"/>
          <w:bCs/>
          <w:color w:val="auto"/>
          <w:kern w:val="2"/>
          <w:sz w:val="21"/>
          <w:szCs w:val="21"/>
          <w:highlight w:val="none"/>
        </w:rPr>
        <w:t>上述进口材料和工程设备采购、进口、报关、清关、商检、境内运输（包括保险）、保管的责任以及费用承担方式划分如下：</w:t>
      </w:r>
      <w:r>
        <w:rPr>
          <w:rFonts w:hint="eastAsia" w:ascii="仿宋" w:hAnsi="仿宋" w:eastAsia="仿宋" w:cs="仿宋"/>
          <w:bCs/>
          <w:color w:val="auto"/>
          <w:kern w:val="2"/>
          <w:sz w:val="21"/>
          <w:szCs w:val="21"/>
          <w:highlight w:val="none"/>
          <w:u w:val="single"/>
        </w:rPr>
        <w:t>无</w:t>
      </w:r>
    </w:p>
    <w:p w14:paraId="3A329635">
      <w:pPr>
        <w:pStyle w:val="114"/>
        <w:adjustRightInd w:val="0"/>
        <w:snapToGrid w:val="0"/>
        <w:spacing w:line="360" w:lineRule="auto"/>
        <w:jc w:val="left"/>
        <w:rPr>
          <w:rFonts w:hint="eastAsia" w:ascii="仿宋" w:hAnsi="仿宋" w:eastAsia="仿宋" w:cs="仿宋"/>
          <w:color w:val="auto"/>
          <w:kern w:val="2"/>
          <w:sz w:val="21"/>
          <w:highlight w:val="none"/>
        </w:rPr>
      </w:pPr>
      <w:r>
        <w:rPr>
          <w:rFonts w:hint="eastAsia" w:ascii="仿宋" w:hAnsi="仿宋" w:eastAsia="仿宋" w:cs="仿宋"/>
          <w:color w:val="auto"/>
          <w:kern w:val="2"/>
          <w:sz w:val="21"/>
          <w:highlight w:val="none"/>
        </w:rPr>
        <w:t>11. 进度报告和进度例会</w:t>
      </w:r>
    </w:p>
    <w:p w14:paraId="0E9D8ADE">
      <w:pPr>
        <w:pStyle w:val="114"/>
        <w:adjustRightInd w:val="0"/>
        <w:snapToGrid w:val="0"/>
        <w:spacing w:line="360" w:lineRule="auto"/>
        <w:jc w:val="left"/>
        <w:rPr>
          <w:rFonts w:hint="eastAsia" w:ascii="仿宋" w:hAnsi="仿宋" w:eastAsia="仿宋" w:cs="仿宋"/>
          <w:bCs/>
          <w:color w:val="auto"/>
          <w:kern w:val="2"/>
          <w:sz w:val="21"/>
          <w:szCs w:val="21"/>
          <w:highlight w:val="none"/>
        </w:rPr>
      </w:pPr>
      <w:r>
        <w:rPr>
          <w:rFonts w:hint="eastAsia" w:ascii="仿宋" w:hAnsi="仿宋" w:eastAsia="仿宋" w:cs="仿宋"/>
          <w:bCs/>
          <w:color w:val="auto"/>
          <w:kern w:val="2"/>
          <w:sz w:val="21"/>
          <w:szCs w:val="21"/>
          <w:highlight w:val="none"/>
        </w:rPr>
        <w:t>11.1</w:t>
      </w:r>
      <w:r>
        <w:rPr>
          <w:rFonts w:hint="eastAsia" w:ascii="仿宋" w:hAnsi="仿宋" w:eastAsia="仿宋" w:cs="仿宋"/>
          <w:bCs/>
          <w:color w:val="auto"/>
          <w:kern w:val="2"/>
          <w:sz w:val="21"/>
          <w:szCs w:val="21"/>
          <w:highlight w:val="none"/>
        </w:rPr>
        <w:tab/>
      </w:r>
      <w:r>
        <w:rPr>
          <w:rFonts w:hint="eastAsia" w:ascii="仿宋" w:hAnsi="仿宋" w:eastAsia="仿宋" w:cs="仿宋"/>
          <w:bCs/>
          <w:color w:val="auto"/>
          <w:kern w:val="2"/>
          <w:sz w:val="21"/>
          <w:szCs w:val="21"/>
          <w:highlight w:val="none"/>
        </w:rPr>
        <w:t>进度报告</w:t>
      </w:r>
    </w:p>
    <w:p w14:paraId="30D2A124">
      <w:pPr>
        <w:pStyle w:val="114"/>
        <w:adjustRightInd w:val="0"/>
        <w:snapToGrid w:val="0"/>
        <w:spacing w:line="360" w:lineRule="auto"/>
        <w:jc w:val="left"/>
        <w:rPr>
          <w:rFonts w:hint="eastAsia" w:ascii="仿宋" w:hAnsi="仿宋" w:eastAsia="仿宋" w:cs="仿宋"/>
          <w:bCs/>
          <w:color w:val="auto"/>
          <w:kern w:val="2"/>
          <w:sz w:val="21"/>
          <w:szCs w:val="21"/>
          <w:highlight w:val="none"/>
        </w:rPr>
      </w:pPr>
      <w:r>
        <w:rPr>
          <w:rFonts w:hint="eastAsia" w:ascii="仿宋" w:hAnsi="仿宋" w:eastAsia="仿宋" w:cs="仿宋"/>
          <w:bCs/>
          <w:color w:val="auto"/>
          <w:kern w:val="2"/>
          <w:sz w:val="21"/>
          <w:szCs w:val="21"/>
          <w:highlight w:val="none"/>
        </w:rPr>
        <w:t>11.1.1</w:t>
      </w:r>
      <w:r>
        <w:rPr>
          <w:rFonts w:hint="eastAsia" w:ascii="仿宋" w:hAnsi="仿宋" w:eastAsia="仿宋" w:cs="仿宋"/>
          <w:bCs/>
          <w:color w:val="auto"/>
          <w:kern w:val="2"/>
          <w:sz w:val="21"/>
          <w:szCs w:val="21"/>
          <w:highlight w:val="none"/>
        </w:rPr>
        <w:tab/>
      </w:r>
      <w:r>
        <w:rPr>
          <w:rFonts w:hint="eastAsia" w:ascii="仿宋" w:hAnsi="仿宋" w:eastAsia="仿宋" w:cs="仿宋"/>
          <w:bCs/>
          <w:color w:val="auto"/>
          <w:kern w:val="2"/>
          <w:sz w:val="21"/>
          <w:szCs w:val="21"/>
          <w:highlight w:val="none"/>
        </w:rPr>
        <w:t>施工过程中，承包人应向监理人指定的代表呈递一份每日的日进度报表、每周的周进度报表和每月的月进度报表。除非监理人同意，日进度报表应在次日上午九点前递交，周进度报表应在次周的周一上午九时前递交，月进度报表应随合同条款约定的进度付款申请单一并递交。</w:t>
      </w:r>
    </w:p>
    <w:p w14:paraId="7E9E54B7">
      <w:pPr>
        <w:pStyle w:val="114"/>
        <w:adjustRightInd w:val="0"/>
        <w:snapToGrid w:val="0"/>
        <w:spacing w:line="360" w:lineRule="auto"/>
        <w:jc w:val="left"/>
        <w:rPr>
          <w:rFonts w:hint="eastAsia" w:ascii="仿宋" w:hAnsi="仿宋" w:eastAsia="仿宋" w:cs="仿宋"/>
          <w:bCs/>
          <w:color w:val="auto"/>
          <w:kern w:val="2"/>
          <w:sz w:val="21"/>
          <w:szCs w:val="21"/>
          <w:highlight w:val="none"/>
        </w:rPr>
      </w:pPr>
      <w:r>
        <w:rPr>
          <w:rFonts w:hint="eastAsia" w:ascii="仿宋" w:hAnsi="仿宋" w:eastAsia="仿宋" w:cs="仿宋"/>
          <w:bCs/>
          <w:color w:val="auto"/>
          <w:kern w:val="2"/>
          <w:sz w:val="21"/>
          <w:szCs w:val="21"/>
          <w:highlight w:val="none"/>
        </w:rPr>
        <w:t>11.1.2</w:t>
      </w:r>
      <w:r>
        <w:rPr>
          <w:rFonts w:hint="eastAsia" w:ascii="仿宋" w:hAnsi="仿宋" w:eastAsia="仿宋" w:cs="仿宋"/>
          <w:bCs/>
          <w:color w:val="auto"/>
          <w:kern w:val="2"/>
          <w:sz w:val="21"/>
          <w:szCs w:val="21"/>
          <w:highlight w:val="none"/>
        </w:rPr>
        <w:tab/>
      </w:r>
      <w:r>
        <w:rPr>
          <w:rFonts w:hint="eastAsia" w:ascii="仿宋" w:hAnsi="仿宋" w:eastAsia="仿宋" w:cs="仿宋"/>
          <w:bCs/>
          <w:color w:val="auto"/>
          <w:kern w:val="2"/>
          <w:sz w:val="21"/>
          <w:szCs w:val="21"/>
          <w:highlight w:val="none"/>
        </w:rPr>
        <w:t>日和周进度报表的内容应至少包括每日在现场工作的技术管理人员数量、各工种技术工人和非技术工人数量、后勤人员数量、参观现场的人员数量，包括分包人人员数量；还应包括所使用的各种主要机械设备和车辆的型号、数量和台班，工作的区段，以及工程进度情况、天气情况记录、停工、质量和安全事故等特别事项说明；此外，应附上每日进场材料、物品或设备的分类汇总表、用于次日或次周的工程进度计划等。</w:t>
      </w:r>
    </w:p>
    <w:p w14:paraId="1E404534">
      <w:pPr>
        <w:pStyle w:val="114"/>
        <w:adjustRightInd w:val="0"/>
        <w:snapToGrid w:val="0"/>
        <w:spacing w:line="360" w:lineRule="auto"/>
        <w:jc w:val="left"/>
        <w:rPr>
          <w:rFonts w:hint="eastAsia" w:ascii="仿宋" w:hAnsi="仿宋" w:eastAsia="仿宋" w:cs="仿宋"/>
          <w:bCs/>
          <w:color w:val="auto"/>
          <w:kern w:val="2"/>
          <w:sz w:val="21"/>
          <w:szCs w:val="21"/>
          <w:highlight w:val="none"/>
        </w:rPr>
      </w:pPr>
      <w:r>
        <w:rPr>
          <w:rFonts w:hint="eastAsia" w:ascii="仿宋" w:hAnsi="仿宋" w:eastAsia="仿宋" w:cs="仿宋"/>
          <w:bCs/>
          <w:color w:val="auto"/>
          <w:kern w:val="2"/>
          <w:sz w:val="21"/>
          <w:szCs w:val="21"/>
          <w:highlight w:val="none"/>
        </w:rPr>
        <w:t>11.1.3</w:t>
      </w:r>
      <w:r>
        <w:rPr>
          <w:rFonts w:hint="eastAsia" w:ascii="仿宋" w:hAnsi="仿宋" w:eastAsia="仿宋" w:cs="仿宋"/>
          <w:bCs/>
          <w:color w:val="auto"/>
          <w:kern w:val="2"/>
          <w:sz w:val="21"/>
          <w:szCs w:val="21"/>
          <w:highlight w:val="none"/>
        </w:rPr>
        <w:tab/>
      </w:r>
      <w:r>
        <w:rPr>
          <w:rFonts w:hint="eastAsia" w:ascii="仿宋" w:hAnsi="仿宋" w:eastAsia="仿宋" w:cs="仿宋"/>
          <w:bCs/>
          <w:color w:val="auto"/>
          <w:kern w:val="2"/>
          <w:sz w:val="21"/>
          <w:szCs w:val="21"/>
          <w:highlight w:val="none"/>
        </w:rPr>
        <w:t>月进度报表应当反映月完成工程量和累计完成工程量（包括永久工程和临时工程）、材料实际进货、消耗和库存量、现场施工设备的投运数量和运行状况、工程设备的到货情况、劳动力数量（本月及预计未来三个月劳动力的数量）、当前影响施工进度计划的因素和采取的改进措施、进度计划调整及其说明、质量事故和质量缺陷处理纪录、质量状况评价、安全施工措施计划实施情况、安全事故以及人员伤亡和财产损失情况（如果有）、环境保护措施实施和文明施工措施实施情况。</w:t>
      </w:r>
    </w:p>
    <w:p w14:paraId="129FCDDD">
      <w:pPr>
        <w:pStyle w:val="114"/>
        <w:adjustRightInd w:val="0"/>
        <w:snapToGrid w:val="0"/>
        <w:spacing w:line="360" w:lineRule="auto"/>
        <w:jc w:val="left"/>
        <w:rPr>
          <w:rFonts w:hint="eastAsia" w:ascii="仿宋" w:hAnsi="仿宋" w:eastAsia="仿宋" w:cs="仿宋"/>
          <w:bCs/>
          <w:color w:val="auto"/>
          <w:kern w:val="2"/>
          <w:sz w:val="21"/>
          <w:szCs w:val="21"/>
          <w:highlight w:val="none"/>
        </w:rPr>
      </w:pPr>
      <w:r>
        <w:rPr>
          <w:rFonts w:hint="eastAsia" w:ascii="仿宋" w:hAnsi="仿宋" w:eastAsia="仿宋" w:cs="仿宋"/>
          <w:bCs/>
          <w:color w:val="auto"/>
          <w:kern w:val="2"/>
          <w:sz w:val="21"/>
          <w:szCs w:val="21"/>
          <w:highlight w:val="none"/>
        </w:rPr>
        <w:t>11.1.4</w:t>
      </w:r>
      <w:r>
        <w:rPr>
          <w:rFonts w:hint="eastAsia" w:ascii="仿宋" w:hAnsi="仿宋" w:eastAsia="仿宋" w:cs="仿宋"/>
          <w:bCs/>
          <w:color w:val="auto"/>
          <w:kern w:val="2"/>
          <w:sz w:val="21"/>
          <w:szCs w:val="21"/>
          <w:highlight w:val="none"/>
        </w:rPr>
        <w:tab/>
      </w:r>
      <w:r>
        <w:rPr>
          <w:rFonts w:hint="eastAsia" w:ascii="仿宋" w:hAnsi="仿宋" w:eastAsia="仿宋" w:cs="仿宋"/>
          <w:bCs/>
          <w:color w:val="auto"/>
          <w:kern w:val="2"/>
          <w:sz w:val="21"/>
          <w:szCs w:val="21"/>
          <w:highlight w:val="none"/>
        </w:rPr>
        <w:t>月进度报告还应附有一组充分显示工程形象进度的定点摄影照片。照片应当在经监理人批准的不同位置定期拍摄，每张照片都应标上相应的拍摄日期和简要文字说明，且应用经发包人和监理人批准的标准或格式装裱后呈交。</w:t>
      </w:r>
    </w:p>
    <w:p w14:paraId="561271C0">
      <w:pPr>
        <w:pStyle w:val="114"/>
        <w:adjustRightInd w:val="0"/>
        <w:snapToGrid w:val="0"/>
        <w:spacing w:line="360" w:lineRule="auto"/>
        <w:jc w:val="left"/>
        <w:rPr>
          <w:rFonts w:hint="eastAsia" w:ascii="仿宋" w:hAnsi="仿宋" w:eastAsia="仿宋" w:cs="仿宋"/>
          <w:bCs/>
          <w:color w:val="auto"/>
          <w:kern w:val="2"/>
          <w:sz w:val="21"/>
          <w:szCs w:val="21"/>
          <w:highlight w:val="none"/>
        </w:rPr>
      </w:pPr>
      <w:r>
        <w:rPr>
          <w:rFonts w:hint="eastAsia" w:ascii="仿宋" w:hAnsi="仿宋" w:eastAsia="仿宋" w:cs="仿宋"/>
          <w:bCs/>
          <w:color w:val="auto"/>
          <w:kern w:val="2"/>
          <w:sz w:val="21"/>
          <w:szCs w:val="21"/>
          <w:highlight w:val="none"/>
        </w:rPr>
        <w:t>11.1.5</w:t>
      </w:r>
      <w:r>
        <w:rPr>
          <w:rFonts w:hint="eastAsia" w:ascii="仿宋" w:hAnsi="仿宋" w:eastAsia="仿宋" w:cs="仿宋"/>
          <w:bCs/>
          <w:color w:val="auto"/>
          <w:kern w:val="2"/>
          <w:sz w:val="21"/>
          <w:szCs w:val="21"/>
          <w:highlight w:val="none"/>
        </w:rPr>
        <w:tab/>
      </w:r>
      <w:r>
        <w:rPr>
          <w:rFonts w:hint="eastAsia" w:ascii="仿宋" w:hAnsi="仿宋" w:eastAsia="仿宋" w:cs="仿宋"/>
          <w:bCs/>
          <w:color w:val="auto"/>
          <w:kern w:val="2"/>
          <w:sz w:val="21"/>
          <w:szCs w:val="21"/>
          <w:highlight w:val="none"/>
        </w:rPr>
        <w:t>各个进度报表的格式和内容应经过监理人的审批。进度报表应如实填写，由承包人授权代表签名，并报监理人的指定代表签名确认后再行分发。</w:t>
      </w:r>
    </w:p>
    <w:p w14:paraId="5596785C">
      <w:pPr>
        <w:pStyle w:val="114"/>
        <w:adjustRightInd w:val="0"/>
        <w:snapToGrid w:val="0"/>
        <w:spacing w:line="360" w:lineRule="auto"/>
        <w:jc w:val="left"/>
        <w:rPr>
          <w:rFonts w:hint="eastAsia" w:ascii="仿宋" w:hAnsi="仿宋" w:eastAsia="仿宋" w:cs="仿宋"/>
          <w:bCs/>
          <w:color w:val="auto"/>
          <w:kern w:val="2"/>
          <w:sz w:val="21"/>
          <w:szCs w:val="21"/>
          <w:highlight w:val="none"/>
        </w:rPr>
      </w:pPr>
      <w:r>
        <w:rPr>
          <w:rFonts w:hint="eastAsia" w:ascii="仿宋" w:hAnsi="仿宋" w:eastAsia="仿宋" w:cs="仿宋"/>
          <w:bCs/>
          <w:color w:val="auto"/>
          <w:kern w:val="2"/>
          <w:sz w:val="21"/>
          <w:szCs w:val="21"/>
          <w:highlight w:val="none"/>
        </w:rPr>
        <w:t>11.1.6</w:t>
      </w:r>
      <w:r>
        <w:rPr>
          <w:rFonts w:hint="eastAsia" w:ascii="仿宋" w:hAnsi="仿宋" w:eastAsia="仿宋" w:cs="仿宋"/>
          <w:bCs/>
          <w:color w:val="auto"/>
          <w:kern w:val="2"/>
          <w:sz w:val="21"/>
          <w:szCs w:val="21"/>
          <w:highlight w:val="none"/>
        </w:rPr>
        <w:tab/>
      </w:r>
      <w:r>
        <w:rPr>
          <w:rFonts w:hint="eastAsia" w:ascii="仿宋" w:hAnsi="仿宋" w:eastAsia="仿宋" w:cs="仿宋"/>
          <w:bCs/>
          <w:color w:val="auto"/>
          <w:kern w:val="2"/>
          <w:sz w:val="21"/>
          <w:szCs w:val="21"/>
          <w:highlight w:val="none"/>
        </w:rPr>
        <w:t>如果监理人认为必要，进度报告和进度照片应同时以存储在磁盘或光盘中的数据文件的形式递交给发包人和监理人。数据文件采用的应用软件及其版本应经过监理人的审批。</w:t>
      </w:r>
    </w:p>
    <w:p w14:paraId="6E67BC7E">
      <w:pPr>
        <w:pStyle w:val="114"/>
        <w:adjustRightInd w:val="0"/>
        <w:snapToGrid w:val="0"/>
        <w:spacing w:line="360" w:lineRule="auto"/>
        <w:jc w:val="left"/>
        <w:rPr>
          <w:rFonts w:hint="eastAsia" w:ascii="仿宋" w:hAnsi="仿宋" w:eastAsia="仿宋" w:cs="仿宋"/>
          <w:bCs/>
          <w:color w:val="auto"/>
          <w:kern w:val="2"/>
          <w:sz w:val="21"/>
          <w:szCs w:val="21"/>
          <w:highlight w:val="none"/>
        </w:rPr>
      </w:pPr>
      <w:r>
        <w:rPr>
          <w:rFonts w:hint="eastAsia" w:ascii="仿宋" w:hAnsi="仿宋" w:eastAsia="仿宋" w:cs="仿宋"/>
          <w:bCs/>
          <w:color w:val="auto"/>
          <w:kern w:val="2"/>
          <w:sz w:val="21"/>
          <w:szCs w:val="21"/>
          <w:highlight w:val="none"/>
        </w:rPr>
        <w:t>11.1.7</w:t>
      </w:r>
      <w:r>
        <w:rPr>
          <w:rFonts w:hint="eastAsia" w:ascii="仿宋" w:hAnsi="仿宋" w:eastAsia="仿宋" w:cs="仿宋"/>
          <w:bCs/>
          <w:color w:val="auto"/>
          <w:kern w:val="2"/>
          <w:sz w:val="21"/>
          <w:szCs w:val="21"/>
          <w:highlight w:val="none"/>
        </w:rPr>
        <w:tab/>
      </w:r>
      <w:r>
        <w:rPr>
          <w:rFonts w:hint="eastAsia" w:ascii="仿宋" w:hAnsi="仿宋" w:eastAsia="仿宋" w:cs="仿宋"/>
          <w:bCs/>
          <w:color w:val="auto"/>
          <w:kern w:val="2"/>
          <w:sz w:val="21"/>
          <w:szCs w:val="21"/>
          <w:highlight w:val="none"/>
        </w:rPr>
        <w:t>有关进度报告的其他要求：</w:t>
      </w:r>
      <w:r>
        <w:rPr>
          <w:rFonts w:hint="eastAsia" w:ascii="仿宋" w:hAnsi="仿宋" w:eastAsia="仿宋" w:cs="仿宋"/>
          <w:bCs/>
          <w:color w:val="auto"/>
          <w:kern w:val="2"/>
          <w:sz w:val="21"/>
          <w:szCs w:val="21"/>
          <w:highlight w:val="none"/>
          <w:u w:val="single"/>
        </w:rPr>
        <w:t>无</w:t>
      </w:r>
    </w:p>
    <w:p w14:paraId="41E39197">
      <w:pPr>
        <w:pStyle w:val="114"/>
        <w:adjustRightInd w:val="0"/>
        <w:snapToGrid w:val="0"/>
        <w:spacing w:line="360" w:lineRule="auto"/>
        <w:jc w:val="left"/>
        <w:rPr>
          <w:rFonts w:hint="eastAsia" w:ascii="仿宋" w:hAnsi="仿宋" w:eastAsia="仿宋" w:cs="仿宋"/>
          <w:bCs/>
          <w:color w:val="auto"/>
          <w:kern w:val="2"/>
          <w:sz w:val="21"/>
          <w:szCs w:val="21"/>
          <w:highlight w:val="none"/>
        </w:rPr>
      </w:pPr>
      <w:r>
        <w:rPr>
          <w:rFonts w:hint="eastAsia" w:ascii="仿宋" w:hAnsi="仿宋" w:eastAsia="仿宋" w:cs="仿宋"/>
          <w:bCs/>
          <w:color w:val="auto"/>
          <w:kern w:val="2"/>
          <w:sz w:val="21"/>
          <w:szCs w:val="21"/>
          <w:highlight w:val="none"/>
        </w:rPr>
        <w:t>11.2</w:t>
      </w:r>
      <w:r>
        <w:rPr>
          <w:rFonts w:hint="eastAsia" w:ascii="仿宋" w:hAnsi="仿宋" w:eastAsia="仿宋" w:cs="仿宋"/>
          <w:bCs/>
          <w:color w:val="auto"/>
          <w:kern w:val="2"/>
          <w:sz w:val="21"/>
          <w:szCs w:val="21"/>
          <w:highlight w:val="none"/>
        </w:rPr>
        <w:tab/>
      </w:r>
      <w:r>
        <w:rPr>
          <w:rFonts w:hint="eastAsia" w:ascii="仿宋" w:hAnsi="仿宋" w:eastAsia="仿宋" w:cs="仿宋"/>
          <w:bCs/>
          <w:color w:val="auto"/>
          <w:kern w:val="2"/>
          <w:sz w:val="21"/>
          <w:szCs w:val="21"/>
          <w:highlight w:val="none"/>
        </w:rPr>
        <w:t>进度例会</w:t>
      </w:r>
    </w:p>
    <w:p w14:paraId="0E82A462">
      <w:pPr>
        <w:pStyle w:val="114"/>
        <w:adjustRightInd w:val="0"/>
        <w:snapToGrid w:val="0"/>
        <w:spacing w:line="360" w:lineRule="auto"/>
        <w:jc w:val="left"/>
        <w:rPr>
          <w:rFonts w:hint="eastAsia" w:ascii="仿宋" w:hAnsi="仿宋" w:eastAsia="仿宋" w:cs="仿宋"/>
          <w:bCs/>
          <w:color w:val="auto"/>
          <w:kern w:val="2"/>
          <w:sz w:val="21"/>
          <w:szCs w:val="21"/>
          <w:highlight w:val="none"/>
        </w:rPr>
      </w:pPr>
      <w:r>
        <w:rPr>
          <w:rFonts w:hint="eastAsia" w:ascii="仿宋" w:hAnsi="仿宋" w:eastAsia="仿宋" w:cs="仿宋"/>
          <w:bCs/>
          <w:color w:val="auto"/>
          <w:kern w:val="2"/>
          <w:sz w:val="21"/>
          <w:szCs w:val="21"/>
          <w:highlight w:val="none"/>
        </w:rPr>
        <w:t>11.2.1</w:t>
      </w:r>
      <w:r>
        <w:rPr>
          <w:rFonts w:hint="eastAsia" w:ascii="仿宋" w:hAnsi="仿宋" w:eastAsia="仿宋" w:cs="仿宋"/>
          <w:bCs/>
          <w:color w:val="auto"/>
          <w:kern w:val="2"/>
          <w:sz w:val="21"/>
          <w:szCs w:val="21"/>
          <w:highlight w:val="none"/>
        </w:rPr>
        <w:tab/>
      </w:r>
      <w:r>
        <w:rPr>
          <w:rFonts w:hint="eastAsia" w:ascii="仿宋" w:hAnsi="仿宋" w:eastAsia="仿宋" w:cs="仿宋"/>
          <w:bCs/>
          <w:color w:val="auto"/>
          <w:kern w:val="2"/>
          <w:sz w:val="21"/>
          <w:szCs w:val="21"/>
          <w:highlight w:val="none"/>
        </w:rPr>
        <w:t>监理人将主持召开有发包人、承包人、独立承包人和主要分包人等与本工程建设有关各方出席的每周一次的进度例会。必要时，监理人可随时召集所有上述各方或其中部分单位参加的会议。承包人应保证能代表其当场作出决定的高级管理人员出席会议。</w:t>
      </w:r>
    </w:p>
    <w:p w14:paraId="2DD22A70">
      <w:pPr>
        <w:pStyle w:val="114"/>
        <w:adjustRightInd w:val="0"/>
        <w:snapToGrid w:val="0"/>
        <w:spacing w:line="360" w:lineRule="auto"/>
        <w:jc w:val="left"/>
        <w:rPr>
          <w:rFonts w:hint="eastAsia" w:ascii="仿宋" w:hAnsi="仿宋" w:eastAsia="仿宋" w:cs="仿宋"/>
          <w:bCs/>
          <w:color w:val="auto"/>
          <w:kern w:val="2"/>
          <w:sz w:val="21"/>
          <w:szCs w:val="21"/>
          <w:highlight w:val="none"/>
        </w:rPr>
      </w:pPr>
      <w:r>
        <w:rPr>
          <w:rFonts w:hint="eastAsia" w:ascii="仿宋" w:hAnsi="仿宋" w:eastAsia="仿宋" w:cs="仿宋"/>
          <w:bCs/>
          <w:color w:val="auto"/>
          <w:kern w:val="2"/>
          <w:sz w:val="21"/>
          <w:szCs w:val="21"/>
          <w:highlight w:val="none"/>
        </w:rPr>
        <w:t>11.2.2</w:t>
      </w:r>
      <w:r>
        <w:rPr>
          <w:rFonts w:hint="eastAsia" w:ascii="仿宋" w:hAnsi="仿宋" w:eastAsia="仿宋" w:cs="仿宋"/>
          <w:bCs/>
          <w:color w:val="auto"/>
          <w:kern w:val="2"/>
          <w:sz w:val="21"/>
          <w:szCs w:val="21"/>
          <w:highlight w:val="none"/>
        </w:rPr>
        <w:tab/>
      </w:r>
      <w:r>
        <w:rPr>
          <w:rFonts w:hint="eastAsia" w:ascii="仿宋" w:hAnsi="仿宋" w:eastAsia="仿宋" w:cs="仿宋"/>
          <w:bCs/>
          <w:color w:val="auto"/>
          <w:kern w:val="2"/>
          <w:sz w:val="21"/>
          <w:szCs w:val="21"/>
          <w:highlight w:val="none"/>
        </w:rPr>
        <w:t>进度例会的内容将涉及合同管理、进度协调和工程管理的各个方面，由监理人准备的会议议题将随会议通知在会议召开前至少24小时发给各参会方</w:t>
      </w:r>
    </w:p>
    <w:p w14:paraId="7C90D960">
      <w:pPr>
        <w:pStyle w:val="114"/>
        <w:adjustRightInd w:val="0"/>
        <w:snapToGrid w:val="0"/>
        <w:spacing w:line="360" w:lineRule="auto"/>
        <w:jc w:val="left"/>
        <w:rPr>
          <w:rFonts w:hint="eastAsia" w:ascii="仿宋" w:hAnsi="仿宋" w:eastAsia="仿宋" w:cs="仿宋"/>
          <w:bCs/>
          <w:color w:val="auto"/>
          <w:kern w:val="2"/>
          <w:sz w:val="21"/>
          <w:szCs w:val="21"/>
          <w:highlight w:val="none"/>
        </w:rPr>
      </w:pPr>
      <w:r>
        <w:rPr>
          <w:rFonts w:hint="eastAsia" w:ascii="仿宋" w:hAnsi="仿宋" w:eastAsia="仿宋" w:cs="仿宋"/>
          <w:bCs/>
          <w:color w:val="auto"/>
          <w:kern w:val="2"/>
          <w:sz w:val="21"/>
          <w:szCs w:val="21"/>
          <w:highlight w:val="none"/>
        </w:rPr>
        <w:t>11.2.3</w:t>
      </w:r>
      <w:r>
        <w:rPr>
          <w:rFonts w:hint="eastAsia" w:ascii="仿宋" w:hAnsi="仿宋" w:eastAsia="仿宋" w:cs="仿宋"/>
          <w:bCs/>
          <w:color w:val="auto"/>
          <w:kern w:val="2"/>
          <w:sz w:val="21"/>
          <w:szCs w:val="21"/>
          <w:highlight w:val="none"/>
        </w:rPr>
        <w:tab/>
      </w:r>
      <w:r>
        <w:rPr>
          <w:rFonts w:hint="eastAsia" w:ascii="仿宋" w:hAnsi="仿宋" w:eastAsia="仿宋" w:cs="仿宋"/>
          <w:bCs/>
          <w:color w:val="auto"/>
          <w:kern w:val="2"/>
          <w:sz w:val="21"/>
          <w:szCs w:val="21"/>
          <w:highlight w:val="none"/>
        </w:rPr>
        <w:t>监理人应当做好会议记录，并在会议结束时由与会各方签字确认。监理人应根据会议记录整理出会议纪要，并在相应会议后24小时内分发给出席会议的各方。会议纪要应当如实反映会议记录的内容，包括任何决定、存在的问题、责任方、有关工作的时间目标等等。各方在收到会议纪要后24小时内给予签字确认，如有任何异议，应将有关异议以书面形式通知监理人，由监理人与有异议一方或各方共同核对会议记录，有异议的一方或者各方对与会议记录内容一致的会议纪要必须给予签字确认，否则监理人可以用会议记录作为会议纪要。经参会各方签字认可的会议纪要对各方有合同约束力。</w:t>
      </w:r>
    </w:p>
    <w:p w14:paraId="7884737B">
      <w:pPr>
        <w:pStyle w:val="114"/>
        <w:adjustRightInd w:val="0"/>
        <w:snapToGrid w:val="0"/>
        <w:spacing w:line="360" w:lineRule="auto"/>
        <w:jc w:val="left"/>
        <w:rPr>
          <w:rFonts w:hint="eastAsia" w:ascii="仿宋" w:hAnsi="仿宋" w:eastAsia="仿宋" w:cs="仿宋"/>
          <w:bCs/>
          <w:color w:val="auto"/>
          <w:kern w:val="2"/>
          <w:sz w:val="21"/>
          <w:szCs w:val="21"/>
          <w:highlight w:val="none"/>
        </w:rPr>
      </w:pPr>
      <w:r>
        <w:rPr>
          <w:rFonts w:hint="eastAsia" w:ascii="仿宋" w:hAnsi="仿宋" w:eastAsia="仿宋" w:cs="仿宋"/>
          <w:bCs/>
          <w:color w:val="auto"/>
          <w:kern w:val="2"/>
          <w:sz w:val="21"/>
          <w:szCs w:val="21"/>
          <w:highlight w:val="none"/>
        </w:rPr>
        <w:t>11.2.4</w:t>
      </w:r>
      <w:r>
        <w:rPr>
          <w:rFonts w:hint="eastAsia" w:ascii="仿宋" w:hAnsi="仿宋" w:eastAsia="仿宋" w:cs="仿宋"/>
          <w:bCs/>
          <w:color w:val="auto"/>
          <w:kern w:val="2"/>
          <w:sz w:val="21"/>
          <w:szCs w:val="21"/>
          <w:highlight w:val="none"/>
        </w:rPr>
        <w:tab/>
      </w:r>
      <w:r>
        <w:rPr>
          <w:rFonts w:hint="eastAsia" w:ascii="仿宋" w:hAnsi="仿宋" w:eastAsia="仿宋" w:cs="仿宋"/>
          <w:bCs/>
          <w:color w:val="auto"/>
          <w:kern w:val="2"/>
          <w:sz w:val="21"/>
          <w:szCs w:val="21"/>
          <w:highlight w:val="none"/>
        </w:rPr>
        <w:t>有关进度例会的其他要求：</w:t>
      </w:r>
      <w:r>
        <w:rPr>
          <w:rFonts w:hint="eastAsia" w:ascii="仿宋" w:hAnsi="仿宋" w:eastAsia="仿宋" w:cs="仿宋"/>
          <w:bCs/>
          <w:color w:val="auto"/>
          <w:kern w:val="2"/>
          <w:sz w:val="21"/>
          <w:szCs w:val="21"/>
          <w:highlight w:val="none"/>
          <w:u w:val="single"/>
        </w:rPr>
        <w:t>无</w:t>
      </w:r>
    </w:p>
    <w:p w14:paraId="16B94815">
      <w:pPr>
        <w:pStyle w:val="114"/>
        <w:adjustRightInd w:val="0"/>
        <w:snapToGrid w:val="0"/>
        <w:spacing w:line="360" w:lineRule="auto"/>
        <w:jc w:val="left"/>
        <w:rPr>
          <w:rFonts w:hint="eastAsia" w:ascii="仿宋" w:hAnsi="仿宋" w:eastAsia="仿宋" w:cs="仿宋"/>
          <w:color w:val="auto"/>
          <w:kern w:val="2"/>
          <w:sz w:val="21"/>
          <w:highlight w:val="none"/>
        </w:rPr>
      </w:pPr>
      <w:r>
        <w:rPr>
          <w:rFonts w:hint="eastAsia" w:ascii="仿宋" w:hAnsi="仿宋" w:eastAsia="仿宋" w:cs="仿宋"/>
          <w:color w:val="auto"/>
          <w:kern w:val="2"/>
          <w:sz w:val="21"/>
          <w:highlight w:val="none"/>
        </w:rPr>
        <w:t>12. 试验和检验</w:t>
      </w:r>
    </w:p>
    <w:p w14:paraId="6C876950">
      <w:pPr>
        <w:pStyle w:val="114"/>
        <w:adjustRightInd w:val="0"/>
        <w:snapToGrid w:val="0"/>
        <w:spacing w:line="360" w:lineRule="auto"/>
        <w:jc w:val="left"/>
        <w:rPr>
          <w:rFonts w:hint="eastAsia" w:ascii="仿宋" w:hAnsi="仿宋" w:eastAsia="仿宋" w:cs="仿宋"/>
          <w:bCs/>
          <w:color w:val="auto"/>
          <w:kern w:val="2"/>
          <w:sz w:val="21"/>
          <w:szCs w:val="21"/>
          <w:highlight w:val="none"/>
        </w:rPr>
      </w:pPr>
      <w:r>
        <w:rPr>
          <w:rFonts w:hint="eastAsia" w:ascii="仿宋" w:hAnsi="仿宋" w:eastAsia="仿宋" w:cs="仿宋"/>
          <w:bCs/>
          <w:color w:val="auto"/>
          <w:kern w:val="2"/>
          <w:sz w:val="21"/>
          <w:szCs w:val="21"/>
          <w:highlight w:val="none"/>
        </w:rPr>
        <w:t>12.1</w:t>
      </w:r>
      <w:r>
        <w:rPr>
          <w:rFonts w:hint="eastAsia" w:ascii="仿宋" w:hAnsi="仿宋" w:eastAsia="仿宋" w:cs="仿宋"/>
          <w:bCs/>
          <w:color w:val="auto"/>
          <w:kern w:val="2"/>
          <w:sz w:val="21"/>
          <w:szCs w:val="21"/>
          <w:highlight w:val="none"/>
        </w:rPr>
        <w:tab/>
      </w:r>
      <w:r>
        <w:rPr>
          <w:rFonts w:hint="eastAsia" w:ascii="仿宋" w:hAnsi="仿宋" w:eastAsia="仿宋" w:cs="仿宋"/>
          <w:bCs/>
          <w:color w:val="auto"/>
          <w:kern w:val="2"/>
          <w:sz w:val="21"/>
          <w:szCs w:val="21"/>
          <w:highlight w:val="none"/>
        </w:rPr>
        <w:t>承包人应当按照工程施工验收规范和标准的规定和通用合同条款第14条的约定，对用于永久工程的主要材料、半成品、成品、建筑构配件、工程设备等进行试验和检验。</w:t>
      </w:r>
    </w:p>
    <w:p w14:paraId="2683C8EA">
      <w:pPr>
        <w:pStyle w:val="114"/>
        <w:adjustRightInd w:val="0"/>
        <w:snapToGrid w:val="0"/>
        <w:spacing w:line="360" w:lineRule="auto"/>
        <w:jc w:val="left"/>
        <w:rPr>
          <w:rFonts w:hint="eastAsia" w:ascii="仿宋" w:hAnsi="仿宋" w:eastAsia="仿宋" w:cs="仿宋"/>
          <w:bCs/>
          <w:color w:val="auto"/>
          <w:kern w:val="2"/>
          <w:sz w:val="21"/>
          <w:szCs w:val="21"/>
          <w:highlight w:val="none"/>
        </w:rPr>
      </w:pPr>
      <w:r>
        <w:rPr>
          <w:rFonts w:hint="eastAsia" w:ascii="仿宋" w:hAnsi="仿宋" w:eastAsia="仿宋" w:cs="仿宋"/>
          <w:bCs/>
          <w:color w:val="auto"/>
          <w:kern w:val="2"/>
          <w:sz w:val="21"/>
          <w:szCs w:val="21"/>
          <w:highlight w:val="none"/>
        </w:rPr>
        <w:t>12.2</w:t>
      </w:r>
      <w:r>
        <w:rPr>
          <w:rFonts w:hint="eastAsia" w:ascii="仿宋" w:hAnsi="仿宋" w:eastAsia="仿宋" w:cs="仿宋"/>
          <w:bCs/>
          <w:color w:val="auto"/>
          <w:kern w:val="2"/>
          <w:sz w:val="21"/>
          <w:szCs w:val="21"/>
          <w:highlight w:val="none"/>
        </w:rPr>
        <w:tab/>
      </w:r>
      <w:r>
        <w:rPr>
          <w:rFonts w:hint="eastAsia" w:ascii="仿宋" w:hAnsi="仿宋" w:eastAsia="仿宋" w:cs="仿宋"/>
          <w:bCs/>
          <w:color w:val="auto"/>
          <w:kern w:val="2"/>
          <w:sz w:val="21"/>
          <w:szCs w:val="21"/>
          <w:highlight w:val="none"/>
        </w:rPr>
        <w:t>本工程需要承包人进行试验和检验的材料、工程设备和工艺如下：</w:t>
      </w:r>
      <w:r>
        <w:rPr>
          <w:rFonts w:hint="eastAsia" w:ascii="仿宋" w:hAnsi="仿宋" w:eastAsia="仿宋" w:cs="仿宋"/>
          <w:bCs/>
          <w:color w:val="auto"/>
          <w:kern w:val="2"/>
          <w:sz w:val="21"/>
          <w:szCs w:val="21"/>
          <w:highlight w:val="none"/>
          <w:u w:val="single"/>
        </w:rPr>
        <w:t>无</w:t>
      </w:r>
    </w:p>
    <w:p w14:paraId="76696DBD">
      <w:pPr>
        <w:pStyle w:val="114"/>
        <w:adjustRightInd w:val="0"/>
        <w:snapToGrid w:val="0"/>
        <w:spacing w:line="360" w:lineRule="auto"/>
        <w:jc w:val="left"/>
        <w:rPr>
          <w:rFonts w:hint="eastAsia" w:ascii="仿宋" w:hAnsi="仿宋" w:eastAsia="仿宋" w:cs="仿宋"/>
          <w:bCs/>
          <w:color w:val="auto"/>
          <w:kern w:val="2"/>
          <w:sz w:val="21"/>
          <w:szCs w:val="21"/>
          <w:highlight w:val="none"/>
        </w:rPr>
      </w:pPr>
      <w:r>
        <w:rPr>
          <w:rFonts w:hint="eastAsia" w:ascii="仿宋" w:hAnsi="仿宋" w:eastAsia="仿宋" w:cs="仿宋"/>
          <w:bCs/>
          <w:color w:val="auto"/>
          <w:kern w:val="2"/>
          <w:sz w:val="21"/>
          <w:szCs w:val="21"/>
          <w:highlight w:val="none"/>
        </w:rPr>
        <w:t>监理人可以根据工程需要，指示承包人进行其他现场材料和工艺的试验和检验。</w:t>
      </w:r>
    </w:p>
    <w:p w14:paraId="5DE2C2FF">
      <w:pPr>
        <w:pStyle w:val="114"/>
        <w:adjustRightInd w:val="0"/>
        <w:snapToGrid w:val="0"/>
        <w:spacing w:line="360" w:lineRule="auto"/>
        <w:jc w:val="left"/>
        <w:rPr>
          <w:rFonts w:hint="eastAsia" w:ascii="仿宋" w:hAnsi="仿宋" w:eastAsia="仿宋" w:cs="仿宋"/>
          <w:bCs/>
          <w:color w:val="auto"/>
          <w:kern w:val="2"/>
          <w:sz w:val="21"/>
          <w:szCs w:val="21"/>
          <w:highlight w:val="none"/>
          <w:u w:val="single"/>
        </w:rPr>
      </w:pPr>
      <w:r>
        <w:rPr>
          <w:rFonts w:hint="eastAsia" w:ascii="仿宋" w:hAnsi="仿宋" w:eastAsia="仿宋" w:cs="仿宋"/>
          <w:bCs/>
          <w:color w:val="auto"/>
          <w:kern w:val="2"/>
          <w:sz w:val="21"/>
          <w:szCs w:val="21"/>
          <w:highlight w:val="none"/>
        </w:rPr>
        <w:t>12.3</w:t>
      </w:r>
      <w:r>
        <w:rPr>
          <w:rFonts w:hint="eastAsia" w:ascii="仿宋" w:hAnsi="仿宋" w:eastAsia="仿宋" w:cs="仿宋"/>
          <w:bCs/>
          <w:color w:val="auto"/>
          <w:kern w:val="2"/>
          <w:sz w:val="21"/>
          <w:szCs w:val="21"/>
          <w:highlight w:val="none"/>
        </w:rPr>
        <w:tab/>
      </w:r>
      <w:r>
        <w:rPr>
          <w:rFonts w:hint="eastAsia" w:ascii="仿宋" w:hAnsi="仿宋" w:eastAsia="仿宋" w:cs="仿宋"/>
          <w:bCs/>
          <w:color w:val="auto"/>
          <w:kern w:val="2"/>
          <w:sz w:val="21"/>
          <w:szCs w:val="21"/>
          <w:highlight w:val="none"/>
        </w:rPr>
        <w:t>本工程需要由监理人和承包人共同进行试验和检验的材料、工程设备和工艺如下：</w:t>
      </w:r>
    </w:p>
    <w:p w14:paraId="4D672D4D">
      <w:pPr>
        <w:pStyle w:val="114"/>
        <w:adjustRightInd w:val="0"/>
        <w:snapToGrid w:val="0"/>
        <w:spacing w:line="360" w:lineRule="auto"/>
        <w:jc w:val="left"/>
        <w:rPr>
          <w:rFonts w:hint="eastAsia" w:ascii="仿宋" w:hAnsi="仿宋" w:eastAsia="仿宋" w:cs="仿宋"/>
          <w:bCs/>
          <w:color w:val="auto"/>
          <w:kern w:val="2"/>
          <w:sz w:val="21"/>
          <w:szCs w:val="21"/>
          <w:highlight w:val="none"/>
        </w:rPr>
      </w:pPr>
      <w:r>
        <w:rPr>
          <w:rFonts w:hint="eastAsia" w:ascii="仿宋" w:hAnsi="仿宋" w:eastAsia="仿宋" w:cs="仿宋"/>
          <w:bCs/>
          <w:color w:val="auto"/>
          <w:kern w:val="2"/>
          <w:sz w:val="21"/>
          <w:szCs w:val="21"/>
          <w:highlight w:val="none"/>
        </w:rPr>
        <w:t>12.4</w:t>
      </w:r>
      <w:r>
        <w:rPr>
          <w:rFonts w:hint="eastAsia" w:ascii="仿宋" w:hAnsi="仿宋" w:eastAsia="仿宋" w:cs="仿宋"/>
          <w:bCs/>
          <w:color w:val="auto"/>
          <w:kern w:val="2"/>
          <w:sz w:val="21"/>
          <w:szCs w:val="21"/>
          <w:highlight w:val="none"/>
        </w:rPr>
        <w:tab/>
      </w:r>
      <w:r>
        <w:rPr>
          <w:rFonts w:hint="eastAsia" w:ascii="仿宋" w:hAnsi="仿宋" w:eastAsia="仿宋" w:cs="仿宋"/>
          <w:bCs/>
          <w:color w:val="auto"/>
          <w:kern w:val="2"/>
          <w:sz w:val="21"/>
          <w:szCs w:val="21"/>
          <w:highlight w:val="none"/>
        </w:rPr>
        <w:t>本条上述约定需要进行检验的材料、工程设备和工艺在经过检验并获得监理人批准以前，不得用于任何永久工程。</w:t>
      </w:r>
    </w:p>
    <w:p w14:paraId="30D8407F">
      <w:pPr>
        <w:pStyle w:val="114"/>
        <w:adjustRightInd w:val="0"/>
        <w:snapToGrid w:val="0"/>
        <w:spacing w:line="360" w:lineRule="auto"/>
        <w:jc w:val="left"/>
        <w:rPr>
          <w:rFonts w:hint="eastAsia" w:ascii="仿宋" w:hAnsi="仿宋" w:eastAsia="仿宋" w:cs="仿宋"/>
          <w:bCs/>
          <w:color w:val="auto"/>
          <w:kern w:val="2"/>
          <w:sz w:val="21"/>
          <w:szCs w:val="21"/>
          <w:highlight w:val="none"/>
        </w:rPr>
      </w:pPr>
      <w:r>
        <w:rPr>
          <w:rFonts w:hint="eastAsia" w:ascii="仿宋" w:hAnsi="仿宋" w:eastAsia="仿宋" w:cs="仿宋"/>
          <w:bCs/>
          <w:color w:val="auto"/>
          <w:kern w:val="2"/>
          <w:sz w:val="21"/>
          <w:szCs w:val="21"/>
          <w:highlight w:val="none"/>
        </w:rPr>
        <w:t>12.5</w:t>
      </w:r>
      <w:r>
        <w:rPr>
          <w:rFonts w:hint="eastAsia" w:ascii="仿宋" w:hAnsi="仿宋" w:eastAsia="仿宋" w:cs="仿宋"/>
          <w:bCs/>
          <w:color w:val="auto"/>
          <w:kern w:val="2"/>
          <w:sz w:val="21"/>
          <w:szCs w:val="21"/>
          <w:highlight w:val="none"/>
        </w:rPr>
        <w:tab/>
      </w:r>
      <w:r>
        <w:rPr>
          <w:rFonts w:hint="eastAsia" w:ascii="仿宋" w:hAnsi="仿宋" w:eastAsia="仿宋" w:cs="仿宋"/>
          <w:bCs/>
          <w:color w:val="auto"/>
          <w:kern w:val="2"/>
          <w:sz w:val="21"/>
          <w:szCs w:val="21"/>
          <w:highlight w:val="none"/>
        </w:rPr>
        <w:t>承包人应为任何材料、工程设备和工艺的检查、检测和检验提供劳务、电力、燃料、备用品、设备和仪器以及必要的协助。监理人及其任何授权人员应能够在任何时候进入现场及正在为工程制造、装配、准备材料和（或）工程设备的车间和场所进行任何必要的检查。无论这些车间和场所是否属于承包人，承包人都应提供一切便利，并协助其取得相应的权力和（或）许可。</w:t>
      </w:r>
    </w:p>
    <w:p w14:paraId="4F6C9B9D">
      <w:pPr>
        <w:pStyle w:val="114"/>
        <w:adjustRightInd w:val="0"/>
        <w:snapToGrid w:val="0"/>
        <w:spacing w:line="360" w:lineRule="auto"/>
        <w:jc w:val="left"/>
        <w:rPr>
          <w:rFonts w:hint="eastAsia" w:ascii="仿宋" w:hAnsi="仿宋" w:eastAsia="仿宋" w:cs="仿宋"/>
          <w:bCs/>
          <w:color w:val="auto"/>
          <w:kern w:val="2"/>
          <w:sz w:val="21"/>
          <w:szCs w:val="21"/>
          <w:highlight w:val="none"/>
        </w:rPr>
      </w:pPr>
      <w:r>
        <w:rPr>
          <w:rFonts w:hint="eastAsia" w:ascii="仿宋" w:hAnsi="仿宋" w:eastAsia="仿宋" w:cs="仿宋"/>
          <w:bCs/>
          <w:color w:val="auto"/>
          <w:kern w:val="2"/>
          <w:sz w:val="21"/>
          <w:szCs w:val="21"/>
          <w:highlight w:val="none"/>
        </w:rPr>
        <w:t>12.6</w:t>
      </w:r>
      <w:r>
        <w:rPr>
          <w:rFonts w:hint="eastAsia" w:ascii="仿宋" w:hAnsi="仿宋" w:eastAsia="仿宋" w:cs="仿宋"/>
          <w:bCs/>
          <w:color w:val="auto"/>
          <w:kern w:val="2"/>
          <w:sz w:val="21"/>
          <w:szCs w:val="21"/>
          <w:highlight w:val="none"/>
        </w:rPr>
        <w:tab/>
      </w:r>
      <w:r>
        <w:rPr>
          <w:rFonts w:hint="eastAsia" w:ascii="仿宋" w:hAnsi="仿宋" w:eastAsia="仿宋" w:cs="仿宋"/>
          <w:bCs/>
          <w:color w:val="auto"/>
          <w:kern w:val="2"/>
          <w:sz w:val="21"/>
          <w:szCs w:val="21"/>
          <w:highlight w:val="none"/>
        </w:rPr>
        <w:t>如果检查、检测、检验或试验的结果表明，材料、工程设备和工艺有缺陷或不符合合同约定，监理人和发包人可拒收此类材料、工程设备和工艺，并应立即通知承包人同时说明理由。承包人应立即修复上述缺陷并保证其符合合同约定。若监理人或发包人要求对此类工程设备、材料、设计或工艺重新进行检验，则此类检验应按相同条款和条件重新进行。如果此类拒收和重新检验致使发包人产生了额外费用，则此类费用应由承包人支付给发包人，或从发包人应支付给承包人的款项中扣除。</w:t>
      </w:r>
    </w:p>
    <w:p w14:paraId="01D0C1F9">
      <w:pPr>
        <w:pStyle w:val="114"/>
        <w:adjustRightInd w:val="0"/>
        <w:snapToGrid w:val="0"/>
        <w:spacing w:line="360" w:lineRule="auto"/>
        <w:jc w:val="left"/>
        <w:rPr>
          <w:rFonts w:hint="eastAsia" w:ascii="仿宋" w:hAnsi="仿宋" w:eastAsia="仿宋" w:cs="仿宋"/>
          <w:bCs/>
          <w:color w:val="auto"/>
          <w:kern w:val="2"/>
          <w:sz w:val="21"/>
          <w:szCs w:val="21"/>
          <w:highlight w:val="none"/>
        </w:rPr>
      </w:pPr>
      <w:r>
        <w:rPr>
          <w:rFonts w:hint="eastAsia" w:ascii="仿宋" w:hAnsi="仿宋" w:eastAsia="仿宋" w:cs="仿宋"/>
          <w:bCs/>
          <w:color w:val="auto"/>
          <w:kern w:val="2"/>
          <w:sz w:val="21"/>
          <w:szCs w:val="21"/>
          <w:highlight w:val="none"/>
        </w:rPr>
        <w:t>12.7</w:t>
      </w:r>
      <w:r>
        <w:rPr>
          <w:rFonts w:hint="eastAsia" w:ascii="仿宋" w:hAnsi="仿宋" w:eastAsia="仿宋" w:cs="仿宋"/>
          <w:bCs/>
          <w:color w:val="auto"/>
          <w:kern w:val="2"/>
          <w:sz w:val="21"/>
          <w:szCs w:val="21"/>
          <w:highlight w:val="none"/>
        </w:rPr>
        <w:tab/>
      </w:r>
      <w:r>
        <w:rPr>
          <w:rFonts w:hint="eastAsia" w:ascii="仿宋" w:hAnsi="仿宋" w:eastAsia="仿宋" w:cs="仿宋"/>
          <w:bCs/>
          <w:color w:val="auto"/>
          <w:kern w:val="2"/>
          <w:sz w:val="21"/>
          <w:szCs w:val="21"/>
          <w:highlight w:val="none"/>
        </w:rPr>
        <w:t>承包人应在监理人的监督下，对涉及结构安全的试块、试件以及有关材料进行现场取样，并送（质量检测单位）进行检测。</w:t>
      </w:r>
    </w:p>
    <w:p w14:paraId="2DE6A5D0">
      <w:pPr>
        <w:pStyle w:val="114"/>
        <w:adjustRightInd w:val="0"/>
        <w:snapToGrid w:val="0"/>
        <w:spacing w:line="360" w:lineRule="auto"/>
        <w:jc w:val="left"/>
        <w:rPr>
          <w:rFonts w:hint="eastAsia" w:ascii="仿宋" w:hAnsi="仿宋" w:eastAsia="仿宋" w:cs="仿宋"/>
          <w:bCs/>
          <w:color w:val="auto"/>
          <w:kern w:val="2"/>
          <w:sz w:val="21"/>
          <w:szCs w:val="21"/>
          <w:highlight w:val="none"/>
        </w:rPr>
      </w:pPr>
      <w:r>
        <w:rPr>
          <w:rFonts w:hint="eastAsia" w:ascii="仿宋" w:hAnsi="仿宋" w:eastAsia="仿宋" w:cs="仿宋"/>
          <w:bCs/>
          <w:color w:val="auto"/>
          <w:kern w:val="2"/>
          <w:sz w:val="21"/>
          <w:szCs w:val="21"/>
          <w:highlight w:val="none"/>
        </w:rPr>
        <w:t>12.8</w:t>
      </w:r>
      <w:r>
        <w:rPr>
          <w:rFonts w:hint="eastAsia" w:ascii="仿宋" w:hAnsi="仿宋" w:eastAsia="仿宋" w:cs="仿宋"/>
          <w:bCs/>
          <w:color w:val="auto"/>
          <w:kern w:val="2"/>
          <w:sz w:val="21"/>
          <w:szCs w:val="21"/>
          <w:highlight w:val="none"/>
        </w:rPr>
        <w:tab/>
      </w:r>
      <w:r>
        <w:rPr>
          <w:rFonts w:hint="eastAsia" w:ascii="仿宋" w:hAnsi="仿宋" w:eastAsia="仿宋" w:cs="仿宋"/>
          <w:bCs/>
          <w:color w:val="auto"/>
          <w:kern w:val="2"/>
          <w:sz w:val="21"/>
          <w:szCs w:val="21"/>
          <w:highlight w:val="none"/>
        </w:rPr>
        <w:t>除合同另有约定外，承包人应负担本合同项下的所有材料、工程设备和工艺检验的费用。</w:t>
      </w:r>
    </w:p>
    <w:p w14:paraId="7C3F3603">
      <w:pPr>
        <w:pStyle w:val="114"/>
        <w:adjustRightInd w:val="0"/>
        <w:snapToGrid w:val="0"/>
        <w:spacing w:line="360" w:lineRule="auto"/>
        <w:jc w:val="left"/>
        <w:rPr>
          <w:rFonts w:hint="eastAsia" w:ascii="仿宋" w:hAnsi="仿宋" w:eastAsia="仿宋" w:cs="仿宋"/>
          <w:color w:val="auto"/>
          <w:kern w:val="2"/>
          <w:sz w:val="21"/>
          <w:highlight w:val="none"/>
        </w:rPr>
      </w:pPr>
      <w:r>
        <w:rPr>
          <w:rFonts w:hint="eastAsia" w:ascii="仿宋" w:hAnsi="仿宋" w:eastAsia="仿宋" w:cs="仿宋"/>
          <w:color w:val="auto"/>
          <w:kern w:val="2"/>
          <w:sz w:val="21"/>
          <w:highlight w:val="none"/>
        </w:rPr>
        <w:t>13. 计日工</w:t>
      </w:r>
    </w:p>
    <w:p w14:paraId="729F4581">
      <w:pPr>
        <w:pStyle w:val="114"/>
        <w:adjustRightInd w:val="0"/>
        <w:snapToGrid w:val="0"/>
        <w:spacing w:line="360" w:lineRule="auto"/>
        <w:jc w:val="left"/>
        <w:rPr>
          <w:rFonts w:hint="eastAsia" w:ascii="仿宋" w:hAnsi="仿宋" w:eastAsia="仿宋" w:cs="仿宋"/>
          <w:bCs/>
          <w:color w:val="auto"/>
          <w:kern w:val="2"/>
          <w:sz w:val="21"/>
          <w:szCs w:val="21"/>
          <w:highlight w:val="none"/>
        </w:rPr>
      </w:pPr>
      <w:r>
        <w:rPr>
          <w:rFonts w:hint="eastAsia" w:ascii="仿宋" w:hAnsi="仿宋" w:eastAsia="仿宋" w:cs="仿宋"/>
          <w:bCs/>
          <w:color w:val="auto"/>
          <w:kern w:val="2"/>
          <w:sz w:val="21"/>
          <w:szCs w:val="21"/>
          <w:highlight w:val="none"/>
        </w:rPr>
        <w:t>13.1</w:t>
      </w:r>
      <w:r>
        <w:rPr>
          <w:rFonts w:hint="eastAsia" w:ascii="仿宋" w:hAnsi="仿宋" w:eastAsia="仿宋" w:cs="仿宋"/>
          <w:bCs/>
          <w:color w:val="auto"/>
          <w:kern w:val="2"/>
          <w:sz w:val="21"/>
          <w:szCs w:val="21"/>
          <w:highlight w:val="none"/>
        </w:rPr>
        <w:tab/>
      </w:r>
      <w:r>
        <w:rPr>
          <w:rFonts w:hint="eastAsia" w:ascii="仿宋" w:hAnsi="仿宋" w:eastAsia="仿宋" w:cs="仿宋"/>
          <w:bCs/>
          <w:color w:val="auto"/>
          <w:kern w:val="2"/>
          <w:sz w:val="21"/>
          <w:szCs w:val="21"/>
          <w:highlight w:val="none"/>
        </w:rPr>
        <w:t>通用合同条款约定的计日工，也称为零星工作项目，一般适用于合同约定之外的或者因变更而产生的、工程量清单中没有设立相应子目或者即便有相应子目但因工作条件发生变化而无法适用的额外工作，尤其是那些时间不允许事先商定价格的额外工作。计日工在发包人认为必要时，由监理人按通用合同条款第15.7.1项约定通知承包人实施。</w:t>
      </w:r>
    </w:p>
    <w:p w14:paraId="5FE06DF7">
      <w:pPr>
        <w:pStyle w:val="114"/>
        <w:adjustRightInd w:val="0"/>
        <w:snapToGrid w:val="0"/>
        <w:spacing w:line="360" w:lineRule="auto"/>
        <w:jc w:val="left"/>
        <w:rPr>
          <w:rFonts w:hint="eastAsia" w:ascii="仿宋" w:hAnsi="仿宋" w:eastAsia="仿宋" w:cs="仿宋"/>
          <w:bCs/>
          <w:color w:val="auto"/>
          <w:kern w:val="2"/>
          <w:sz w:val="21"/>
          <w:szCs w:val="21"/>
          <w:highlight w:val="none"/>
        </w:rPr>
      </w:pPr>
      <w:r>
        <w:rPr>
          <w:rFonts w:hint="eastAsia" w:ascii="仿宋" w:hAnsi="仿宋" w:eastAsia="仿宋" w:cs="仿宋"/>
          <w:bCs/>
          <w:color w:val="auto"/>
          <w:kern w:val="2"/>
          <w:sz w:val="21"/>
          <w:szCs w:val="21"/>
          <w:highlight w:val="none"/>
        </w:rPr>
        <w:t>13.2</w:t>
      </w:r>
      <w:r>
        <w:rPr>
          <w:rFonts w:hint="eastAsia" w:ascii="仿宋" w:hAnsi="仿宋" w:eastAsia="仿宋" w:cs="仿宋"/>
          <w:bCs/>
          <w:color w:val="auto"/>
          <w:kern w:val="2"/>
          <w:sz w:val="21"/>
          <w:szCs w:val="21"/>
          <w:highlight w:val="none"/>
        </w:rPr>
        <w:tab/>
      </w:r>
      <w:r>
        <w:rPr>
          <w:rFonts w:hint="eastAsia" w:ascii="仿宋" w:hAnsi="仿宋" w:eastAsia="仿宋" w:cs="仿宋"/>
          <w:bCs/>
          <w:color w:val="auto"/>
          <w:kern w:val="2"/>
          <w:sz w:val="21"/>
          <w:szCs w:val="21"/>
          <w:highlight w:val="none"/>
        </w:rPr>
        <w:t>在工程实际开工后14天内，承包人应当按通用合同条款约定的计日工报表内容，准备一份计日工日报表的格式，报送监理人审批，监理人应当在收到之日后7天内给予批复或提出修改意见。</w:t>
      </w:r>
    </w:p>
    <w:p w14:paraId="7C2332F9">
      <w:pPr>
        <w:pStyle w:val="114"/>
        <w:adjustRightInd w:val="0"/>
        <w:snapToGrid w:val="0"/>
        <w:spacing w:line="360" w:lineRule="auto"/>
        <w:jc w:val="left"/>
        <w:rPr>
          <w:rFonts w:hint="eastAsia" w:ascii="仿宋" w:hAnsi="仿宋" w:eastAsia="仿宋" w:cs="仿宋"/>
          <w:bCs/>
          <w:color w:val="auto"/>
          <w:kern w:val="2"/>
          <w:sz w:val="21"/>
          <w:szCs w:val="21"/>
          <w:highlight w:val="none"/>
        </w:rPr>
      </w:pPr>
      <w:r>
        <w:rPr>
          <w:rFonts w:hint="eastAsia" w:ascii="仿宋" w:hAnsi="仿宋" w:eastAsia="仿宋" w:cs="仿宋"/>
          <w:bCs/>
          <w:color w:val="auto"/>
          <w:kern w:val="2"/>
          <w:sz w:val="21"/>
          <w:szCs w:val="21"/>
          <w:highlight w:val="none"/>
        </w:rPr>
        <w:t>13.3</w:t>
      </w:r>
      <w:r>
        <w:rPr>
          <w:rFonts w:hint="eastAsia" w:ascii="仿宋" w:hAnsi="仿宋" w:eastAsia="仿宋" w:cs="仿宋"/>
          <w:bCs/>
          <w:color w:val="auto"/>
          <w:kern w:val="2"/>
          <w:sz w:val="21"/>
          <w:szCs w:val="21"/>
          <w:highlight w:val="none"/>
        </w:rPr>
        <w:tab/>
      </w:r>
      <w:r>
        <w:rPr>
          <w:rFonts w:hint="eastAsia" w:ascii="仿宋" w:hAnsi="仿宋" w:eastAsia="仿宋" w:cs="仿宋"/>
          <w:bCs/>
          <w:color w:val="auto"/>
          <w:kern w:val="2"/>
          <w:sz w:val="21"/>
          <w:szCs w:val="21"/>
          <w:highlight w:val="none"/>
        </w:rPr>
        <w:t>按计日工实施相关变更的过程中，承包人应当按经监理人批准的计日工日报表格式，每天提交计日工报表和有关凭证，报送监理人审批，监理人应当在收到相关报表和凭证后24小时内给予批复。</w:t>
      </w:r>
    </w:p>
    <w:p w14:paraId="4C1AE939">
      <w:pPr>
        <w:pStyle w:val="114"/>
        <w:adjustRightInd w:val="0"/>
        <w:snapToGrid w:val="0"/>
        <w:spacing w:line="360" w:lineRule="auto"/>
        <w:jc w:val="left"/>
        <w:rPr>
          <w:rFonts w:hint="eastAsia" w:ascii="仿宋" w:hAnsi="仿宋" w:eastAsia="仿宋" w:cs="仿宋"/>
          <w:bCs/>
          <w:color w:val="auto"/>
          <w:kern w:val="2"/>
          <w:sz w:val="21"/>
          <w:szCs w:val="21"/>
          <w:highlight w:val="none"/>
        </w:rPr>
      </w:pPr>
      <w:r>
        <w:rPr>
          <w:rFonts w:hint="eastAsia" w:ascii="仿宋" w:hAnsi="仿宋" w:eastAsia="仿宋" w:cs="仿宋"/>
          <w:bCs/>
          <w:color w:val="auto"/>
          <w:kern w:val="2"/>
          <w:sz w:val="21"/>
          <w:szCs w:val="21"/>
          <w:highlight w:val="none"/>
        </w:rPr>
        <w:t>13.4</w:t>
      </w:r>
      <w:r>
        <w:rPr>
          <w:rFonts w:hint="eastAsia" w:ascii="仿宋" w:hAnsi="仿宋" w:eastAsia="仿宋" w:cs="仿宋"/>
          <w:bCs/>
          <w:color w:val="auto"/>
          <w:kern w:val="2"/>
          <w:sz w:val="21"/>
          <w:szCs w:val="21"/>
          <w:highlight w:val="none"/>
        </w:rPr>
        <w:tab/>
      </w:r>
      <w:r>
        <w:rPr>
          <w:rFonts w:hint="eastAsia" w:ascii="仿宋" w:hAnsi="仿宋" w:eastAsia="仿宋" w:cs="仿宋"/>
          <w:bCs/>
          <w:color w:val="auto"/>
          <w:kern w:val="2"/>
          <w:sz w:val="21"/>
          <w:szCs w:val="21"/>
          <w:highlight w:val="none"/>
        </w:rPr>
        <w:t>用于计日工的劳务单价应当包括工人工资、交通费用、各种补贴、劳动安全保护、社保费用、手提手动和电动工器具、水电和低值易耗品费用、现场管理费用、企业管理费和利润，不包括规费和税金。计日工劳务按工日（8小时）计量，单次4小时以内按0.5个工日，单次4小时至8小时按1个工日，加班时间按照国家劳动法律法规的规定办理。实施计日工的劳务人员仅应包括直接从事计日工工作的工人和班组长（如果有），不应包括工长及其以上管理人员。</w:t>
      </w:r>
    </w:p>
    <w:p w14:paraId="0A136984">
      <w:pPr>
        <w:pStyle w:val="114"/>
        <w:adjustRightInd w:val="0"/>
        <w:snapToGrid w:val="0"/>
        <w:spacing w:line="360" w:lineRule="auto"/>
        <w:jc w:val="left"/>
        <w:rPr>
          <w:rFonts w:hint="eastAsia" w:ascii="仿宋" w:hAnsi="仿宋" w:eastAsia="仿宋" w:cs="仿宋"/>
          <w:bCs/>
          <w:color w:val="auto"/>
          <w:kern w:val="2"/>
          <w:sz w:val="21"/>
          <w:szCs w:val="21"/>
          <w:highlight w:val="none"/>
        </w:rPr>
      </w:pPr>
      <w:r>
        <w:rPr>
          <w:rFonts w:hint="eastAsia" w:ascii="仿宋" w:hAnsi="仿宋" w:eastAsia="仿宋" w:cs="仿宋"/>
          <w:bCs/>
          <w:color w:val="auto"/>
          <w:kern w:val="2"/>
          <w:sz w:val="21"/>
          <w:szCs w:val="21"/>
          <w:highlight w:val="none"/>
        </w:rPr>
        <w:t>13.5</w:t>
      </w:r>
      <w:r>
        <w:rPr>
          <w:rFonts w:hint="eastAsia" w:ascii="仿宋" w:hAnsi="仿宋" w:eastAsia="仿宋" w:cs="仿宋"/>
          <w:bCs/>
          <w:color w:val="auto"/>
          <w:kern w:val="2"/>
          <w:sz w:val="21"/>
          <w:szCs w:val="21"/>
          <w:highlight w:val="none"/>
        </w:rPr>
        <w:tab/>
      </w:r>
      <w:r>
        <w:rPr>
          <w:rFonts w:hint="eastAsia" w:ascii="仿宋" w:hAnsi="仿宋" w:eastAsia="仿宋" w:cs="仿宋"/>
          <w:bCs/>
          <w:color w:val="auto"/>
          <w:kern w:val="2"/>
          <w:sz w:val="21"/>
          <w:szCs w:val="21"/>
          <w:highlight w:val="none"/>
        </w:rPr>
        <w:t>用于计日工的材料价格包括材料运到现场的价格以及现场搬运、仓储、二次搬运、损耗、保险、企业管理费和利润，不包括规费和税金。已标价工程量清单计日工材料表中未列出的材料，实际发生时，其价格按照经监理人事先审批的材料运到现场的价格和有关材料采购的发票票面价格（运到现场价）中的较低者结算，另计一个在计日工材料表中填写的包括承包人企业管理费、利润在内的一个固定百分比，规费和税金另计。</w:t>
      </w:r>
    </w:p>
    <w:p w14:paraId="36A7243F">
      <w:pPr>
        <w:pStyle w:val="114"/>
        <w:adjustRightInd w:val="0"/>
        <w:snapToGrid w:val="0"/>
        <w:spacing w:line="360" w:lineRule="auto"/>
        <w:jc w:val="left"/>
        <w:rPr>
          <w:rFonts w:hint="eastAsia" w:ascii="仿宋" w:hAnsi="仿宋" w:eastAsia="仿宋" w:cs="仿宋"/>
          <w:bCs/>
          <w:color w:val="auto"/>
          <w:kern w:val="2"/>
          <w:sz w:val="21"/>
          <w:szCs w:val="21"/>
          <w:highlight w:val="none"/>
        </w:rPr>
      </w:pPr>
      <w:r>
        <w:rPr>
          <w:rFonts w:hint="eastAsia" w:ascii="仿宋" w:hAnsi="仿宋" w:eastAsia="仿宋" w:cs="仿宋"/>
          <w:bCs/>
          <w:color w:val="auto"/>
          <w:kern w:val="2"/>
          <w:sz w:val="21"/>
          <w:szCs w:val="21"/>
          <w:highlight w:val="none"/>
        </w:rPr>
        <w:t>13.6</w:t>
      </w:r>
      <w:r>
        <w:rPr>
          <w:rFonts w:hint="eastAsia" w:ascii="仿宋" w:hAnsi="仿宋" w:eastAsia="仿宋" w:cs="仿宋"/>
          <w:bCs/>
          <w:color w:val="auto"/>
          <w:kern w:val="2"/>
          <w:sz w:val="21"/>
          <w:szCs w:val="21"/>
          <w:highlight w:val="none"/>
        </w:rPr>
        <w:tab/>
      </w:r>
      <w:r>
        <w:rPr>
          <w:rFonts w:hint="eastAsia" w:ascii="仿宋" w:hAnsi="仿宋" w:eastAsia="仿宋" w:cs="仿宋"/>
          <w:bCs/>
          <w:color w:val="auto"/>
          <w:kern w:val="2"/>
          <w:sz w:val="21"/>
          <w:szCs w:val="21"/>
          <w:highlight w:val="none"/>
        </w:rPr>
        <w:t>用于计日工的施工机械限于在施工场地（现场）的机械设备，其价格包括租赁或折旧、维修、维护和燃油等消耗品以及操作人员费用，包括承包人企业管理费和利润，但规费和税金另计。辅助人员按劳务价格另计。计日工如果需要使用场外施工机械，台班费用和进出场费用按市场平均价格，由承包人事后报监理人审批。施工机械按台班计量（8小时），单次4小时以内按0.5个台班，单次4小时至8小时按1个台班，操作人员加班时间按照国家劳动法律法规的规定办理。</w:t>
      </w:r>
    </w:p>
    <w:p w14:paraId="1BE11AFF">
      <w:pPr>
        <w:pStyle w:val="114"/>
        <w:adjustRightInd w:val="0"/>
        <w:snapToGrid w:val="0"/>
        <w:spacing w:line="360" w:lineRule="auto"/>
        <w:jc w:val="left"/>
        <w:rPr>
          <w:rFonts w:hint="eastAsia" w:ascii="仿宋" w:hAnsi="仿宋" w:eastAsia="仿宋" w:cs="仿宋"/>
          <w:bCs/>
          <w:color w:val="auto"/>
          <w:kern w:val="2"/>
          <w:sz w:val="21"/>
          <w:szCs w:val="21"/>
          <w:highlight w:val="none"/>
        </w:rPr>
      </w:pPr>
      <w:r>
        <w:rPr>
          <w:rFonts w:hint="eastAsia" w:ascii="仿宋" w:hAnsi="仿宋" w:eastAsia="仿宋" w:cs="仿宋"/>
          <w:bCs/>
          <w:color w:val="auto"/>
          <w:kern w:val="2"/>
          <w:sz w:val="21"/>
          <w:szCs w:val="21"/>
          <w:highlight w:val="none"/>
        </w:rPr>
        <w:t>13.7</w:t>
      </w:r>
      <w:r>
        <w:rPr>
          <w:rFonts w:hint="eastAsia" w:ascii="仿宋" w:hAnsi="仿宋" w:eastAsia="仿宋" w:cs="仿宋"/>
          <w:bCs/>
          <w:color w:val="auto"/>
          <w:kern w:val="2"/>
          <w:sz w:val="21"/>
          <w:szCs w:val="21"/>
          <w:highlight w:val="none"/>
        </w:rPr>
        <w:tab/>
      </w:r>
      <w:r>
        <w:rPr>
          <w:rFonts w:hint="eastAsia" w:ascii="仿宋" w:hAnsi="仿宋" w:eastAsia="仿宋" w:cs="仿宋"/>
          <w:bCs/>
          <w:color w:val="auto"/>
          <w:kern w:val="2"/>
          <w:sz w:val="21"/>
          <w:szCs w:val="21"/>
          <w:highlight w:val="none"/>
        </w:rPr>
        <w:t>关于计日工的其他约定：</w:t>
      </w:r>
      <w:r>
        <w:rPr>
          <w:rFonts w:hint="eastAsia" w:ascii="仿宋" w:hAnsi="仿宋" w:eastAsia="仿宋" w:cs="仿宋"/>
          <w:bCs/>
          <w:color w:val="auto"/>
          <w:kern w:val="2"/>
          <w:sz w:val="21"/>
          <w:szCs w:val="21"/>
          <w:highlight w:val="none"/>
          <w:u w:val="single"/>
        </w:rPr>
        <w:t>无</w:t>
      </w:r>
      <w:r>
        <w:rPr>
          <w:rFonts w:hint="eastAsia" w:ascii="仿宋" w:hAnsi="仿宋" w:eastAsia="仿宋" w:cs="仿宋"/>
          <w:bCs/>
          <w:color w:val="auto"/>
          <w:kern w:val="2"/>
          <w:sz w:val="21"/>
          <w:szCs w:val="21"/>
          <w:highlight w:val="none"/>
        </w:rPr>
        <w:t>。</w:t>
      </w:r>
    </w:p>
    <w:p w14:paraId="02F62311">
      <w:pPr>
        <w:pStyle w:val="114"/>
        <w:adjustRightInd w:val="0"/>
        <w:snapToGrid w:val="0"/>
        <w:spacing w:line="360" w:lineRule="auto"/>
        <w:jc w:val="left"/>
        <w:rPr>
          <w:rFonts w:hint="eastAsia" w:ascii="仿宋" w:hAnsi="仿宋" w:eastAsia="仿宋" w:cs="仿宋"/>
          <w:color w:val="auto"/>
          <w:kern w:val="2"/>
          <w:sz w:val="21"/>
          <w:highlight w:val="none"/>
        </w:rPr>
      </w:pPr>
      <w:r>
        <w:rPr>
          <w:rFonts w:hint="eastAsia" w:ascii="仿宋" w:hAnsi="仿宋" w:eastAsia="仿宋" w:cs="仿宋"/>
          <w:b/>
          <w:color w:val="auto"/>
          <w:kern w:val="2"/>
          <w:sz w:val="21"/>
          <w:highlight w:val="none"/>
        </w:rPr>
        <w:t xml:space="preserve">14. </w:t>
      </w:r>
      <w:r>
        <w:rPr>
          <w:rFonts w:hint="eastAsia" w:ascii="仿宋" w:hAnsi="仿宋" w:eastAsia="仿宋" w:cs="仿宋"/>
          <w:color w:val="auto"/>
          <w:kern w:val="2"/>
          <w:sz w:val="21"/>
          <w:highlight w:val="none"/>
        </w:rPr>
        <w:t>计量与支付</w:t>
      </w:r>
    </w:p>
    <w:p w14:paraId="4BBB9992">
      <w:pPr>
        <w:pStyle w:val="114"/>
        <w:adjustRightInd w:val="0"/>
        <w:snapToGrid w:val="0"/>
        <w:spacing w:line="360" w:lineRule="auto"/>
        <w:jc w:val="left"/>
        <w:rPr>
          <w:rFonts w:hint="eastAsia" w:ascii="仿宋" w:hAnsi="仿宋" w:eastAsia="仿宋" w:cs="仿宋"/>
          <w:bCs/>
          <w:color w:val="auto"/>
          <w:kern w:val="2"/>
          <w:sz w:val="21"/>
          <w:szCs w:val="21"/>
          <w:highlight w:val="none"/>
        </w:rPr>
      </w:pPr>
      <w:r>
        <w:rPr>
          <w:rFonts w:hint="eastAsia" w:ascii="仿宋" w:hAnsi="仿宋" w:eastAsia="仿宋" w:cs="仿宋"/>
          <w:bCs/>
          <w:color w:val="auto"/>
          <w:kern w:val="2"/>
          <w:sz w:val="21"/>
          <w:szCs w:val="21"/>
          <w:highlight w:val="none"/>
        </w:rPr>
        <w:t>14.1</w:t>
      </w:r>
      <w:r>
        <w:rPr>
          <w:rFonts w:hint="eastAsia" w:ascii="仿宋" w:hAnsi="仿宋" w:eastAsia="仿宋" w:cs="仿宋"/>
          <w:bCs/>
          <w:color w:val="auto"/>
          <w:kern w:val="2"/>
          <w:sz w:val="21"/>
          <w:szCs w:val="21"/>
          <w:highlight w:val="none"/>
        </w:rPr>
        <w:tab/>
      </w:r>
      <w:r>
        <w:rPr>
          <w:rFonts w:hint="eastAsia" w:ascii="仿宋" w:hAnsi="仿宋" w:eastAsia="仿宋" w:cs="仿宋"/>
          <w:bCs/>
          <w:color w:val="auto"/>
          <w:kern w:val="2"/>
          <w:sz w:val="21"/>
          <w:szCs w:val="21"/>
          <w:highlight w:val="none"/>
        </w:rPr>
        <w:t>付款申请单</w:t>
      </w:r>
    </w:p>
    <w:p w14:paraId="22BB6FB2">
      <w:pPr>
        <w:pStyle w:val="114"/>
        <w:adjustRightInd w:val="0"/>
        <w:snapToGrid w:val="0"/>
        <w:spacing w:line="360" w:lineRule="auto"/>
        <w:jc w:val="left"/>
        <w:rPr>
          <w:rFonts w:hint="eastAsia" w:ascii="仿宋" w:hAnsi="仿宋" w:eastAsia="仿宋" w:cs="仿宋"/>
          <w:bCs/>
          <w:color w:val="auto"/>
          <w:kern w:val="2"/>
          <w:sz w:val="21"/>
          <w:szCs w:val="21"/>
          <w:highlight w:val="none"/>
        </w:rPr>
      </w:pPr>
      <w:r>
        <w:rPr>
          <w:rFonts w:hint="eastAsia" w:ascii="仿宋" w:hAnsi="仿宋" w:eastAsia="仿宋" w:cs="仿宋"/>
          <w:bCs/>
          <w:color w:val="auto"/>
          <w:kern w:val="2"/>
          <w:sz w:val="21"/>
          <w:szCs w:val="21"/>
          <w:highlight w:val="none"/>
        </w:rPr>
        <w:t>14.1.1</w:t>
      </w:r>
      <w:r>
        <w:rPr>
          <w:rFonts w:hint="eastAsia" w:ascii="仿宋" w:hAnsi="仿宋" w:eastAsia="仿宋" w:cs="仿宋"/>
          <w:bCs/>
          <w:color w:val="auto"/>
          <w:kern w:val="2"/>
          <w:sz w:val="21"/>
          <w:szCs w:val="21"/>
          <w:highlight w:val="none"/>
        </w:rPr>
        <w:tab/>
      </w:r>
      <w:r>
        <w:rPr>
          <w:rFonts w:hint="eastAsia" w:ascii="仿宋" w:hAnsi="仿宋" w:eastAsia="仿宋" w:cs="仿宋"/>
          <w:bCs/>
          <w:color w:val="auto"/>
          <w:kern w:val="2"/>
          <w:sz w:val="21"/>
          <w:szCs w:val="21"/>
          <w:highlight w:val="none"/>
        </w:rPr>
        <w:t>在工程实际开工后14天内，承包人应当按照合同条款第17条的约定，准备一份已完工程量报表、进度付款申请单和计量文件的格式等报送监理人，监理人应当在收到承包人报送的格式后7天内给予批复或者提出修改意见。</w:t>
      </w:r>
    </w:p>
    <w:p w14:paraId="5153A24B">
      <w:pPr>
        <w:pStyle w:val="114"/>
        <w:adjustRightInd w:val="0"/>
        <w:snapToGrid w:val="0"/>
        <w:spacing w:line="360" w:lineRule="auto"/>
        <w:jc w:val="left"/>
        <w:rPr>
          <w:rFonts w:hint="eastAsia" w:ascii="仿宋" w:hAnsi="仿宋" w:eastAsia="仿宋" w:cs="仿宋"/>
          <w:bCs/>
          <w:color w:val="auto"/>
          <w:kern w:val="2"/>
          <w:sz w:val="21"/>
          <w:szCs w:val="21"/>
          <w:highlight w:val="none"/>
        </w:rPr>
      </w:pPr>
      <w:r>
        <w:rPr>
          <w:rFonts w:hint="eastAsia" w:ascii="仿宋" w:hAnsi="仿宋" w:eastAsia="仿宋" w:cs="仿宋"/>
          <w:bCs/>
          <w:color w:val="auto"/>
          <w:kern w:val="2"/>
          <w:sz w:val="21"/>
          <w:szCs w:val="21"/>
          <w:highlight w:val="none"/>
        </w:rPr>
        <w:t>14.1.2</w:t>
      </w:r>
      <w:r>
        <w:rPr>
          <w:rFonts w:hint="eastAsia" w:ascii="仿宋" w:hAnsi="仿宋" w:eastAsia="仿宋" w:cs="仿宋"/>
          <w:bCs/>
          <w:color w:val="auto"/>
          <w:kern w:val="2"/>
          <w:sz w:val="21"/>
          <w:szCs w:val="21"/>
          <w:highlight w:val="none"/>
        </w:rPr>
        <w:tab/>
      </w:r>
      <w:r>
        <w:rPr>
          <w:rFonts w:hint="eastAsia" w:ascii="仿宋" w:hAnsi="仿宋" w:eastAsia="仿宋" w:cs="仿宋"/>
          <w:bCs/>
          <w:color w:val="auto"/>
          <w:kern w:val="2"/>
          <w:sz w:val="21"/>
          <w:szCs w:val="21"/>
          <w:highlight w:val="none"/>
        </w:rPr>
        <w:t>根据合同条款，承包人应当在合同约定的每个付款周期末，对当期完成的各项工程量进行计量和计价，并按照约定，对当期应增加和扣减的各类款项进行梳理和汇总，按经监理人批准的格式和专用合同条款约定的份数和内容准备并向监理人递交进度付款申请单，并将进度付款申请单连同已完工程量报表、有关计量资料以及能够证明其进度付款申请单中所索要款项符合合同约定的各个支持性文件同时报送监理人审批。</w:t>
      </w:r>
    </w:p>
    <w:p w14:paraId="5FEAF6F1">
      <w:pPr>
        <w:pStyle w:val="114"/>
        <w:adjustRightInd w:val="0"/>
        <w:snapToGrid w:val="0"/>
        <w:spacing w:line="360" w:lineRule="auto"/>
        <w:jc w:val="left"/>
        <w:rPr>
          <w:rFonts w:hint="eastAsia" w:ascii="仿宋" w:hAnsi="仿宋" w:eastAsia="仿宋" w:cs="仿宋"/>
          <w:bCs/>
          <w:color w:val="auto"/>
          <w:kern w:val="2"/>
          <w:sz w:val="21"/>
          <w:szCs w:val="21"/>
          <w:highlight w:val="none"/>
        </w:rPr>
      </w:pPr>
      <w:r>
        <w:rPr>
          <w:rFonts w:hint="eastAsia" w:ascii="仿宋" w:hAnsi="仿宋" w:eastAsia="仿宋" w:cs="仿宋"/>
          <w:bCs/>
          <w:color w:val="auto"/>
          <w:kern w:val="2"/>
          <w:sz w:val="21"/>
          <w:szCs w:val="21"/>
          <w:highlight w:val="none"/>
        </w:rPr>
        <w:t>14.1.3</w:t>
      </w:r>
      <w:r>
        <w:rPr>
          <w:rFonts w:hint="eastAsia" w:ascii="仿宋" w:hAnsi="仿宋" w:eastAsia="仿宋" w:cs="仿宋"/>
          <w:bCs/>
          <w:color w:val="auto"/>
          <w:kern w:val="2"/>
          <w:sz w:val="21"/>
          <w:szCs w:val="21"/>
          <w:highlight w:val="none"/>
        </w:rPr>
        <w:tab/>
      </w:r>
      <w:r>
        <w:rPr>
          <w:rFonts w:hint="eastAsia" w:ascii="仿宋" w:hAnsi="仿宋" w:eastAsia="仿宋" w:cs="仿宋"/>
          <w:bCs/>
          <w:color w:val="auto"/>
          <w:kern w:val="2"/>
          <w:sz w:val="21"/>
          <w:szCs w:val="21"/>
          <w:highlight w:val="none"/>
        </w:rPr>
        <w:t>竣工付款申请单的内容按合同条款的约定。采用单价合同形式的，竣工付款申请单应当附上按合同条款确定的结算工程量和最近一次进度付款和竣工付款之间完成的各子目的工程量计量文件。采用总价合同形式的，实际签约合同价所基于的工程量就是相应的竣工结算工程量，但是，变更应按合同约定进行计量和计价。</w:t>
      </w:r>
    </w:p>
    <w:p w14:paraId="2EE1A3E1">
      <w:pPr>
        <w:pStyle w:val="114"/>
        <w:adjustRightInd w:val="0"/>
        <w:snapToGrid w:val="0"/>
        <w:spacing w:line="360" w:lineRule="auto"/>
        <w:jc w:val="left"/>
        <w:rPr>
          <w:rFonts w:hint="eastAsia" w:ascii="仿宋" w:hAnsi="仿宋" w:eastAsia="仿宋" w:cs="仿宋"/>
          <w:bCs/>
          <w:color w:val="auto"/>
          <w:kern w:val="2"/>
          <w:sz w:val="21"/>
          <w:szCs w:val="21"/>
          <w:highlight w:val="none"/>
        </w:rPr>
      </w:pPr>
      <w:r>
        <w:rPr>
          <w:rFonts w:hint="eastAsia" w:ascii="仿宋" w:hAnsi="仿宋" w:eastAsia="仿宋" w:cs="仿宋"/>
          <w:bCs/>
          <w:color w:val="auto"/>
          <w:kern w:val="2"/>
          <w:sz w:val="21"/>
          <w:szCs w:val="21"/>
          <w:highlight w:val="none"/>
        </w:rPr>
        <w:t>14.1.4</w:t>
      </w:r>
      <w:r>
        <w:rPr>
          <w:rFonts w:hint="eastAsia" w:ascii="仿宋" w:hAnsi="仿宋" w:eastAsia="仿宋" w:cs="仿宋"/>
          <w:bCs/>
          <w:color w:val="auto"/>
          <w:kern w:val="2"/>
          <w:sz w:val="21"/>
          <w:szCs w:val="21"/>
          <w:highlight w:val="none"/>
        </w:rPr>
        <w:tab/>
      </w:r>
      <w:r>
        <w:rPr>
          <w:rFonts w:hint="eastAsia" w:ascii="仿宋" w:hAnsi="仿宋" w:eastAsia="仿宋" w:cs="仿宋"/>
          <w:bCs/>
          <w:color w:val="auto"/>
          <w:kern w:val="2"/>
          <w:sz w:val="21"/>
          <w:szCs w:val="21"/>
          <w:highlight w:val="none"/>
        </w:rPr>
        <w:t>竣工结算总价（合同价格）应当按以下内容梳理：</w:t>
      </w:r>
    </w:p>
    <w:p w14:paraId="1DED5436">
      <w:pPr>
        <w:pStyle w:val="114"/>
        <w:adjustRightInd w:val="0"/>
        <w:snapToGrid w:val="0"/>
        <w:spacing w:line="360" w:lineRule="auto"/>
        <w:jc w:val="left"/>
        <w:rPr>
          <w:rFonts w:hint="eastAsia" w:ascii="仿宋" w:hAnsi="仿宋" w:eastAsia="仿宋" w:cs="仿宋"/>
          <w:bCs/>
          <w:color w:val="auto"/>
          <w:kern w:val="2"/>
          <w:sz w:val="21"/>
          <w:szCs w:val="21"/>
          <w:highlight w:val="none"/>
        </w:rPr>
      </w:pPr>
      <w:r>
        <w:rPr>
          <w:rFonts w:hint="eastAsia" w:ascii="仿宋" w:hAnsi="仿宋" w:eastAsia="仿宋" w:cs="仿宋"/>
          <w:bCs/>
          <w:color w:val="auto"/>
          <w:kern w:val="2"/>
          <w:sz w:val="21"/>
          <w:szCs w:val="21"/>
          <w:highlight w:val="none"/>
        </w:rPr>
        <w:t>（1）</w:t>
      </w:r>
      <w:r>
        <w:rPr>
          <w:rFonts w:hint="eastAsia" w:ascii="仿宋" w:hAnsi="仿宋" w:eastAsia="仿宋" w:cs="仿宋"/>
          <w:bCs/>
          <w:color w:val="auto"/>
          <w:kern w:val="2"/>
          <w:sz w:val="21"/>
          <w:szCs w:val="21"/>
          <w:highlight w:val="none"/>
        </w:rPr>
        <w:tab/>
      </w:r>
      <w:r>
        <w:rPr>
          <w:rFonts w:hint="eastAsia" w:ascii="仿宋" w:hAnsi="仿宋" w:eastAsia="仿宋" w:cs="仿宋"/>
          <w:bCs/>
          <w:color w:val="auto"/>
          <w:kern w:val="2"/>
          <w:sz w:val="21"/>
          <w:szCs w:val="21"/>
          <w:highlight w:val="none"/>
        </w:rPr>
        <w:t>实际签约合同价；</w:t>
      </w:r>
    </w:p>
    <w:p w14:paraId="1F58CF72">
      <w:pPr>
        <w:pStyle w:val="114"/>
        <w:adjustRightInd w:val="0"/>
        <w:snapToGrid w:val="0"/>
        <w:spacing w:line="360" w:lineRule="auto"/>
        <w:jc w:val="left"/>
        <w:rPr>
          <w:rFonts w:hint="eastAsia" w:ascii="仿宋" w:hAnsi="仿宋" w:eastAsia="仿宋" w:cs="仿宋"/>
          <w:bCs/>
          <w:color w:val="auto"/>
          <w:kern w:val="2"/>
          <w:sz w:val="21"/>
          <w:szCs w:val="21"/>
          <w:highlight w:val="none"/>
        </w:rPr>
      </w:pPr>
      <w:r>
        <w:rPr>
          <w:rFonts w:hint="eastAsia" w:ascii="仿宋" w:hAnsi="仿宋" w:eastAsia="仿宋" w:cs="仿宋"/>
          <w:bCs/>
          <w:color w:val="auto"/>
          <w:kern w:val="2"/>
          <w:sz w:val="21"/>
          <w:szCs w:val="21"/>
          <w:highlight w:val="none"/>
        </w:rPr>
        <w:t>（2）</w:t>
      </w:r>
      <w:r>
        <w:rPr>
          <w:rFonts w:hint="eastAsia" w:ascii="仿宋" w:hAnsi="仿宋" w:eastAsia="仿宋" w:cs="仿宋"/>
          <w:bCs/>
          <w:color w:val="auto"/>
          <w:kern w:val="2"/>
          <w:sz w:val="21"/>
          <w:szCs w:val="21"/>
          <w:highlight w:val="none"/>
        </w:rPr>
        <w:tab/>
      </w:r>
      <w:r>
        <w:rPr>
          <w:rFonts w:hint="eastAsia" w:ascii="仿宋" w:hAnsi="仿宋" w:eastAsia="仿宋" w:cs="仿宋"/>
          <w:bCs/>
          <w:color w:val="auto"/>
          <w:kern w:val="2"/>
          <w:sz w:val="21"/>
          <w:szCs w:val="21"/>
          <w:highlight w:val="none"/>
        </w:rPr>
        <w:t>应当扣减的项目：</w:t>
      </w:r>
    </w:p>
    <w:p w14:paraId="5034FF64">
      <w:pPr>
        <w:pStyle w:val="114"/>
        <w:adjustRightInd w:val="0"/>
        <w:snapToGrid w:val="0"/>
        <w:spacing w:line="360" w:lineRule="auto"/>
        <w:jc w:val="left"/>
        <w:rPr>
          <w:rFonts w:hint="eastAsia" w:ascii="仿宋" w:hAnsi="仿宋" w:eastAsia="仿宋" w:cs="仿宋"/>
          <w:bCs/>
          <w:color w:val="auto"/>
          <w:kern w:val="2"/>
          <w:sz w:val="21"/>
          <w:szCs w:val="21"/>
          <w:highlight w:val="none"/>
        </w:rPr>
      </w:pPr>
      <w:r>
        <w:rPr>
          <w:rFonts w:hint="eastAsia" w:ascii="仿宋" w:hAnsi="仿宋" w:eastAsia="仿宋" w:cs="仿宋"/>
          <w:bCs/>
          <w:color w:val="auto"/>
          <w:kern w:val="2"/>
          <w:sz w:val="21"/>
          <w:szCs w:val="21"/>
          <w:highlight w:val="none"/>
        </w:rPr>
        <w:t>1）</w:t>
      </w:r>
      <w:r>
        <w:rPr>
          <w:rFonts w:hint="eastAsia" w:ascii="仿宋" w:hAnsi="仿宋" w:eastAsia="仿宋" w:cs="仿宋"/>
          <w:bCs/>
          <w:color w:val="auto"/>
          <w:kern w:val="2"/>
          <w:sz w:val="21"/>
          <w:szCs w:val="21"/>
          <w:highlight w:val="none"/>
        </w:rPr>
        <w:tab/>
      </w:r>
      <w:r>
        <w:rPr>
          <w:rFonts w:hint="eastAsia" w:ascii="仿宋" w:hAnsi="仿宋" w:eastAsia="仿宋" w:cs="仿宋"/>
          <w:bCs/>
          <w:color w:val="auto"/>
          <w:kern w:val="2"/>
          <w:sz w:val="21"/>
          <w:szCs w:val="21"/>
          <w:highlight w:val="none"/>
        </w:rPr>
        <w:t>所有暂列金额；</w:t>
      </w:r>
    </w:p>
    <w:p w14:paraId="401418D0">
      <w:pPr>
        <w:pStyle w:val="114"/>
        <w:adjustRightInd w:val="0"/>
        <w:snapToGrid w:val="0"/>
        <w:spacing w:line="360" w:lineRule="auto"/>
        <w:jc w:val="left"/>
        <w:rPr>
          <w:rFonts w:hint="eastAsia" w:ascii="仿宋" w:hAnsi="仿宋" w:eastAsia="仿宋" w:cs="仿宋"/>
          <w:bCs/>
          <w:color w:val="auto"/>
          <w:kern w:val="2"/>
          <w:sz w:val="21"/>
          <w:szCs w:val="21"/>
          <w:highlight w:val="none"/>
        </w:rPr>
      </w:pPr>
      <w:r>
        <w:rPr>
          <w:rFonts w:hint="eastAsia" w:ascii="仿宋" w:hAnsi="仿宋" w:eastAsia="仿宋" w:cs="仿宋"/>
          <w:bCs/>
          <w:color w:val="auto"/>
          <w:kern w:val="2"/>
          <w:sz w:val="21"/>
          <w:szCs w:val="21"/>
          <w:highlight w:val="none"/>
        </w:rPr>
        <w:t>2）</w:t>
      </w:r>
      <w:r>
        <w:rPr>
          <w:rFonts w:hint="eastAsia" w:ascii="仿宋" w:hAnsi="仿宋" w:eastAsia="仿宋" w:cs="仿宋"/>
          <w:bCs/>
          <w:color w:val="auto"/>
          <w:kern w:val="2"/>
          <w:sz w:val="21"/>
          <w:szCs w:val="21"/>
          <w:highlight w:val="none"/>
        </w:rPr>
        <w:tab/>
      </w:r>
      <w:r>
        <w:rPr>
          <w:rFonts w:hint="eastAsia" w:ascii="仿宋" w:hAnsi="仿宋" w:eastAsia="仿宋" w:cs="仿宋"/>
          <w:bCs/>
          <w:color w:val="auto"/>
          <w:kern w:val="2"/>
          <w:sz w:val="21"/>
          <w:szCs w:val="21"/>
          <w:highlight w:val="none"/>
        </w:rPr>
        <w:t>所有暂估价；</w:t>
      </w:r>
    </w:p>
    <w:p w14:paraId="2725AFA4">
      <w:pPr>
        <w:pStyle w:val="114"/>
        <w:adjustRightInd w:val="0"/>
        <w:snapToGrid w:val="0"/>
        <w:spacing w:line="360" w:lineRule="auto"/>
        <w:jc w:val="left"/>
        <w:rPr>
          <w:rFonts w:hint="eastAsia" w:ascii="仿宋" w:hAnsi="仿宋" w:eastAsia="仿宋" w:cs="仿宋"/>
          <w:bCs/>
          <w:color w:val="auto"/>
          <w:kern w:val="2"/>
          <w:sz w:val="21"/>
          <w:szCs w:val="21"/>
          <w:highlight w:val="none"/>
        </w:rPr>
      </w:pPr>
      <w:r>
        <w:rPr>
          <w:rFonts w:hint="eastAsia" w:ascii="仿宋" w:hAnsi="仿宋" w:eastAsia="仿宋" w:cs="仿宋"/>
          <w:bCs/>
          <w:color w:val="auto"/>
          <w:kern w:val="2"/>
          <w:sz w:val="21"/>
          <w:szCs w:val="21"/>
          <w:highlight w:val="none"/>
        </w:rPr>
        <w:t>3）</w:t>
      </w:r>
      <w:r>
        <w:rPr>
          <w:rFonts w:hint="eastAsia" w:ascii="仿宋" w:hAnsi="仿宋" w:eastAsia="仿宋" w:cs="仿宋"/>
          <w:bCs/>
          <w:color w:val="auto"/>
          <w:kern w:val="2"/>
          <w:sz w:val="21"/>
          <w:szCs w:val="21"/>
          <w:highlight w:val="none"/>
        </w:rPr>
        <w:tab/>
      </w:r>
      <w:r>
        <w:rPr>
          <w:rFonts w:hint="eastAsia" w:ascii="仿宋" w:hAnsi="仿宋" w:eastAsia="仿宋" w:cs="仿宋"/>
          <w:bCs/>
          <w:color w:val="auto"/>
          <w:kern w:val="2"/>
          <w:sz w:val="21"/>
          <w:szCs w:val="21"/>
          <w:highlight w:val="none"/>
        </w:rPr>
        <w:t>根据合同条款应扣减的变更金额；</w:t>
      </w:r>
    </w:p>
    <w:p w14:paraId="4B842D44">
      <w:pPr>
        <w:pStyle w:val="114"/>
        <w:adjustRightInd w:val="0"/>
        <w:snapToGrid w:val="0"/>
        <w:spacing w:line="360" w:lineRule="auto"/>
        <w:jc w:val="left"/>
        <w:rPr>
          <w:rFonts w:hint="eastAsia" w:ascii="仿宋" w:hAnsi="仿宋" w:eastAsia="仿宋" w:cs="仿宋"/>
          <w:bCs/>
          <w:color w:val="auto"/>
          <w:kern w:val="2"/>
          <w:sz w:val="21"/>
          <w:szCs w:val="21"/>
          <w:highlight w:val="none"/>
        </w:rPr>
      </w:pPr>
      <w:r>
        <w:rPr>
          <w:rFonts w:hint="eastAsia" w:ascii="仿宋" w:hAnsi="仿宋" w:eastAsia="仿宋" w:cs="仿宋"/>
          <w:bCs/>
          <w:color w:val="auto"/>
          <w:kern w:val="2"/>
          <w:sz w:val="21"/>
          <w:szCs w:val="21"/>
          <w:highlight w:val="none"/>
        </w:rPr>
        <w:t>4）</w:t>
      </w:r>
      <w:r>
        <w:rPr>
          <w:rFonts w:hint="eastAsia" w:ascii="仿宋" w:hAnsi="仿宋" w:eastAsia="仿宋" w:cs="仿宋"/>
          <w:bCs/>
          <w:color w:val="auto"/>
          <w:kern w:val="2"/>
          <w:sz w:val="21"/>
          <w:szCs w:val="21"/>
          <w:highlight w:val="none"/>
        </w:rPr>
        <w:tab/>
      </w:r>
      <w:r>
        <w:rPr>
          <w:rFonts w:hint="eastAsia" w:ascii="仿宋" w:hAnsi="仿宋" w:eastAsia="仿宋" w:cs="仿宋"/>
          <w:bCs/>
          <w:color w:val="auto"/>
          <w:kern w:val="2"/>
          <w:sz w:val="21"/>
          <w:szCs w:val="21"/>
          <w:highlight w:val="none"/>
        </w:rPr>
        <w:t>根据合同条款应扣减的价格调整（下调部分）；</w:t>
      </w:r>
    </w:p>
    <w:p w14:paraId="693DB17A">
      <w:pPr>
        <w:pStyle w:val="114"/>
        <w:adjustRightInd w:val="0"/>
        <w:snapToGrid w:val="0"/>
        <w:spacing w:line="360" w:lineRule="auto"/>
        <w:jc w:val="left"/>
        <w:rPr>
          <w:rFonts w:hint="eastAsia" w:ascii="仿宋" w:hAnsi="仿宋" w:eastAsia="仿宋" w:cs="仿宋"/>
          <w:bCs/>
          <w:color w:val="auto"/>
          <w:kern w:val="2"/>
          <w:sz w:val="21"/>
          <w:szCs w:val="21"/>
          <w:highlight w:val="none"/>
        </w:rPr>
      </w:pPr>
      <w:r>
        <w:rPr>
          <w:rFonts w:hint="eastAsia" w:ascii="仿宋" w:hAnsi="仿宋" w:eastAsia="仿宋" w:cs="仿宋"/>
          <w:bCs/>
          <w:color w:val="auto"/>
          <w:kern w:val="2"/>
          <w:sz w:val="21"/>
          <w:szCs w:val="21"/>
          <w:highlight w:val="none"/>
        </w:rPr>
        <w:t>5）</w:t>
      </w:r>
      <w:r>
        <w:rPr>
          <w:rFonts w:hint="eastAsia" w:ascii="仿宋" w:hAnsi="仿宋" w:eastAsia="仿宋" w:cs="仿宋"/>
          <w:bCs/>
          <w:color w:val="auto"/>
          <w:kern w:val="2"/>
          <w:sz w:val="21"/>
          <w:szCs w:val="21"/>
          <w:highlight w:val="none"/>
        </w:rPr>
        <w:tab/>
      </w:r>
      <w:r>
        <w:rPr>
          <w:rFonts w:hint="eastAsia" w:ascii="仿宋" w:hAnsi="仿宋" w:eastAsia="仿宋" w:cs="仿宋"/>
          <w:bCs/>
          <w:color w:val="auto"/>
          <w:kern w:val="2"/>
          <w:sz w:val="21"/>
          <w:szCs w:val="21"/>
          <w:highlight w:val="none"/>
        </w:rPr>
        <w:t>根据合同条款应扣减的发包人索赔金额；</w:t>
      </w:r>
    </w:p>
    <w:p w14:paraId="65192056">
      <w:pPr>
        <w:pStyle w:val="114"/>
        <w:adjustRightInd w:val="0"/>
        <w:snapToGrid w:val="0"/>
        <w:spacing w:line="360" w:lineRule="auto"/>
        <w:jc w:val="left"/>
        <w:rPr>
          <w:rFonts w:hint="eastAsia" w:ascii="仿宋" w:hAnsi="仿宋" w:eastAsia="仿宋" w:cs="仿宋"/>
          <w:bCs/>
          <w:color w:val="auto"/>
          <w:kern w:val="2"/>
          <w:sz w:val="21"/>
          <w:szCs w:val="21"/>
          <w:highlight w:val="none"/>
        </w:rPr>
      </w:pPr>
      <w:r>
        <w:rPr>
          <w:rFonts w:hint="eastAsia" w:ascii="仿宋" w:hAnsi="仿宋" w:eastAsia="仿宋" w:cs="仿宋"/>
          <w:bCs/>
          <w:color w:val="auto"/>
          <w:kern w:val="2"/>
          <w:sz w:val="21"/>
          <w:szCs w:val="21"/>
          <w:highlight w:val="none"/>
        </w:rPr>
        <w:t>6）</w:t>
      </w:r>
      <w:r>
        <w:rPr>
          <w:rFonts w:hint="eastAsia" w:ascii="仿宋" w:hAnsi="仿宋" w:eastAsia="仿宋" w:cs="仿宋"/>
          <w:bCs/>
          <w:color w:val="auto"/>
          <w:kern w:val="2"/>
          <w:sz w:val="21"/>
          <w:szCs w:val="21"/>
          <w:highlight w:val="none"/>
        </w:rPr>
        <w:tab/>
      </w:r>
      <w:r>
        <w:rPr>
          <w:rFonts w:hint="eastAsia" w:ascii="仿宋" w:hAnsi="仿宋" w:eastAsia="仿宋" w:cs="仿宋"/>
          <w:bCs/>
          <w:color w:val="auto"/>
          <w:kern w:val="2"/>
          <w:sz w:val="21"/>
          <w:szCs w:val="21"/>
          <w:highlight w:val="none"/>
        </w:rPr>
        <w:t>甩项工程的合同价值（如果有）；</w:t>
      </w:r>
    </w:p>
    <w:p w14:paraId="26D18D23">
      <w:pPr>
        <w:pStyle w:val="114"/>
        <w:adjustRightInd w:val="0"/>
        <w:snapToGrid w:val="0"/>
        <w:spacing w:line="360" w:lineRule="auto"/>
        <w:jc w:val="left"/>
        <w:rPr>
          <w:rFonts w:hint="eastAsia" w:ascii="仿宋" w:hAnsi="仿宋" w:eastAsia="仿宋" w:cs="仿宋"/>
          <w:bCs/>
          <w:color w:val="auto"/>
          <w:kern w:val="2"/>
          <w:sz w:val="21"/>
          <w:szCs w:val="21"/>
          <w:highlight w:val="none"/>
        </w:rPr>
      </w:pPr>
      <w:r>
        <w:rPr>
          <w:rFonts w:hint="eastAsia" w:ascii="仿宋" w:hAnsi="仿宋" w:eastAsia="仿宋" w:cs="仿宋"/>
          <w:bCs/>
          <w:color w:val="auto"/>
          <w:kern w:val="2"/>
          <w:sz w:val="21"/>
          <w:szCs w:val="21"/>
          <w:highlight w:val="none"/>
        </w:rPr>
        <w:t>7）</w:t>
      </w:r>
      <w:r>
        <w:rPr>
          <w:rFonts w:hint="eastAsia" w:ascii="仿宋" w:hAnsi="仿宋" w:eastAsia="仿宋" w:cs="仿宋"/>
          <w:bCs/>
          <w:color w:val="auto"/>
          <w:kern w:val="2"/>
          <w:sz w:val="21"/>
          <w:szCs w:val="21"/>
          <w:highlight w:val="none"/>
        </w:rPr>
        <w:tab/>
      </w:r>
      <w:r>
        <w:rPr>
          <w:rFonts w:hint="eastAsia" w:ascii="仿宋" w:hAnsi="仿宋" w:eastAsia="仿宋" w:cs="仿宋"/>
          <w:bCs/>
          <w:color w:val="auto"/>
          <w:kern w:val="2"/>
          <w:sz w:val="21"/>
          <w:szCs w:val="21"/>
          <w:highlight w:val="none"/>
        </w:rPr>
        <w:t>根据合同约定发包人应扣减的其他金额。</w:t>
      </w:r>
    </w:p>
    <w:p w14:paraId="7E1FBC0F">
      <w:pPr>
        <w:pStyle w:val="114"/>
        <w:adjustRightInd w:val="0"/>
        <w:snapToGrid w:val="0"/>
        <w:spacing w:line="360" w:lineRule="auto"/>
        <w:jc w:val="left"/>
        <w:rPr>
          <w:rFonts w:hint="eastAsia" w:ascii="仿宋" w:hAnsi="仿宋" w:eastAsia="仿宋" w:cs="仿宋"/>
          <w:bCs/>
          <w:color w:val="auto"/>
          <w:kern w:val="2"/>
          <w:sz w:val="21"/>
          <w:szCs w:val="21"/>
          <w:highlight w:val="none"/>
        </w:rPr>
      </w:pPr>
      <w:r>
        <w:rPr>
          <w:rFonts w:hint="eastAsia" w:ascii="仿宋" w:hAnsi="仿宋" w:eastAsia="仿宋" w:cs="仿宋"/>
          <w:bCs/>
          <w:color w:val="auto"/>
          <w:kern w:val="2"/>
          <w:sz w:val="21"/>
          <w:szCs w:val="21"/>
          <w:highlight w:val="none"/>
        </w:rPr>
        <w:t>（3）</w:t>
      </w:r>
      <w:r>
        <w:rPr>
          <w:rFonts w:hint="eastAsia" w:ascii="仿宋" w:hAnsi="仿宋" w:eastAsia="仿宋" w:cs="仿宋"/>
          <w:bCs/>
          <w:color w:val="auto"/>
          <w:kern w:val="2"/>
          <w:sz w:val="21"/>
          <w:szCs w:val="21"/>
          <w:highlight w:val="none"/>
        </w:rPr>
        <w:tab/>
      </w:r>
      <w:r>
        <w:rPr>
          <w:rFonts w:hint="eastAsia" w:ascii="仿宋" w:hAnsi="仿宋" w:eastAsia="仿宋" w:cs="仿宋"/>
          <w:bCs/>
          <w:color w:val="auto"/>
          <w:kern w:val="2"/>
          <w:sz w:val="21"/>
          <w:szCs w:val="21"/>
          <w:highlight w:val="none"/>
        </w:rPr>
        <w:t>应当增加的项目：</w:t>
      </w:r>
    </w:p>
    <w:p w14:paraId="773D52BA">
      <w:pPr>
        <w:pStyle w:val="114"/>
        <w:adjustRightInd w:val="0"/>
        <w:snapToGrid w:val="0"/>
        <w:spacing w:line="360" w:lineRule="auto"/>
        <w:jc w:val="left"/>
        <w:rPr>
          <w:rFonts w:hint="eastAsia" w:ascii="仿宋" w:hAnsi="仿宋" w:eastAsia="仿宋" w:cs="仿宋"/>
          <w:bCs/>
          <w:color w:val="auto"/>
          <w:kern w:val="2"/>
          <w:sz w:val="21"/>
          <w:szCs w:val="21"/>
          <w:highlight w:val="none"/>
        </w:rPr>
      </w:pPr>
      <w:r>
        <w:rPr>
          <w:rFonts w:hint="eastAsia" w:ascii="仿宋" w:hAnsi="仿宋" w:eastAsia="仿宋" w:cs="仿宋"/>
          <w:bCs/>
          <w:color w:val="auto"/>
          <w:kern w:val="2"/>
          <w:sz w:val="21"/>
          <w:szCs w:val="21"/>
          <w:highlight w:val="none"/>
        </w:rPr>
        <w:t>1）</w:t>
      </w:r>
      <w:r>
        <w:rPr>
          <w:rFonts w:hint="eastAsia" w:ascii="仿宋" w:hAnsi="仿宋" w:eastAsia="仿宋" w:cs="仿宋"/>
          <w:bCs/>
          <w:color w:val="auto"/>
          <w:kern w:val="2"/>
          <w:sz w:val="21"/>
          <w:szCs w:val="21"/>
          <w:highlight w:val="none"/>
        </w:rPr>
        <w:tab/>
      </w:r>
      <w:r>
        <w:rPr>
          <w:rFonts w:hint="eastAsia" w:ascii="仿宋" w:hAnsi="仿宋" w:eastAsia="仿宋" w:cs="仿宋"/>
          <w:bCs/>
          <w:color w:val="auto"/>
          <w:kern w:val="2"/>
          <w:sz w:val="21"/>
          <w:szCs w:val="21"/>
          <w:highlight w:val="none"/>
        </w:rPr>
        <w:t>实际发生的暂列金额（包括计日工）；</w:t>
      </w:r>
    </w:p>
    <w:p w14:paraId="7974A459">
      <w:pPr>
        <w:pStyle w:val="114"/>
        <w:adjustRightInd w:val="0"/>
        <w:snapToGrid w:val="0"/>
        <w:spacing w:line="360" w:lineRule="auto"/>
        <w:jc w:val="left"/>
        <w:rPr>
          <w:rFonts w:hint="eastAsia" w:ascii="仿宋" w:hAnsi="仿宋" w:eastAsia="仿宋" w:cs="仿宋"/>
          <w:bCs/>
          <w:color w:val="auto"/>
          <w:kern w:val="2"/>
          <w:sz w:val="21"/>
          <w:szCs w:val="21"/>
          <w:highlight w:val="none"/>
        </w:rPr>
      </w:pPr>
      <w:r>
        <w:rPr>
          <w:rFonts w:hint="eastAsia" w:ascii="仿宋" w:hAnsi="仿宋" w:eastAsia="仿宋" w:cs="仿宋"/>
          <w:bCs/>
          <w:color w:val="auto"/>
          <w:kern w:val="2"/>
          <w:sz w:val="21"/>
          <w:szCs w:val="21"/>
          <w:highlight w:val="none"/>
        </w:rPr>
        <w:t>2）</w:t>
      </w:r>
      <w:r>
        <w:rPr>
          <w:rFonts w:hint="eastAsia" w:ascii="仿宋" w:hAnsi="仿宋" w:eastAsia="仿宋" w:cs="仿宋"/>
          <w:bCs/>
          <w:color w:val="auto"/>
          <w:kern w:val="2"/>
          <w:sz w:val="21"/>
          <w:szCs w:val="21"/>
          <w:highlight w:val="none"/>
        </w:rPr>
        <w:tab/>
      </w:r>
      <w:r>
        <w:rPr>
          <w:rFonts w:hint="eastAsia" w:ascii="仿宋" w:hAnsi="仿宋" w:eastAsia="仿宋" w:cs="仿宋"/>
          <w:bCs/>
          <w:color w:val="auto"/>
          <w:kern w:val="2"/>
          <w:sz w:val="21"/>
          <w:szCs w:val="21"/>
          <w:highlight w:val="none"/>
        </w:rPr>
        <w:t>实际发生的暂估价；</w:t>
      </w:r>
    </w:p>
    <w:p w14:paraId="3A6A069F">
      <w:pPr>
        <w:pStyle w:val="114"/>
        <w:adjustRightInd w:val="0"/>
        <w:snapToGrid w:val="0"/>
        <w:spacing w:line="360" w:lineRule="auto"/>
        <w:jc w:val="left"/>
        <w:rPr>
          <w:rFonts w:hint="eastAsia" w:ascii="仿宋" w:hAnsi="仿宋" w:eastAsia="仿宋" w:cs="仿宋"/>
          <w:bCs/>
          <w:color w:val="auto"/>
          <w:kern w:val="2"/>
          <w:sz w:val="21"/>
          <w:szCs w:val="21"/>
          <w:highlight w:val="none"/>
        </w:rPr>
      </w:pPr>
      <w:r>
        <w:rPr>
          <w:rFonts w:hint="eastAsia" w:ascii="仿宋" w:hAnsi="仿宋" w:eastAsia="仿宋" w:cs="仿宋"/>
          <w:bCs/>
          <w:color w:val="auto"/>
          <w:kern w:val="2"/>
          <w:sz w:val="21"/>
          <w:szCs w:val="21"/>
          <w:highlight w:val="none"/>
        </w:rPr>
        <w:t>3）</w:t>
      </w:r>
      <w:r>
        <w:rPr>
          <w:rFonts w:hint="eastAsia" w:ascii="仿宋" w:hAnsi="仿宋" w:eastAsia="仿宋" w:cs="仿宋"/>
          <w:bCs/>
          <w:color w:val="auto"/>
          <w:kern w:val="2"/>
          <w:sz w:val="21"/>
          <w:szCs w:val="21"/>
          <w:highlight w:val="none"/>
        </w:rPr>
        <w:tab/>
      </w:r>
      <w:r>
        <w:rPr>
          <w:rFonts w:hint="eastAsia" w:ascii="仿宋" w:hAnsi="仿宋" w:eastAsia="仿宋" w:cs="仿宋"/>
          <w:bCs/>
          <w:color w:val="auto"/>
          <w:kern w:val="2"/>
          <w:sz w:val="21"/>
          <w:szCs w:val="21"/>
          <w:highlight w:val="none"/>
        </w:rPr>
        <w:t>根据合同条款应增加的变更金额；</w:t>
      </w:r>
    </w:p>
    <w:p w14:paraId="1F21235F">
      <w:pPr>
        <w:pStyle w:val="114"/>
        <w:adjustRightInd w:val="0"/>
        <w:snapToGrid w:val="0"/>
        <w:spacing w:line="360" w:lineRule="auto"/>
        <w:jc w:val="left"/>
        <w:rPr>
          <w:rFonts w:hint="eastAsia" w:ascii="仿宋" w:hAnsi="仿宋" w:eastAsia="仿宋" w:cs="仿宋"/>
          <w:bCs/>
          <w:color w:val="auto"/>
          <w:kern w:val="2"/>
          <w:sz w:val="21"/>
          <w:szCs w:val="21"/>
          <w:highlight w:val="none"/>
        </w:rPr>
      </w:pPr>
      <w:r>
        <w:rPr>
          <w:rFonts w:hint="eastAsia" w:ascii="仿宋" w:hAnsi="仿宋" w:eastAsia="仿宋" w:cs="仿宋"/>
          <w:bCs/>
          <w:color w:val="auto"/>
          <w:kern w:val="2"/>
          <w:sz w:val="21"/>
          <w:szCs w:val="21"/>
          <w:highlight w:val="none"/>
        </w:rPr>
        <w:t>4）</w:t>
      </w:r>
      <w:r>
        <w:rPr>
          <w:rFonts w:hint="eastAsia" w:ascii="仿宋" w:hAnsi="仿宋" w:eastAsia="仿宋" w:cs="仿宋"/>
          <w:bCs/>
          <w:color w:val="auto"/>
          <w:kern w:val="2"/>
          <w:sz w:val="21"/>
          <w:szCs w:val="21"/>
          <w:highlight w:val="none"/>
        </w:rPr>
        <w:tab/>
      </w:r>
      <w:r>
        <w:rPr>
          <w:rFonts w:hint="eastAsia" w:ascii="仿宋" w:hAnsi="仿宋" w:eastAsia="仿宋" w:cs="仿宋"/>
          <w:bCs/>
          <w:color w:val="auto"/>
          <w:kern w:val="2"/>
          <w:sz w:val="21"/>
          <w:szCs w:val="21"/>
          <w:highlight w:val="none"/>
        </w:rPr>
        <w:t>根据合同条款应增加的价格调整（上调部分）；</w:t>
      </w:r>
    </w:p>
    <w:p w14:paraId="4500B3FF">
      <w:pPr>
        <w:pStyle w:val="114"/>
        <w:adjustRightInd w:val="0"/>
        <w:snapToGrid w:val="0"/>
        <w:spacing w:line="360" w:lineRule="auto"/>
        <w:jc w:val="left"/>
        <w:rPr>
          <w:rFonts w:hint="eastAsia" w:ascii="仿宋" w:hAnsi="仿宋" w:eastAsia="仿宋" w:cs="仿宋"/>
          <w:bCs/>
          <w:color w:val="auto"/>
          <w:kern w:val="2"/>
          <w:sz w:val="21"/>
          <w:szCs w:val="21"/>
          <w:highlight w:val="none"/>
        </w:rPr>
      </w:pPr>
      <w:r>
        <w:rPr>
          <w:rFonts w:hint="eastAsia" w:ascii="仿宋" w:hAnsi="仿宋" w:eastAsia="仿宋" w:cs="仿宋"/>
          <w:bCs/>
          <w:color w:val="auto"/>
          <w:kern w:val="2"/>
          <w:sz w:val="21"/>
          <w:szCs w:val="21"/>
          <w:highlight w:val="none"/>
        </w:rPr>
        <w:t>5）</w:t>
      </w:r>
      <w:r>
        <w:rPr>
          <w:rFonts w:hint="eastAsia" w:ascii="仿宋" w:hAnsi="仿宋" w:eastAsia="仿宋" w:cs="仿宋"/>
          <w:bCs/>
          <w:color w:val="auto"/>
          <w:kern w:val="2"/>
          <w:sz w:val="21"/>
          <w:szCs w:val="21"/>
          <w:highlight w:val="none"/>
        </w:rPr>
        <w:tab/>
      </w:r>
      <w:r>
        <w:rPr>
          <w:rFonts w:hint="eastAsia" w:ascii="仿宋" w:hAnsi="仿宋" w:eastAsia="仿宋" w:cs="仿宋"/>
          <w:bCs/>
          <w:color w:val="auto"/>
          <w:kern w:val="2"/>
          <w:sz w:val="21"/>
          <w:szCs w:val="21"/>
          <w:highlight w:val="none"/>
        </w:rPr>
        <w:t>根据合同条款应增加的承包人索赔金额；</w:t>
      </w:r>
    </w:p>
    <w:p w14:paraId="477CE92B">
      <w:pPr>
        <w:pStyle w:val="114"/>
        <w:adjustRightInd w:val="0"/>
        <w:snapToGrid w:val="0"/>
        <w:spacing w:line="360" w:lineRule="auto"/>
        <w:jc w:val="left"/>
        <w:rPr>
          <w:rFonts w:hint="eastAsia" w:ascii="仿宋" w:hAnsi="仿宋" w:eastAsia="仿宋" w:cs="仿宋"/>
          <w:bCs/>
          <w:color w:val="auto"/>
          <w:kern w:val="2"/>
          <w:sz w:val="21"/>
          <w:szCs w:val="21"/>
          <w:highlight w:val="none"/>
        </w:rPr>
      </w:pPr>
      <w:r>
        <w:rPr>
          <w:rFonts w:hint="eastAsia" w:ascii="仿宋" w:hAnsi="仿宋" w:eastAsia="仿宋" w:cs="仿宋"/>
          <w:bCs/>
          <w:color w:val="auto"/>
          <w:kern w:val="2"/>
          <w:sz w:val="21"/>
          <w:szCs w:val="21"/>
          <w:highlight w:val="none"/>
        </w:rPr>
        <w:t>6）</w:t>
      </w:r>
      <w:r>
        <w:rPr>
          <w:rFonts w:hint="eastAsia" w:ascii="仿宋" w:hAnsi="仿宋" w:eastAsia="仿宋" w:cs="仿宋"/>
          <w:bCs/>
          <w:color w:val="auto"/>
          <w:kern w:val="2"/>
          <w:sz w:val="21"/>
          <w:szCs w:val="21"/>
          <w:highlight w:val="none"/>
        </w:rPr>
        <w:tab/>
      </w:r>
      <w:r>
        <w:rPr>
          <w:rFonts w:hint="eastAsia" w:ascii="仿宋" w:hAnsi="仿宋" w:eastAsia="仿宋" w:cs="仿宋"/>
          <w:bCs/>
          <w:color w:val="auto"/>
          <w:kern w:val="2"/>
          <w:sz w:val="21"/>
          <w:szCs w:val="21"/>
          <w:highlight w:val="none"/>
        </w:rPr>
        <w:t>根据合同约定承包人应当得到的其他金额。</w:t>
      </w:r>
    </w:p>
    <w:p w14:paraId="1F7B5247">
      <w:pPr>
        <w:pStyle w:val="114"/>
        <w:adjustRightInd w:val="0"/>
        <w:snapToGrid w:val="0"/>
        <w:spacing w:line="360" w:lineRule="auto"/>
        <w:jc w:val="left"/>
        <w:rPr>
          <w:rFonts w:hint="eastAsia" w:ascii="仿宋" w:hAnsi="仿宋" w:eastAsia="仿宋" w:cs="仿宋"/>
          <w:bCs/>
          <w:color w:val="auto"/>
          <w:kern w:val="2"/>
          <w:sz w:val="21"/>
          <w:szCs w:val="21"/>
          <w:highlight w:val="none"/>
        </w:rPr>
      </w:pPr>
      <w:r>
        <w:rPr>
          <w:rFonts w:hint="eastAsia" w:ascii="仿宋" w:hAnsi="仿宋" w:eastAsia="仿宋" w:cs="仿宋"/>
          <w:bCs/>
          <w:color w:val="auto"/>
          <w:kern w:val="2"/>
          <w:sz w:val="21"/>
          <w:szCs w:val="21"/>
          <w:highlight w:val="none"/>
        </w:rPr>
        <w:t>（4）规费和税金差额部分。</w:t>
      </w:r>
    </w:p>
    <w:p w14:paraId="19FE3F34">
      <w:pPr>
        <w:pStyle w:val="114"/>
        <w:adjustRightInd w:val="0"/>
        <w:snapToGrid w:val="0"/>
        <w:spacing w:line="360" w:lineRule="auto"/>
        <w:jc w:val="left"/>
        <w:rPr>
          <w:rFonts w:hint="eastAsia" w:ascii="仿宋" w:hAnsi="仿宋" w:eastAsia="仿宋" w:cs="仿宋"/>
          <w:bCs/>
          <w:color w:val="auto"/>
          <w:kern w:val="2"/>
          <w:sz w:val="21"/>
          <w:szCs w:val="21"/>
          <w:highlight w:val="none"/>
        </w:rPr>
      </w:pPr>
      <w:r>
        <w:rPr>
          <w:rFonts w:hint="eastAsia" w:ascii="仿宋" w:hAnsi="仿宋" w:eastAsia="仿宋" w:cs="仿宋"/>
          <w:bCs/>
          <w:color w:val="auto"/>
          <w:kern w:val="2"/>
          <w:sz w:val="21"/>
          <w:szCs w:val="21"/>
          <w:highlight w:val="none"/>
        </w:rPr>
        <w:t>14.1.5</w:t>
      </w:r>
      <w:r>
        <w:rPr>
          <w:rFonts w:hint="eastAsia" w:ascii="仿宋" w:hAnsi="仿宋" w:eastAsia="仿宋" w:cs="仿宋"/>
          <w:bCs/>
          <w:color w:val="auto"/>
          <w:kern w:val="2"/>
          <w:sz w:val="21"/>
          <w:szCs w:val="21"/>
          <w:highlight w:val="none"/>
        </w:rPr>
        <w:tab/>
      </w:r>
      <w:r>
        <w:rPr>
          <w:rFonts w:hint="eastAsia" w:ascii="仿宋" w:hAnsi="仿宋" w:eastAsia="仿宋" w:cs="仿宋"/>
          <w:bCs/>
          <w:color w:val="auto"/>
          <w:kern w:val="2"/>
          <w:sz w:val="21"/>
          <w:szCs w:val="21"/>
          <w:highlight w:val="none"/>
        </w:rPr>
        <w:t>最终结清申请单的应付金额应当按下列内容梳理：</w:t>
      </w:r>
    </w:p>
    <w:p w14:paraId="0F7B5512">
      <w:pPr>
        <w:pStyle w:val="114"/>
        <w:adjustRightInd w:val="0"/>
        <w:snapToGrid w:val="0"/>
        <w:spacing w:line="360" w:lineRule="auto"/>
        <w:jc w:val="left"/>
        <w:rPr>
          <w:rFonts w:hint="eastAsia" w:ascii="仿宋" w:hAnsi="仿宋" w:eastAsia="仿宋" w:cs="仿宋"/>
          <w:bCs/>
          <w:color w:val="auto"/>
          <w:kern w:val="2"/>
          <w:sz w:val="21"/>
          <w:szCs w:val="21"/>
          <w:highlight w:val="none"/>
        </w:rPr>
      </w:pPr>
      <w:r>
        <w:rPr>
          <w:rFonts w:hint="eastAsia" w:ascii="仿宋" w:hAnsi="仿宋" w:eastAsia="仿宋" w:cs="仿宋"/>
          <w:bCs/>
          <w:color w:val="auto"/>
          <w:kern w:val="2"/>
          <w:sz w:val="21"/>
          <w:szCs w:val="21"/>
          <w:highlight w:val="none"/>
        </w:rPr>
        <w:t>（1）</w:t>
      </w:r>
      <w:r>
        <w:rPr>
          <w:rFonts w:hint="eastAsia" w:ascii="仿宋" w:hAnsi="仿宋" w:eastAsia="仿宋" w:cs="仿宋"/>
          <w:bCs/>
          <w:color w:val="auto"/>
          <w:kern w:val="2"/>
          <w:sz w:val="21"/>
          <w:szCs w:val="21"/>
          <w:highlight w:val="none"/>
        </w:rPr>
        <w:tab/>
      </w:r>
      <w:r>
        <w:rPr>
          <w:rFonts w:hint="eastAsia" w:ascii="仿宋" w:hAnsi="仿宋" w:eastAsia="仿宋" w:cs="仿宋"/>
          <w:bCs/>
          <w:color w:val="auto"/>
          <w:kern w:val="2"/>
          <w:sz w:val="21"/>
          <w:szCs w:val="21"/>
          <w:highlight w:val="none"/>
        </w:rPr>
        <w:t>按合同约定扣留的质量保证金</w:t>
      </w:r>
    </w:p>
    <w:p w14:paraId="7421F3CC">
      <w:pPr>
        <w:pStyle w:val="114"/>
        <w:adjustRightInd w:val="0"/>
        <w:snapToGrid w:val="0"/>
        <w:spacing w:line="360" w:lineRule="auto"/>
        <w:jc w:val="left"/>
        <w:rPr>
          <w:rFonts w:hint="eastAsia" w:ascii="仿宋" w:hAnsi="仿宋" w:eastAsia="仿宋" w:cs="仿宋"/>
          <w:bCs/>
          <w:color w:val="auto"/>
          <w:kern w:val="2"/>
          <w:sz w:val="21"/>
          <w:szCs w:val="21"/>
          <w:highlight w:val="none"/>
        </w:rPr>
      </w:pPr>
      <w:r>
        <w:rPr>
          <w:rFonts w:hint="eastAsia" w:ascii="仿宋" w:hAnsi="仿宋" w:eastAsia="仿宋" w:cs="仿宋"/>
          <w:bCs/>
          <w:color w:val="auto"/>
          <w:kern w:val="2"/>
          <w:sz w:val="21"/>
          <w:szCs w:val="21"/>
          <w:highlight w:val="none"/>
        </w:rPr>
        <w:t>（2）</w:t>
      </w:r>
      <w:r>
        <w:rPr>
          <w:rFonts w:hint="eastAsia" w:ascii="仿宋" w:hAnsi="仿宋" w:eastAsia="仿宋" w:cs="仿宋"/>
          <w:bCs/>
          <w:color w:val="auto"/>
          <w:kern w:val="2"/>
          <w:sz w:val="21"/>
          <w:szCs w:val="21"/>
          <w:highlight w:val="none"/>
        </w:rPr>
        <w:tab/>
      </w:r>
      <w:r>
        <w:rPr>
          <w:rFonts w:hint="eastAsia" w:ascii="仿宋" w:hAnsi="仿宋" w:eastAsia="仿宋" w:cs="仿宋"/>
          <w:bCs/>
          <w:color w:val="auto"/>
          <w:kern w:val="2"/>
          <w:sz w:val="21"/>
          <w:szCs w:val="21"/>
          <w:highlight w:val="none"/>
        </w:rPr>
        <w:t>应当扣除的金额：</w:t>
      </w:r>
    </w:p>
    <w:p w14:paraId="00E8B81A">
      <w:pPr>
        <w:pStyle w:val="114"/>
        <w:adjustRightInd w:val="0"/>
        <w:snapToGrid w:val="0"/>
        <w:spacing w:line="360" w:lineRule="auto"/>
        <w:jc w:val="left"/>
        <w:rPr>
          <w:rFonts w:hint="eastAsia" w:ascii="仿宋" w:hAnsi="仿宋" w:eastAsia="仿宋" w:cs="仿宋"/>
          <w:bCs/>
          <w:color w:val="auto"/>
          <w:kern w:val="2"/>
          <w:sz w:val="21"/>
          <w:szCs w:val="21"/>
          <w:highlight w:val="none"/>
        </w:rPr>
      </w:pPr>
      <w:r>
        <w:rPr>
          <w:rFonts w:hint="eastAsia" w:ascii="仿宋" w:hAnsi="仿宋" w:eastAsia="仿宋" w:cs="仿宋"/>
          <w:bCs/>
          <w:color w:val="auto"/>
          <w:kern w:val="2"/>
          <w:sz w:val="21"/>
          <w:szCs w:val="21"/>
          <w:highlight w:val="none"/>
        </w:rPr>
        <w:t>1）</w:t>
      </w:r>
      <w:r>
        <w:rPr>
          <w:rFonts w:hint="eastAsia" w:ascii="仿宋" w:hAnsi="仿宋" w:eastAsia="仿宋" w:cs="仿宋"/>
          <w:bCs/>
          <w:color w:val="auto"/>
          <w:kern w:val="2"/>
          <w:sz w:val="21"/>
          <w:szCs w:val="21"/>
          <w:highlight w:val="none"/>
        </w:rPr>
        <w:tab/>
      </w:r>
      <w:r>
        <w:rPr>
          <w:rFonts w:hint="eastAsia" w:ascii="仿宋" w:hAnsi="仿宋" w:eastAsia="仿宋" w:cs="仿宋"/>
          <w:bCs/>
          <w:color w:val="auto"/>
          <w:kern w:val="2"/>
          <w:sz w:val="21"/>
          <w:szCs w:val="21"/>
          <w:highlight w:val="none"/>
        </w:rPr>
        <w:t>按通用合同条款约定扣留的质量保证金；</w:t>
      </w:r>
    </w:p>
    <w:p w14:paraId="038DB5FA">
      <w:pPr>
        <w:pStyle w:val="114"/>
        <w:adjustRightInd w:val="0"/>
        <w:snapToGrid w:val="0"/>
        <w:spacing w:line="360" w:lineRule="auto"/>
        <w:jc w:val="left"/>
        <w:rPr>
          <w:rFonts w:hint="eastAsia" w:ascii="仿宋" w:hAnsi="仿宋" w:eastAsia="仿宋" w:cs="仿宋"/>
          <w:bCs/>
          <w:color w:val="auto"/>
          <w:kern w:val="2"/>
          <w:sz w:val="21"/>
          <w:szCs w:val="21"/>
          <w:highlight w:val="none"/>
        </w:rPr>
      </w:pPr>
      <w:r>
        <w:rPr>
          <w:rFonts w:hint="eastAsia" w:ascii="仿宋" w:hAnsi="仿宋" w:eastAsia="仿宋" w:cs="仿宋"/>
          <w:bCs/>
          <w:color w:val="auto"/>
          <w:kern w:val="2"/>
          <w:sz w:val="21"/>
          <w:szCs w:val="21"/>
          <w:highlight w:val="none"/>
        </w:rPr>
        <w:t>2）</w:t>
      </w:r>
      <w:r>
        <w:rPr>
          <w:rFonts w:hint="eastAsia" w:ascii="仿宋" w:hAnsi="仿宋" w:eastAsia="仿宋" w:cs="仿宋"/>
          <w:bCs/>
          <w:color w:val="auto"/>
          <w:kern w:val="2"/>
          <w:sz w:val="21"/>
          <w:szCs w:val="21"/>
          <w:highlight w:val="none"/>
        </w:rPr>
        <w:tab/>
      </w:r>
      <w:r>
        <w:rPr>
          <w:rFonts w:hint="eastAsia" w:ascii="仿宋" w:hAnsi="仿宋" w:eastAsia="仿宋" w:cs="仿宋"/>
          <w:bCs/>
          <w:color w:val="auto"/>
          <w:kern w:val="2"/>
          <w:sz w:val="21"/>
          <w:szCs w:val="21"/>
          <w:highlight w:val="none"/>
        </w:rPr>
        <w:t>按通用合同条款约定扣除的质量保证金；</w:t>
      </w:r>
    </w:p>
    <w:p w14:paraId="7710BF58">
      <w:pPr>
        <w:pStyle w:val="114"/>
        <w:adjustRightInd w:val="0"/>
        <w:snapToGrid w:val="0"/>
        <w:spacing w:line="360" w:lineRule="auto"/>
        <w:jc w:val="left"/>
        <w:rPr>
          <w:rFonts w:hint="eastAsia" w:ascii="仿宋" w:hAnsi="仿宋" w:eastAsia="仿宋" w:cs="仿宋"/>
          <w:bCs/>
          <w:color w:val="auto"/>
          <w:kern w:val="2"/>
          <w:sz w:val="21"/>
          <w:szCs w:val="21"/>
          <w:highlight w:val="none"/>
        </w:rPr>
      </w:pPr>
      <w:r>
        <w:rPr>
          <w:rFonts w:hint="eastAsia" w:ascii="仿宋" w:hAnsi="仿宋" w:eastAsia="仿宋" w:cs="仿宋"/>
          <w:bCs/>
          <w:color w:val="auto"/>
          <w:kern w:val="2"/>
          <w:sz w:val="21"/>
          <w:szCs w:val="21"/>
          <w:highlight w:val="none"/>
        </w:rPr>
        <w:t>3）</w:t>
      </w:r>
      <w:r>
        <w:rPr>
          <w:rFonts w:hint="eastAsia" w:ascii="仿宋" w:hAnsi="仿宋" w:eastAsia="仿宋" w:cs="仿宋"/>
          <w:bCs/>
          <w:color w:val="auto"/>
          <w:kern w:val="2"/>
          <w:sz w:val="21"/>
          <w:szCs w:val="21"/>
          <w:highlight w:val="none"/>
        </w:rPr>
        <w:tab/>
      </w:r>
      <w:r>
        <w:rPr>
          <w:rFonts w:hint="eastAsia" w:ascii="仿宋" w:hAnsi="仿宋" w:eastAsia="仿宋" w:cs="仿宋"/>
          <w:bCs/>
          <w:color w:val="auto"/>
          <w:kern w:val="2"/>
          <w:sz w:val="21"/>
          <w:szCs w:val="21"/>
          <w:highlight w:val="none"/>
        </w:rPr>
        <w:t>根据合同条款应扣减的缺陷责任期内发生的发包人索赔金额；</w:t>
      </w:r>
    </w:p>
    <w:p w14:paraId="49B0C623">
      <w:pPr>
        <w:pStyle w:val="114"/>
        <w:adjustRightInd w:val="0"/>
        <w:snapToGrid w:val="0"/>
        <w:spacing w:line="360" w:lineRule="auto"/>
        <w:jc w:val="left"/>
        <w:rPr>
          <w:rFonts w:hint="eastAsia" w:ascii="仿宋" w:hAnsi="仿宋" w:eastAsia="仿宋" w:cs="仿宋"/>
          <w:bCs/>
          <w:color w:val="auto"/>
          <w:kern w:val="2"/>
          <w:sz w:val="21"/>
          <w:szCs w:val="21"/>
          <w:highlight w:val="none"/>
        </w:rPr>
      </w:pPr>
      <w:r>
        <w:rPr>
          <w:rFonts w:hint="eastAsia" w:ascii="仿宋" w:hAnsi="仿宋" w:eastAsia="仿宋" w:cs="仿宋"/>
          <w:bCs/>
          <w:color w:val="auto"/>
          <w:kern w:val="2"/>
          <w:sz w:val="21"/>
          <w:szCs w:val="21"/>
          <w:highlight w:val="none"/>
        </w:rPr>
        <w:t>4）</w:t>
      </w:r>
      <w:r>
        <w:rPr>
          <w:rFonts w:hint="eastAsia" w:ascii="仿宋" w:hAnsi="仿宋" w:eastAsia="仿宋" w:cs="仿宋"/>
          <w:bCs/>
          <w:color w:val="auto"/>
          <w:kern w:val="2"/>
          <w:sz w:val="21"/>
          <w:szCs w:val="21"/>
          <w:highlight w:val="none"/>
        </w:rPr>
        <w:tab/>
      </w:r>
      <w:r>
        <w:rPr>
          <w:rFonts w:hint="eastAsia" w:ascii="仿宋" w:hAnsi="仿宋" w:eastAsia="仿宋" w:cs="仿宋"/>
          <w:bCs/>
          <w:color w:val="auto"/>
          <w:kern w:val="2"/>
          <w:sz w:val="21"/>
          <w:szCs w:val="21"/>
          <w:highlight w:val="none"/>
        </w:rPr>
        <w:t>根据合同约定应扣减的其他金额。</w:t>
      </w:r>
    </w:p>
    <w:p w14:paraId="04DFA8F7">
      <w:pPr>
        <w:pStyle w:val="114"/>
        <w:adjustRightInd w:val="0"/>
        <w:snapToGrid w:val="0"/>
        <w:spacing w:line="360" w:lineRule="auto"/>
        <w:jc w:val="left"/>
        <w:rPr>
          <w:rFonts w:hint="eastAsia" w:ascii="仿宋" w:hAnsi="仿宋" w:eastAsia="仿宋" w:cs="仿宋"/>
          <w:bCs/>
          <w:color w:val="auto"/>
          <w:kern w:val="2"/>
          <w:sz w:val="21"/>
          <w:szCs w:val="21"/>
          <w:highlight w:val="none"/>
        </w:rPr>
      </w:pPr>
      <w:r>
        <w:rPr>
          <w:rFonts w:hint="eastAsia" w:ascii="仿宋" w:hAnsi="仿宋" w:eastAsia="仿宋" w:cs="仿宋"/>
          <w:bCs/>
          <w:color w:val="auto"/>
          <w:kern w:val="2"/>
          <w:sz w:val="21"/>
          <w:szCs w:val="21"/>
          <w:highlight w:val="none"/>
        </w:rPr>
        <w:t>（3）</w:t>
      </w:r>
      <w:r>
        <w:rPr>
          <w:rFonts w:hint="eastAsia" w:ascii="仿宋" w:hAnsi="仿宋" w:eastAsia="仿宋" w:cs="仿宋"/>
          <w:bCs/>
          <w:color w:val="auto"/>
          <w:kern w:val="2"/>
          <w:sz w:val="21"/>
          <w:szCs w:val="21"/>
          <w:highlight w:val="none"/>
        </w:rPr>
        <w:tab/>
      </w:r>
      <w:r>
        <w:rPr>
          <w:rFonts w:hint="eastAsia" w:ascii="仿宋" w:hAnsi="仿宋" w:eastAsia="仿宋" w:cs="仿宋"/>
          <w:bCs/>
          <w:color w:val="auto"/>
          <w:kern w:val="2"/>
          <w:sz w:val="21"/>
          <w:szCs w:val="21"/>
          <w:highlight w:val="none"/>
        </w:rPr>
        <w:t>应当增加的金额：</w:t>
      </w:r>
    </w:p>
    <w:p w14:paraId="6E48A7DD">
      <w:pPr>
        <w:pStyle w:val="114"/>
        <w:adjustRightInd w:val="0"/>
        <w:snapToGrid w:val="0"/>
        <w:spacing w:line="360" w:lineRule="auto"/>
        <w:jc w:val="left"/>
        <w:rPr>
          <w:rFonts w:hint="eastAsia" w:ascii="仿宋" w:hAnsi="仿宋" w:eastAsia="仿宋" w:cs="仿宋"/>
          <w:bCs/>
          <w:color w:val="auto"/>
          <w:kern w:val="2"/>
          <w:sz w:val="21"/>
          <w:szCs w:val="21"/>
          <w:highlight w:val="none"/>
        </w:rPr>
      </w:pPr>
      <w:r>
        <w:rPr>
          <w:rFonts w:hint="eastAsia" w:ascii="仿宋" w:hAnsi="仿宋" w:eastAsia="仿宋" w:cs="仿宋"/>
          <w:bCs/>
          <w:color w:val="auto"/>
          <w:kern w:val="2"/>
          <w:sz w:val="21"/>
          <w:szCs w:val="21"/>
          <w:highlight w:val="none"/>
        </w:rPr>
        <w:t>1）</w:t>
      </w:r>
      <w:r>
        <w:rPr>
          <w:rFonts w:hint="eastAsia" w:ascii="仿宋" w:hAnsi="仿宋" w:eastAsia="仿宋" w:cs="仿宋"/>
          <w:bCs/>
          <w:color w:val="auto"/>
          <w:kern w:val="2"/>
          <w:sz w:val="21"/>
          <w:szCs w:val="21"/>
          <w:highlight w:val="none"/>
        </w:rPr>
        <w:tab/>
      </w:r>
      <w:r>
        <w:rPr>
          <w:rFonts w:hint="eastAsia" w:ascii="仿宋" w:hAnsi="仿宋" w:eastAsia="仿宋" w:cs="仿宋"/>
          <w:bCs/>
          <w:color w:val="auto"/>
          <w:kern w:val="2"/>
          <w:sz w:val="21"/>
          <w:szCs w:val="21"/>
          <w:highlight w:val="none"/>
        </w:rPr>
        <w:t>已完且符合合同约定的甩项工程的价值；</w:t>
      </w:r>
    </w:p>
    <w:p w14:paraId="116F7183">
      <w:pPr>
        <w:pStyle w:val="114"/>
        <w:adjustRightInd w:val="0"/>
        <w:snapToGrid w:val="0"/>
        <w:spacing w:line="360" w:lineRule="auto"/>
        <w:jc w:val="left"/>
        <w:rPr>
          <w:rFonts w:hint="eastAsia" w:ascii="仿宋" w:hAnsi="仿宋" w:eastAsia="仿宋" w:cs="仿宋"/>
          <w:bCs/>
          <w:color w:val="auto"/>
          <w:kern w:val="2"/>
          <w:sz w:val="21"/>
          <w:szCs w:val="21"/>
          <w:highlight w:val="none"/>
        </w:rPr>
      </w:pPr>
      <w:r>
        <w:rPr>
          <w:rFonts w:hint="eastAsia" w:ascii="仿宋" w:hAnsi="仿宋" w:eastAsia="仿宋" w:cs="仿宋"/>
          <w:bCs/>
          <w:color w:val="auto"/>
          <w:kern w:val="2"/>
          <w:sz w:val="21"/>
          <w:szCs w:val="21"/>
          <w:highlight w:val="none"/>
        </w:rPr>
        <w:t>2）</w:t>
      </w:r>
      <w:r>
        <w:rPr>
          <w:rFonts w:hint="eastAsia" w:ascii="仿宋" w:hAnsi="仿宋" w:eastAsia="仿宋" w:cs="仿宋"/>
          <w:bCs/>
          <w:color w:val="auto"/>
          <w:kern w:val="2"/>
          <w:sz w:val="21"/>
          <w:szCs w:val="21"/>
          <w:highlight w:val="none"/>
        </w:rPr>
        <w:tab/>
      </w:r>
      <w:r>
        <w:rPr>
          <w:rFonts w:hint="eastAsia" w:ascii="仿宋" w:hAnsi="仿宋" w:eastAsia="仿宋" w:cs="仿宋"/>
          <w:bCs/>
          <w:color w:val="auto"/>
          <w:kern w:val="2"/>
          <w:sz w:val="21"/>
          <w:szCs w:val="21"/>
          <w:highlight w:val="none"/>
        </w:rPr>
        <w:t>按通用合同条款约定由承包人修复的发包人原因造成的缺陷的价值；</w:t>
      </w:r>
    </w:p>
    <w:p w14:paraId="2D73F351">
      <w:pPr>
        <w:pStyle w:val="114"/>
        <w:adjustRightInd w:val="0"/>
        <w:snapToGrid w:val="0"/>
        <w:spacing w:line="360" w:lineRule="auto"/>
        <w:jc w:val="left"/>
        <w:rPr>
          <w:rFonts w:hint="eastAsia" w:ascii="仿宋" w:hAnsi="仿宋" w:eastAsia="仿宋" w:cs="仿宋"/>
          <w:bCs/>
          <w:color w:val="auto"/>
          <w:kern w:val="2"/>
          <w:sz w:val="21"/>
          <w:szCs w:val="21"/>
          <w:highlight w:val="none"/>
        </w:rPr>
      </w:pPr>
      <w:r>
        <w:rPr>
          <w:rFonts w:hint="eastAsia" w:ascii="仿宋" w:hAnsi="仿宋" w:eastAsia="仿宋" w:cs="仿宋"/>
          <w:bCs/>
          <w:color w:val="auto"/>
          <w:kern w:val="2"/>
          <w:sz w:val="21"/>
          <w:szCs w:val="21"/>
          <w:highlight w:val="none"/>
        </w:rPr>
        <w:t>3）</w:t>
      </w:r>
      <w:r>
        <w:rPr>
          <w:rFonts w:hint="eastAsia" w:ascii="仿宋" w:hAnsi="仿宋" w:eastAsia="仿宋" w:cs="仿宋"/>
          <w:bCs/>
          <w:color w:val="auto"/>
          <w:kern w:val="2"/>
          <w:sz w:val="21"/>
          <w:szCs w:val="21"/>
          <w:highlight w:val="none"/>
        </w:rPr>
        <w:tab/>
      </w:r>
      <w:r>
        <w:rPr>
          <w:rFonts w:hint="eastAsia" w:ascii="仿宋" w:hAnsi="仿宋" w:eastAsia="仿宋" w:cs="仿宋"/>
          <w:bCs/>
          <w:color w:val="auto"/>
          <w:kern w:val="2"/>
          <w:sz w:val="21"/>
          <w:szCs w:val="21"/>
          <w:highlight w:val="none"/>
        </w:rPr>
        <w:t>根据合同条款应增加的缺陷责任期内发生的承包人索赔金额；</w:t>
      </w:r>
    </w:p>
    <w:p w14:paraId="7D608D98">
      <w:pPr>
        <w:pStyle w:val="114"/>
        <w:adjustRightInd w:val="0"/>
        <w:snapToGrid w:val="0"/>
        <w:spacing w:line="360" w:lineRule="auto"/>
        <w:jc w:val="left"/>
        <w:rPr>
          <w:rFonts w:hint="eastAsia" w:ascii="仿宋" w:hAnsi="仿宋" w:eastAsia="仿宋" w:cs="仿宋"/>
          <w:bCs/>
          <w:color w:val="auto"/>
          <w:kern w:val="2"/>
          <w:sz w:val="21"/>
          <w:szCs w:val="21"/>
          <w:highlight w:val="none"/>
        </w:rPr>
      </w:pPr>
      <w:r>
        <w:rPr>
          <w:rFonts w:hint="eastAsia" w:ascii="仿宋" w:hAnsi="仿宋" w:eastAsia="仿宋" w:cs="仿宋"/>
          <w:bCs/>
          <w:color w:val="auto"/>
          <w:kern w:val="2"/>
          <w:sz w:val="21"/>
          <w:szCs w:val="21"/>
          <w:highlight w:val="none"/>
        </w:rPr>
        <w:t>4）</w:t>
      </w:r>
      <w:r>
        <w:rPr>
          <w:rFonts w:hint="eastAsia" w:ascii="仿宋" w:hAnsi="仿宋" w:eastAsia="仿宋" w:cs="仿宋"/>
          <w:bCs/>
          <w:color w:val="auto"/>
          <w:kern w:val="2"/>
          <w:sz w:val="21"/>
          <w:szCs w:val="21"/>
          <w:highlight w:val="none"/>
        </w:rPr>
        <w:tab/>
      </w:r>
      <w:r>
        <w:rPr>
          <w:rFonts w:hint="eastAsia" w:ascii="仿宋" w:hAnsi="仿宋" w:eastAsia="仿宋" w:cs="仿宋"/>
          <w:bCs/>
          <w:color w:val="auto"/>
          <w:kern w:val="2"/>
          <w:sz w:val="21"/>
          <w:szCs w:val="21"/>
          <w:highlight w:val="none"/>
        </w:rPr>
        <w:t>根据合同约定承包人应当得到的其他金额。</w:t>
      </w:r>
    </w:p>
    <w:p w14:paraId="7FBF7680">
      <w:pPr>
        <w:pStyle w:val="114"/>
        <w:adjustRightInd w:val="0"/>
        <w:snapToGrid w:val="0"/>
        <w:spacing w:line="360" w:lineRule="auto"/>
        <w:jc w:val="left"/>
        <w:rPr>
          <w:rFonts w:hint="eastAsia" w:ascii="仿宋" w:hAnsi="仿宋" w:eastAsia="仿宋" w:cs="仿宋"/>
          <w:bCs/>
          <w:color w:val="auto"/>
          <w:kern w:val="2"/>
          <w:sz w:val="21"/>
          <w:szCs w:val="21"/>
          <w:highlight w:val="none"/>
        </w:rPr>
      </w:pPr>
      <w:r>
        <w:rPr>
          <w:rFonts w:hint="eastAsia" w:ascii="仿宋" w:hAnsi="仿宋" w:eastAsia="仿宋" w:cs="仿宋"/>
          <w:bCs/>
          <w:color w:val="auto"/>
          <w:kern w:val="2"/>
          <w:sz w:val="21"/>
          <w:szCs w:val="21"/>
          <w:highlight w:val="none"/>
        </w:rPr>
        <w:t>最终结清应当由发包人和承包人按照“多退少补”的原则办理。</w:t>
      </w:r>
    </w:p>
    <w:p w14:paraId="1EC7184F">
      <w:pPr>
        <w:pStyle w:val="114"/>
        <w:adjustRightInd w:val="0"/>
        <w:snapToGrid w:val="0"/>
        <w:spacing w:line="360" w:lineRule="auto"/>
        <w:jc w:val="left"/>
        <w:rPr>
          <w:rFonts w:hint="eastAsia" w:ascii="仿宋" w:hAnsi="仿宋" w:eastAsia="仿宋" w:cs="仿宋"/>
          <w:bCs/>
          <w:color w:val="auto"/>
          <w:kern w:val="2"/>
          <w:sz w:val="21"/>
          <w:szCs w:val="21"/>
          <w:highlight w:val="none"/>
        </w:rPr>
      </w:pPr>
      <w:r>
        <w:rPr>
          <w:rFonts w:hint="eastAsia" w:ascii="仿宋" w:hAnsi="仿宋" w:eastAsia="仿宋" w:cs="仿宋"/>
          <w:bCs/>
          <w:color w:val="auto"/>
          <w:kern w:val="2"/>
          <w:sz w:val="21"/>
          <w:szCs w:val="21"/>
          <w:highlight w:val="none"/>
        </w:rPr>
        <w:t>14.1.6</w:t>
      </w:r>
      <w:r>
        <w:rPr>
          <w:rFonts w:hint="eastAsia" w:ascii="仿宋" w:hAnsi="仿宋" w:eastAsia="仿宋" w:cs="仿宋"/>
          <w:bCs/>
          <w:color w:val="auto"/>
          <w:kern w:val="2"/>
          <w:sz w:val="21"/>
          <w:szCs w:val="21"/>
          <w:highlight w:val="none"/>
        </w:rPr>
        <w:tab/>
      </w:r>
      <w:r>
        <w:rPr>
          <w:rFonts w:hint="eastAsia" w:ascii="仿宋" w:hAnsi="仿宋" w:eastAsia="仿宋" w:cs="仿宋"/>
          <w:bCs/>
          <w:color w:val="auto"/>
          <w:kern w:val="2"/>
          <w:sz w:val="21"/>
          <w:szCs w:val="21"/>
          <w:highlight w:val="none"/>
        </w:rPr>
        <w:t>竣工付款申请单和最终结清申请单应当比照进度付款申请单的格式准备，并提供相关证明材料。</w:t>
      </w:r>
    </w:p>
    <w:p w14:paraId="76A0759D">
      <w:pPr>
        <w:pStyle w:val="114"/>
        <w:adjustRightInd w:val="0"/>
        <w:snapToGrid w:val="0"/>
        <w:spacing w:line="360" w:lineRule="auto"/>
        <w:jc w:val="left"/>
        <w:rPr>
          <w:rFonts w:hint="eastAsia" w:ascii="仿宋" w:hAnsi="仿宋" w:eastAsia="仿宋" w:cs="仿宋"/>
          <w:bCs/>
          <w:color w:val="auto"/>
          <w:kern w:val="2"/>
          <w:sz w:val="21"/>
          <w:szCs w:val="21"/>
          <w:highlight w:val="none"/>
        </w:rPr>
      </w:pPr>
      <w:r>
        <w:rPr>
          <w:rFonts w:hint="eastAsia" w:ascii="仿宋" w:hAnsi="仿宋" w:eastAsia="仿宋" w:cs="仿宋"/>
          <w:bCs/>
          <w:color w:val="auto"/>
          <w:kern w:val="2"/>
          <w:sz w:val="21"/>
          <w:szCs w:val="21"/>
          <w:highlight w:val="none"/>
        </w:rPr>
        <w:t>14.2</w:t>
      </w:r>
      <w:r>
        <w:rPr>
          <w:rFonts w:hint="eastAsia" w:ascii="仿宋" w:hAnsi="仿宋" w:eastAsia="仿宋" w:cs="仿宋"/>
          <w:bCs/>
          <w:color w:val="auto"/>
          <w:kern w:val="2"/>
          <w:sz w:val="21"/>
          <w:szCs w:val="21"/>
          <w:highlight w:val="none"/>
        </w:rPr>
        <w:tab/>
      </w:r>
      <w:r>
        <w:rPr>
          <w:rFonts w:hint="eastAsia" w:ascii="仿宋" w:hAnsi="仿宋" w:eastAsia="仿宋" w:cs="仿宋"/>
          <w:bCs/>
          <w:color w:val="auto"/>
          <w:kern w:val="2"/>
          <w:sz w:val="21"/>
          <w:szCs w:val="21"/>
          <w:highlight w:val="none"/>
        </w:rPr>
        <w:t>其他约定</w:t>
      </w:r>
    </w:p>
    <w:p w14:paraId="793B65D0">
      <w:pPr>
        <w:pStyle w:val="114"/>
        <w:adjustRightInd w:val="0"/>
        <w:snapToGrid w:val="0"/>
        <w:spacing w:line="360" w:lineRule="auto"/>
        <w:jc w:val="left"/>
        <w:rPr>
          <w:rFonts w:hint="eastAsia" w:ascii="仿宋" w:hAnsi="仿宋" w:eastAsia="仿宋" w:cs="仿宋"/>
          <w:color w:val="auto"/>
          <w:kern w:val="2"/>
          <w:sz w:val="21"/>
          <w:highlight w:val="none"/>
        </w:rPr>
      </w:pPr>
      <w:r>
        <w:rPr>
          <w:rFonts w:hint="eastAsia" w:ascii="仿宋" w:hAnsi="仿宋" w:eastAsia="仿宋" w:cs="仿宋"/>
          <w:b/>
          <w:color w:val="auto"/>
          <w:kern w:val="2"/>
          <w:sz w:val="21"/>
          <w:highlight w:val="none"/>
        </w:rPr>
        <w:t>15</w:t>
      </w:r>
      <w:r>
        <w:rPr>
          <w:rFonts w:hint="eastAsia" w:ascii="仿宋" w:hAnsi="仿宋" w:eastAsia="仿宋" w:cs="仿宋"/>
          <w:color w:val="auto"/>
          <w:kern w:val="2"/>
          <w:sz w:val="21"/>
          <w:highlight w:val="none"/>
        </w:rPr>
        <w:t>. 竣工验收和工程移交</w:t>
      </w:r>
    </w:p>
    <w:p w14:paraId="2EC81608">
      <w:pPr>
        <w:pStyle w:val="114"/>
        <w:adjustRightInd w:val="0"/>
        <w:snapToGrid w:val="0"/>
        <w:spacing w:line="360" w:lineRule="auto"/>
        <w:jc w:val="left"/>
        <w:rPr>
          <w:rFonts w:hint="eastAsia" w:ascii="仿宋" w:hAnsi="仿宋" w:eastAsia="仿宋" w:cs="仿宋"/>
          <w:bCs/>
          <w:color w:val="auto"/>
          <w:kern w:val="2"/>
          <w:sz w:val="21"/>
          <w:szCs w:val="21"/>
          <w:highlight w:val="none"/>
        </w:rPr>
      </w:pPr>
      <w:r>
        <w:rPr>
          <w:rFonts w:hint="eastAsia" w:ascii="仿宋" w:hAnsi="仿宋" w:eastAsia="仿宋" w:cs="仿宋"/>
          <w:bCs/>
          <w:color w:val="auto"/>
          <w:kern w:val="2"/>
          <w:sz w:val="21"/>
          <w:szCs w:val="21"/>
          <w:highlight w:val="none"/>
        </w:rPr>
        <w:t>15.1</w:t>
      </w:r>
      <w:r>
        <w:rPr>
          <w:rFonts w:hint="eastAsia" w:ascii="仿宋" w:hAnsi="仿宋" w:eastAsia="仿宋" w:cs="仿宋"/>
          <w:bCs/>
          <w:color w:val="auto"/>
          <w:kern w:val="2"/>
          <w:sz w:val="21"/>
          <w:szCs w:val="21"/>
          <w:highlight w:val="none"/>
        </w:rPr>
        <w:tab/>
      </w:r>
      <w:r>
        <w:rPr>
          <w:rFonts w:hint="eastAsia" w:ascii="仿宋" w:hAnsi="仿宋" w:eastAsia="仿宋" w:cs="仿宋"/>
          <w:bCs/>
          <w:color w:val="auto"/>
          <w:kern w:val="2"/>
          <w:sz w:val="21"/>
          <w:szCs w:val="21"/>
          <w:highlight w:val="none"/>
        </w:rPr>
        <w:t>竣工验收前的清理</w:t>
      </w:r>
    </w:p>
    <w:p w14:paraId="2F40FBD8">
      <w:pPr>
        <w:pStyle w:val="114"/>
        <w:adjustRightInd w:val="0"/>
        <w:snapToGrid w:val="0"/>
        <w:spacing w:line="360" w:lineRule="auto"/>
        <w:jc w:val="left"/>
        <w:rPr>
          <w:rFonts w:hint="eastAsia" w:ascii="仿宋" w:hAnsi="仿宋" w:eastAsia="仿宋" w:cs="仿宋"/>
          <w:bCs/>
          <w:color w:val="auto"/>
          <w:kern w:val="2"/>
          <w:sz w:val="21"/>
          <w:szCs w:val="21"/>
          <w:highlight w:val="none"/>
        </w:rPr>
      </w:pPr>
      <w:r>
        <w:rPr>
          <w:rFonts w:hint="eastAsia" w:ascii="仿宋" w:hAnsi="仿宋" w:eastAsia="仿宋" w:cs="仿宋"/>
          <w:bCs/>
          <w:color w:val="auto"/>
          <w:kern w:val="2"/>
          <w:sz w:val="21"/>
          <w:szCs w:val="21"/>
          <w:highlight w:val="none"/>
        </w:rPr>
        <w:t>15.1.1</w:t>
      </w:r>
      <w:r>
        <w:rPr>
          <w:rFonts w:hint="eastAsia" w:ascii="仿宋" w:hAnsi="仿宋" w:eastAsia="仿宋" w:cs="仿宋"/>
          <w:bCs/>
          <w:color w:val="auto"/>
          <w:kern w:val="2"/>
          <w:sz w:val="21"/>
          <w:szCs w:val="21"/>
          <w:highlight w:val="none"/>
        </w:rPr>
        <w:tab/>
      </w:r>
      <w:r>
        <w:rPr>
          <w:rFonts w:hint="eastAsia" w:ascii="仿宋" w:hAnsi="仿宋" w:eastAsia="仿宋" w:cs="仿宋"/>
          <w:bCs/>
          <w:color w:val="auto"/>
          <w:kern w:val="2"/>
          <w:sz w:val="21"/>
          <w:szCs w:val="21"/>
          <w:highlight w:val="none"/>
        </w:rPr>
        <w:t>在向监理人提交竣工验收申请报告前，承包人应当完成竣工验收前的清理工作，包括但不限于：</w:t>
      </w:r>
    </w:p>
    <w:p w14:paraId="056BCD9C">
      <w:pPr>
        <w:pStyle w:val="114"/>
        <w:adjustRightInd w:val="0"/>
        <w:snapToGrid w:val="0"/>
        <w:spacing w:line="360" w:lineRule="auto"/>
        <w:jc w:val="left"/>
        <w:rPr>
          <w:rFonts w:hint="eastAsia" w:ascii="仿宋" w:hAnsi="仿宋" w:eastAsia="仿宋" w:cs="仿宋"/>
          <w:bCs/>
          <w:color w:val="auto"/>
          <w:kern w:val="2"/>
          <w:sz w:val="21"/>
          <w:szCs w:val="21"/>
          <w:highlight w:val="none"/>
        </w:rPr>
      </w:pPr>
      <w:r>
        <w:rPr>
          <w:rFonts w:hint="eastAsia" w:ascii="仿宋" w:hAnsi="仿宋" w:eastAsia="仿宋" w:cs="仿宋"/>
          <w:bCs/>
          <w:color w:val="auto"/>
          <w:kern w:val="2"/>
          <w:sz w:val="21"/>
          <w:szCs w:val="21"/>
          <w:highlight w:val="none"/>
        </w:rPr>
        <w:t>（1）</w:t>
      </w:r>
      <w:r>
        <w:rPr>
          <w:rFonts w:hint="eastAsia" w:ascii="仿宋" w:hAnsi="仿宋" w:eastAsia="仿宋" w:cs="仿宋"/>
          <w:bCs/>
          <w:color w:val="auto"/>
          <w:kern w:val="2"/>
          <w:sz w:val="21"/>
          <w:szCs w:val="21"/>
          <w:highlight w:val="none"/>
        </w:rPr>
        <w:tab/>
      </w:r>
      <w:r>
        <w:rPr>
          <w:rFonts w:hint="eastAsia" w:ascii="仿宋" w:hAnsi="仿宋" w:eastAsia="仿宋" w:cs="仿宋"/>
          <w:bCs/>
          <w:color w:val="auto"/>
          <w:kern w:val="2"/>
          <w:sz w:val="21"/>
          <w:szCs w:val="21"/>
          <w:highlight w:val="none"/>
        </w:rPr>
        <w:t>从永久工程内清除所有剩余材料、杂物、垃圾等等；</w:t>
      </w:r>
    </w:p>
    <w:p w14:paraId="6260F1BE">
      <w:pPr>
        <w:pStyle w:val="114"/>
        <w:adjustRightInd w:val="0"/>
        <w:snapToGrid w:val="0"/>
        <w:spacing w:line="360" w:lineRule="auto"/>
        <w:jc w:val="left"/>
        <w:rPr>
          <w:rFonts w:hint="eastAsia" w:ascii="仿宋" w:hAnsi="仿宋" w:eastAsia="仿宋" w:cs="仿宋"/>
          <w:bCs/>
          <w:color w:val="auto"/>
          <w:kern w:val="2"/>
          <w:sz w:val="21"/>
          <w:szCs w:val="21"/>
          <w:highlight w:val="none"/>
        </w:rPr>
      </w:pPr>
      <w:r>
        <w:rPr>
          <w:rFonts w:hint="eastAsia" w:ascii="仿宋" w:hAnsi="仿宋" w:eastAsia="仿宋" w:cs="仿宋"/>
          <w:bCs/>
          <w:color w:val="auto"/>
          <w:kern w:val="2"/>
          <w:sz w:val="21"/>
          <w:szCs w:val="21"/>
          <w:highlight w:val="none"/>
        </w:rPr>
        <w:t>（2）</w:t>
      </w:r>
      <w:r>
        <w:rPr>
          <w:rFonts w:hint="eastAsia" w:ascii="仿宋" w:hAnsi="仿宋" w:eastAsia="仿宋" w:cs="仿宋"/>
          <w:bCs/>
          <w:color w:val="auto"/>
          <w:kern w:val="2"/>
          <w:sz w:val="21"/>
          <w:szCs w:val="21"/>
          <w:highlight w:val="none"/>
        </w:rPr>
        <w:tab/>
      </w:r>
      <w:r>
        <w:rPr>
          <w:rFonts w:hint="eastAsia" w:ascii="仿宋" w:hAnsi="仿宋" w:eastAsia="仿宋" w:cs="仿宋"/>
          <w:bCs/>
          <w:color w:val="auto"/>
          <w:kern w:val="2"/>
          <w:sz w:val="21"/>
          <w:szCs w:val="21"/>
          <w:highlight w:val="none"/>
        </w:rPr>
        <w:t>清理工程的所有地面、路面等表面；</w:t>
      </w:r>
    </w:p>
    <w:p w14:paraId="097ECB5A">
      <w:pPr>
        <w:pStyle w:val="114"/>
        <w:adjustRightInd w:val="0"/>
        <w:snapToGrid w:val="0"/>
        <w:spacing w:line="360" w:lineRule="auto"/>
        <w:jc w:val="left"/>
        <w:rPr>
          <w:rFonts w:hint="eastAsia" w:ascii="仿宋" w:hAnsi="仿宋" w:eastAsia="仿宋" w:cs="仿宋"/>
          <w:bCs/>
          <w:color w:val="auto"/>
          <w:kern w:val="2"/>
          <w:sz w:val="21"/>
          <w:szCs w:val="21"/>
          <w:highlight w:val="none"/>
        </w:rPr>
      </w:pPr>
      <w:r>
        <w:rPr>
          <w:rFonts w:hint="eastAsia" w:ascii="仿宋" w:hAnsi="仿宋" w:eastAsia="仿宋" w:cs="仿宋"/>
          <w:bCs/>
          <w:color w:val="auto"/>
          <w:kern w:val="2"/>
          <w:sz w:val="21"/>
          <w:szCs w:val="21"/>
          <w:highlight w:val="none"/>
        </w:rPr>
        <w:t>（3）</w:t>
      </w:r>
      <w:r>
        <w:rPr>
          <w:rFonts w:hint="eastAsia" w:ascii="仿宋" w:hAnsi="仿宋" w:eastAsia="仿宋" w:cs="仿宋"/>
          <w:bCs/>
          <w:color w:val="auto"/>
          <w:kern w:val="2"/>
          <w:sz w:val="21"/>
          <w:szCs w:val="21"/>
          <w:highlight w:val="none"/>
        </w:rPr>
        <w:tab/>
      </w:r>
      <w:r>
        <w:rPr>
          <w:rFonts w:hint="eastAsia" w:ascii="仿宋" w:hAnsi="仿宋" w:eastAsia="仿宋" w:cs="仿宋"/>
          <w:bCs/>
          <w:color w:val="auto"/>
          <w:kern w:val="2"/>
          <w:sz w:val="21"/>
          <w:szCs w:val="21"/>
          <w:highlight w:val="none"/>
        </w:rPr>
        <w:t>修缮所有损坏、清除所有污迹、替换所有需更换的材料；</w:t>
      </w:r>
    </w:p>
    <w:p w14:paraId="40489BEF">
      <w:pPr>
        <w:pStyle w:val="114"/>
        <w:adjustRightInd w:val="0"/>
        <w:snapToGrid w:val="0"/>
        <w:spacing w:line="360" w:lineRule="auto"/>
        <w:jc w:val="left"/>
        <w:rPr>
          <w:rFonts w:hint="eastAsia" w:ascii="仿宋" w:hAnsi="仿宋" w:eastAsia="仿宋" w:cs="仿宋"/>
          <w:bCs/>
          <w:color w:val="auto"/>
          <w:kern w:val="2"/>
          <w:sz w:val="21"/>
          <w:szCs w:val="21"/>
          <w:highlight w:val="none"/>
        </w:rPr>
      </w:pPr>
      <w:r>
        <w:rPr>
          <w:rFonts w:hint="eastAsia" w:ascii="仿宋" w:hAnsi="仿宋" w:eastAsia="仿宋" w:cs="仿宋"/>
          <w:bCs/>
          <w:color w:val="auto"/>
          <w:kern w:val="2"/>
          <w:sz w:val="21"/>
          <w:szCs w:val="21"/>
          <w:highlight w:val="none"/>
        </w:rPr>
        <w:t>（4）</w:t>
      </w:r>
      <w:r>
        <w:rPr>
          <w:rFonts w:hint="eastAsia" w:ascii="仿宋" w:hAnsi="仿宋" w:eastAsia="仿宋" w:cs="仿宋"/>
          <w:bCs/>
          <w:color w:val="auto"/>
          <w:kern w:val="2"/>
          <w:sz w:val="21"/>
          <w:szCs w:val="21"/>
          <w:highlight w:val="none"/>
        </w:rPr>
        <w:tab/>
      </w:r>
      <w:r>
        <w:rPr>
          <w:rFonts w:hint="eastAsia" w:ascii="仿宋" w:hAnsi="仿宋" w:eastAsia="仿宋" w:cs="仿宋"/>
          <w:bCs/>
          <w:color w:val="auto"/>
          <w:kern w:val="2"/>
          <w:sz w:val="21"/>
          <w:szCs w:val="21"/>
          <w:highlight w:val="none"/>
        </w:rPr>
        <w:t>所有表面完成约定的装修和装饰；</w:t>
      </w:r>
    </w:p>
    <w:p w14:paraId="56F14DED">
      <w:pPr>
        <w:pStyle w:val="114"/>
        <w:adjustRightInd w:val="0"/>
        <w:snapToGrid w:val="0"/>
        <w:spacing w:line="360" w:lineRule="auto"/>
        <w:jc w:val="left"/>
        <w:rPr>
          <w:rFonts w:hint="eastAsia" w:ascii="仿宋" w:hAnsi="仿宋" w:eastAsia="仿宋" w:cs="仿宋"/>
          <w:bCs/>
          <w:color w:val="auto"/>
          <w:kern w:val="2"/>
          <w:sz w:val="21"/>
          <w:szCs w:val="21"/>
          <w:highlight w:val="none"/>
        </w:rPr>
      </w:pPr>
      <w:r>
        <w:rPr>
          <w:rFonts w:hint="eastAsia" w:ascii="仿宋" w:hAnsi="仿宋" w:eastAsia="仿宋" w:cs="仿宋"/>
          <w:bCs/>
          <w:color w:val="auto"/>
          <w:kern w:val="2"/>
          <w:sz w:val="21"/>
          <w:szCs w:val="21"/>
          <w:highlight w:val="none"/>
        </w:rPr>
        <w:t>（5）</w:t>
      </w:r>
      <w:r>
        <w:rPr>
          <w:rFonts w:hint="eastAsia" w:ascii="仿宋" w:hAnsi="仿宋" w:eastAsia="仿宋" w:cs="仿宋"/>
          <w:bCs/>
          <w:color w:val="auto"/>
          <w:kern w:val="2"/>
          <w:sz w:val="21"/>
          <w:szCs w:val="21"/>
          <w:highlight w:val="none"/>
        </w:rPr>
        <w:tab/>
      </w:r>
      <w:r>
        <w:rPr>
          <w:rFonts w:hint="eastAsia" w:ascii="仿宋" w:hAnsi="仿宋" w:eastAsia="仿宋" w:cs="仿宋"/>
          <w:bCs/>
          <w:color w:val="auto"/>
          <w:kern w:val="2"/>
          <w:sz w:val="21"/>
          <w:szCs w:val="21"/>
          <w:highlight w:val="none"/>
        </w:rPr>
        <w:t>检查、测试和确保所有服务系统、设施和设备达到良好的运行状态和效果。</w:t>
      </w:r>
    </w:p>
    <w:p w14:paraId="086A7618">
      <w:pPr>
        <w:pStyle w:val="114"/>
        <w:adjustRightInd w:val="0"/>
        <w:snapToGrid w:val="0"/>
        <w:spacing w:line="360" w:lineRule="auto"/>
        <w:jc w:val="left"/>
        <w:rPr>
          <w:rFonts w:hint="eastAsia" w:ascii="仿宋" w:hAnsi="仿宋" w:eastAsia="仿宋" w:cs="仿宋"/>
          <w:bCs/>
          <w:color w:val="auto"/>
          <w:kern w:val="2"/>
          <w:sz w:val="21"/>
          <w:szCs w:val="21"/>
          <w:highlight w:val="none"/>
        </w:rPr>
      </w:pPr>
      <w:r>
        <w:rPr>
          <w:rFonts w:hint="eastAsia" w:ascii="仿宋" w:hAnsi="仿宋" w:eastAsia="仿宋" w:cs="仿宋"/>
          <w:bCs/>
          <w:color w:val="auto"/>
          <w:kern w:val="2"/>
          <w:sz w:val="21"/>
          <w:szCs w:val="21"/>
          <w:highlight w:val="none"/>
        </w:rPr>
        <w:t>15.1.2</w:t>
      </w:r>
      <w:r>
        <w:rPr>
          <w:rFonts w:hint="eastAsia" w:ascii="仿宋" w:hAnsi="仿宋" w:eastAsia="仿宋" w:cs="仿宋"/>
          <w:bCs/>
          <w:color w:val="auto"/>
          <w:kern w:val="2"/>
          <w:sz w:val="21"/>
          <w:szCs w:val="21"/>
          <w:highlight w:val="none"/>
        </w:rPr>
        <w:tab/>
      </w:r>
      <w:r>
        <w:rPr>
          <w:rFonts w:hint="eastAsia" w:ascii="仿宋" w:hAnsi="仿宋" w:eastAsia="仿宋" w:cs="仿宋"/>
          <w:bCs/>
          <w:color w:val="auto"/>
          <w:kern w:val="2"/>
          <w:sz w:val="21"/>
          <w:szCs w:val="21"/>
          <w:highlight w:val="none"/>
        </w:rPr>
        <w:t>清理工作所需费用由承包人承担。</w:t>
      </w:r>
    </w:p>
    <w:p w14:paraId="71022630">
      <w:pPr>
        <w:pStyle w:val="114"/>
        <w:adjustRightInd w:val="0"/>
        <w:snapToGrid w:val="0"/>
        <w:spacing w:line="360" w:lineRule="auto"/>
        <w:jc w:val="left"/>
        <w:rPr>
          <w:rFonts w:hint="eastAsia" w:ascii="仿宋" w:hAnsi="仿宋" w:eastAsia="仿宋" w:cs="仿宋"/>
          <w:bCs/>
          <w:color w:val="auto"/>
          <w:kern w:val="2"/>
          <w:sz w:val="21"/>
          <w:szCs w:val="21"/>
          <w:highlight w:val="none"/>
        </w:rPr>
      </w:pPr>
      <w:r>
        <w:rPr>
          <w:rFonts w:hint="eastAsia" w:ascii="仿宋" w:hAnsi="仿宋" w:eastAsia="仿宋" w:cs="仿宋"/>
          <w:bCs/>
          <w:color w:val="auto"/>
          <w:kern w:val="2"/>
          <w:sz w:val="21"/>
          <w:szCs w:val="21"/>
          <w:highlight w:val="none"/>
        </w:rPr>
        <w:t>15.2</w:t>
      </w:r>
      <w:r>
        <w:rPr>
          <w:rFonts w:hint="eastAsia" w:ascii="仿宋" w:hAnsi="仿宋" w:eastAsia="仿宋" w:cs="仿宋"/>
          <w:bCs/>
          <w:color w:val="auto"/>
          <w:kern w:val="2"/>
          <w:sz w:val="21"/>
          <w:szCs w:val="21"/>
          <w:highlight w:val="none"/>
        </w:rPr>
        <w:tab/>
      </w:r>
      <w:r>
        <w:rPr>
          <w:rFonts w:hint="eastAsia" w:ascii="仿宋" w:hAnsi="仿宋" w:eastAsia="仿宋" w:cs="仿宋"/>
          <w:bCs/>
          <w:color w:val="auto"/>
          <w:kern w:val="2"/>
          <w:sz w:val="21"/>
          <w:szCs w:val="21"/>
          <w:highlight w:val="none"/>
        </w:rPr>
        <w:t>竣工验收申请报告</w:t>
      </w:r>
    </w:p>
    <w:p w14:paraId="259A238E">
      <w:pPr>
        <w:pStyle w:val="114"/>
        <w:adjustRightInd w:val="0"/>
        <w:snapToGrid w:val="0"/>
        <w:spacing w:line="360" w:lineRule="auto"/>
        <w:jc w:val="left"/>
        <w:rPr>
          <w:rFonts w:hint="eastAsia" w:ascii="仿宋" w:hAnsi="仿宋" w:eastAsia="仿宋" w:cs="仿宋"/>
          <w:bCs/>
          <w:color w:val="auto"/>
          <w:kern w:val="2"/>
          <w:sz w:val="21"/>
          <w:szCs w:val="21"/>
          <w:highlight w:val="none"/>
        </w:rPr>
      </w:pPr>
      <w:r>
        <w:rPr>
          <w:rFonts w:hint="eastAsia" w:ascii="仿宋" w:hAnsi="仿宋" w:eastAsia="仿宋" w:cs="仿宋"/>
          <w:bCs/>
          <w:color w:val="auto"/>
          <w:kern w:val="2"/>
          <w:sz w:val="21"/>
          <w:szCs w:val="21"/>
          <w:highlight w:val="none"/>
        </w:rPr>
        <w:t>15.2.1</w:t>
      </w:r>
      <w:r>
        <w:rPr>
          <w:rFonts w:hint="eastAsia" w:ascii="仿宋" w:hAnsi="仿宋" w:eastAsia="仿宋" w:cs="仿宋"/>
          <w:bCs/>
          <w:color w:val="auto"/>
          <w:kern w:val="2"/>
          <w:sz w:val="21"/>
          <w:szCs w:val="21"/>
          <w:highlight w:val="none"/>
        </w:rPr>
        <w:tab/>
      </w:r>
      <w:r>
        <w:rPr>
          <w:rFonts w:hint="eastAsia" w:ascii="仿宋" w:hAnsi="仿宋" w:eastAsia="仿宋" w:cs="仿宋"/>
          <w:bCs/>
          <w:color w:val="auto"/>
          <w:kern w:val="2"/>
          <w:sz w:val="21"/>
          <w:szCs w:val="21"/>
          <w:highlight w:val="none"/>
        </w:rPr>
        <w:t>竣工验收申请报告，也称竣工验收报告，是承包人完成合同约定的工作内容后，按照国家有关施工质量验收标准的规定，经其自行检查，证明已经完成合同工作内容并符合合同约定，达到竣工验收标准，而向监理人或发包人提交的请求发包人组织进行合同工程竣工验收的一份书面申请函，合同约定的竣工验收资料和其他文件一般作为竣工验收申请报告的附件，是竣工验收申请报告的组成部分。</w:t>
      </w:r>
    </w:p>
    <w:p w14:paraId="6EC36D4E">
      <w:pPr>
        <w:pStyle w:val="114"/>
        <w:adjustRightInd w:val="0"/>
        <w:snapToGrid w:val="0"/>
        <w:spacing w:line="360" w:lineRule="auto"/>
        <w:jc w:val="left"/>
        <w:rPr>
          <w:rFonts w:hint="eastAsia" w:ascii="仿宋" w:hAnsi="仿宋" w:eastAsia="仿宋" w:cs="仿宋"/>
          <w:bCs/>
          <w:color w:val="auto"/>
          <w:kern w:val="2"/>
          <w:sz w:val="21"/>
          <w:szCs w:val="21"/>
          <w:highlight w:val="none"/>
        </w:rPr>
      </w:pPr>
      <w:r>
        <w:rPr>
          <w:rFonts w:hint="eastAsia" w:ascii="仿宋" w:hAnsi="仿宋" w:eastAsia="仿宋" w:cs="仿宋"/>
          <w:bCs/>
          <w:color w:val="auto"/>
          <w:kern w:val="2"/>
          <w:sz w:val="21"/>
          <w:szCs w:val="21"/>
          <w:highlight w:val="none"/>
        </w:rPr>
        <w:t>15.2.2</w:t>
      </w:r>
      <w:r>
        <w:rPr>
          <w:rFonts w:hint="eastAsia" w:ascii="仿宋" w:hAnsi="仿宋" w:eastAsia="仿宋" w:cs="仿宋"/>
          <w:bCs/>
          <w:color w:val="auto"/>
          <w:kern w:val="2"/>
          <w:sz w:val="21"/>
          <w:szCs w:val="21"/>
          <w:highlight w:val="none"/>
        </w:rPr>
        <w:tab/>
      </w:r>
      <w:r>
        <w:rPr>
          <w:rFonts w:hint="eastAsia" w:ascii="仿宋" w:hAnsi="仿宋" w:eastAsia="仿宋" w:cs="仿宋"/>
          <w:bCs/>
          <w:color w:val="auto"/>
          <w:kern w:val="2"/>
          <w:sz w:val="21"/>
          <w:szCs w:val="21"/>
          <w:highlight w:val="none"/>
        </w:rPr>
        <w:t>竣工验收申请报告一般应当包括工程概况说明，承包范围，分包工程情况，主要材料、设备供应情况，采用的主要施工方法，新材料、新技术和新工艺采用情况，自检质量情况等的说明。竣工验收申请报告的格式和应当包括的内容应事先经过监理人的审批。</w:t>
      </w:r>
    </w:p>
    <w:p w14:paraId="13236651">
      <w:pPr>
        <w:pStyle w:val="114"/>
        <w:adjustRightInd w:val="0"/>
        <w:snapToGrid w:val="0"/>
        <w:spacing w:line="360" w:lineRule="auto"/>
        <w:jc w:val="left"/>
        <w:rPr>
          <w:rFonts w:hint="eastAsia" w:ascii="仿宋" w:hAnsi="仿宋" w:eastAsia="仿宋" w:cs="仿宋"/>
          <w:bCs/>
          <w:color w:val="auto"/>
          <w:kern w:val="2"/>
          <w:sz w:val="21"/>
          <w:szCs w:val="21"/>
          <w:highlight w:val="none"/>
        </w:rPr>
      </w:pPr>
      <w:r>
        <w:rPr>
          <w:rFonts w:hint="eastAsia" w:ascii="仿宋" w:hAnsi="仿宋" w:eastAsia="仿宋" w:cs="仿宋"/>
          <w:bCs/>
          <w:color w:val="auto"/>
          <w:kern w:val="2"/>
          <w:sz w:val="21"/>
          <w:szCs w:val="21"/>
          <w:highlight w:val="none"/>
        </w:rPr>
        <w:t>15.2.3</w:t>
      </w:r>
      <w:r>
        <w:rPr>
          <w:rFonts w:hint="eastAsia" w:ascii="仿宋" w:hAnsi="仿宋" w:eastAsia="仿宋" w:cs="仿宋"/>
          <w:bCs/>
          <w:color w:val="auto"/>
          <w:kern w:val="2"/>
          <w:sz w:val="21"/>
          <w:szCs w:val="21"/>
          <w:highlight w:val="none"/>
        </w:rPr>
        <w:tab/>
      </w:r>
      <w:r>
        <w:rPr>
          <w:rFonts w:hint="eastAsia" w:ascii="仿宋" w:hAnsi="仿宋" w:eastAsia="仿宋" w:cs="仿宋"/>
          <w:bCs/>
          <w:color w:val="auto"/>
          <w:kern w:val="2"/>
          <w:sz w:val="21"/>
          <w:szCs w:val="21"/>
          <w:highlight w:val="none"/>
        </w:rPr>
        <w:t>竣工验收申请报告应当按通用合同条款附上下列内容：</w:t>
      </w:r>
    </w:p>
    <w:p w14:paraId="658491D7">
      <w:pPr>
        <w:pStyle w:val="114"/>
        <w:adjustRightInd w:val="0"/>
        <w:snapToGrid w:val="0"/>
        <w:spacing w:line="360" w:lineRule="auto"/>
        <w:jc w:val="left"/>
        <w:rPr>
          <w:rFonts w:hint="eastAsia" w:ascii="仿宋" w:hAnsi="仿宋" w:eastAsia="仿宋" w:cs="仿宋"/>
          <w:bCs/>
          <w:color w:val="auto"/>
          <w:kern w:val="2"/>
          <w:sz w:val="21"/>
          <w:szCs w:val="21"/>
          <w:highlight w:val="none"/>
        </w:rPr>
      </w:pPr>
      <w:r>
        <w:rPr>
          <w:rFonts w:hint="eastAsia" w:ascii="仿宋" w:hAnsi="仿宋" w:eastAsia="仿宋" w:cs="仿宋"/>
          <w:bCs/>
          <w:color w:val="auto"/>
          <w:kern w:val="2"/>
          <w:sz w:val="21"/>
          <w:szCs w:val="21"/>
          <w:highlight w:val="none"/>
        </w:rPr>
        <w:t>（1）</w:t>
      </w:r>
      <w:r>
        <w:rPr>
          <w:rFonts w:hint="eastAsia" w:ascii="仿宋" w:hAnsi="仿宋" w:eastAsia="仿宋" w:cs="仿宋"/>
          <w:bCs/>
          <w:color w:val="auto"/>
          <w:kern w:val="2"/>
          <w:sz w:val="21"/>
          <w:szCs w:val="21"/>
          <w:highlight w:val="none"/>
        </w:rPr>
        <w:tab/>
      </w:r>
      <w:r>
        <w:rPr>
          <w:rFonts w:hint="eastAsia" w:ascii="仿宋" w:hAnsi="仿宋" w:eastAsia="仿宋" w:cs="仿宋"/>
          <w:bCs/>
          <w:color w:val="auto"/>
          <w:kern w:val="2"/>
          <w:sz w:val="21"/>
          <w:szCs w:val="21"/>
          <w:highlight w:val="none"/>
        </w:rPr>
        <w:t>承包人的自行检查和评定记录文件，即除监理人同意列入缺陷责任期内完成的尾工（甩项）工程和缺陷修补工作外，合同范围内的全部单位工程以及有关工作，包括合同要求的试验、运行以及检验和验收均已完成，并符合合同要求；</w:t>
      </w:r>
    </w:p>
    <w:p w14:paraId="69C07A0D">
      <w:pPr>
        <w:pStyle w:val="114"/>
        <w:adjustRightInd w:val="0"/>
        <w:snapToGrid w:val="0"/>
        <w:spacing w:line="360" w:lineRule="auto"/>
        <w:jc w:val="left"/>
        <w:rPr>
          <w:rFonts w:hint="eastAsia" w:ascii="仿宋" w:hAnsi="仿宋" w:eastAsia="仿宋" w:cs="仿宋"/>
          <w:bCs/>
          <w:color w:val="auto"/>
          <w:kern w:val="2"/>
          <w:sz w:val="21"/>
          <w:szCs w:val="21"/>
          <w:highlight w:val="none"/>
        </w:rPr>
      </w:pPr>
      <w:r>
        <w:rPr>
          <w:rFonts w:hint="eastAsia" w:ascii="仿宋" w:hAnsi="仿宋" w:eastAsia="仿宋" w:cs="仿宋"/>
          <w:bCs/>
          <w:color w:val="auto"/>
          <w:kern w:val="2"/>
          <w:sz w:val="21"/>
          <w:szCs w:val="21"/>
          <w:highlight w:val="none"/>
        </w:rPr>
        <w:t>（2）</w:t>
      </w:r>
      <w:r>
        <w:rPr>
          <w:rFonts w:hint="eastAsia" w:ascii="仿宋" w:hAnsi="仿宋" w:eastAsia="仿宋" w:cs="仿宋"/>
          <w:bCs/>
          <w:color w:val="auto"/>
          <w:kern w:val="2"/>
          <w:sz w:val="21"/>
          <w:szCs w:val="21"/>
          <w:highlight w:val="none"/>
        </w:rPr>
        <w:tab/>
      </w:r>
      <w:r>
        <w:rPr>
          <w:rFonts w:hint="eastAsia" w:ascii="仿宋" w:hAnsi="仿宋" w:eastAsia="仿宋" w:cs="仿宋"/>
          <w:bCs/>
          <w:color w:val="auto"/>
          <w:kern w:val="2"/>
          <w:sz w:val="21"/>
          <w:szCs w:val="21"/>
          <w:highlight w:val="none"/>
        </w:rPr>
        <w:t>按专用合同条款约定的内容和份数整理的符合要求的竣工资料；</w:t>
      </w:r>
    </w:p>
    <w:p w14:paraId="18A0D0E9">
      <w:pPr>
        <w:pStyle w:val="114"/>
        <w:adjustRightInd w:val="0"/>
        <w:snapToGrid w:val="0"/>
        <w:spacing w:line="360" w:lineRule="auto"/>
        <w:jc w:val="left"/>
        <w:rPr>
          <w:rFonts w:hint="eastAsia" w:ascii="仿宋" w:hAnsi="仿宋" w:eastAsia="仿宋" w:cs="仿宋"/>
          <w:bCs/>
          <w:color w:val="auto"/>
          <w:kern w:val="2"/>
          <w:sz w:val="21"/>
          <w:szCs w:val="21"/>
          <w:highlight w:val="none"/>
        </w:rPr>
      </w:pPr>
      <w:r>
        <w:rPr>
          <w:rFonts w:hint="eastAsia" w:ascii="仿宋" w:hAnsi="仿宋" w:eastAsia="仿宋" w:cs="仿宋"/>
          <w:bCs/>
          <w:color w:val="auto"/>
          <w:kern w:val="2"/>
          <w:sz w:val="21"/>
          <w:szCs w:val="21"/>
          <w:highlight w:val="none"/>
        </w:rPr>
        <w:t>（3）</w:t>
      </w:r>
      <w:r>
        <w:rPr>
          <w:rFonts w:hint="eastAsia" w:ascii="仿宋" w:hAnsi="仿宋" w:eastAsia="仿宋" w:cs="仿宋"/>
          <w:bCs/>
          <w:color w:val="auto"/>
          <w:kern w:val="2"/>
          <w:sz w:val="21"/>
          <w:szCs w:val="21"/>
          <w:highlight w:val="none"/>
        </w:rPr>
        <w:tab/>
      </w:r>
      <w:r>
        <w:rPr>
          <w:rFonts w:hint="eastAsia" w:ascii="仿宋" w:hAnsi="仿宋" w:eastAsia="仿宋" w:cs="仿宋"/>
          <w:bCs/>
          <w:color w:val="auto"/>
          <w:kern w:val="2"/>
          <w:sz w:val="21"/>
          <w:szCs w:val="21"/>
          <w:highlight w:val="none"/>
        </w:rPr>
        <w:t>按监理人的要求编制了在缺陷责任期内完成的尾工（甩项）工程和缺陷修补工作清单以及相应施工计划；</w:t>
      </w:r>
    </w:p>
    <w:p w14:paraId="0D6D39E8">
      <w:pPr>
        <w:pStyle w:val="114"/>
        <w:adjustRightInd w:val="0"/>
        <w:snapToGrid w:val="0"/>
        <w:spacing w:line="360" w:lineRule="auto"/>
        <w:jc w:val="left"/>
        <w:rPr>
          <w:rFonts w:hint="eastAsia" w:ascii="仿宋" w:hAnsi="仿宋" w:eastAsia="仿宋" w:cs="仿宋"/>
          <w:bCs/>
          <w:color w:val="auto"/>
          <w:kern w:val="2"/>
          <w:sz w:val="21"/>
          <w:szCs w:val="21"/>
          <w:highlight w:val="none"/>
        </w:rPr>
      </w:pPr>
      <w:r>
        <w:rPr>
          <w:rFonts w:hint="eastAsia" w:ascii="仿宋" w:hAnsi="仿宋" w:eastAsia="仿宋" w:cs="仿宋"/>
          <w:bCs/>
          <w:color w:val="auto"/>
          <w:kern w:val="2"/>
          <w:sz w:val="21"/>
          <w:szCs w:val="21"/>
          <w:highlight w:val="none"/>
        </w:rPr>
        <w:t>（4）</w:t>
      </w:r>
      <w:r>
        <w:rPr>
          <w:rFonts w:hint="eastAsia" w:ascii="仿宋" w:hAnsi="仿宋" w:eastAsia="仿宋" w:cs="仿宋"/>
          <w:bCs/>
          <w:color w:val="auto"/>
          <w:kern w:val="2"/>
          <w:sz w:val="21"/>
          <w:szCs w:val="21"/>
          <w:highlight w:val="none"/>
        </w:rPr>
        <w:tab/>
      </w:r>
      <w:r>
        <w:rPr>
          <w:rFonts w:hint="eastAsia" w:ascii="仿宋" w:hAnsi="仿宋" w:eastAsia="仿宋" w:cs="仿宋"/>
          <w:bCs/>
          <w:color w:val="auto"/>
          <w:kern w:val="2"/>
          <w:sz w:val="21"/>
          <w:szCs w:val="21"/>
          <w:highlight w:val="none"/>
        </w:rPr>
        <w:t>监理人要求在竣工验收前应完成的其他工作的证明材料；</w:t>
      </w:r>
    </w:p>
    <w:p w14:paraId="3710BCCB">
      <w:pPr>
        <w:pStyle w:val="114"/>
        <w:adjustRightInd w:val="0"/>
        <w:snapToGrid w:val="0"/>
        <w:spacing w:line="360" w:lineRule="auto"/>
        <w:jc w:val="left"/>
        <w:rPr>
          <w:rFonts w:hint="eastAsia" w:ascii="仿宋" w:hAnsi="仿宋" w:eastAsia="仿宋" w:cs="仿宋"/>
          <w:bCs/>
          <w:color w:val="auto"/>
          <w:kern w:val="2"/>
          <w:sz w:val="21"/>
          <w:szCs w:val="21"/>
          <w:highlight w:val="none"/>
        </w:rPr>
      </w:pPr>
      <w:r>
        <w:rPr>
          <w:rFonts w:hint="eastAsia" w:ascii="仿宋" w:hAnsi="仿宋" w:eastAsia="仿宋" w:cs="仿宋"/>
          <w:bCs/>
          <w:color w:val="auto"/>
          <w:kern w:val="2"/>
          <w:sz w:val="21"/>
          <w:szCs w:val="21"/>
          <w:highlight w:val="none"/>
        </w:rPr>
        <w:t>（5）</w:t>
      </w:r>
      <w:r>
        <w:rPr>
          <w:rFonts w:hint="eastAsia" w:ascii="仿宋" w:hAnsi="仿宋" w:eastAsia="仿宋" w:cs="仿宋"/>
          <w:bCs/>
          <w:color w:val="auto"/>
          <w:kern w:val="2"/>
          <w:sz w:val="21"/>
          <w:szCs w:val="21"/>
          <w:highlight w:val="none"/>
        </w:rPr>
        <w:tab/>
      </w:r>
      <w:r>
        <w:rPr>
          <w:rFonts w:hint="eastAsia" w:ascii="仿宋" w:hAnsi="仿宋" w:eastAsia="仿宋" w:cs="仿宋"/>
          <w:bCs/>
          <w:color w:val="auto"/>
          <w:kern w:val="2"/>
          <w:sz w:val="21"/>
          <w:szCs w:val="21"/>
          <w:highlight w:val="none"/>
        </w:rPr>
        <w:t>监理人要求提交的竣工验收资料清单；</w:t>
      </w:r>
    </w:p>
    <w:p w14:paraId="19E3A0E2">
      <w:pPr>
        <w:pStyle w:val="114"/>
        <w:adjustRightInd w:val="0"/>
        <w:snapToGrid w:val="0"/>
        <w:spacing w:line="360" w:lineRule="auto"/>
        <w:jc w:val="left"/>
        <w:rPr>
          <w:rFonts w:hint="eastAsia" w:ascii="仿宋" w:hAnsi="仿宋" w:eastAsia="仿宋" w:cs="仿宋"/>
          <w:bCs/>
          <w:color w:val="auto"/>
          <w:kern w:val="2"/>
          <w:sz w:val="21"/>
          <w:szCs w:val="21"/>
          <w:highlight w:val="none"/>
        </w:rPr>
      </w:pPr>
      <w:r>
        <w:rPr>
          <w:rFonts w:hint="eastAsia" w:ascii="仿宋" w:hAnsi="仿宋" w:eastAsia="仿宋" w:cs="仿宋"/>
          <w:bCs/>
          <w:color w:val="auto"/>
          <w:kern w:val="2"/>
          <w:sz w:val="21"/>
          <w:szCs w:val="21"/>
          <w:highlight w:val="none"/>
        </w:rPr>
        <w:t>（6）</w:t>
      </w:r>
      <w:r>
        <w:rPr>
          <w:rFonts w:hint="eastAsia" w:ascii="仿宋" w:hAnsi="仿宋" w:eastAsia="仿宋" w:cs="仿宋"/>
          <w:bCs/>
          <w:color w:val="auto"/>
          <w:kern w:val="2"/>
          <w:sz w:val="21"/>
          <w:szCs w:val="21"/>
          <w:highlight w:val="none"/>
        </w:rPr>
        <w:tab/>
      </w:r>
      <w:r>
        <w:rPr>
          <w:rFonts w:hint="eastAsia" w:ascii="仿宋" w:hAnsi="仿宋" w:eastAsia="仿宋" w:cs="仿宋"/>
          <w:bCs/>
          <w:color w:val="auto"/>
          <w:kern w:val="2"/>
          <w:sz w:val="21"/>
          <w:szCs w:val="21"/>
          <w:highlight w:val="none"/>
        </w:rPr>
        <w:t>通用合同条款约定的单位工程竣工验收成果和结论文件（如果有）；</w:t>
      </w:r>
    </w:p>
    <w:p w14:paraId="11D32D07">
      <w:pPr>
        <w:pStyle w:val="114"/>
        <w:adjustRightInd w:val="0"/>
        <w:snapToGrid w:val="0"/>
        <w:spacing w:line="360" w:lineRule="auto"/>
        <w:jc w:val="left"/>
        <w:rPr>
          <w:rFonts w:hint="eastAsia" w:ascii="仿宋" w:hAnsi="仿宋" w:eastAsia="仿宋" w:cs="仿宋"/>
          <w:bCs/>
          <w:color w:val="auto"/>
          <w:kern w:val="2"/>
          <w:sz w:val="21"/>
          <w:szCs w:val="21"/>
          <w:highlight w:val="none"/>
        </w:rPr>
      </w:pPr>
      <w:r>
        <w:rPr>
          <w:rFonts w:hint="eastAsia" w:ascii="仿宋" w:hAnsi="仿宋" w:eastAsia="仿宋" w:cs="仿宋"/>
          <w:bCs/>
          <w:color w:val="auto"/>
          <w:kern w:val="2"/>
          <w:sz w:val="21"/>
          <w:szCs w:val="21"/>
          <w:highlight w:val="none"/>
        </w:rPr>
        <w:t>（7）</w:t>
      </w:r>
      <w:r>
        <w:rPr>
          <w:rFonts w:hint="eastAsia" w:ascii="仿宋" w:hAnsi="仿宋" w:eastAsia="仿宋" w:cs="仿宋"/>
          <w:bCs/>
          <w:color w:val="auto"/>
          <w:kern w:val="2"/>
          <w:sz w:val="21"/>
          <w:szCs w:val="21"/>
          <w:highlight w:val="none"/>
        </w:rPr>
        <w:tab/>
      </w:r>
      <w:r>
        <w:rPr>
          <w:rFonts w:hint="eastAsia" w:ascii="仿宋" w:hAnsi="仿宋" w:eastAsia="仿宋" w:cs="仿宋"/>
          <w:bCs/>
          <w:color w:val="auto"/>
          <w:kern w:val="2"/>
          <w:sz w:val="21"/>
          <w:szCs w:val="21"/>
          <w:highlight w:val="none"/>
        </w:rPr>
        <w:t>专用合同条款约定的质量保修书（此前已经提交的不再提交）；</w:t>
      </w:r>
    </w:p>
    <w:p w14:paraId="34DC444C">
      <w:pPr>
        <w:pStyle w:val="114"/>
        <w:adjustRightInd w:val="0"/>
        <w:snapToGrid w:val="0"/>
        <w:spacing w:line="360" w:lineRule="auto"/>
        <w:jc w:val="left"/>
        <w:rPr>
          <w:rFonts w:hint="eastAsia" w:ascii="仿宋" w:hAnsi="仿宋" w:eastAsia="仿宋" w:cs="仿宋"/>
          <w:bCs/>
          <w:color w:val="auto"/>
          <w:kern w:val="2"/>
          <w:sz w:val="21"/>
          <w:szCs w:val="21"/>
          <w:highlight w:val="none"/>
        </w:rPr>
      </w:pPr>
      <w:r>
        <w:rPr>
          <w:rFonts w:hint="eastAsia" w:ascii="仿宋" w:hAnsi="仿宋" w:eastAsia="仿宋" w:cs="仿宋"/>
          <w:bCs/>
          <w:color w:val="auto"/>
          <w:kern w:val="2"/>
          <w:sz w:val="21"/>
          <w:szCs w:val="21"/>
          <w:highlight w:val="none"/>
        </w:rPr>
        <w:t>（8）</w:t>
      </w:r>
      <w:r>
        <w:rPr>
          <w:rFonts w:hint="eastAsia" w:ascii="仿宋" w:hAnsi="仿宋" w:eastAsia="仿宋" w:cs="仿宋"/>
          <w:bCs/>
          <w:color w:val="auto"/>
          <w:kern w:val="2"/>
          <w:sz w:val="21"/>
          <w:szCs w:val="21"/>
          <w:highlight w:val="none"/>
        </w:rPr>
        <w:tab/>
      </w:r>
      <w:r>
        <w:rPr>
          <w:rFonts w:hint="eastAsia" w:ascii="仿宋" w:hAnsi="仿宋" w:eastAsia="仿宋" w:cs="仿宋"/>
          <w:bCs/>
          <w:color w:val="auto"/>
          <w:kern w:val="2"/>
          <w:sz w:val="21"/>
          <w:szCs w:val="21"/>
          <w:highlight w:val="none"/>
        </w:rPr>
        <w:t>其他：</w:t>
      </w:r>
    </w:p>
    <w:p w14:paraId="6C42325B">
      <w:pPr>
        <w:pStyle w:val="114"/>
        <w:adjustRightInd w:val="0"/>
        <w:snapToGrid w:val="0"/>
        <w:spacing w:line="360" w:lineRule="auto"/>
        <w:jc w:val="left"/>
        <w:rPr>
          <w:rFonts w:hint="eastAsia" w:ascii="仿宋" w:hAnsi="仿宋" w:eastAsia="仿宋" w:cs="仿宋"/>
          <w:bCs/>
          <w:color w:val="auto"/>
          <w:kern w:val="2"/>
          <w:sz w:val="21"/>
          <w:szCs w:val="21"/>
          <w:highlight w:val="none"/>
        </w:rPr>
      </w:pPr>
      <w:r>
        <w:rPr>
          <w:rFonts w:hint="eastAsia" w:ascii="仿宋" w:hAnsi="仿宋" w:eastAsia="仿宋" w:cs="仿宋"/>
          <w:bCs/>
          <w:color w:val="auto"/>
          <w:kern w:val="2"/>
          <w:sz w:val="21"/>
          <w:szCs w:val="21"/>
          <w:highlight w:val="none"/>
        </w:rPr>
        <w:t xml:space="preserve"> 15.3</w:t>
      </w:r>
      <w:r>
        <w:rPr>
          <w:rFonts w:hint="eastAsia" w:ascii="仿宋" w:hAnsi="仿宋" w:eastAsia="仿宋" w:cs="仿宋"/>
          <w:bCs/>
          <w:color w:val="auto"/>
          <w:kern w:val="2"/>
          <w:sz w:val="21"/>
          <w:szCs w:val="21"/>
          <w:highlight w:val="none"/>
        </w:rPr>
        <w:tab/>
      </w:r>
      <w:r>
        <w:rPr>
          <w:rFonts w:hint="eastAsia" w:ascii="仿宋" w:hAnsi="仿宋" w:eastAsia="仿宋" w:cs="仿宋"/>
          <w:bCs/>
          <w:color w:val="auto"/>
          <w:kern w:val="2"/>
          <w:sz w:val="21"/>
          <w:szCs w:val="21"/>
          <w:highlight w:val="none"/>
        </w:rPr>
        <w:t>竣工清场</w:t>
      </w:r>
    </w:p>
    <w:p w14:paraId="7A57B090">
      <w:pPr>
        <w:pStyle w:val="114"/>
        <w:adjustRightInd w:val="0"/>
        <w:snapToGrid w:val="0"/>
        <w:spacing w:line="360" w:lineRule="auto"/>
        <w:jc w:val="left"/>
        <w:rPr>
          <w:rFonts w:hint="eastAsia" w:ascii="仿宋" w:hAnsi="仿宋" w:eastAsia="仿宋" w:cs="仿宋"/>
          <w:bCs/>
          <w:color w:val="auto"/>
          <w:kern w:val="2"/>
          <w:sz w:val="21"/>
          <w:szCs w:val="21"/>
          <w:highlight w:val="none"/>
        </w:rPr>
      </w:pPr>
      <w:r>
        <w:rPr>
          <w:rFonts w:hint="eastAsia" w:ascii="仿宋" w:hAnsi="仿宋" w:eastAsia="仿宋" w:cs="仿宋"/>
          <w:bCs/>
          <w:color w:val="auto"/>
          <w:kern w:val="2"/>
          <w:sz w:val="21"/>
          <w:szCs w:val="21"/>
          <w:highlight w:val="none"/>
        </w:rPr>
        <w:t>15.3.1</w:t>
      </w:r>
      <w:r>
        <w:rPr>
          <w:rFonts w:hint="eastAsia" w:ascii="仿宋" w:hAnsi="仿宋" w:eastAsia="仿宋" w:cs="仿宋"/>
          <w:bCs/>
          <w:color w:val="auto"/>
          <w:kern w:val="2"/>
          <w:sz w:val="21"/>
          <w:szCs w:val="21"/>
          <w:highlight w:val="none"/>
        </w:rPr>
        <w:tab/>
      </w:r>
      <w:r>
        <w:rPr>
          <w:rFonts w:hint="eastAsia" w:ascii="仿宋" w:hAnsi="仿宋" w:eastAsia="仿宋" w:cs="仿宋"/>
          <w:bCs/>
          <w:color w:val="auto"/>
          <w:kern w:val="2"/>
          <w:sz w:val="21"/>
          <w:szCs w:val="21"/>
          <w:highlight w:val="none"/>
        </w:rPr>
        <w:t>工程接收证书颁发后，承包人应在56天内按以下要求对施工场地（现场）进行清理：</w:t>
      </w:r>
    </w:p>
    <w:p w14:paraId="591AD978">
      <w:pPr>
        <w:pStyle w:val="114"/>
        <w:adjustRightInd w:val="0"/>
        <w:snapToGrid w:val="0"/>
        <w:spacing w:line="360" w:lineRule="auto"/>
        <w:jc w:val="left"/>
        <w:rPr>
          <w:rFonts w:hint="eastAsia" w:ascii="仿宋" w:hAnsi="仿宋" w:eastAsia="仿宋" w:cs="仿宋"/>
          <w:bCs/>
          <w:color w:val="auto"/>
          <w:kern w:val="2"/>
          <w:sz w:val="21"/>
          <w:szCs w:val="21"/>
          <w:highlight w:val="none"/>
        </w:rPr>
      </w:pPr>
      <w:r>
        <w:rPr>
          <w:rFonts w:hint="eastAsia" w:ascii="仿宋" w:hAnsi="仿宋" w:eastAsia="仿宋" w:cs="仿宋"/>
          <w:bCs/>
          <w:color w:val="auto"/>
          <w:kern w:val="2"/>
          <w:sz w:val="21"/>
          <w:szCs w:val="21"/>
          <w:highlight w:val="none"/>
        </w:rPr>
        <w:t>（1）</w:t>
      </w:r>
      <w:r>
        <w:rPr>
          <w:rFonts w:hint="eastAsia" w:ascii="仿宋" w:hAnsi="仿宋" w:eastAsia="仿宋" w:cs="仿宋"/>
          <w:bCs/>
          <w:color w:val="auto"/>
          <w:kern w:val="2"/>
          <w:sz w:val="21"/>
          <w:szCs w:val="21"/>
          <w:highlight w:val="none"/>
        </w:rPr>
        <w:tab/>
      </w:r>
      <w:r>
        <w:rPr>
          <w:rFonts w:hint="eastAsia" w:ascii="仿宋" w:hAnsi="仿宋" w:eastAsia="仿宋" w:cs="仿宋"/>
          <w:bCs/>
          <w:color w:val="auto"/>
          <w:kern w:val="2"/>
          <w:sz w:val="21"/>
          <w:szCs w:val="21"/>
          <w:highlight w:val="none"/>
        </w:rPr>
        <w:t>从施工场地（现场）清除所有杂物和垃圾等等；</w:t>
      </w:r>
    </w:p>
    <w:p w14:paraId="29628DD2">
      <w:pPr>
        <w:pStyle w:val="114"/>
        <w:adjustRightInd w:val="0"/>
        <w:snapToGrid w:val="0"/>
        <w:spacing w:line="360" w:lineRule="auto"/>
        <w:jc w:val="left"/>
        <w:rPr>
          <w:rFonts w:hint="eastAsia" w:ascii="仿宋" w:hAnsi="仿宋" w:eastAsia="仿宋" w:cs="仿宋"/>
          <w:bCs/>
          <w:color w:val="auto"/>
          <w:kern w:val="2"/>
          <w:sz w:val="21"/>
          <w:szCs w:val="21"/>
          <w:highlight w:val="none"/>
        </w:rPr>
      </w:pPr>
      <w:r>
        <w:rPr>
          <w:rFonts w:hint="eastAsia" w:ascii="仿宋" w:hAnsi="仿宋" w:eastAsia="仿宋" w:cs="仿宋"/>
          <w:bCs/>
          <w:color w:val="auto"/>
          <w:kern w:val="2"/>
          <w:sz w:val="21"/>
          <w:szCs w:val="21"/>
          <w:highlight w:val="none"/>
        </w:rPr>
        <w:t>（2）</w:t>
      </w:r>
      <w:r>
        <w:rPr>
          <w:rFonts w:hint="eastAsia" w:ascii="仿宋" w:hAnsi="仿宋" w:eastAsia="仿宋" w:cs="仿宋"/>
          <w:bCs/>
          <w:color w:val="auto"/>
          <w:kern w:val="2"/>
          <w:sz w:val="21"/>
          <w:szCs w:val="21"/>
          <w:highlight w:val="none"/>
        </w:rPr>
        <w:tab/>
      </w:r>
      <w:r>
        <w:rPr>
          <w:rFonts w:hint="eastAsia" w:ascii="仿宋" w:hAnsi="仿宋" w:eastAsia="仿宋" w:cs="仿宋"/>
          <w:bCs/>
          <w:color w:val="auto"/>
          <w:kern w:val="2"/>
          <w:sz w:val="21"/>
          <w:szCs w:val="21"/>
          <w:highlight w:val="none"/>
        </w:rPr>
        <w:t>从施工场地现场拆除所有的临时工程和临时设施并恢复地面原状，但经监理人批准的护坡桩、锚杆、塔吊基础和无法拆除的埋入式模板等无法拆除的临时设施除外；</w:t>
      </w:r>
    </w:p>
    <w:p w14:paraId="46069336">
      <w:pPr>
        <w:pStyle w:val="114"/>
        <w:adjustRightInd w:val="0"/>
        <w:snapToGrid w:val="0"/>
        <w:spacing w:line="360" w:lineRule="auto"/>
        <w:jc w:val="left"/>
        <w:rPr>
          <w:rFonts w:hint="eastAsia" w:ascii="仿宋" w:hAnsi="仿宋" w:eastAsia="仿宋" w:cs="仿宋"/>
          <w:bCs/>
          <w:color w:val="auto"/>
          <w:kern w:val="2"/>
          <w:sz w:val="21"/>
          <w:szCs w:val="21"/>
          <w:highlight w:val="none"/>
        </w:rPr>
      </w:pPr>
      <w:r>
        <w:rPr>
          <w:rFonts w:hint="eastAsia" w:ascii="仿宋" w:hAnsi="仿宋" w:eastAsia="仿宋" w:cs="仿宋"/>
          <w:bCs/>
          <w:color w:val="auto"/>
          <w:kern w:val="2"/>
          <w:sz w:val="21"/>
          <w:szCs w:val="21"/>
          <w:highlight w:val="none"/>
        </w:rPr>
        <w:t>（3）</w:t>
      </w:r>
      <w:r>
        <w:rPr>
          <w:rFonts w:hint="eastAsia" w:ascii="仿宋" w:hAnsi="仿宋" w:eastAsia="仿宋" w:cs="仿宋"/>
          <w:bCs/>
          <w:color w:val="auto"/>
          <w:kern w:val="2"/>
          <w:sz w:val="21"/>
          <w:szCs w:val="21"/>
          <w:highlight w:val="none"/>
        </w:rPr>
        <w:tab/>
      </w:r>
      <w:r>
        <w:rPr>
          <w:rFonts w:hint="eastAsia" w:ascii="仿宋" w:hAnsi="仿宋" w:eastAsia="仿宋" w:cs="仿宋"/>
          <w:bCs/>
          <w:color w:val="auto"/>
          <w:kern w:val="2"/>
          <w:sz w:val="21"/>
          <w:szCs w:val="21"/>
          <w:highlight w:val="none"/>
        </w:rPr>
        <w:t>撤离所有承包人施工设备和剩余材料（经监理人同意需在缺陷责任期内继续使用的除外）；</w:t>
      </w:r>
    </w:p>
    <w:p w14:paraId="31F00AC8">
      <w:pPr>
        <w:pStyle w:val="114"/>
        <w:adjustRightInd w:val="0"/>
        <w:snapToGrid w:val="0"/>
        <w:spacing w:line="360" w:lineRule="auto"/>
        <w:jc w:val="left"/>
        <w:rPr>
          <w:rFonts w:hint="eastAsia" w:ascii="仿宋" w:hAnsi="仿宋" w:eastAsia="仿宋" w:cs="仿宋"/>
          <w:bCs/>
          <w:color w:val="auto"/>
          <w:kern w:val="2"/>
          <w:sz w:val="21"/>
          <w:szCs w:val="21"/>
          <w:highlight w:val="none"/>
        </w:rPr>
      </w:pPr>
      <w:r>
        <w:rPr>
          <w:rFonts w:hint="eastAsia" w:ascii="仿宋" w:hAnsi="仿宋" w:eastAsia="仿宋" w:cs="仿宋"/>
          <w:bCs/>
          <w:color w:val="auto"/>
          <w:kern w:val="2"/>
          <w:sz w:val="21"/>
          <w:szCs w:val="21"/>
          <w:highlight w:val="none"/>
        </w:rPr>
        <w:t>（4）</w:t>
      </w:r>
      <w:r>
        <w:rPr>
          <w:rFonts w:hint="eastAsia" w:ascii="仿宋" w:hAnsi="仿宋" w:eastAsia="仿宋" w:cs="仿宋"/>
          <w:bCs/>
          <w:color w:val="auto"/>
          <w:kern w:val="2"/>
          <w:sz w:val="21"/>
          <w:szCs w:val="21"/>
          <w:highlight w:val="none"/>
        </w:rPr>
        <w:tab/>
      </w:r>
      <w:r>
        <w:rPr>
          <w:rFonts w:hint="eastAsia" w:ascii="仿宋" w:hAnsi="仿宋" w:eastAsia="仿宋" w:cs="仿宋"/>
          <w:bCs/>
          <w:color w:val="auto"/>
          <w:kern w:val="2"/>
          <w:sz w:val="21"/>
          <w:szCs w:val="21"/>
          <w:highlight w:val="none"/>
        </w:rPr>
        <w:t>监理人指示的其他清场工作。</w:t>
      </w:r>
    </w:p>
    <w:p w14:paraId="61DEF5B0">
      <w:pPr>
        <w:pStyle w:val="114"/>
        <w:spacing w:after="156" w:line="300" w:lineRule="auto"/>
        <w:jc w:val="left"/>
        <w:rPr>
          <w:rFonts w:hint="eastAsia" w:ascii="仿宋" w:hAnsi="仿宋" w:eastAsia="仿宋" w:cs="仿宋"/>
          <w:b/>
          <w:color w:val="auto"/>
          <w:sz w:val="44"/>
          <w:szCs w:val="44"/>
          <w:highlight w:val="none"/>
        </w:rPr>
      </w:pPr>
      <w:bookmarkStart w:id="807" w:name="_Toc286239580"/>
      <w:bookmarkStart w:id="808" w:name="_Toc424651499"/>
      <w:bookmarkStart w:id="809" w:name="_Toc291521145"/>
      <w:bookmarkStart w:id="810" w:name="_Toc465772418"/>
    </w:p>
    <w:p w14:paraId="2811F0E1">
      <w:pPr>
        <w:pStyle w:val="114"/>
        <w:spacing w:after="156" w:line="300" w:lineRule="auto"/>
        <w:jc w:val="center"/>
        <w:outlineLvl w:val="2"/>
        <w:rPr>
          <w:rFonts w:hint="eastAsia" w:ascii="仿宋" w:hAnsi="仿宋" w:eastAsia="仿宋" w:cs="仿宋"/>
          <w:b/>
          <w:color w:val="auto"/>
          <w:sz w:val="44"/>
          <w:szCs w:val="44"/>
          <w:highlight w:val="none"/>
        </w:rPr>
      </w:pPr>
      <w:bookmarkStart w:id="811" w:name="_Toc106998207"/>
      <w:r>
        <w:rPr>
          <w:rFonts w:hint="eastAsia" w:ascii="仿宋" w:hAnsi="仿宋" w:eastAsia="仿宋" w:cs="仿宋"/>
          <w:b/>
          <w:color w:val="auto"/>
          <w:sz w:val="44"/>
          <w:szCs w:val="44"/>
          <w:highlight w:val="none"/>
        </w:rPr>
        <w:t>第二节特殊技术要求</w:t>
      </w:r>
      <w:bookmarkEnd w:id="807"/>
      <w:bookmarkEnd w:id="808"/>
      <w:bookmarkEnd w:id="809"/>
      <w:bookmarkEnd w:id="810"/>
      <w:bookmarkEnd w:id="811"/>
    </w:p>
    <w:p w14:paraId="05D36D57">
      <w:pPr>
        <w:pStyle w:val="116"/>
        <w:adjustRightInd w:val="0"/>
        <w:snapToGrid w:val="0"/>
        <w:spacing w:line="360" w:lineRule="auto"/>
        <w:jc w:val="left"/>
        <w:outlineLvl w:val="3"/>
        <w:rPr>
          <w:rFonts w:hint="eastAsia" w:ascii="仿宋" w:hAnsi="仿宋" w:eastAsia="仿宋" w:cs="仿宋"/>
          <w:b/>
          <w:bCs/>
          <w:color w:val="auto"/>
          <w:szCs w:val="21"/>
          <w:highlight w:val="none"/>
        </w:rPr>
      </w:pPr>
      <w:r>
        <w:rPr>
          <w:rFonts w:hint="eastAsia" w:ascii="仿宋" w:hAnsi="仿宋" w:eastAsia="仿宋" w:cs="仿宋"/>
          <w:b/>
          <w:bCs/>
          <w:color w:val="auto"/>
          <w:szCs w:val="21"/>
          <w:highlight w:val="none"/>
        </w:rPr>
        <w:t>1、一般规定</w:t>
      </w:r>
    </w:p>
    <w:p w14:paraId="154AB154">
      <w:pPr>
        <w:pStyle w:val="117"/>
        <w:adjustRightInd w:val="0"/>
        <w:snapToGrid w:val="0"/>
        <w:spacing w:line="360" w:lineRule="auto"/>
        <w:ind w:firstLine="480"/>
        <w:jc w:val="left"/>
        <w:rPr>
          <w:rFonts w:hint="eastAsia" w:ascii="仿宋" w:hAnsi="仿宋" w:eastAsia="仿宋" w:cs="仿宋"/>
          <w:color w:val="auto"/>
          <w:kern w:val="2"/>
          <w:sz w:val="21"/>
          <w:szCs w:val="21"/>
          <w:highlight w:val="none"/>
        </w:rPr>
      </w:pPr>
      <w:r>
        <w:rPr>
          <w:rFonts w:hint="eastAsia" w:ascii="仿宋" w:hAnsi="仿宋" w:eastAsia="仿宋" w:cs="仿宋"/>
          <w:color w:val="auto"/>
          <w:kern w:val="2"/>
          <w:sz w:val="21"/>
          <w:szCs w:val="21"/>
          <w:highlight w:val="none"/>
        </w:rPr>
        <w:t>（1）工程承包范围最终以招标人确定的施工图为准。</w:t>
      </w:r>
    </w:p>
    <w:p w14:paraId="32F4C228">
      <w:pPr>
        <w:pStyle w:val="117"/>
        <w:adjustRightInd w:val="0"/>
        <w:snapToGrid w:val="0"/>
        <w:spacing w:line="360" w:lineRule="auto"/>
        <w:ind w:firstLine="480"/>
        <w:jc w:val="left"/>
        <w:rPr>
          <w:rFonts w:hint="eastAsia" w:ascii="仿宋" w:hAnsi="仿宋" w:eastAsia="仿宋" w:cs="仿宋"/>
          <w:color w:val="auto"/>
          <w:kern w:val="2"/>
          <w:sz w:val="21"/>
          <w:szCs w:val="21"/>
          <w:highlight w:val="none"/>
        </w:rPr>
      </w:pPr>
      <w:r>
        <w:rPr>
          <w:rFonts w:hint="eastAsia" w:ascii="仿宋" w:hAnsi="仿宋" w:eastAsia="仿宋" w:cs="仿宋"/>
          <w:color w:val="auto"/>
          <w:kern w:val="2"/>
          <w:sz w:val="21"/>
          <w:szCs w:val="21"/>
          <w:highlight w:val="none"/>
        </w:rPr>
        <w:t>（2）现场施工组织应充分，在人员活动、材料堆放、施工时间安排上，按有关规定要求安排计划。</w:t>
      </w:r>
    </w:p>
    <w:p w14:paraId="633FFE97">
      <w:pPr>
        <w:pStyle w:val="117"/>
        <w:adjustRightInd w:val="0"/>
        <w:snapToGrid w:val="0"/>
        <w:spacing w:line="360" w:lineRule="auto"/>
        <w:ind w:firstLine="480"/>
        <w:jc w:val="left"/>
        <w:rPr>
          <w:rFonts w:hint="eastAsia" w:ascii="仿宋" w:hAnsi="仿宋" w:eastAsia="仿宋" w:cs="仿宋"/>
          <w:color w:val="auto"/>
          <w:kern w:val="2"/>
          <w:sz w:val="21"/>
          <w:szCs w:val="21"/>
          <w:highlight w:val="none"/>
        </w:rPr>
      </w:pPr>
      <w:r>
        <w:rPr>
          <w:rFonts w:hint="eastAsia" w:ascii="仿宋" w:hAnsi="仿宋" w:eastAsia="仿宋" w:cs="仿宋"/>
          <w:color w:val="auto"/>
          <w:kern w:val="2"/>
          <w:sz w:val="21"/>
          <w:szCs w:val="21"/>
          <w:highlight w:val="none"/>
        </w:rPr>
        <w:t>（3）施工中用水、用电、排水台班等全部费用由投标人负责，费用包含在投标报价中。</w:t>
      </w:r>
    </w:p>
    <w:p w14:paraId="5A12C7D8">
      <w:pPr>
        <w:pStyle w:val="116"/>
        <w:adjustRightInd w:val="0"/>
        <w:snapToGrid w:val="0"/>
        <w:spacing w:line="360" w:lineRule="auto"/>
        <w:jc w:val="left"/>
        <w:outlineLvl w:val="3"/>
        <w:rPr>
          <w:rFonts w:hint="eastAsia" w:ascii="仿宋" w:hAnsi="仿宋" w:eastAsia="仿宋" w:cs="仿宋"/>
          <w:b/>
          <w:bCs/>
          <w:color w:val="auto"/>
          <w:szCs w:val="21"/>
          <w:highlight w:val="none"/>
        </w:rPr>
      </w:pPr>
      <w:r>
        <w:rPr>
          <w:rFonts w:hint="eastAsia" w:ascii="仿宋" w:hAnsi="仿宋" w:eastAsia="仿宋" w:cs="仿宋"/>
          <w:b/>
          <w:bCs/>
          <w:color w:val="auto"/>
          <w:szCs w:val="21"/>
          <w:highlight w:val="none"/>
        </w:rPr>
        <w:t>2、施工现场要求</w:t>
      </w:r>
    </w:p>
    <w:p w14:paraId="08A6E980">
      <w:pPr>
        <w:pStyle w:val="116"/>
        <w:adjustRightInd w:val="0"/>
        <w:snapToGrid w:val="0"/>
        <w:spacing w:line="360" w:lineRule="auto"/>
        <w:ind w:firstLine="408"/>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（1）施工现场的安全责任、环保责任完全由施工单位负责。</w:t>
      </w:r>
    </w:p>
    <w:p w14:paraId="245F4423">
      <w:pPr>
        <w:pStyle w:val="116"/>
        <w:adjustRightInd w:val="0"/>
        <w:snapToGrid w:val="0"/>
        <w:spacing w:line="360" w:lineRule="auto"/>
        <w:ind w:firstLine="408"/>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（2）施工期间现场应保证人、车辆交通，作业封闭管理，在施工方案中阐述有关组织设计。</w:t>
      </w:r>
    </w:p>
    <w:p w14:paraId="2839EBB4">
      <w:pPr>
        <w:pStyle w:val="116"/>
        <w:adjustRightInd w:val="0"/>
        <w:snapToGrid w:val="0"/>
        <w:spacing w:line="360" w:lineRule="auto"/>
        <w:jc w:val="left"/>
        <w:outlineLvl w:val="3"/>
        <w:rPr>
          <w:rFonts w:hint="eastAsia" w:ascii="仿宋" w:hAnsi="仿宋" w:eastAsia="仿宋" w:cs="仿宋"/>
          <w:b/>
          <w:bCs/>
          <w:color w:val="auto"/>
          <w:szCs w:val="21"/>
          <w:highlight w:val="none"/>
        </w:rPr>
      </w:pPr>
      <w:r>
        <w:rPr>
          <w:rFonts w:hint="eastAsia" w:ascii="仿宋" w:hAnsi="仿宋" w:eastAsia="仿宋" w:cs="仿宋"/>
          <w:b/>
          <w:bCs/>
          <w:color w:val="auto"/>
          <w:szCs w:val="21"/>
          <w:highlight w:val="none"/>
        </w:rPr>
        <w:t>3、技术要求</w:t>
      </w:r>
    </w:p>
    <w:p w14:paraId="155E2462">
      <w:pPr>
        <w:pStyle w:val="116"/>
        <w:adjustRightInd w:val="0"/>
        <w:snapToGrid w:val="0"/>
        <w:spacing w:line="360" w:lineRule="auto"/>
        <w:ind w:firstLine="48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（1）主要材料在进场前10个日历天数内必向建设单位和现场监理提供购置材料的检测报告和供应厂家等资料，经建设单位、监理单位和设计单位同意后方可入场。</w:t>
      </w:r>
    </w:p>
    <w:p w14:paraId="5840BB8B">
      <w:pPr>
        <w:pStyle w:val="116"/>
        <w:adjustRightInd w:val="0"/>
        <w:snapToGrid w:val="0"/>
        <w:spacing w:line="360" w:lineRule="auto"/>
        <w:ind w:firstLine="48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（2）承包人未能按施工进度计划及时完成合同约定的工作，承包人在招标人指定的合理期限内仍不纠正违约行为的，发包人有权解除合同，由承包人承担违约责任及损失。</w:t>
      </w:r>
    </w:p>
    <w:p w14:paraId="6E6FFD0D">
      <w:pPr>
        <w:pStyle w:val="116"/>
        <w:adjustRightInd w:val="0"/>
        <w:snapToGrid w:val="0"/>
        <w:spacing w:line="360" w:lineRule="auto"/>
        <w:ind w:firstLine="48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3）项目经理必须驻场，项目经理请假必须向招标人科室负责人请假。招标人每发现一次项目经理不在现场，经招标人或监理方通知后在30分钟内不能到现场的，处中标单位5000元罚款，罚款在工程决算时直接扣除，上缴市财政。并列入投标单位和项目经理不良信用记录。</w:t>
      </w:r>
    </w:p>
    <w:p w14:paraId="2C44F5D2">
      <w:pPr>
        <w:pStyle w:val="116"/>
        <w:adjustRightInd w:val="0"/>
        <w:snapToGrid w:val="0"/>
        <w:spacing w:line="360" w:lineRule="auto"/>
        <w:ind w:firstLine="48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（4）工程完工后28个工作日中标人未上报竣工决算资料，如逾期罚款5万元。罚款在工程决算时直接扣除，上缴市财政。</w:t>
      </w:r>
    </w:p>
    <w:p w14:paraId="4ABEF300">
      <w:pPr>
        <w:pStyle w:val="116"/>
        <w:adjustRightInd w:val="0"/>
        <w:snapToGrid w:val="0"/>
        <w:spacing w:line="360" w:lineRule="auto"/>
        <w:ind w:firstLine="48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（5）工程竣工后60日内中标人未向市城建档案馆提交竣工备案材料，逾期罚款5万元。罚款在工程决算时直接扣除，上缴市财政。</w:t>
      </w:r>
    </w:p>
    <w:p w14:paraId="46AB9615">
      <w:pPr>
        <w:pStyle w:val="116"/>
        <w:adjustRightInd w:val="0"/>
        <w:snapToGrid w:val="0"/>
        <w:spacing w:line="360" w:lineRule="auto"/>
        <w:ind w:firstLine="48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（6）施工单位进场后应向甲方提供各工序、节点作为考核依据，每个节点如出现逾期，将处以实际签约合同价的0.3%/天罚款。</w:t>
      </w:r>
    </w:p>
    <w:p w14:paraId="54C77F85">
      <w:pPr>
        <w:pStyle w:val="116"/>
        <w:adjustRightInd w:val="0"/>
        <w:snapToGrid w:val="0"/>
        <w:spacing w:line="360" w:lineRule="auto"/>
        <w:ind w:firstLine="48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7）施工单位对施工现场所有安全生产、环境治理、现场管理等所有与施工现场有关的事宜承担全部法律责任。中标后必须由中标单位法定代表人与招标人签订安全生产责任状，并由中标人编制详细的施工现场安全管理措施并签字盖章。</w:t>
      </w:r>
    </w:p>
    <w:p w14:paraId="6320AA7A">
      <w:pPr>
        <w:pStyle w:val="116"/>
        <w:adjustRightInd w:val="0"/>
        <w:snapToGrid w:val="0"/>
        <w:spacing w:line="360" w:lineRule="auto"/>
        <w:ind w:firstLine="48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（8）主要材料进场前未经招标人同意，擅自进场的，招标人不予结算此项费用。</w:t>
      </w:r>
    </w:p>
    <w:p w14:paraId="0911BC5D">
      <w:pPr>
        <w:pStyle w:val="116"/>
        <w:adjustRightInd w:val="0"/>
        <w:snapToGrid w:val="0"/>
        <w:spacing w:line="360" w:lineRule="auto"/>
        <w:ind w:firstLine="48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（9）施工单位必须保证地下通信管道、煤气管道、供水管道、供暖管线及排水管线等地下管线畅通无阻，出现一切问题由中标单位负责疏通及维修，费用由中标单位承担。</w:t>
      </w:r>
    </w:p>
    <w:p w14:paraId="15F8CDFD">
      <w:pPr>
        <w:pStyle w:val="116"/>
        <w:adjustRightInd w:val="0"/>
        <w:snapToGrid w:val="0"/>
        <w:spacing w:line="360" w:lineRule="auto"/>
        <w:jc w:val="left"/>
        <w:outlineLvl w:val="3"/>
        <w:rPr>
          <w:rFonts w:hint="eastAsia" w:ascii="仿宋" w:hAnsi="仿宋" w:eastAsia="仿宋" w:cs="仿宋"/>
          <w:b/>
          <w:color w:val="auto"/>
          <w:szCs w:val="21"/>
          <w:highlight w:val="none"/>
        </w:rPr>
      </w:pPr>
      <w:r>
        <w:rPr>
          <w:rFonts w:hint="eastAsia" w:ascii="仿宋" w:hAnsi="仿宋" w:eastAsia="仿宋" w:cs="仿宋"/>
          <w:b/>
          <w:bCs/>
          <w:color w:val="auto"/>
          <w:szCs w:val="21"/>
          <w:highlight w:val="none"/>
        </w:rPr>
        <w:t>4、</w:t>
      </w:r>
      <w:r>
        <w:rPr>
          <w:rFonts w:hint="eastAsia" w:ascii="仿宋" w:hAnsi="仿宋" w:eastAsia="仿宋" w:cs="仿宋"/>
          <w:b/>
          <w:color w:val="auto"/>
          <w:szCs w:val="21"/>
          <w:highlight w:val="none"/>
        </w:rPr>
        <w:t>工程环保要求：</w:t>
      </w:r>
    </w:p>
    <w:p w14:paraId="4F9694C8">
      <w:pPr>
        <w:pStyle w:val="118"/>
        <w:spacing w:line="400" w:lineRule="exact"/>
        <w:jc w:val="left"/>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第一条施工单位应在施工现场醒目位置设置文明施工公示标牌，标明工程名称、工程概况、开竣工日期，建设单位、设计单位、施工单位、监理单位名称及项目负责人、施工现场平面布置图和文明施工措施、监督举报电话等内容。</w:t>
      </w:r>
    </w:p>
    <w:p w14:paraId="259570CE">
      <w:pPr>
        <w:pStyle w:val="118"/>
        <w:spacing w:line="400" w:lineRule="exact"/>
        <w:jc w:val="left"/>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第二条施工区域应设置封闭围挡，封闭围挡分为长期围挡和临时围挡。施工超过15天的应设置长期围挡，长期围挡的设置应当连续、封闭、坚固、美观，并符合下列规定：</w:t>
      </w:r>
    </w:p>
    <w:p w14:paraId="2D9DE2C9">
      <w:pPr>
        <w:pStyle w:val="118"/>
        <w:spacing w:line="400" w:lineRule="exact"/>
        <w:jc w:val="left"/>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（一）</w:t>
      </w:r>
      <w:r>
        <w:rPr>
          <w:rFonts w:hint="eastAsia" w:ascii="仿宋" w:hAnsi="仿宋" w:eastAsia="仿宋" w:cs="仿宋"/>
          <w:bCs/>
          <w:color w:val="auto"/>
          <w:szCs w:val="21"/>
          <w:highlight w:val="none"/>
        </w:rPr>
        <w:tab/>
      </w:r>
      <w:r>
        <w:rPr>
          <w:rFonts w:hint="eastAsia" w:ascii="仿宋" w:hAnsi="仿宋" w:eastAsia="仿宋" w:cs="仿宋"/>
          <w:bCs/>
          <w:color w:val="auto"/>
          <w:szCs w:val="21"/>
          <w:highlight w:val="none"/>
        </w:rPr>
        <w:t>市区主次干道施工现场设置的封路（各个路口）围挡的高度不小于2.5米，其他的高度不小于2米，围挡应当采用厚度不小于1.00mm的蓝色彩钢板制作，固定在钢龙骨上，钢龙骨与立柱牢固连接，围挡基座与地面或基础牢固结合，具有抵抗7级大风的能力。</w:t>
      </w:r>
    </w:p>
    <w:p w14:paraId="36772E86">
      <w:pPr>
        <w:pStyle w:val="118"/>
        <w:spacing w:line="400" w:lineRule="exact"/>
        <w:jc w:val="left"/>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二）市区范围内的围挡应进行美化，不得使用破损和颜色不一致的彩钢板作为施工围挡，围挡外部应悬挂或张贴文明标语和反光条，城市主次干道两侧的围挡在路口及出入口处的围挡顶部应设置警示灯（太阳能暴闪灯）。</w:t>
      </w:r>
    </w:p>
    <w:p w14:paraId="7A20C0DD">
      <w:pPr>
        <w:pStyle w:val="118"/>
        <w:spacing w:line="400" w:lineRule="exact"/>
        <w:jc w:val="left"/>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（三）围挡出入口应设置移动式推拉门，在大门上喷涂出入口标志，并派专人看管。</w:t>
      </w:r>
    </w:p>
    <w:p w14:paraId="7B61E6FC">
      <w:pPr>
        <w:pStyle w:val="118"/>
        <w:spacing w:line="400" w:lineRule="exact"/>
        <w:jc w:val="left"/>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（四）围挡应当定期检查、清洗，保持完好、牢固、整洁、美观，出现破损、变形等情况应立即维修恢复原样。</w:t>
      </w:r>
    </w:p>
    <w:p w14:paraId="28AE35AC">
      <w:pPr>
        <w:pStyle w:val="118"/>
        <w:spacing w:line="400" w:lineRule="exact"/>
        <w:ind w:firstLine="420" w:firstLineChars="200"/>
        <w:jc w:val="left"/>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临时围挡的设置应当连续、美观能够起到隔离作用，在道路范围内实施地下管线应急抢修或临时作业时，各专业公司可使用本单位的专业围挡，并在晚上配置警示灯和反光条。</w:t>
      </w:r>
    </w:p>
    <w:p w14:paraId="3FE9CEFE">
      <w:pPr>
        <w:pStyle w:val="118"/>
        <w:spacing w:line="400" w:lineRule="exact"/>
        <w:jc w:val="left"/>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第三条在行人和车辆密集的路段施工时，要与交警部门协商制定交通示意图，并做好公示与交通疏导，交通疏导距离一般不少于50米。封闭交通施工的路段，要有沿线单位和小区车辆通行的通道和人行通道。施工中产生的沟、井、槽、坑等应设置防护装置和警示标志、警示灯。如遇恶劣天气应设专人值班，确保行人及车辆安全。</w:t>
      </w:r>
    </w:p>
    <w:p w14:paraId="5A307A4A">
      <w:pPr>
        <w:pStyle w:val="118"/>
        <w:spacing w:line="400" w:lineRule="exact"/>
        <w:jc w:val="left"/>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第四条施工现场应按现场平面布置图划分车辆停放区和物料堆放区。施工车辆在完成当天作业后必须停放在指定的停放区内；施工用料应当堆放在指定区域，采用的预拌材料必须异地拌和，禁止现场拌料。需养生工序的，在养生期间采用土工布等材料覆盖养生，禁止裸露养生；现场内堆放的沙、石等物料必须采用防尘网覆盖，工程弃土应当在12小时内清运，未清运前必须集中堆放用防尘网覆盖，禁止随处堆放和裸露堆放。</w:t>
      </w:r>
    </w:p>
    <w:p w14:paraId="2DC079E5">
      <w:pPr>
        <w:pStyle w:val="118"/>
        <w:spacing w:line="400" w:lineRule="exact"/>
        <w:jc w:val="left"/>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不准在施工围挡以外堆放建筑材料和残土等与工程有关的材料与废料。</w:t>
      </w:r>
    </w:p>
    <w:p w14:paraId="2BC14F09">
      <w:pPr>
        <w:pStyle w:val="118"/>
        <w:spacing w:line="400" w:lineRule="exact"/>
        <w:jc w:val="left"/>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第五条施工单位在现场应设专兼职的清扫保洁人员，每天定时对易产生扬尘的地段采取撒水降尘等措施。</w:t>
      </w:r>
    </w:p>
    <w:p w14:paraId="676E38BF">
      <w:pPr>
        <w:pStyle w:val="118"/>
        <w:spacing w:line="400" w:lineRule="exact"/>
        <w:jc w:val="left"/>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第六条运输车辆在运输施工物料和残土时必须使用交通行政主管部门认可的，具有密闭装置的车辆，符合不撒、不漏标准。</w:t>
      </w:r>
    </w:p>
    <w:p w14:paraId="00FF0226">
      <w:pPr>
        <w:pStyle w:val="118"/>
        <w:spacing w:line="400" w:lineRule="exact"/>
        <w:jc w:val="left"/>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　　第七条夜间施工现场应具备满足施工和出行需要的良好照明。车行道和人行道应按规定设置警示灯，确保车辆、行人通行安全。</w:t>
      </w:r>
    </w:p>
    <w:p w14:paraId="45713544">
      <w:pPr>
        <w:pStyle w:val="118"/>
        <w:spacing w:line="400" w:lineRule="exact"/>
        <w:jc w:val="left"/>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第八条施工时应当控制使用强噪声、强振动的施工机具。22点以后禁止使用电锯、电刨、混凝土振捣器等强噪声施工机具。如确因工期或施工技术要求需要夜间施工的，施工单位应办理有关许可手续。</w:t>
      </w:r>
    </w:p>
    <w:p w14:paraId="2E900021">
      <w:pPr>
        <w:pStyle w:val="118"/>
        <w:spacing w:line="400" w:lineRule="exact"/>
        <w:jc w:val="left"/>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　　第九条施工现场要有临时沉淀、排水设施和防汛等措施，保证施工现场及临时人行、车行道路排水通畅、不积泥水。禁止随意排放污水或工程废水；禁止污水、泥浆等未经沉淀直接排入市政排水管道。</w:t>
      </w:r>
    </w:p>
    <w:p w14:paraId="38CAEFD5">
      <w:pPr>
        <w:pStyle w:val="118"/>
        <w:spacing w:line="400" w:lineRule="exact"/>
        <w:jc w:val="left"/>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第十条施工单位对工程的安全生产工作负主体责任，应设置专职安全员负责安全生产工作，做好现场的防火、防电工作，进入现场的工作人员必须统一着装，佩戴安全帽。</w:t>
      </w:r>
    </w:p>
    <w:p w14:paraId="311F8137">
      <w:pPr>
        <w:pStyle w:val="118"/>
        <w:spacing w:line="400" w:lineRule="exact"/>
        <w:jc w:val="left"/>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第十一条施工单位在工程完工后三日内应清理工地及周围环境，做到工完、料尽、场地清。</w:t>
      </w:r>
    </w:p>
    <w:p w14:paraId="76F56814">
      <w:pPr>
        <w:pStyle w:val="116"/>
        <w:adjustRightInd w:val="0"/>
        <w:snapToGrid w:val="0"/>
        <w:spacing w:line="360" w:lineRule="auto"/>
        <w:ind w:firstLine="420" w:firstLineChars="200"/>
        <w:jc w:val="left"/>
        <w:rPr>
          <w:rFonts w:hint="eastAsia" w:ascii="仿宋" w:hAnsi="仿宋" w:eastAsia="仿宋" w:cs="仿宋"/>
          <w:color w:val="auto"/>
          <w:szCs w:val="21"/>
          <w:highlight w:val="none"/>
        </w:rPr>
      </w:pPr>
      <w:r>
        <w:rPr>
          <w:rFonts w:hint="eastAsia" w:ascii="仿宋" w:hAnsi="仿宋" w:eastAsia="仿宋" w:cs="仿宋"/>
          <w:bCs/>
          <w:color w:val="auto"/>
          <w:szCs w:val="21"/>
          <w:highlight w:val="none"/>
        </w:rPr>
        <w:t>第十二条施工单位对施工采取的安全文明施工和环保措施的措施费用，在措施费中列支，建设单位不再追加任何费用。</w:t>
      </w:r>
    </w:p>
    <w:p w14:paraId="03D9DDD0">
      <w:pPr>
        <w:pStyle w:val="116"/>
        <w:adjustRightInd w:val="0"/>
        <w:snapToGrid w:val="0"/>
        <w:spacing w:line="360" w:lineRule="auto"/>
        <w:jc w:val="left"/>
        <w:rPr>
          <w:rFonts w:hint="eastAsia" w:ascii="仿宋" w:hAnsi="仿宋" w:eastAsia="仿宋" w:cs="仿宋"/>
          <w:b/>
          <w:color w:val="auto"/>
          <w:szCs w:val="21"/>
          <w:highlight w:val="none"/>
        </w:rPr>
      </w:pPr>
      <w:r>
        <w:rPr>
          <w:rFonts w:hint="eastAsia" w:ascii="仿宋" w:hAnsi="仿宋" w:eastAsia="仿宋" w:cs="仿宋"/>
          <w:b/>
          <w:bCs/>
          <w:color w:val="auto"/>
          <w:szCs w:val="21"/>
          <w:highlight w:val="none"/>
        </w:rPr>
        <w:t>5、</w:t>
      </w:r>
      <w:r>
        <w:rPr>
          <w:rFonts w:hint="eastAsia" w:ascii="仿宋" w:hAnsi="仿宋" w:eastAsia="仿宋" w:cs="仿宋"/>
          <w:b/>
          <w:color w:val="auto"/>
          <w:szCs w:val="21"/>
          <w:highlight w:val="none"/>
        </w:rPr>
        <w:t>工程施工要求</w:t>
      </w:r>
    </w:p>
    <w:p w14:paraId="55340158">
      <w:pPr>
        <w:pStyle w:val="116"/>
        <w:adjustRightInd w:val="0"/>
        <w:snapToGrid w:val="0"/>
        <w:spacing w:line="360" w:lineRule="auto"/>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（1）严格按照设计要求和标准进行绿化施工，未经批准不得擅自改变。</w:t>
      </w:r>
    </w:p>
    <w:p w14:paraId="3CB92BAA">
      <w:pPr>
        <w:pStyle w:val="116"/>
        <w:adjustRightInd w:val="0"/>
        <w:snapToGrid w:val="0"/>
        <w:spacing w:line="360" w:lineRule="auto"/>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（2）施工前做好各项准备工作，确保工程按期完工。</w:t>
      </w:r>
    </w:p>
    <w:p w14:paraId="0477D461">
      <w:pPr>
        <w:pStyle w:val="116"/>
        <w:adjustRightInd w:val="0"/>
        <w:snapToGrid w:val="0"/>
        <w:spacing w:line="360" w:lineRule="auto"/>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（3）施工前对现场的各类管线、井位等市政设施要逐一拍照、登记、留档，并报建设单位和监理单位备案。所有管线和井位的保护措施及费用由施工单位自行承担。</w:t>
      </w:r>
    </w:p>
    <w:p w14:paraId="03FFF9B9">
      <w:pPr>
        <w:pStyle w:val="114"/>
        <w:adjustRightInd w:val="0"/>
        <w:snapToGrid w:val="0"/>
        <w:spacing w:line="360" w:lineRule="auto"/>
        <w:ind w:firstLine="392" w:firstLineChars="196"/>
        <w:jc w:val="left"/>
        <w:rPr>
          <w:rFonts w:hint="eastAsia" w:ascii="仿宋" w:hAnsi="仿宋" w:eastAsia="仿宋" w:cs="仿宋"/>
          <w:bCs/>
          <w:color w:val="auto"/>
          <w:kern w:val="2"/>
          <w:sz w:val="21"/>
          <w:szCs w:val="21"/>
          <w:highlight w:val="none"/>
        </w:rPr>
      </w:pPr>
      <w:r>
        <w:rPr>
          <w:rFonts w:hint="eastAsia" w:ascii="仿宋" w:hAnsi="仿宋" w:eastAsia="仿宋" w:cs="仿宋"/>
          <w:color w:val="auto"/>
          <w:szCs w:val="21"/>
          <w:highlight w:val="none"/>
        </w:rPr>
        <w:t>（4）</w:t>
      </w:r>
      <w:r>
        <w:rPr>
          <w:rFonts w:hint="eastAsia" w:ascii="仿宋" w:hAnsi="仿宋" w:eastAsia="仿宋" w:cs="仿宋"/>
          <w:bCs/>
          <w:color w:val="auto"/>
          <w:kern w:val="2"/>
          <w:sz w:val="21"/>
          <w:szCs w:val="21"/>
          <w:highlight w:val="none"/>
        </w:rPr>
        <w:t>施工过程中，路面摊铺必须采用整幅摊铺，承包人必须做好通行封闭安排。</w:t>
      </w:r>
    </w:p>
    <w:p w14:paraId="1C9123CB">
      <w:pPr>
        <w:pStyle w:val="116"/>
        <w:adjustRightInd w:val="0"/>
        <w:snapToGrid w:val="0"/>
        <w:spacing w:line="360" w:lineRule="auto"/>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（5）对施工中造成各种破坏的，由施工单位无条件恢复，并承担由此引起的一切责任。</w:t>
      </w:r>
    </w:p>
    <w:p w14:paraId="6CA72CC7">
      <w:pPr>
        <w:pStyle w:val="116"/>
        <w:adjustRightInd w:val="0"/>
        <w:snapToGrid w:val="0"/>
        <w:spacing w:line="360" w:lineRule="auto"/>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6）承包人必须做到安全生产、文明施工。承包人是安全生产、文明施工的第一责任人，保持施工地段路面整洁，严禁任何施工材料、残土直接摆放、掉落在沥青路面上，严禁大型车辆在沥青路面上急停、急转。</w:t>
      </w:r>
    </w:p>
    <w:p w14:paraId="517BFE45">
      <w:pPr>
        <w:pStyle w:val="116"/>
        <w:adjustRightInd w:val="0"/>
        <w:snapToGrid w:val="0"/>
        <w:spacing w:line="360" w:lineRule="auto"/>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（7）工程各道工序未经监理验收合格，不得进入下一道工序。</w:t>
      </w:r>
    </w:p>
    <w:p w14:paraId="180C9D14">
      <w:pPr>
        <w:pStyle w:val="116"/>
        <w:adjustRightInd w:val="0"/>
        <w:snapToGrid w:val="0"/>
        <w:spacing w:line="360" w:lineRule="auto"/>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（8）中标单位在施工过程中必须满足当地环保部门的要求，发生的费用由中标人承担，甲方不予考虑。</w:t>
      </w:r>
    </w:p>
    <w:p w14:paraId="754062D3">
      <w:pPr>
        <w:pStyle w:val="116"/>
        <w:adjustRightInd w:val="0"/>
        <w:snapToGrid w:val="0"/>
        <w:spacing w:line="360" w:lineRule="auto"/>
        <w:jc w:val="left"/>
        <w:rPr>
          <w:rFonts w:hint="eastAsia" w:ascii="仿宋" w:hAnsi="仿宋" w:eastAsia="仿宋" w:cs="仿宋"/>
          <w:b/>
          <w:bCs/>
          <w:color w:val="auto"/>
          <w:szCs w:val="21"/>
          <w:highlight w:val="none"/>
        </w:rPr>
      </w:pPr>
      <w:r>
        <w:rPr>
          <w:rFonts w:hint="eastAsia" w:ascii="仿宋" w:hAnsi="仿宋" w:eastAsia="仿宋" w:cs="仿宋"/>
          <w:b/>
          <w:bCs/>
          <w:color w:val="auto"/>
          <w:szCs w:val="21"/>
          <w:highlight w:val="none"/>
        </w:rPr>
        <w:t>6、罚则</w:t>
      </w:r>
    </w:p>
    <w:p w14:paraId="5DC59FC7">
      <w:pPr>
        <w:pStyle w:val="116"/>
        <w:adjustRightInd w:val="0"/>
        <w:snapToGrid w:val="0"/>
        <w:spacing w:line="360" w:lineRule="auto"/>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处罚时现场认定</w:t>
      </w:r>
    </w:p>
    <w:p w14:paraId="08E9BDB0">
      <w:pPr>
        <w:pStyle w:val="116"/>
        <w:adjustRightInd w:val="0"/>
        <w:snapToGrid w:val="0"/>
        <w:spacing w:line="360" w:lineRule="auto"/>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检查时由招标人、中标人和监理人员共同进行，如果中标人对招标人的处罚有异议，可以请原设计单位、监理人员共同认定，如果设计单位和监理单位认同招标人所认定的事实，则投标人必须承担后果。</w:t>
      </w:r>
    </w:p>
    <w:p w14:paraId="1ADEB27A">
      <w:pPr>
        <w:pStyle w:val="116"/>
        <w:adjustRightInd w:val="0"/>
        <w:snapToGrid w:val="0"/>
        <w:spacing w:line="360" w:lineRule="auto"/>
        <w:jc w:val="left"/>
        <w:rPr>
          <w:rFonts w:hint="eastAsia" w:ascii="仿宋" w:hAnsi="仿宋" w:eastAsia="仿宋" w:cs="仿宋"/>
          <w:b/>
          <w:bCs/>
          <w:color w:val="auto"/>
          <w:szCs w:val="21"/>
          <w:highlight w:val="none"/>
        </w:rPr>
      </w:pPr>
      <w:r>
        <w:rPr>
          <w:rFonts w:hint="eastAsia" w:ascii="仿宋" w:hAnsi="仿宋" w:eastAsia="仿宋" w:cs="仿宋"/>
          <w:b/>
          <w:bCs/>
          <w:color w:val="auto"/>
          <w:szCs w:val="21"/>
          <w:highlight w:val="none"/>
        </w:rPr>
        <w:t>7、其他要求</w:t>
      </w:r>
    </w:p>
    <w:p w14:paraId="45EF3238">
      <w:pPr>
        <w:pStyle w:val="116"/>
        <w:adjustRightInd w:val="0"/>
        <w:snapToGrid w:val="0"/>
        <w:spacing w:line="360" w:lineRule="auto"/>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（1）项目经理必须驻场，技术负责人定期到场。</w:t>
      </w:r>
    </w:p>
    <w:p w14:paraId="0B7F32D2">
      <w:pPr>
        <w:pStyle w:val="116"/>
        <w:adjustRightInd w:val="0"/>
        <w:snapToGrid w:val="0"/>
        <w:spacing w:line="360" w:lineRule="auto"/>
        <w:ind w:firstLine="420" w:firstLineChars="200"/>
        <w:jc w:val="left"/>
        <w:rPr>
          <w:rFonts w:hint="eastAsia" w:ascii="仿宋" w:hAnsi="仿宋" w:eastAsia="仿宋" w:cs="仿宋"/>
          <w:bCs/>
          <w:color w:val="auto"/>
          <w:szCs w:val="21"/>
          <w:highlight w:val="none"/>
        </w:rPr>
      </w:pPr>
      <w:r>
        <w:rPr>
          <w:rFonts w:hint="eastAsia" w:ascii="仿宋" w:hAnsi="仿宋" w:eastAsia="仿宋" w:cs="仿宋"/>
          <w:color w:val="auto"/>
          <w:szCs w:val="21"/>
          <w:highlight w:val="none"/>
        </w:rPr>
        <w:t>（2）</w:t>
      </w:r>
      <w:r>
        <w:rPr>
          <w:rFonts w:hint="eastAsia" w:ascii="仿宋" w:hAnsi="仿宋" w:eastAsia="仿宋" w:cs="仿宋"/>
          <w:bCs/>
          <w:color w:val="auto"/>
          <w:szCs w:val="21"/>
          <w:highlight w:val="none"/>
        </w:rPr>
        <w:t>本工程为包工包料工程，中标人应负责保证该项目在施工结束后顺利通过国家有关部门各项审查、验收。若不能顺利通过国家有关部门各项审查、验收，则中标人须承担由此给招标人带来的损失，招标人有权对中标人进行相应的处罚。</w:t>
      </w:r>
    </w:p>
    <w:p w14:paraId="0E290B11">
      <w:pPr>
        <w:pStyle w:val="116"/>
        <w:adjustRightInd w:val="0"/>
        <w:snapToGrid w:val="0"/>
        <w:spacing w:line="360" w:lineRule="auto"/>
        <w:ind w:firstLine="420" w:firstLineChars="200"/>
        <w:jc w:val="left"/>
        <w:rPr>
          <w:rFonts w:hint="eastAsia" w:ascii="仿宋" w:hAnsi="仿宋" w:eastAsia="仿宋" w:cs="仿宋"/>
          <w:bCs/>
          <w:color w:val="auto"/>
          <w:szCs w:val="21"/>
          <w:highlight w:val="none"/>
        </w:rPr>
      </w:pPr>
      <w:r>
        <w:rPr>
          <w:rFonts w:hint="eastAsia" w:ascii="仿宋" w:hAnsi="仿宋" w:eastAsia="仿宋" w:cs="仿宋"/>
          <w:color w:val="auto"/>
          <w:szCs w:val="21"/>
          <w:highlight w:val="none"/>
        </w:rPr>
        <w:t>（3）</w:t>
      </w:r>
      <w:r>
        <w:rPr>
          <w:rFonts w:hint="eastAsia" w:ascii="仿宋" w:hAnsi="仿宋" w:eastAsia="仿宋" w:cs="仿宋"/>
          <w:bCs/>
          <w:color w:val="auto"/>
          <w:szCs w:val="21"/>
          <w:highlight w:val="none"/>
        </w:rPr>
        <w:t>投标人应提供主要设备功能指标或技术性能、产品质量等保证内容，投标方必须保证其所提供设备的各项性能指标合格。</w:t>
      </w:r>
    </w:p>
    <w:p w14:paraId="3B62F905">
      <w:pPr>
        <w:pStyle w:val="114"/>
        <w:adjustRightInd w:val="0"/>
        <w:snapToGrid w:val="0"/>
        <w:spacing w:line="360" w:lineRule="auto"/>
        <w:ind w:firstLine="400" w:firstLineChars="200"/>
        <w:jc w:val="left"/>
        <w:rPr>
          <w:rFonts w:hint="eastAsia" w:ascii="仿宋" w:hAnsi="仿宋" w:eastAsia="仿宋" w:cs="仿宋"/>
          <w:bCs/>
          <w:color w:val="auto"/>
          <w:kern w:val="2"/>
          <w:sz w:val="21"/>
          <w:szCs w:val="21"/>
          <w:highlight w:val="none"/>
        </w:rPr>
      </w:pPr>
      <w:r>
        <w:rPr>
          <w:rFonts w:hint="eastAsia" w:ascii="仿宋" w:hAnsi="仿宋" w:eastAsia="仿宋" w:cs="仿宋"/>
          <w:color w:val="auto"/>
          <w:szCs w:val="21"/>
          <w:highlight w:val="none"/>
        </w:rPr>
        <w:t>（4）</w:t>
      </w:r>
      <w:r>
        <w:rPr>
          <w:rFonts w:hint="eastAsia" w:ascii="仿宋" w:hAnsi="仿宋" w:eastAsia="仿宋" w:cs="仿宋"/>
          <w:bCs/>
          <w:color w:val="auto"/>
          <w:kern w:val="2"/>
          <w:sz w:val="21"/>
          <w:szCs w:val="21"/>
          <w:highlight w:val="none"/>
        </w:rPr>
        <w:t>工程所需材料均须经建设单位认可后方可集中采购，所采购的材料要达到国内外优质材料的质量、环保、安全标准,并经现场监理工程师和招标人代表审核同意后方可使用。招标人对入场材料，根据需要进行抽样检查。凡不合格的材料和设备一律退回，由此引起的损失由承包方承担。</w:t>
      </w:r>
    </w:p>
    <w:p w14:paraId="7B433B85">
      <w:pPr>
        <w:pStyle w:val="114"/>
        <w:adjustRightInd w:val="0"/>
        <w:snapToGrid w:val="0"/>
        <w:spacing w:line="360" w:lineRule="auto"/>
        <w:ind w:firstLine="400" w:firstLineChars="200"/>
        <w:jc w:val="left"/>
        <w:rPr>
          <w:rFonts w:hint="eastAsia" w:ascii="仿宋" w:hAnsi="仿宋" w:eastAsia="仿宋" w:cs="仿宋"/>
          <w:bCs/>
          <w:color w:val="auto"/>
          <w:kern w:val="2"/>
          <w:sz w:val="21"/>
          <w:szCs w:val="21"/>
          <w:highlight w:val="none"/>
        </w:rPr>
      </w:pPr>
      <w:r>
        <w:rPr>
          <w:rFonts w:hint="eastAsia" w:ascii="仿宋" w:hAnsi="仿宋" w:eastAsia="仿宋" w:cs="仿宋"/>
          <w:color w:val="auto"/>
          <w:szCs w:val="21"/>
          <w:highlight w:val="none"/>
        </w:rPr>
        <w:t>（5）</w:t>
      </w:r>
      <w:r>
        <w:rPr>
          <w:rFonts w:hint="eastAsia" w:ascii="仿宋" w:hAnsi="仿宋" w:eastAsia="仿宋" w:cs="仿宋"/>
          <w:bCs/>
          <w:color w:val="auto"/>
          <w:kern w:val="2"/>
          <w:sz w:val="21"/>
          <w:szCs w:val="21"/>
          <w:highlight w:val="none"/>
        </w:rPr>
        <w:t>施工单位需要一个专职档案员在现场负责收集录像内容，会议纪要，施工资料，每周整理，需要上报的及时备案。</w:t>
      </w:r>
    </w:p>
    <w:p w14:paraId="6F85FDF2">
      <w:pPr>
        <w:pStyle w:val="114"/>
        <w:adjustRightInd w:val="0"/>
        <w:snapToGrid w:val="0"/>
        <w:spacing w:line="360" w:lineRule="auto"/>
        <w:ind w:firstLine="420" w:firstLineChars="200"/>
        <w:jc w:val="lef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（6）承包人在施工过程中，必须确保后台材料供应，如有条件，建议在现场建设水稳材料搅拌站。</w:t>
      </w:r>
    </w:p>
    <w:p w14:paraId="6AE6EDBB">
      <w:pPr>
        <w:pStyle w:val="114"/>
        <w:adjustRightInd w:val="0"/>
        <w:snapToGrid w:val="0"/>
        <w:spacing w:line="360" w:lineRule="auto"/>
        <w:ind w:firstLine="420" w:firstLineChars="200"/>
        <w:jc w:val="lef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（7）承包人在施工过程中，必须做好地下管线防护工作，如造成损毁，一切责任均由承包人自行承担。</w:t>
      </w:r>
    </w:p>
    <w:p w14:paraId="279AC016">
      <w:pPr>
        <w:widowControl/>
        <w:jc w:val="left"/>
        <w:rPr>
          <w:rFonts w:hint="eastAsia" w:ascii="仿宋" w:hAnsi="仿宋" w:eastAsia="仿宋" w:cs="仿宋"/>
          <w:color w:val="auto"/>
          <w:kern w:val="0"/>
          <w:sz w:val="24"/>
          <w:highlight w:val="none"/>
        </w:rPr>
      </w:pPr>
    </w:p>
    <w:p w14:paraId="0875E2E5">
      <w:pPr>
        <w:pStyle w:val="114"/>
        <w:adjustRightInd w:val="0"/>
        <w:snapToGrid w:val="0"/>
        <w:spacing w:line="360" w:lineRule="auto"/>
        <w:ind w:firstLine="420" w:firstLineChars="200"/>
        <w:jc w:val="left"/>
        <w:rPr>
          <w:rFonts w:hint="eastAsia" w:ascii="仿宋" w:hAnsi="仿宋" w:eastAsia="仿宋" w:cs="仿宋"/>
          <w:bCs/>
          <w:color w:val="auto"/>
          <w:kern w:val="2"/>
          <w:sz w:val="21"/>
          <w:szCs w:val="21"/>
          <w:highlight w:val="none"/>
        </w:rPr>
      </w:pPr>
    </w:p>
    <w:p w14:paraId="19B3ABBE">
      <w:pPr>
        <w:pStyle w:val="114"/>
        <w:spacing w:after="156" w:line="420" w:lineRule="exact"/>
        <w:jc w:val="left"/>
        <w:rPr>
          <w:rFonts w:hint="eastAsia" w:ascii="仿宋" w:hAnsi="仿宋" w:eastAsia="仿宋" w:cs="仿宋"/>
          <w:b/>
          <w:bCs/>
          <w:color w:val="auto"/>
          <w:kern w:val="2"/>
          <w:sz w:val="24"/>
          <w:highlight w:val="none"/>
        </w:rPr>
      </w:pPr>
      <w:r>
        <w:rPr>
          <w:rFonts w:hint="eastAsia" w:ascii="仿宋" w:hAnsi="仿宋" w:eastAsia="仿宋" w:cs="仿宋"/>
          <w:b/>
          <w:bCs/>
          <w:color w:val="auto"/>
          <w:kern w:val="2"/>
          <w:sz w:val="24"/>
          <w:highlight w:val="none"/>
        </w:rPr>
        <w:br w:type="page"/>
      </w:r>
    </w:p>
    <w:p w14:paraId="27CEEEFE">
      <w:pPr>
        <w:pStyle w:val="119"/>
        <w:jc w:val="left"/>
        <w:outlineLvl w:val="9"/>
        <w:rPr>
          <w:rFonts w:hint="eastAsia" w:ascii="仿宋" w:hAnsi="仿宋" w:eastAsia="仿宋" w:cs="仿宋"/>
          <w:b/>
          <w:bCs w:val="0"/>
          <w:color w:val="auto"/>
          <w:sz w:val="44"/>
          <w:szCs w:val="44"/>
          <w:highlight w:val="none"/>
        </w:rPr>
      </w:pPr>
      <w:bookmarkStart w:id="812" w:name="_Toc241459811"/>
      <w:bookmarkStart w:id="813" w:name="_Toc462646848"/>
      <w:bookmarkStart w:id="814" w:name="_Toc465772419"/>
      <w:bookmarkStart w:id="815" w:name="_Toc241484764"/>
      <w:bookmarkStart w:id="816" w:name="_Toc286239581"/>
      <w:bookmarkStart w:id="817" w:name="_Toc106998208"/>
      <w:bookmarkStart w:id="818" w:name="_Toc424651500"/>
      <w:bookmarkStart w:id="819" w:name="_Toc291521146"/>
      <w:r>
        <w:rPr>
          <w:rFonts w:hint="eastAsia" w:ascii="仿宋" w:hAnsi="仿宋" w:eastAsia="仿宋" w:cs="仿宋"/>
          <w:b/>
          <w:bCs w:val="0"/>
          <w:color w:val="auto"/>
          <w:sz w:val="44"/>
          <w:szCs w:val="44"/>
          <w:highlight w:val="none"/>
        </w:rPr>
        <w:t>第三节适用的国家、行业以及地方规范、标准和规程</w:t>
      </w:r>
      <w:bookmarkEnd w:id="812"/>
      <w:bookmarkEnd w:id="813"/>
      <w:bookmarkEnd w:id="814"/>
      <w:bookmarkEnd w:id="815"/>
      <w:bookmarkEnd w:id="816"/>
      <w:bookmarkEnd w:id="817"/>
      <w:bookmarkEnd w:id="818"/>
      <w:bookmarkEnd w:id="819"/>
    </w:p>
    <w:p w14:paraId="76DF85A8">
      <w:pPr>
        <w:pStyle w:val="114"/>
        <w:spacing w:after="156" w:line="300" w:lineRule="auto"/>
        <w:jc w:val="left"/>
        <w:rPr>
          <w:rFonts w:hint="eastAsia" w:ascii="仿宋" w:hAnsi="仿宋" w:eastAsia="仿宋" w:cs="仿宋"/>
          <w:color w:val="auto"/>
          <w:kern w:val="2"/>
          <w:sz w:val="21"/>
          <w:highlight w:val="none"/>
        </w:rPr>
      </w:pPr>
    </w:p>
    <w:p w14:paraId="33A77C87">
      <w:pPr>
        <w:pStyle w:val="114"/>
        <w:spacing w:after="156" w:line="300" w:lineRule="auto"/>
        <w:jc w:val="left"/>
        <w:rPr>
          <w:rFonts w:hint="eastAsia" w:ascii="仿宋" w:hAnsi="仿宋" w:eastAsia="仿宋" w:cs="仿宋"/>
          <w:color w:val="auto"/>
          <w:kern w:val="2"/>
          <w:sz w:val="21"/>
          <w:highlight w:val="none"/>
        </w:rPr>
      </w:pPr>
      <w:r>
        <w:rPr>
          <w:rFonts w:hint="eastAsia" w:ascii="仿宋" w:hAnsi="仿宋" w:eastAsia="仿宋" w:cs="仿宋"/>
          <w:color w:val="auto"/>
          <w:kern w:val="2"/>
          <w:sz w:val="21"/>
          <w:highlight w:val="none"/>
        </w:rPr>
        <w:t>说明：</w:t>
      </w:r>
    </w:p>
    <w:p w14:paraId="100529A6">
      <w:pPr>
        <w:pStyle w:val="114"/>
        <w:spacing w:after="156" w:line="300" w:lineRule="auto"/>
        <w:jc w:val="left"/>
        <w:rPr>
          <w:rFonts w:hint="eastAsia" w:ascii="仿宋" w:hAnsi="仿宋" w:eastAsia="仿宋" w:cs="仿宋"/>
          <w:color w:val="auto"/>
          <w:kern w:val="2"/>
          <w:sz w:val="21"/>
          <w:highlight w:val="none"/>
        </w:rPr>
      </w:pPr>
      <w:r>
        <w:rPr>
          <w:rFonts w:hint="eastAsia" w:ascii="仿宋" w:hAnsi="仿宋" w:eastAsia="仿宋" w:cs="仿宋"/>
          <w:color w:val="auto"/>
          <w:kern w:val="2"/>
          <w:sz w:val="21"/>
          <w:highlight w:val="none"/>
        </w:rPr>
        <w:t>1、本节内容只需列出规范、标准、规程等的名称、编号等内容。本节由招标人根据国家、行业和地方现行标准、规范和规程等，以及项目具体情况摘录。</w:t>
      </w:r>
    </w:p>
    <w:p w14:paraId="2834C3B1">
      <w:pPr>
        <w:pStyle w:val="114"/>
        <w:spacing w:after="156" w:line="300" w:lineRule="auto"/>
        <w:jc w:val="left"/>
        <w:rPr>
          <w:rFonts w:hint="eastAsia" w:ascii="仿宋" w:hAnsi="仿宋" w:eastAsia="仿宋" w:cs="仿宋"/>
          <w:color w:val="auto"/>
          <w:kern w:val="2"/>
          <w:sz w:val="21"/>
          <w:highlight w:val="none"/>
        </w:rPr>
      </w:pPr>
      <w:r>
        <w:rPr>
          <w:rFonts w:hint="eastAsia" w:ascii="仿宋" w:hAnsi="仿宋" w:eastAsia="仿宋" w:cs="仿宋"/>
          <w:color w:val="auto"/>
          <w:kern w:val="2"/>
          <w:sz w:val="21"/>
          <w:highlight w:val="none"/>
        </w:rPr>
        <w:t>2</w:t>
      </w:r>
      <w:r>
        <w:rPr>
          <w:rFonts w:hint="eastAsia" w:ascii="仿宋" w:hAnsi="仿宋" w:eastAsia="仿宋" w:cs="仿宋"/>
          <w:bCs/>
          <w:color w:val="auto"/>
          <w:kern w:val="2"/>
          <w:sz w:val="21"/>
          <w:highlight w:val="none"/>
        </w:rPr>
        <w:t>、</w:t>
      </w:r>
      <w:r>
        <w:rPr>
          <w:rFonts w:hint="eastAsia" w:ascii="仿宋" w:hAnsi="仿宋" w:eastAsia="仿宋" w:cs="仿宋"/>
          <w:color w:val="auto"/>
          <w:kern w:val="2"/>
          <w:sz w:val="21"/>
          <w:highlight w:val="none"/>
        </w:rPr>
        <w:t>上述规范、标准、规程，并未包括实施中所涉及到的所有规定、标准和规程。在施工中对于上述未尽事宜，按国家和地方现行的规定以及设计图纸要求执行。</w:t>
      </w:r>
    </w:p>
    <w:p w14:paraId="7A99A954">
      <w:pPr>
        <w:pStyle w:val="114"/>
        <w:spacing w:after="156" w:line="300" w:lineRule="auto"/>
        <w:jc w:val="left"/>
        <w:rPr>
          <w:rFonts w:hint="eastAsia" w:ascii="仿宋" w:hAnsi="仿宋" w:eastAsia="仿宋" w:cs="仿宋"/>
          <w:color w:val="auto"/>
          <w:kern w:val="2"/>
          <w:sz w:val="21"/>
          <w:highlight w:val="none"/>
        </w:rPr>
      </w:pPr>
      <w:r>
        <w:rPr>
          <w:rFonts w:hint="eastAsia" w:ascii="仿宋" w:hAnsi="仿宋" w:eastAsia="仿宋" w:cs="仿宋"/>
          <w:color w:val="auto"/>
          <w:kern w:val="2"/>
          <w:sz w:val="21"/>
          <w:highlight w:val="none"/>
        </w:rPr>
        <w:t>3、本招标文件所提出的技术标准及要求，主要由各相关的工程设计图纸、地质勘察资料和相应的国家标准、规范组成。</w:t>
      </w:r>
    </w:p>
    <w:p w14:paraId="503A970F">
      <w:pPr>
        <w:pStyle w:val="114"/>
        <w:spacing w:after="156" w:line="300" w:lineRule="auto"/>
        <w:jc w:val="left"/>
        <w:rPr>
          <w:rFonts w:hint="eastAsia" w:ascii="仿宋" w:hAnsi="仿宋" w:eastAsia="仿宋" w:cs="仿宋"/>
          <w:color w:val="auto"/>
          <w:kern w:val="2"/>
          <w:sz w:val="21"/>
          <w:highlight w:val="none"/>
        </w:rPr>
      </w:pPr>
      <w:r>
        <w:rPr>
          <w:rFonts w:hint="eastAsia" w:ascii="仿宋" w:hAnsi="仿宋" w:eastAsia="仿宋" w:cs="仿宋"/>
          <w:color w:val="auto"/>
          <w:kern w:val="2"/>
          <w:sz w:val="21"/>
          <w:highlight w:val="none"/>
        </w:rPr>
        <w:t>1）提请投标人仔细阅读招标文件的全部条文，对于招标文件中存在的任何含糊、遗漏、相互矛盾之处或是对于技术规格以及其它内容不清楚、认为存在歧视、限制的情况，投标人应在规定时间之前向招标人寻求书面澄清。</w:t>
      </w:r>
    </w:p>
    <w:p w14:paraId="229F7759">
      <w:pPr>
        <w:pStyle w:val="114"/>
        <w:spacing w:after="156" w:line="300" w:lineRule="auto"/>
        <w:jc w:val="left"/>
        <w:rPr>
          <w:rFonts w:hint="eastAsia" w:ascii="仿宋" w:hAnsi="仿宋" w:eastAsia="仿宋" w:cs="仿宋"/>
          <w:color w:val="auto"/>
          <w:kern w:val="2"/>
          <w:sz w:val="21"/>
          <w:highlight w:val="none"/>
        </w:rPr>
      </w:pPr>
      <w:r>
        <w:rPr>
          <w:rFonts w:hint="eastAsia" w:ascii="仿宋" w:hAnsi="仿宋" w:eastAsia="仿宋" w:cs="仿宋"/>
          <w:color w:val="auto"/>
          <w:kern w:val="2"/>
          <w:sz w:val="21"/>
          <w:highlight w:val="none"/>
        </w:rPr>
        <w:t>2 ）本技术及要求提供的是最低限度的技术要求，并未对一切技术细节做出规定，也未充分引述有关标准和规范的条文，投标人应保证提供符合本工程技术规格要求和有关国家标准、技术规范要求的合格工程。</w:t>
      </w:r>
    </w:p>
    <w:p w14:paraId="5359E5B0">
      <w:pPr>
        <w:pStyle w:val="120"/>
        <w:jc w:val="left"/>
        <w:rPr>
          <w:rFonts w:hint="eastAsia" w:ascii="仿宋" w:hAnsi="仿宋" w:eastAsia="仿宋" w:cs="仿宋"/>
          <w:color w:val="auto"/>
          <w:kern w:val="2"/>
          <w:sz w:val="21"/>
          <w:szCs w:val="22"/>
          <w:highlight w:val="none"/>
        </w:rPr>
      </w:pPr>
      <w:r>
        <w:rPr>
          <w:rFonts w:hint="eastAsia" w:ascii="仿宋" w:hAnsi="仿宋" w:eastAsia="仿宋" w:cs="仿宋"/>
          <w:color w:val="auto"/>
          <w:kern w:val="2"/>
          <w:sz w:val="21"/>
          <w:szCs w:val="22"/>
          <w:highlight w:val="none"/>
        </w:rPr>
        <w:t>3 ）本工程技术要求所使用的标准和规范如与投标人所执行的标准发生矛盾时，按较高标准执行。</w:t>
      </w:r>
    </w:p>
    <w:p w14:paraId="63F98B81">
      <w:pPr>
        <w:pStyle w:val="119"/>
        <w:jc w:val="left"/>
        <w:outlineLvl w:val="9"/>
        <w:rPr>
          <w:rFonts w:hint="eastAsia" w:ascii="仿宋" w:hAnsi="仿宋" w:eastAsia="仿宋" w:cs="仿宋"/>
          <w:b/>
          <w:color w:val="auto"/>
          <w:sz w:val="44"/>
          <w:szCs w:val="44"/>
          <w:highlight w:val="none"/>
        </w:rPr>
      </w:pPr>
      <w:r>
        <w:rPr>
          <w:rFonts w:hint="eastAsia" w:ascii="仿宋" w:hAnsi="仿宋" w:eastAsia="仿宋" w:cs="仿宋"/>
          <w:color w:val="auto"/>
          <w:kern w:val="2"/>
          <w:sz w:val="21"/>
          <w:szCs w:val="22"/>
          <w:highlight w:val="none"/>
        </w:rPr>
        <w:br w:type="page"/>
      </w:r>
      <w:r>
        <w:rPr>
          <w:rFonts w:hint="eastAsia" w:ascii="仿宋" w:hAnsi="仿宋" w:eastAsia="仿宋" w:cs="仿宋"/>
          <w:b/>
          <w:bCs w:val="0"/>
          <w:color w:val="auto"/>
          <w:sz w:val="44"/>
          <w:szCs w:val="44"/>
          <w:highlight w:val="none"/>
        </w:rPr>
        <w:t>第四节设备安装技术要求</w:t>
      </w:r>
    </w:p>
    <w:p w14:paraId="48C18F39">
      <w:pPr>
        <w:pStyle w:val="120"/>
        <w:jc w:val="left"/>
        <w:rPr>
          <w:rFonts w:hint="eastAsia" w:ascii="仿宋" w:hAnsi="仿宋" w:eastAsia="仿宋" w:cs="仿宋"/>
          <w:color w:val="auto"/>
          <w:kern w:val="2"/>
          <w:sz w:val="21"/>
          <w:szCs w:val="22"/>
          <w:highlight w:val="none"/>
        </w:rPr>
      </w:pPr>
    </w:p>
    <w:p w14:paraId="0116B9A0">
      <w:pPr>
        <w:pStyle w:val="3"/>
        <w:rPr>
          <w:color w:val="auto"/>
          <w:highlight w:val="none"/>
        </w:rPr>
      </w:pPr>
      <w:bookmarkStart w:id="820" w:name="_Toc191280712"/>
      <w:r>
        <w:rPr>
          <w:rFonts w:hint="eastAsia"/>
          <w:color w:val="auto"/>
          <w:highlight w:val="none"/>
          <w:lang w:val="en-US" w:eastAsia="zh-CN"/>
        </w:rPr>
        <w:t>一、</w:t>
      </w:r>
      <w:r>
        <w:rPr>
          <w:rFonts w:hint="eastAsia"/>
          <w:color w:val="auto"/>
          <w:highlight w:val="none"/>
          <w:lang w:eastAsia="zh-CN"/>
        </w:rPr>
        <w:t>总体</w:t>
      </w:r>
      <w:r>
        <w:rPr>
          <w:color w:val="auto"/>
          <w:highlight w:val="none"/>
        </w:rPr>
        <w:t>技术要求</w:t>
      </w:r>
      <w:bookmarkEnd w:id="820"/>
    </w:p>
    <w:p w14:paraId="6DCCC6D3">
      <w:pPr>
        <w:pStyle w:val="4"/>
        <w:tabs>
          <w:tab w:val="left" w:pos="0"/>
        </w:tabs>
        <w:jc w:val="both"/>
        <w:rPr>
          <w:color w:val="auto"/>
          <w:highlight w:val="none"/>
        </w:rPr>
      </w:pPr>
      <w:bookmarkStart w:id="821" w:name="_Toc191280713"/>
      <w:r>
        <w:rPr>
          <w:rFonts w:hint="eastAsia"/>
          <w:color w:val="auto"/>
          <w:highlight w:val="none"/>
          <w:lang w:val="en-US" w:eastAsia="zh-CN"/>
        </w:rPr>
        <w:t>1.1</w:t>
      </w:r>
      <w:r>
        <w:rPr>
          <w:rFonts w:hint="eastAsia"/>
          <w:color w:val="auto"/>
          <w:highlight w:val="none"/>
          <w:lang w:eastAsia="zh-CN"/>
        </w:rPr>
        <w:t>项目概况</w:t>
      </w:r>
      <w:bookmarkEnd w:id="821"/>
    </w:p>
    <w:p w14:paraId="6EFB77F8">
      <w:pPr>
        <w:ind w:firstLine="480"/>
        <w:rPr>
          <w:color w:val="auto"/>
          <w:highlight w:val="none"/>
          <w:lang w:eastAsia="zh-CN"/>
        </w:rPr>
      </w:pPr>
      <w:r>
        <w:rPr>
          <w:rFonts w:hint="eastAsia"/>
          <w:color w:val="auto"/>
          <w:highlight w:val="none"/>
          <w:lang w:eastAsia="zh-CN"/>
        </w:rPr>
        <w:t>营口市老边区污水处理厂，位于辽宁省营口市。</w:t>
      </w:r>
      <w:r>
        <w:rPr>
          <w:color w:val="auto"/>
          <w:highlight w:val="none"/>
          <w:lang w:eastAsia="zh-CN"/>
        </w:rPr>
        <w:t>设计规模</w:t>
      </w:r>
      <w:r>
        <w:rPr>
          <w:rFonts w:hint="eastAsia"/>
          <w:color w:val="auto"/>
          <w:highlight w:val="none"/>
          <w:lang w:eastAsia="zh-CN"/>
        </w:rPr>
        <w:t>0.</w:t>
      </w:r>
      <w:r>
        <w:rPr>
          <w:color w:val="auto"/>
          <w:highlight w:val="none"/>
          <w:lang w:eastAsia="zh-CN"/>
        </w:rPr>
        <w:t>8万m³/d，</w:t>
      </w:r>
      <w:r>
        <w:rPr>
          <w:rFonts w:hint="eastAsia"/>
          <w:color w:val="auto"/>
          <w:highlight w:val="none"/>
          <w:lang w:eastAsia="zh-CN"/>
        </w:rPr>
        <w:t>变化系数Kz=1.</w:t>
      </w:r>
      <w:r>
        <w:rPr>
          <w:color w:val="auto"/>
          <w:highlight w:val="none"/>
          <w:lang w:eastAsia="zh-CN"/>
        </w:rPr>
        <w:t>1</w:t>
      </w:r>
      <w:r>
        <w:rPr>
          <w:rFonts w:hint="eastAsia"/>
          <w:color w:val="auto"/>
          <w:highlight w:val="none"/>
          <w:lang w:eastAsia="zh-CN"/>
        </w:rPr>
        <w:t>5</w:t>
      </w:r>
      <w:r>
        <w:rPr>
          <w:color w:val="auto"/>
          <w:highlight w:val="none"/>
          <w:lang w:eastAsia="zh-CN"/>
        </w:rPr>
        <w:t>。</w:t>
      </w:r>
    </w:p>
    <w:p w14:paraId="28828E3B">
      <w:pPr>
        <w:ind w:firstLine="480"/>
        <w:rPr>
          <w:color w:val="auto"/>
          <w:highlight w:val="none"/>
          <w:lang w:eastAsia="zh-CN"/>
        </w:rPr>
      </w:pPr>
      <w:r>
        <w:rPr>
          <w:rFonts w:hint="eastAsia"/>
          <w:color w:val="auto"/>
          <w:highlight w:val="none"/>
          <w:lang w:eastAsia="zh-CN"/>
        </w:rPr>
        <w:t>经过企业预处理后的污水，进入本项目后，工艺流程为“</w:t>
      </w:r>
      <w:r>
        <w:rPr>
          <w:rFonts w:hint="eastAsia"/>
          <w:b/>
          <w:bCs/>
          <w:color w:val="auto"/>
          <w:highlight w:val="none"/>
          <w:lang w:eastAsia="zh-CN"/>
        </w:rPr>
        <w:t>进水→调节池→除氟/除硬沉淀池</w:t>
      </w:r>
      <w:r>
        <w:rPr>
          <w:b/>
          <w:bCs/>
          <w:color w:val="auto"/>
          <w:highlight w:val="none"/>
          <w:lang w:eastAsia="zh-CN"/>
        </w:rPr>
        <w:t>→</w:t>
      </w:r>
      <w:r>
        <w:rPr>
          <w:rFonts w:hint="eastAsia"/>
          <w:b/>
          <w:bCs/>
          <w:color w:val="auto"/>
          <w:highlight w:val="none"/>
          <w:lang w:eastAsia="zh-CN"/>
        </w:rPr>
        <w:t>二次提升泵</w:t>
      </w:r>
      <w:r>
        <w:rPr>
          <w:b/>
          <w:bCs/>
          <w:color w:val="auto"/>
          <w:highlight w:val="none"/>
          <w:lang w:eastAsia="zh-CN"/>
        </w:rPr>
        <w:t>→</w:t>
      </w:r>
      <w:r>
        <w:rPr>
          <w:rFonts w:hint="eastAsia"/>
          <w:b/>
          <w:bCs/>
          <w:color w:val="auto"/>
          <w:highlight w:val="none"/>
          <w:lang w:eastAsia="zh-CN"/>
        </w:rPr>
        <w:t>改良SBR一体化设备</w:t>
      </w:r>
      <w:r>
        <w:rPr>
          <w:b/>
          <w:bCs/>
          <w:color w:val="auto"/>
          <w:highlight w:val="none"/>
          <w:lang w:eastAsia="zh-CN"/>
        </w:rPr>
        <w:t>→</w:t>
      </w:r>
      <w:r>
        <w:rPr>
          <w:rFonts w:hint="eastAsia"/>
          <w:b/>
          <w:bCs/>
          <w:color w:val="auto"/>
          <w:highlight w:val="none"/>
          <w:lang w:eastAsia="zh-CN"/>
        </w:rPr>
        <w:t>活性炭-后除氟沉淀池</w:t>
      </w:r>
      <w:r>
        <w:rPr>
          <w:b/>
          <w:bCs/>
          <w:color w:val="auto"/>
          <w:highlight w:val="none"/>
          <w:lang w:eastAsia="zh-CN"/>
        </w:rPr>
        <w:t>→</w:t>
      </w:r>
      <w:r>
        <w:rPr>
          <w:rFonts w:hint="eastAsia"/>
          <w:b/>
          <w:bCs/>
          <w:color w:val="auto"/>
          <w:highlight w:val="none"/>
          <w:lang w:eastAsia="zh-CN"/>
        </w:rPr>
        <w:t>臭氧接触氧化池</w:t>
      </w:r>
      <w:r>
        <w:rPr>
          <w:b/>
          <w:bCs/>
          <w:color w:val="auto"/>
          <w:highlight w:val="none"/>
          <w:lang w:eastAsia="zh-CN"/>
        </w:rPr>
        <w:t>→</w:t>
      </w:r>
      <w:r>
        <w:rPr>
          <w:rFonts w:hint="eastAsia"/>
          <w:b/>
          <w:bCs/>
          <w:color w:val="auto"/>
          <w:highlight w:val="none"/>
          <w:lang w:eastAsia="zh-CN"/>
        </w:rPr>
        <w:t>接触消毒池及巴氏计量槽</w:t>
      </w:r>
      <w:r>
        <w:rPr>
          <w:b/>
          <w:bCs/>
          <w:color w:val="auto"/>
          <w:highlight w:val="none"/>
          <w:lang w:eastAsia="zh-CN"/>
        </w:rPr>
        <w:t>→</w:t>
      </w:r>
      <w:r>
        <w:rPr>
          <w:rFonts w:hint="eastAsia"/>
          <w:b/>
          <w:bCs/>
          <w:color w:val="auto"/>
          <w:highlight w:val="none"/>
          <w:lang w:eastAsia="zh-CN"/>
        </w:rPr>
        <w:t>出水</w:t>
      </w:r>
      <w:r>
        <w:rPr>
          <w:rFonts w:hint="eastAsia"/>
          <w:color w:val="auto"/>
          <w:highlight w:val="none"/>
          <w:lang w:eastAsia="zh-CN"/>
        </w:rPr>
        <w:t>”</w:t>
      </w:r>
      <w:r>
        <w:rPr>
          <w:color w:val="auto"/>
          <w:highlight w:val="none"/>
          <w:lang w:eastAsia="zh-CN"/>
        </w:rPr>
        <w:t>。</w:t>
      </w:r>
    </w:p>
    <w:p w14:paraId="09B2462E">
      <w:pPr>
        <w:ind w:firstLine="480"/>
        <w:rPr>
          <w:color w:val="auto"/>
          <w:highlight w:val="none"/>
          <w:lang w:eastAsia="zh-CN"/>
        </w:rPr>
      </w:pPr>
      <w:r>
        <w:rPr>
          <w:rFonts w:hint="eastAsia"/>
          <w:color w:val="auto"/>
          <w:highlight w:val="none"/>
          <w:lang w:eastAsia="zh-CN"/>
        </w:rPr>
        <w:t>具体设计进出水水质参数如下表所示。</w:t>
      </w:r>
    </w:p>
    <w:p w14:paraId="24440C5D">
      <w:pPr>
        <w:ind w:firstLine="482"/>
        <w:jc w:val="center"/>
        <w:rPr>
          <w:b/>
          <w:bCs/>
          <w:color w:val="auto"/>
          <w:highlight w:val="none"/>
        </w:rPr>
      </w:pPr>
      <w:r>
        <w:rPr>
          <w:b/>
          <w:bCs/>
          <w:color w:val="auto"/>
          <w:highlight w:val="none"/>
        </w:rPr>
        <w:t>设计</w:t>
      </w:r>
      <w:r>
        <w:rPr>
          <w:rFonts w:hint="eastAsia"/>
          <w:b/>
          <w:bCs/>
          <w:color w:val="auto"/>
          <w:highlight w:val="none"/>
        </w:rPr>
        <w:t>进</w:t>
      </w:r>
      <w:r>
        <w:rPr>
          <w:b/>
          <w:bCs/>
          <w:color w:val="auto"/>
          <w:highlight w:val="none"/>
        </w:rPr>
        <w:t>出水水质表</w:t>
      </w:r>
    </w:p>
    <w:tbl>
      <w:tblPr>
        <w:tblStyle w:val="40"/>
        <w:tblW w:w="90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07"/>
        <w:gridCol w:w="991"/>
        <w:gridCol w:w="995"/>
        <w:gridCol w:w="991"/>
        <w:gridCol w:w="991"/>
        <w:gridCol w:w="786"/>
        <w:gridCol w:w="772"/>
        <w:gridCol w:w="1127"/>
      </w:tblGrid>
      <w:tr w14:paraId="1F043C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2407" w:type="dxa"/>
            <w:noWrap/>
            <w:vAlign w:val="center"/>
          </w:tcPr>
          <w:p w14:paraId="3375F71E">
            <w:pPr>
              <w:ind w:firstLine="0" w:firstLineChars="0"/>
              <w:rPr>
                <w:color w:val="auto"/>
                <w:highlight w:val="none"/>
              </w:rPr>
            </w:pPr>
            <w:r>
              <w:rPr>
                <w:rFonts w:hint="eastAsia"/>
                <w:color w:val="auto"/>
                <w:highlight w:val="none"/>
              </w:rPr>
              <w:t>项目指标</w:t>
            </w:r>
          </w:p>
        </w:tc>
        <w:tc>
          <w:tcPr>
            <w:tcW w:w="991" w:type="dxa"/>
            <w:noWrap/>
            <w:vAlign w:val="center"/>
          </w:tcPr>
          <w:p w14:paraId="2F6E34F6">
            <w:pPr>
              <w:ind w:firstLine="0" w:firstLineChars="0"/>
              <w:jc w:val="center"/>
              <w:rPr>
                <w:color w:val="auto"/>
                <w:highlight w:val="none"/>
              </w:rPr>
            </w:pPr>
            <w:r>
              <w:rPr>
                <w:rFonts w:hint="eastAsia"/>
                <w:color w:val="auto"/>
                <w:highlight w:val="none"/>
              </w:rPr>
              <w:t>CODcr</w:t>
            </w:r>
          </w:p>
        </w:tc>
        <w:tc>
          <w:tcPr>
            <w:tcW w:w="995" w:type="dxa"/>
            <w:noWrap/>
            <w:vAlign w:val="center"/>
          </w:tcPr>
          <w:p w14:paraId="2A0549E4">
            <w:pPr>
              <w:ind w:firstLine="0" w:firstLineChars="0"/>
              <w:jc w:val="center"/>
              <w:rPr>
                <w:color w:val="auto"/>
                <w:highlight w:val="none"/>
              </w:rPr>
            </w:pPr>
            <w:r>
              <w:rPr>
                <w:rFonts w:hint="eastAsia"/>
                <w:color w:val="auto"/>
                <w:highlight w:val="none"/>
              </w:rPr>
              <w:t>BOD</w:t>
            </w:r>
            <w:r>
              <w:rPr>
                <w:rFonts w:hint="eastAsia"/>
                <w:color w:val="auto"/>
                <w:highlight w:val="none"/>
                <w:vertAlign w:val="subscript"/>
              </w:rPr>
              <w:t>5</w:t>
            </w:r>
          </w:p>
        </w:tc>
        <w:tc>
          <w:tcPr>
            <w:tcW w:w="991" w:type="dxa"/>
            <w:noWrap/>
            <w:vAlign w:val="center"/>
          </w:tcPr>
          <w:p w14:paraId="5AED8A36">
            <w:pPr>
              <w:ind w:firstLine="0" w:firstLineChars="0"/>
              <w:jc w:val="center"/>
              <w:rPr>
                <w:color w:val="auto"/>
                <w:highlight w:val="none"/>
              </w:rPr>
            </w:pPr>
            <w:r>
              <w:rPr>
                <w:rFonts w:hint="eastAsia"/>
                <w:color w:val="auto"/>
                <w:highlight w:val="none"/>
              </w:rPr>
              <w:t>SS</w:t>
            </w:r>
          </w:p>
        </w:tc>
        <w:tc>
          <w:tcPr>
            <w:tcW w:w="991" w:type="dxa"/>
            <w:noWrap/>
            <w:vAlign w:val="center"/>
          </w:tcPr>
          <w:p w14:paraId="2767C77F">
            <w:pPr>
              <w:ind w:firstLine="0" w:firstLineChars="0"/>
              <w:jc w:val="center"/>
              <w:rPr>
                <w:color w:val="auto"/>
                <w:highlight w:val="none"/>
              </w:rPr>
            </w:pPr>
            <w:r>
              <w:rPr>
                <w:rFonts w:hint="eastAsia"/>
                <w:color w:val="auto"/>
                <w:highlight w:val="none"/>
              </w:rPr>
              <w:t>NH</w:t>
            </w:r>
            <w:r>
              <w:rPr>
                <w:rFonts w:hint="eastAsia"/>
                <w:color w:val="auto"/>
                <w:highlight w:val="none"/>
                <w:vertAlign w:val="subscript"/>
              </w:rPr>
              <w:t>3</w:t>
            </w:r>
            <w:r>
              <w:rPr>
                <w:rFonts w:hint="eastAsia"/>
                <w:color w:val="auto"/>
                <w:highlight w:val="none"/>
              </w:rPr>
              <w:t>-N</w:t>
            </w:r>
          </w:p>
        </w:tc>
        <w:tc>
          <w:tcPr>
            <w:tcW w:w="786" w:type="dxa"/>
            <w:noWrap/>
            <w:vAlign w:val="center"/>
          </w:tcPr>
          <w:p w14:paraId="25E210FE">
            <w:pPr>
              <w:ind w:firstLine="0" w:firstLineChars="0"/>
              <w:jc w:val="center"/>
              <w:rPr>
                <w:color w:val="auto"/>
                <w:highlight w:val="none"/>
              </w:rPr>
            </w:pPr>
            <w:r>
              <w:rPr>
                <w:rFonts w:hint="eastAsia"/>
                <w:color w:val="auto"/>
                <w:highlight w:val="none"/>
              </w:rPr>
              <w:t>TN</w:t>
            </w:r>
          </w:p>
        </w:tc>
        <w:tc>
          <w:tcPr>
            <w:tcW w:w="772" w:type="dxa"/>
            <w:noWrap/>
            <w:vAlign w:val="center"/>
          </w:tcPr>
          <w:p w14:paraId="74CDF8B9">
            <w:pPr>
              <w:ind w:firstLine="0" w:firstLineChars="0"/>
              <w:jc w:val="center"/>
              <w:rPr>
                <w:color w:val="auto"/>
                <w:highlight w:val="none"/>
              </w:rPr>
            </w:pPr>
            <w:r>
              <w:rPr>
                <w:rFonts w:hint="eastAsia"/>
                <w:color w:val="auto"/>
                <w:highlight w:val="none"/>
              </w:rPr>
              <w:t>TP</w:t>
            </w:r>
          </w:p>
        </w:tc>
        <w:tc>
          <w:tcPr>
            <w:tcW w:w="1127" w:type="dxa"/>
          </w:tcPr>
          <w:p w14:paraId="6A597078">
            <w:pPr>
              <w:ind w:firstLine="0" w:firstLineChars="0"/>
              <w:jc w:val="center"/>
              <w:rPr>
                <w:color w:val="auto"/>
                <w:highlight w:val="none"/>
              </w:rPr>
            </w:pPr>
            <w:r>
              <w:rPr>
                <w:rFonts w:hint="eastAsia"/>
                <w:color w:val="auto"/>
                <w:highlight w:val="none"/>
              </w:rPr>
              <w:t>氟化物</w:t>
            </w:r>
          </w:p>
        </w:tc>
      </w:tr>
      <w:tr w14:paraId="1BD097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2407" w:type="dxa"/>
            <w:noWrap/>
            <w:vAlign w:val="center"/>
          </w:tcPr>
          <w:p w14:paraId="3D82DA3B">
            <w:pPr>
              <w:ind w:firstLine="0" w:firstLineChars="0"/>
              <w:rPr>
                <w:color w:val="auto"/>
                <w:highlight w:val="none"/>
                <w:lang w:eastAsia="zh-CN"/>
              </w:rPr>
            </w:pPr>
            <w:r>
              <w:rPr>
                <w:rFonts w:hint="eastAsia"/>
                <w:color w:val="auto"/>
                <w:highlight w:val="none"/>
                <w:lang w:eastAsia="zh-CN"/>
              </w:rPr>
              <w:t>设计进水水质（</w:t>
            </w:r>
            <w:r>
              <w:rPr>
                <w:color w:val="auto"/>
                <w:highlight w:val="none"/>
                <w:lang w:eastAsia="zh-CN"/>
              </w:rPr>
              <w:t>mg/L</w:t>
            </w:r>
            <w:r>
              <w:rPr>
                <w:rFonts w:hint="eastAsia"/>
                <w:color w:val="auto"/>
                <w:highlight w:val="none"/>
                <w:lang w:eastAsia="zh-CN"/>
              </w:rPr>
              <w:t>）</w:t>
            </w:r>
          </w:p>
        </w:tc>
        <w:tc>
          <w:tcPr>
            <w:tcW w:w="991" w:type="dxa"/>
            <w:noWrap/>
            <w:vAlign w:val="center"/>
          </w:tcPr>
          <w:p w14:paraId="34294C0B">
            <w:pPr>
              <w:ind w:firstLine="0" w:firstLineChars="0"/>
              <w:jc w:val="center"/>
              <w:rPr>
                <w:color w:val="auto"/>
                <w:highlight w:val="none"/>
              </w:rPr>
            </w:pPr>
            <w:r>
              <w:rPr>
                <w:color w:val="auto"/>
                <w:highlight w:val="none"/>
              </w:rPr>
              <w:t>60</w:t>
            </w:r>
          </w:p>
        </w:tc>
        <w:tc>
          <w:tcPr>
            <w:tcW w:w="995" w:type="dxa"/>
            <w:noWrap/>
            <w:vAlign w:val="center"/>
          </w:tcPr>
          <w:p w14:paraId="1D912A3D">
            <w:pPr>
              <w:ind w:firstLine="0" w:firstLineChars="0"/>
              <w:jc w:val="center"/>
              <w:rPr>
                <w:color w:val="auto"/>
                <w:highlight w:val="none"/>
              </w:rPr>
            </w:pPr>
            <w:r>
              <w:rPr>
                <w:color w:val="auto"/>
                <w:highlight w:val="none"/>
              </w:rPr>
              <w:t>10</w:t>
            </w:r>
          </w:p>
        </w:tc>
        <w:tc>
          <w:tcPr>
            <w:tcW w:w="991" w:type="dxa"/>
            <w:noWrap/>
            <w:vAlign w:val="center"/>
          </w:tcPr>
          <w:p w14:paraId="1DDFA4C2">
            <w:pPr>
              <w:ind w:firstLine="0" w:firstLineChars="0"/>
              <w:jc w:val="center"/>
              <w:rPr>
                <w:color w:val="auto"/>
                <w:highlight w:val="none"/>
              </w:rPr>
            </w:pPr>
            <w:r>
              <w:rPr>
                <w:color w:val="auto"/>
                <w:highlight w:val="none"/>
              </w:rPr>
              <w:t>1</w:t>
            </w:r>
            <w:r>
              <w:rPr>
                <w:rFonts w:hint="eastAsia"/>
                <w:color w:val="auto"/>
                <w:highlight w:val="none"/>
              </w:rPr>
              <w:t>00</w:t>
            </w:r>
          </w:p>
        </w:tc>
        <w:tc>
          <w:tcPr>
            <w:tcW w:w="991" w:type="dxa"/>
            <w:noWrap/>
            <w:vAlign w:val="center"/>
          </w:tcPr>
          <w:p w14:paraId="5842768B">
            <w:pPr>
              <w:ind w:firstLine="0" w:firstLineChars="0"/>
              <w:jc w:val="center"/>
              <w:rPr>
                <w:color w:val="auto"/>
                <w:highlight w:val="none"/>
              </w:rPr>
            </w:pPr>
            <w:r>
              <w:rPr>
                <w:rFonts w:hint="eastAsia"/>
                <w:color w:val="auto"/>
                <w:highlight w:val="none"/>
                <w:lang w:eastAsia="zh-CN"/>
              </w:rPr>
              <w:t>1</w:t>
            </w:r>
            <w:r>
              <w:rPr>
                <w:color w:val="auto"/>
                <w:highlight w:val="none"/>
              </w:rPr>
              <w:t>5</w:t>
            </w:r>
          </w:p>
        </w:tc>
        <w:tc>
          <w:tcPr>
            <w:tcW w:w="786" w:type="dxa"/>
            <w:noWrap/>
            <w:vAlign w:val="center"/>
          </w:tcPr>
          <w:p w14:paraId="6CF72E82">
            <w:pPr>
              <w:ind w:firstLine="0" w:firstLineChars="0"/>
              <w:jc w:val="center"/>
              <w:rPr>
                <w:color w:val="auto"/>
                <w:highlight w:val="none"/>
              </w:rPr>
            </w:pPr>
            <w:r>
              <w:rPr>
                <w:rFonts w:hint="eastAsia"/>
                <w:color w:val="auto"/>
                <w:highlight w:val="none"/>
                <w:lang w:eastAsia="zh-CN"/>
              </w:rPr>
              <w:t>3</w:t>
            </w:r>
            <w:r>
              <w:rPr>
                <w:color w:val="auto"/>
                <w:highlight w:val="none"/>
              </w:rPr>
              <w:t>5</w:t>
            </w:r>
          </w:p>
        </w:tc>
        <w:tc>
          <w:tcPr>
            <w:tcW w:w="772" w:type="dxa"/>
            <w:noWrap/>
            <w:vAlign w:val="center"/>
          </w:tcPr>
          <w:p w14:paraId="29B4BCFF">
            <w:pPr>
              <w:ind w:firstLine="0" w:firstLineChars="0"/>
              <w:jc w:val="center"/>
              <w:rPr>
                <w:color w:val="auto"/>
                <w:highlight w:val="none"/>
              </w:rPr>
            </w:pPr>
            <w:r>
              <w:rPr>
                <w:color w:val="auto"/>
                <w:highlight w:val="none"/>
              </w:rPr>
              <w:t>0.5</w:t>
            </w:r>
          </w:p>
        </w:tc>
        <w:tc>
          <w:tcPr>
            <w:tcW w:w="1127" w:type="dxa"/>
          </w:tcPr>
          <w:p w14:paraId="459108C0">
            <w:pPr>
              <w:ind w:firstLine="0" w:firstLineChars="0"/>
              <w:jc w:val="center"/>
              <w:rPr>
                <w:color w:val="auto"/>
                <w:highlight w:val="none"/>
              </w:rPr>
            </w:pPr>
            <w:r>
              <w:rPr>
                <w:color w:val="auto"/>
                <w:highlight w:val="none"/>
              </w:rPr>
              <w:t>15</w:t>
            </w:r>
          </w:p>
        </w:tc>
      </w:tr>
      <w:tr w14:paraId="5C8A2A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2407" w:type="dxa"/>
            <w:noWrap/>
            <w:vAlign w:val="center"/>
          </w:tcPr>
          <w:p w14:paraId="48BB42BE">
            <w:pPr>
              <w:ind w:firstLine="0" w:firstLineChars="0"/>
              <w:rPr>
                <w:color w:val="auto"/>
                <w:highlight w:val="none"/>
                <w:lang w:eastAsia="zh-CN"/>
              </w:rPr>
            </w:pPr>
            <w:r>
              <w:rPr>
                <w:rFonts w:hint="eastAsia"/>
                <w:color w:val="auto"/>
                <w:highlight w:val="none"/>
                <w:lang w:eastAsia="zh-CN"/>
              </w:rPr>
              <w:t>设计出水水质（</w:t>
            </w:r>
            <w:r>
              <w:rPr>
                <w:color w:val="auto"/>
                <w:highlight w:val="none"/>
                <w:lang w:eastAsia="zh-CN"/>
              </w:rPr>
              <w:t>mg/L</w:t>
            </w:r>
            <w:r>
              <w:rPr>
                <w:rFonts w:hint="eastAsia"/>
                <w:color w:val="auto"/>
                <w:highlight w:val="none"/>
                <w:lang w:eastAsia="zh-CN"/>
              </w:rPr>
              <w:t>）</w:t>
            </w:r>
          </w:p>
        </w:tc>
        <w:tc>
          <w:tcPr>
            <w:tcW w:w="991" w:type="dxa"/>
            <w:noWrap/>
            <w:vAlign w:val="center"/>
          </w:tcPr>
          <w:p w14:paraId="1B5E50B8">
            <w:pPr>
              <w:ind w:firstLine="0" w:firstLineChars="0"/>
              <w:jc w:val="center"/>
              <w:rPr>
                <w:color w:val="auto"/>
                <w:highlight w:val="none"/>
              </w:rPr>
            </w:pPr>
            <w:r>
              <w:rPr>
                <w:rFonts w:hint="eastAsia"/>
                <w:color w:val="auto"/>
                <w:highlight w:val="none"/>
              </w:rPr>
              <w:t>50</w:t>
            </w:r>
          </w:p>
        </w:tc>
        <w:tc>
          <w:tcPr>
            <w:tcW w:w="995" w:type="dxa"/>
            <w:noWrap/>
            <w:vAlign w:val="center"/>
          </w:tcPr>
          <w:p w14:paraId="2B758E0F">
            <w:pPr>
              <w:ind w:firstLine="0" w:firstLineChars="0"/>
              <w:jc w:val="center"/>
              <w:rPr>
                <w:color w:val="auto"/>
                <w:highlight w:val="none"/>
              </w:rPr>
            </w:pPr>
            <w:r>
              <w:rPr>
                <w:rFonts w:hint="eastAsia"/>
                <w:color w:val="auto"/>
                <w:highlight w:val="none"/>
              </w:rPr>
              <w:t>10</w:t>
            </w:r>
          </w:p>
        </w:tc>
        <w:tc>
          <w:tcPr>
            <w:tcW w:w="991" w:type="dxa"/>
            <w:noWrap/>
            <w:vAlign w:val="center"/>
          </w:tcPr>
          <w:p w14:paraId="40F8C7E7">
            <w:pPr>
              <w:ind w:firstLine="0" w:firstLineChars="0"/>
              <w:jc w:val="center"/>
              <w:rPr>
                <w:color w:val="auto"/>
                <w:highlight w:val="none"/>
              </w:rPr>
            </w:pPr>
            <w:r>
              <w:rPr>
                <w:rFonts w:hint="eastAsia"/>
                <w:color w:val="auto"/>
                <w:highlight w:val="none"/>
              </w:rPr>
              <w:t>10</w:t>
            </w:r>
          </w:p>
        </w:tc>
        <w:tc>
          <w:tcPr>
            <w:tcW w:w="991" w:type="dxa"/>
            <w:noWrap/>
            <w:vAlign w:val="center"/>
          </w:tcPr>
          <w:p w14:paraId="0C7783A6">
            <w:pPr>
              <w:ind w:firstLine="0" w:firstLineChars="0"/>
              <w:jc w:val="center"/>
              <w:rPr>
                <w:color w:val="auto"/>
                <w:highlight w:val="none"/>
              </w:rPr>
            </w:pPr>
            <w:r>
              <w:rPr>
                <w:rFonts w:hint="eastAsia"/>
                <w:color w:val="auto"/>
                <w:highlight w:val="none"/>
              </w:rPr>
              <w:t>5（</w:t>
            </w:r>
            <w:r>
              <w:rPr>
                <w:rFonts w:hint="eastAsia"/>
                <w:color w:val="auto"/>
                <w:highlight w:val="none"/>
                <w:lang w:eastAsia="zh-CN"/>
              </w:rPr>
              <w:t>8</w:t>
            </w:r>
            <w:r>
              <w:rPr>
                <w:rFonts w:hint="eastAsia"/>
                <w:color w:val="auto"/>
                <w:highlight w:val="none"/>
              </w:rPr>
              <w:t>）</w:t>
            </w:r>
          </w:p>
        </w:tc>
        <w:tc>
          <w:tcPr>
            <w:tcW w:w="786" w:type="dxa"/>
            <w:noWrap/>
            <w:vAlign w:val="center"/>
          </w:tcPr>
          <w:p w14:paraId="59B504E7">
            <w:pPr>
              <w:ind w:firstLine="0" w:firstLineChars="0"/>
              <w:jc w:val="center"/>
              <w:rPr>
                <w:color w:val="auto"/>
                <w:highlight w:val="none"/>
              </w:rPr>
            </w:pPr>
            <w:r>
              <w:rPr>
                <w:rFonts w:hint="eastAsia"/>
                <w:color w:val="auto"/>
                <w:highlight w:val="none"/>
              </w:rPr>
              <w:t>15</w:t>
            </w:r>
          </w:p>
        </w:tc>
        <w:tc>
          <w:tcPr>
            <w:tcW w:w="772" w:type="dxa"/>
            <w:noWrap/>
            <w:vAlign w:val="center"/>
          </w:tcPr>
          <w:p w14:paraId="0E42B438">
            <w:pPr>
              <w:ind w:firstLine="0" w:firstLineChars="0"/>
              <w:jc w:val="center"/>
              <w:rPr>
                <w:color w:val="auto"/>
                <w:highlight w:val="none"/>
              </w:rPr>
            </w:pPr>
            <w:r>
              <w:rPr>
                <w:rFonts w:hint="eastAsia"/>
                <w:color w:val="auto"/>
                <w:highlight w:val="none"/>
              </w:rPr>
              <w:t>0.5</w:t>
            </w:r>
          </w:p>
        </w:tc>
        <w:tc>
          <w:tcPr>
            <w:tcW w:w="1127" w:type="dxa"/>
          </w:tcPr>
          <w:p w14:paraId="154EB99B">
            <w:pPr>
              <w:ind w:firstLine="0" w:firstLineChars="0"/>
              <w:jc w:val="center"/>
              <w:rPr>
                <w:color w:val="auto"/>
                <w:highlight w:val="none"/>
              </w:rPr>
            </w:pPr>
            <w:r>
              <w:rPr>
                <w:color w:val="auto"/>
                <w:highlight w:val="none"/>
              </w:rPr>
              <w:t>2.5</w:t>
            </w:r>
          </w:p>
        </w:tc>
      </w:tr>
      <w:tr w14:paraId="31AF24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2407" w:type="dxa"/>
            <w:noWrap/>
            <w:vAlign w:val="center"/>
          </w:tcPr>
          <w:p w14:paraId="19ED61AD">
            <w:pPr>
              <w:ind w:firstLine="0" w:firstLineChars="0"/>
              <w:rPr>
                <w:color w:val="auto"/>
                <w:highlight w:val="none"/>
              </w:rPr>
            </w:pPr>
            <w:r>
              <w:rPr>
                <w:rFonts w:hint="eastAsia"/>
                <w:color w:val="auto"/>
                <w:highlight w:val="none"/>
              </w:rPr>
              <w:t>项目指标</w:t>
            </w:r>
          </w:p>
        </w:tc>
        <w:tc>
          <w:tcPr>
            <w:tcW w:w="991" w:type="dxa"/>
            <w:noWrap/>
            <w:vAlign w:val="center"/>
          </w:tcPr>
          <w:p w14:paraId="296E13D4">
            <w:pPr>
              <w:ind w:firstLine="0" w:firstLineChars="0"/>
              <w:jc w:val="center"/>
              <w:rPr>
                <w:color w:val="auto"/>
                <w:highlight w:val="none"/>
              </w:rPr>
            </w:pPr>
            <w:r>
              <w:rPr>
                <w:rFonts w:hint="eastAsia"/>
                <w:color w:val="auto"/>
                <w:highlight w:val="none"/>
              </w:rPr>
              <w:t>TDS</w:t>
            </w:r>
          </w:p>
        </w:tc>
        <w:tc>
          <w:tcPr>
            <w:tcW w:w="995" w:type="dxa"/>
            <w:noWrap/>
            <w:vAlign w:val="center"/>
          </w:tcPr>
          <w:p w14:paraId="2DA4F6BA">
            <w:pPr>
              <w:ind w:firstLine="0" w:firstLineChars="0"/>
              <w:jc w:val="center"/>
              <w:rPr>
                <w:color w:val="auto"/>
                <w:highlight w:val="none"/>
              </w:rPr>
            </w:pPr>
            <w:r>
              <w:rPr>
                <w:rFonts w:hint="eastAsia"/>
                <w:color w:val="auto"/>
                <w:highlight w:val="none"/>
              </w:rPr>
              <w:t>氯化物</w:t>
            </w:r>
          </w:p>
        </w:tc>
        <w:tc>
          <w:tcPr>
            <w:tcW w:w="991" w:type="dxa"/>
            <w:noWrap/>
            <w:vAlign w:val="center"/>
          </w:tcPr>
          <w:p w14:paraId="49FB0327">
            <w:pPr>
              <w:ind w:firstLine="0" w:firstLineChars="0"/>
              <w:jc w:val="center"/>
              <w:rPr>
                <w:color w:val="auto"/>
                <w:highlight w:val="none"/>
              </w:rPr>
            </w:pPr>
            <w:r>
              <w:rPr>
                <w:rFonts w:hint="eastAsia"/>
                <w:color w:val="auto"/>
                <w:highlight w:val="none"/>
              </w:rPr>
              <w:t>硬度</w:t>
            </w:r>
          </w:p>
        </w:tc>
        <w:tc>
          <w:tcPr>
            <w:tcW w:w="1777" w:type="dxa"/>
            <w:gridSpan w:val="2"/>
            <w:noWrap/>
            <w:vAlign w:val="center"/>
          </w:tcPr>
          <w:p w14:paraId="2D01EA4A">
            <w:pPr>
              <w:ind w:firstLine="0" w:firstLineChars="0"/>
              <w:jc w:val="center"/>
              <w:rPr>
                <w:color w:val="auto"/>
                <w:highlight w:val="none"/>
              </w:rPr>
            </w:pPr>
            <w:r>
              <w:rPr>
                <w:rFonts w:hint="eastAsia"/>
                <w:color w:val="auto"/>
                <w:highlight w:val="none"/>
              </w:rPr>
              <w:t>粪大肠杆菌</w:t>
            </w:r>
          </w:p>
        </w:tc>
        <w:tc>
          <w:tcPr>
            <w:tcW w:w="772" w:type="dxa"/>
            <w:noWrap/>
            <w:vAlign w:val="center"/>
          </w:tcPr>
          <w:p w14:paraId="54956009">
            <w:pPr>
              <w:ind w:firstLine="0" w:firstLineChars="0"/>
              <w:jc w:val="center"/>
              <w:rPr>
                <w:color w:val="auto"/>
                <w:highlight w:val="none"/>
              </w:rPr>
            </w:pPr>
          </w:p>
        </w:tc>
        <w:tc>
          <w:tcPr>
            <w:tcW w:w="1127" w:type="dxa"/>
          </w:tcPr>
          <w:p w14:paraId="48519070">
            <w:pPr>
              <w:ind w:firstLine="0" w:firstLineChars="0"/>
              <w:jc w:val="center"/>
              <w:rPr>
                <w:color w:val="auto"/>
                <w:highlight w:val="none"/>
              </w:rPr>
            </w:pPr>
          </w:p>
        </w:tc>
      </w:tr>
      <w:tr w14:paraId="7E231B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2407" w:type="dxa"/>
            <w:noWrap/>
            <w:vAlign w:val="center"/>
          </w:tcPr>
          <w:p w14:paraId="7F446316">
            <w:pPr>
              <w:ind w:firstLine="0" w:firstLineChars="0"/>
              <w:rPr>
                <w:color w:val="auto"/>
                <w:highlight w:val="none"/>
                <w:lang w:eastAsia="zh-CN"/>
              </w:rPr>
            </w:pPr>
            <w:r>
              <w:rPr>
                <w:rFonts w:hint="eastAsia"/>
                <w:color w:val="auto"/>
                <w:highlight w:val="none"/>
                <w:lang w:eastAsia="zh-CN"/>
              </w:rPr>
              <w:t>设计进水水质（</w:t>
            </w:r>
            <w:r>
              <w:rPr>
                <w:color w:val="auto"/>
                <w:highlight w:val="none"/>
                <w:lang w:eastAsia="zh-CN"/>
              </w:rPr>
              <w:t>mg/L</w:t>
            </w:r>
            <w:r>
              <w:rPr>
                <w:rFonts w:hint="eastAsia"/>
                <w:color w:val="auto"/>
                <w:highlight w:val="none"/>
                <w:lang w:eastAsia="zh-CN"/>
              </w:rPr>
              <w:t>）</w:t>
            </w:r>
          </w:p>
        </w:tc>
        <w:tc>
          <w:tcPr>
            <w:tcW w:w="991" w:type="dxa"/>
            <w:noWrap/>
            <w:vAlign w:val="center"/>
          </w:tcPr>
          <w:p w14:paraId="73DFAAD8">
            <w:pPr>
              <w:ind w:firstLine="0" w:firstLineChars="0"/>
              <w:jc w:val="center"/>
              <w:rPr>
                <w:color w:val="auto"/>
                <w:highlight w:val="none"/>
              </w:rPr>
            </w:pPr>
            <w:r>
              <w:rPr>
                <w:color w:val="auto"/>
                <w:highlight w:val="none"/>
              </w:rPr>
              <w:t>3500</w:t>
            </w:r>
          </w:p>
        </w:tc>
        <w:tc>
          <w:tcPr>
            <w:tcW w:w="995" w:type="dxa"/>
            <w:noWrap/>
            <w:vAlign w:val="center"/>
          </w:tcPr>
          <w:p w14:paraId="559D6E90">
            <w:pPr>
              <w:ind w:firstLine="0" w:firstLineChars="0"/>
              <w:jc w:val="center"/>
              <w:rPr>
                <w:color w:val="auto"/>
                <w:highlight w:val="none"/>
              </w:rPr>
            </w:pPr>
            <w:r>
              <w:rPr>
                <w:color w:val="auto"/>
                <w:highlight w:val="none"/>
              </w:rPr>
              <w:t>1000</w:t>
            </w:r>
          </w:p>
        </w:tc>
        <w:tc>
          <w:tcPr>
            <w:tcW w:w="991" w:type="dxa"/>
            <w:noWrap/>
            <w:vAlign w:val="center"/>
          </w:tcPr>
          <w:p w14:paraId="080CB381">
            <w:pPr>
              <w:ind w:firstLine="0" w:firstLineChars="0"/>
              <w:jc w:val="center"/>
              <w:rPr>
                <w:color w:val="auto"/>
                <w:highlight w:val="none"/>
              </w:rPr>
            </w:pPr>
            <w:r>
              <w:rPr>
                <w:color w:val="auto"/>
                <w:highlight w:val="none"/>
              </w:rPr>
              <w:t>18</w:t>
            </w:r>
            <w:r>
              <w:rPr>
                <w:rFonts w:hint="eastAsia"/>
                <w:color w:val="auto"/>
                <w:highlight w:val="none"/>
              </w:rPr>
              <w:t>00</w:t>
            </w:r>
          </w:p>
        </w:tc>
        <w:tc>
          <w:tcPr>
            <w:tcW w:w="1777" w:type="dxa"/>
            <w:gridSpan w:val="2"/>
            <w:noWrap/>
            <w:vAlign w:val="center"/>
          </w:tcPr>
          <w:p w14:paraId="0B767FE3">
            <w:pPr>
              <w:ind w:firstLine="0" w:firstLineChars="0"/>
              <w:jc w:val="center"/>
              <w:rPr>
                <w:color w:val="auto"/>
                <w:highlight w:val="none"/>
              </w:rPr>
            </w:pPr>
          </w:p>
        </w:tc>
        <w:tc>
          <w:tcPr>
            <w:tcW w:w="772" w:type="dxa"/>
            <w:noWrap/>
            <w:vAlign w:val="center"/>
          </w:tcPr>
          <w:p w14:paraId="73EBB3AA">
            <w:pPr>
              <w:ind w:firstLine="0" w:firstLineChars="0"/>
              <w:jc w:val="center"/>
              <w:rPr>
                <w:color w:val="auto"/>
                <w:highlight w:val="none"/>
              </w:rPr>
            </w:pPr>
          </w:p>
        </w:tc>
        <w:tc>
          <w:tcPr>
            <w:tcW w:w="1127" w:type="dxa"/>
          </w:tcPr>
          <w:p w14:paraId="29BF440B">
            <w:pPr>
              <w:ind w:firstLine="0" w:firstLineChars="0"/>
              <w:jc w:val="center"/>
              <w:rPr>
                <w:color w:val="auto"/>
                <w:highlight w:val="none"/>
              </w:rPr>
            </w:pPr>
            <w:r>
              <w:rPr>
                <w:rFonts w:hint="eastAsia"/>
                <w:color w:val="auto"/>
                <w:highlight w:val="none"/>
              </w:rPr>
              <w:t>-</w:t>
            </w:r>
          </w:p>
        </w:tc>
      </w:tr>
      <w:tr w14:paraId="6BB40A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407" w:type="dxa"/>
            <w:noWrap/>
            <w:vAlign w:val="center"/>
          </w:tcPr>
          <w:p w14:paraId="2AC70273">
            <w:pPr>
              <w:ind w:firstLine="0" w:firstLineChars="0"/>
              <w:rPr>
                <w:color w:val="auto"/>
                <w:highlight w:val="none"/>
                <w:lang w:eastAsia="zh-CN"/>
              </w:rPr>
            </w:pPr>
            <w:r>
              <w:rPr>
                <w:rFonts w:hint="eastAsia"/>
                <w:color w:val="auto"/>
                <w:highlight w:val="none"/>
                <w:lang w:eastAsia="zh-CN"/>
              </w:rPr>
              <w:t>设计出水水质（</w:t>
            </w:r>
            <w:r>
              <w:rPr>
                <w:color w:val="auto"/>
                <w:highlight w:val="none"/>
                <w:lang w:eastAsia="zh-CN"/>
              </w:rPr>
              <w:t>mg/L</w:t>
            </w:r>
            <w:r>
              <w:rPr>
                <w:rFonts w:hint="eastAsia"/>
                <w:color w:val="auto"/>
                <w:highlight w:val="none"/>
                <w:lang w:eastAsia="zh-CN"/>
              </w:rPr>
              <w:t>）</w:t>
            </w:r>
          </w:p>
        </w:tc>
        <w:tc>
          <w:tcPr>
            <w:tcW w:w="991" w:type="dxa"/>
            <w:noWrap/>
            <w:vAlign w:val="center"/>
          </w:tcPr>
          <w:p w14:paraId="45CC1794">
            <w:pPr>
              <w:ind w:firstLine="0" w:firstLineChars="0"/>
              <w:jc w:val="center"/>
              <w:rPr>
                <w:color w:val="auto"/>
                <w:highlight w:val="none"/>
              </w:rPr>
            </w:pPr>
            <w:r>
              <w:rPr>
                <w:rFonts w:hint="eastAsia"/>
                <w:color w:val="auto"/>
                <w:highlight w:val="none"/>
              </w:rPr>
              <w:t>-</w:t>
            </w:r>
          </w:p>
        </w:tc>
        <w:tc>
          <w:tcPr>
            <w:tcW w:w="995" w:type="dxa"/>
            <w:noWrap/>
            <w:vAlign w:val="center"/>
          </w:tcPr>
          <w:p w14:paraId="53564ED4">
            <w:pPr>
              <w:ind w:firstLine="0" w:firstLineChars="0"/>
              <w:jc w:val="center"/>
              <w:rPr>
                <w:color w:val="auto"/>
                <w:highlight w:val="none"/>
              </w:rPr>
            </w:pPr>
            <w:r>
              <w:rPr>
                <w:rFonts w:hint="eastAsia"/>
                <w:color w:val="auto"/>
                <w:highlight w:val="none"/>
              </w:rPr>
              <w:t>-</w:t>
            </w:r>
          </w:p>
        </w:tc>
        <w:tc>
          <w:tcPr>
            <w:tcW w:w="991" w:type="dxa"/>
            <w:noWrap/>
            <w:vAlign w:val="center"/>
          </w:tcPr>
          <w:p w14:paraId="53D3519D">
            <w:pPr>
              <w:ind w:firstLine="0" w:firstLineChars="0"/>
              <w:jc w:val="center"/>
              <w:rPr>
                <w:color w:val="auto"/>
                <w:highlight w:val="none"/>
              </w:rPr>
            </w:pPr>
            <w:r>
              <w:rPr>
                <w:rFonts w:hint="eastAsia"/>
                <w:color w:val="auto"/>
                <w:highlight w:val="none"/>
              </w:rPr>
              <w:t>-</w:t>
            </w:r>
          </w:p>
        </w:tc>
        <w:tc>
          <w:tcPr>
            <w:tcW w:w="1777" w:type="dxa"/>
            <w:gridSpan w:val="2"/>
            <w:noWrap/>
            <w:vAlign w:val="center"/>
          </w:tcPr>
          <w:p w14:paraId="0DF5D4FA">
            <w:pPr>
              <w:ind w:firstLine="0" w:firstLineChars="0"/>
              <w:jc w:val="center"/>
              <w:rPr>
                <w:color w:val="auto"/>
                <w:highlight w:val="none"/>
              </w:rPr>
            </w:pPr>
            <w:r>
              <w:rPr>
                <w:rFonts w:hint="eastAsia"/>
                <w:color w:val="auto"/>
                <w:highlight w:val="none"/>
              </w:rPr>
              <w:t>1000</w:t>
            </w:r>
          </w:p>
        </w:tc>
        <w:tc>
          <w:tcPr>
            <w:tcW w:w="772" w:type="dxa"/>
            <w:noWrap/>
            <w:vAlign w:val="center"/>
          </w:tcPr>
          <w:p w14:paraId="191E9019">
            <w:pPr>
              <w:ind w:firstLine="0" w:firstLineChars="0"/>
              <w:jc w:val="center"/>
              <w:rPr>
                <w:color w:val="auto"/>
                <w:highlight w:val="none"/>
              </w:rPr>
            </w:pPr>
          </w:p>
        </w:tc>
        <w:tc>
          <w:tcPr>
            <w:tcW w:w="1127" w:type="dxa"/>
          </w:tcPr>
          <w:p w14:paraId="6B09D52E">
            <w:pPr>
              <w:ind w:firstLine="0" w:firstLineChars="0"/>
              <w:jc w:val="center"/>
              <w:rPr>
                <w:color w:val="auto"/>
                <w:highlight w:val="none"/>
              </w:rPr>
            </w:pPr>
          </w:p>
        </w:tc>
      </w:tr>
    </w:tbl>
    <w:p w14:paraId="38C37D3E">
      <w:pPr>
        <w:pStyle w:val="4"/>
        <w:tabs>
          <w:tab w:val="left" w:pos="0"/>
        </w:tabs>
        <w:jc w:val="both"/>
        <w:rPr>
          <w:color w:val="auto"/>
          <w:highlight w:val="none"/>
        </w:rPr>
      </w:pPr>
      <w:bookmarkStart w:id="822" w:name="_Toc191280714"/>
      <w:r>
        <w:rPr>
          <w:rFonts w:hint="eastAsia"/>
          <w:color w:val="auto"/>
          <w:highlight w:val="none"/>
          <w:lang w:val="en-US" w:eastAsia="zh-CN"/>
        </w:rPr>
        <w:t>1.2</w:t>
      </w:r>
      <w:r>
        <w:rPr>
          <w:rFonts w:hint="eastAsia"/>
          <w:color w:val="auto"/>
          <w:highlight w:val="none"/>
        </w:rPr>
        <w:t>使用期限</w:t>
      </w:r>
      <w:bookmarkEnd w:id="822"/>
    </w:p>
    <w:p w14:paraId="0D0F4D7A">
      <w:pPr>
        <w:ind w:firstLine="480"/>
        <w:rPr>
          <w:color w:val="auto"/>
          <w:highlight w:val="none"/>
          <w:lang w:eastAsia="zh-CN"/>
        </w:rPr>
      </w:pPr>
      <w:r>
        <w:rPr>
          <w:rFonts w:hint="eastAsia"/>
          <w:color w:val="auto"/>
          <w:highlight w:val="none"/>
          <w:lang w:eastAsia="zh-CN"/>
        </w:rPr>
        <w:t>本项目供货、设计的材料和设备均符合项目功能性需求的使用周期，并适合于长期的每天二十四小时连续运转，日常运维稳定，仅需搭配少量的检修维护；常规的维护和修理原理简单，易于操作实施，常规污水厂技术人员可承接胜任常规工作服务需求。</w:t>
      </w:r>
    </w:p>
    <w:p w14:paraId="7B1C570C">
      <w:pPr>
        <w:pStyle w:val="4"/>
        <w:tabs>
          <w:tab w:val="left" w:pos="0"/>
        </w:tabs>
        <w:jc w:val="both"/>
        <w:rPr>
          <w:color w:val="auto"/>
          <w:highlight w:val="none"/>
        </w:rPr>
      </w:pPr>
      <w:bookmarkStart w:id="823" w:name="_Toc191280715"/>
      <w:r>
        <w:rPr>
          <w:rFonts w:hint="eastAsia"/>
          <w:color w:val="auto"/>
          <w:highlight w:val="none"/>
          <w:lang w:val="en-US" w:eastAsia="zh-CN"/>
        </w:rPr>
        <w:t>1.3</w:t>
      </w:r>
      <w:r>
        <w:rPr>
          <w:rFonts w:hint="eastAsia"/>
          <w:color w:val="auto"/>
          <w:highlight w:val="none"/>
        </w:rPr>
        <w:t>材料</w:t>
      </w:r>
      <w:bookmarkEnd w:id="823"/>
    </w:p>
    <w:p w14:paraId="69890143">
      <w:pPr>
        <w:ind w:firstLine="480"/>
        <w:rPr>
          <w:color w:val="auto"/>
          <w:highlight w:val="none"/>
          <w:lang w:eastAsia="zh-CN"/>
        </w:rPr>
      </w:pPr>
      <w:r>
        <w:rPr>
          <w:rFonts w:hint="eastAsia"/>
          <w:color w:val="auto"/>
          <w:highlight w:val="none"/>
          <w:lang w:eastAsia="zh-CN"/>
        </w:rPr>
        <w:t>本项目供货设备所使用的材料完全符合项目技术要求，确保是全新的、优质的、无缺陷的，且应需求选择使用寿命长，维护要求低的材料。</w:t>
      </w:r>
    </w:p>
    <w:p w14:paraId="6124A811">
      <w:pPr>
        <w:ind w:firstLine="480"/>
        <w:rPr>
          <w:color w:val="auto"/>
          <w:highlight w:val="none"/>
          <w:lang w:eastAsia="zh-CN"/>
        </w:rPr>
      </w:pPr>
      <w:r>
        <w:rPr>
          <w:rFonts w:hint="eastAsia"/>
          <w:color w:val="auto"/>
          <w:highlight w:val="none"/>
          <w:lang w:eastAsia="zh-CN"/>
        </w:rPr>
        <w:t>浸没在水下的设备的活动部分及表面，如销、栓与心轴等，是抗腐蚀的。直接与各种化学制品接触的部件具有对这些化学制品有完全的抗腐蚀与抗磨损的能力，并能保证这些部件不会由于时间的消逝，暴露在日光下或任何其它原因引起老化。</w:t>
      </w:r>
    </w:p>
    <w:p w14:paraId="07A023C3">
      <w:pPr>
        <w:ind w:firstLine="480"/>
        <w:rPr>
          <w:color w:val="auto"/>
          <w:highlight w:val="none"/>
          <w:lang w:eastAsia="zh-CN"/>
        </w:rPr>
      </w:pPr>
      <w:r>
        <w:rPr>
          <w:rFonts w:hint="eastAsia"/>
          <w:color w:val="auto"/>
          <w:highlight w:val="none"/>
          <w:lang w:eastAsia="zh-CN"/>
        </w:rPr>
        <w:t>本项目当规定中标注“不锈钢”而未标注不锈钢标号（牌号）材料时，按以下标准执行：</w:t>
      </w:r>
    </w:p>
    <w:p w14:paraId="38E79266">
      <w:pPr>
        <w:ind w:firstLine="480"/>
        <w:rPr>
          <w:color w:val="auto"/>
          <w:highlight w:val="none"/>
          <w:lang w:eastAsia="zh-CN"/>
        </w:rPr>
      </w:pPr>
      <w:r>
        <w:rPr>
          <w:rFonts w:hint="eastAsia"/>
          <w:color w:val="auto"/>
          <w:highlight w:val="none"/>
          <w:lang w:eastAsia="zh-CN"/>
        </w:rPr>
        <w:t>1. 含氯污水或其他工业污水为316L不锈钢。</w:t>
      </w:r>
    </w:p>
    <w:p w14:paraId="5C8181EC">
      <w:pPr>
        <w:ind w:firstLine="480"/>
        <w:rPr>
          <w:color w:val="auto"/>
          <w:highlight w:val="none"/>
          <w:lang w:eastAsia="zh-CN"/>
        </w:rPr>
      </w:pPr>
      <w:r>
        <w:rPr>
          <w:rFonts w:hint="eastAsia"/>
          <w:color w:val="auto"/>
          <w:highlight w:val="none"/>
          <w:lang w:eastAsia="zh-CN"/>
        </w:rPr>
        <w:t>2. 空气介质选用304不锈钢。这种类型的不锈钢在焊接后应不产生晶间腐蚀，相对滑动（摩擦）场合须防止它们相互侵蚀而粘附，具有合适的硬度差和粗糙度，以及使用润滑剂来防止粘附。标注“铸铁”时，具有GG25以上机械特性。</w:t>
      </w:r>
    </w:p>
    <w:p w14:paraId="5A406CBA">
      <w:pPr>
        <w:ind w:firstLine="480"/>
        <w:rPr>
          <w:b/>
          <w:color w:val="auto"/>
          <w:highlight w:val="none"/>
          <w:lang w:eastAsia="zh-CN"/>
        </w:rPr>
      </w:pPr>
      <w:r>
        <w:rPr>
          <w:rFonts w:hint="eastAsia"/>
          <w:color w:val="auto"/>
          <w:highlight w:val="none"/>
          <w:lang w:eastAsia="zh-CN"/>
        </w:rPr>
        <w:t>为防止由于二种电位接近的金属接合而引起的腐蚀，尽可能使所选的双金属腐蚀越低越好。必要时使用橡胶或其它被批准的绝缘材料。</w:t>
      </w:r>
      <w:r>
        <w:rPr>
          <w:rFonts w:hint="eastAsia"/>
          <w:b/>
          <w:bCs/>
          <w:color w:val="auto"/>
          <w:highlight w:val="none"/>
          <w:lang w:eastAsia="zh-CN"/>
        </w:rPr>
        <w:t>所供</w:t>
      </w:r>
      <w:r>
        <w:rPr>
          <w:rFonts w:hint="eastAsia"/>
          <w:b/>
          <w:color w:val="auto"/>
          <w:highlight w:val="none"/>
          <w:lang w:eastAsia="zh-CN"/>
        </w:rPr>
        <w:t>设备内所有过水部件应耐1</w:t>
      </w:r>
      <w:r>
        <w:rPr>
          <w:b/>
          <w:color w:val="auto"/>
          <w:highlight w:val="none"/>
          <w:lang w:eastAsia="zh-CN"/>
        </w:rPr>
        <w:t>000</w:t>
      </w:r>
      <w:r>
        <w:rPr>
          <w:rFonts w:hint="eastAsia"/>
          <w:b/>
          <w:color w:val="auto"/>
          <w:highlight w:val="none"/>
          <w:lang w:eastAsia="zh-CN"/>
        </w:rPr>
        <w:t>mg/L以内的氯离子腐蚀。</w:t>
      </w:r>
    </w:p>
    <w:p w14:paraId="7683F27A">
      <w:pPr>
        <w:pStyle w:val="4"/>
        <w:tabs>
          <w:tab w:val="left" w:pos="0"/>
        </w:tabs>
        <w:jc w:val="both"/>
        <w:rPr>
          <w:color w:val="auto"/>
          <w:highlight w:val="none"/>
        </w:rPr>
      </w:pPr>
      <w:bookmarkStart w:id="824" w:name="_Toc191280716"/>
      <w:r>
        <w:rPr>
          <w:rFonts w:hint="eastAsia"/>
          <w:color w:val="auto"/>
          <w:highlight w:val="none"/>
          <w:lang w:val="en-US" w:eastAsia="zh-CN"/>
        </w:rPr>
        <w:t>1.4</w:t>
      </w:r>
      <w:r>
        <w:rPr>
          <w:rFonts w:hint="eastAsia"/>
          <w:color w:val="auto"/>
          <w:highlight w:val="none"/>
          <w:lang w:eastAsia="zh-CN"/>
        </w:rPr>
        <w:t>资料及备件要求</w:t>
      </w:r>
      <w:bookmarkEnd w:id="824"/>
    </w:p>
    <w:p w14:paraId="4FBDAC74">
      <w:pPr>
        <w:ind w:firstLine="480"/>
        <w:rPr>
          <w:color w:val="auto"/>
          <w:highlight w:val="none"/>
          <w:lang w:eastAsia="zh-CN"/>
        </w:rPr>
      </w:pPr>
      <w:r>
        <w:rPr>
          <w:rFonts w:hint="eastAsia"/>
          <w:color w:val="auto"/>
          <w:highlight w:val="none"/>
          <w:lang w:eastAsia="zh-CN"/>
        </w:rPr>
        <w:t>1)</w:t>
      </w:r>
      <w:r>
        <w:rPr>
          <w:rFonts w:hint="eastAsia"/>
          <w:color w:val="auto"/>
          <w:highlight w:val="none"/>
          <w:lang w:eastAsia="zh-CN"/>
        </w:rPr>
        <w:tab/>
      </w:r>
      <w:r>
        <w:rPr>
          <w:rFonts w:hint="eastAsia"/>
          <w:color w:val="auto"/>
          <w:highlight w:val="none"/>
          <w:lang w:eastAsia="zh-CN"/>
        </w:rPr>
        <w:t>投标方负责各专业的施工图设计。</w:t>
      </w:r>
    </w:p>
    <w:p w14:paraId="62CC5195">
      <w:pPr>
        <w:ind w:firstLine="480"/>
        <w:rPr>
          <w:color w:val="auto"/>
          <w:highlight w:val="none"/>
          <w:lang w:eastAsia="zh-CN"/>
        </w:rPr>
      </w:pPr>
      <w:r>
        <w:rPr>
          <w:rFonts w:hint="eastAsia"/>
          <w:color w:val="auto"/>
          <w:highlight w:val="none"/>
          <w:lang w:eastAsia="zh-CN"/>
        </w:rPr>
        <w:t>2）投标方提供相关工程技术文件及资料。</w:t>
      </w:r>
    </w:p>
    <w:p w14:paraId="2D1EE96E">
      <w:pPr>
        <w:ind w:firstLine="480"/>
        <w:rPr>
          <w:color w:val="auto"/>
          <w:highlight w:val="none"/>
          <w:lang w:eastAsia="zh-CN"/>
        </w:rPr>
      </w:pPr>
      <w:r>
        <w:rPr>
          <w:rFonts w:hint="eastAsia"/>
          <w:color w:val="auto"/>
          <w:highlight w:val="none"/>
          <w:lang w:eastAsia="zh-CN"/>
        </w:rPr>
        <w:t>3)</w:t>
      </w:r>
      <w:r>
        <w:rPr>
          <w:rFonts w:hint="eastAsia"/>
          <w:color w:val="auto"/>
          <w:highlight w:val="none"/>
          <w:lang w:eastAsia="zh-CN"/>
        </w:rPr>
        <w:tab/>
      </w:r>
      <w:r>
        <w:rPr>
          <w:rFonts w:hint="eastAsia"/>
          <w:color w:val="auto"/>
          <w:highlight w:val="none"/>
          <w:lang w:eastAsia="zh-CN"/>
        </w:rPr>
        <w:t>投标方提供现场调试、试运行、人员培训、售后服务等。</w:t>
      </w:r>
    </w:p>
    <w:p w14:paraId="16DF328F">
      <w:pPr>
        <w:ind w:firstLine="480"/>
        <w:rPr>
          <w:color w:val="auto"/>
          <w:highlight w:val="none"/>
          <w:lang w:eastAsia="zh-CN"/>
        </w:rPr>
      </w:pPr>
      <w:r>
        <w:rPr>
          <w:rFonts w:hint="eastAsia"/>
          <w:color w:val="auto"/>
          <w:highlight w:val="none"/>
          <w:lang w:eastAsia="zh-CN"/>
        </w:rPr>
        <w:t>4)</w:t>
      </w:r>
      <w:r>
        <w:rPr>
          <w:rFonts w:hint="eastAsia"/>
          <w:color w:val="auto"/>
          <w:highlight w:val="none"/>
          <w:lang w:eastAsia="zh-CN"/>
        </w:rPr>
        <w:tab/>
      </w:r>
      <w:r>
        <w:rPr>
          <w:rFonts w:hint="eastAsia"/>
          <w:color w:val="auto"/>
          <w:highlight w:val="none"/>
          <w:lang w:eastAsia="zh-CN"/>
        </w:rPr>
        <w:t>设备首次运行所必需的耗材及配件。</w:t>
      </w:r>
    </w:p>
    <w:p w14:paraId="77AF3E70">
      <w:pPr>
        <w:ind w:firstLine="480"/>
        <w:rPr>
          <w:color w:val="auto"/>
          <w:highlight w:val="none"/>
          <w:lang w:eastAsia="zh-CN"/>
        </w:rPr>
      </w:pPr>
      <w:r>
        <w:rPr>
          <w:rFonts w:hint="eastAsia"/>
          <w:color w:val="auto"/>
          <w:highlight w:val="none"/>
          <w:lang w:eastAsia="zh-CN"/>
        </w:rPr>
        <w:t>5)</w:t>
      </w:r>
      <w:r>
        <w:rPr>
          <w:rFonts w:hint="eastAsia"/>
          <w:color w:val="auto"/>
          <w:highlight w:val="none"/>
          <w:lang w:eastAsia="zh-CN"/>
        </w:rPr>
        <w:tab/>
      </w:r>
      <w:r>
        <w:rPr>
          <w:rFonts w:hint="eastAsia"/>
          <w:color w:val="auto"/>
          <w:highlight w:val="none"/>
          <w:lang w:eastAsia="zh-CN"/>
        </w:rPr>
        <w:t>质保期内所有备品备件、专用工具。</w:t>
      </w:r>
    </w:p>
    <w:p w14:paraId="4EE71035">
      <w:pPr>
        <w:ind w:firstLine="480"/>
        <w:rPr>
          <w:color w:val="auto"/>
          <w:highlight w:val="none"/>
          <w:lang w:eastAsia="zh-CN"/>
        </w:rPr>
      </w:pPr>
    </w:p>
    <w:p w14:paraId="108CB943">
      <w:pPr>
        <w:ind w:firstLine="480"/>
        <w:rPr>
          <w:color w:val="auto"/>
          <w:highlight w:val="none"/>
          <w:lang w:eastAsia="zh-CN"/>
        </w:rPr>
      </w:pPr>
    </w:p>
    <w:p w14:paraId="10DD3C92">
      <w:pPr>
        <w:pStyle w:val="3"/>
        <w:rPr>
          <w:color w:val="auto"/>
          <w:highlight w:val="none"/>
        </w:rPr>
      </w:pPr>
      <w:bookmarkStart w:id="825" w:name="_Toc191280717"/>
      <w:r>
        <w:rPr>
          <w:rFonts w:hint="eastAsia"/>
          <w:color w:val="auto"/>
          <w:highlight w:val="none"/>
          <w:lang w:val="en-US" w:eastAsia="zh-CN"/>
        </w:rPr>
        <w:t>二、</w:t>
      </w:r>
      <w:r>
        <w:rPr>
          <w:color w:val="auto"/>
          <w:highlight w:val="none"/>
        </w:rPr>
        <w:t>污水处理厂技术要求</w:t>
      </w:r>
      <w:bookmarkEnd w:id="825"/>
    </w:p>
    <w:p w14:paraId="5BFA6150">
      <w:pPr>
        <w:pStyle w:val="3"/>
        <w:rPr>
          <w:rFonts w:hint="eastAsia"/>
          <w:color w:val="auto"/>
          <w:highlight w:val="none"/>
          <w:lang w:val="en-US" w:eastAsia="zh-CN"/>
        </w:rPr>
      </w:pPr>
      <w:bookmarkStart w:id="826" w:name="_Toc191280718"/>
      <w:r>
        <w:rPr>
          <w:rFonts w:hint="eastAsia"/>
          <w:color w:val="auto"/>
          <w:highlight w:val="none"/>
          <w:lang w:val="en-US" w:eastAsia="zh-CN"/>
        </w:rPr>
        <w:t>2.1工艺设备的相关要求</w:t>
      </w:r>
      <w:bookmarkEnd w:id="826"/>
    </w:p>
    <w:p w14:paraId="62E94A49">
      <w:pPr>
        <w:pStyle w:val="3"/>
        <w:rPr>
          <w:rFonts w:hint="eastAsia"/>
          <w:color w:val="auto"/>
          <w:highlight w:val="none"/>
          <w:lang w:val="en-US" w:eastAsia="zh-CN"/>
        </w:rPr>
      </w:pPr>
      <w:bookmarkStart w:id="827" w:name="_Toc191280719"/>
      <w:r>
        <w:rPr>
          <w:rFonts w:hint="eastAsia"/>
          <w:color w:val="auto"/>
          <w:highlight w:val="none"/>
          <w:lang w:val="en-US" w:eastAsia="zh-CN"/>
        </w:rPr>
        <w:t>2.1.1组合池及设备间</w:t>
      </w:r>
      <w:bookmarkEnd w:id="827"/>
    </w:p>
    <w:p w14:paraId="00CF7E25">
      <w:pPr>
        <w:pStyle w:val="3"/>
        <w:rPr>
          <w:rFonts w:hint="eastAsia"/>
          <w:color w:val="auto"/>
          <w:highlight w:val="none"/>
          <w:lang w:val="en-US" w:eastAsia="zh-CN"/>
        </w:rPr>
      </w:pPr>
      <w:r>
        <w:rPr>
          <w:rFonts w:hint="eastAsia"/>
          <w:color w:val="auto"/>
          <w:highlight w:val="none"/>
          <w:lang w:val="en-US" w:eastAsia="zh-CN"/>
        </w:rPr>
        <w:t>2.1.1.1潜水搅拌机</w:t>
      </w:r>
    </w:p>
    <w:p w14:paraId="477CBFDA">
      <w:pPr>
        <w:ind w:firstLine="480"/>
        <w:rPr>
          <w:color w:val="auto"/>
          <w:highlight w:val="none"/>
          <w:lang w:eastAsia="zh-CN"/>
        </w:rPr>
      </w:pPr>
      <w:r>
        <w:rPr>
          <w:rFonts w:hint="eastAsia"/>
          <w:color w:val="auto"/>
          <w:highlight w:val="none"/>
          <w:lang w:eastAsia="zh-CN"/>
        </w:rPr>
        <w:t>1)提供的搅拌器必须具有足够大的推力。每台潜水搅拌器应能在所安装地污水中工作，须能推动污水流动和充分搅拌、混合污水，保证污水池底流速（距池底500mm为准）不小于0.3m/s。投标人必须对所选搅拌器能否达到此流速做出书面担保。</w:t>
      </w:r>
    </w:p>
    <w:p w14:paraId="79932B46">
      <w:pPr>
        <w:ind w:firstLine="480"/>
        <w:rPr>
          <w:color w:val="auto"/>
          <w:highlight w:val="none"/>
          <w:lang w:eastAsia="zh-CN"/>
        </w:rPr>
      </w:pPr>
      <w:r>
        <w:rPr>
          <w:rFonts w:hint="eastAsia"/>
          <w:color w:val="auto"/>
          <w:highlight w:val="none"/>
          <w:lang w:eastAsia="zh-CN"/>
        </w:rPr>
        <w:t>2）应能在电机全浸没条件下每日24小时连续运行、间歇运行和长期停止状态后恢复运行，潜水推流器/搅拌器在整个运行过程中须保持平稳，无故障运行时间至少为20,000小时。</w:t>
      </w:r>
    </w:p>
    <w:p w14:paraId="038291AE">
      <w:pPr>
        <w:pStyle w:val="3"/>
        <w:rPr>
          <w:rFonts w:hint="eastAsia"/>
          <w:color w:val="auto"/>
          <w:highlight w:val="none"/>
          <w:lang w:val="en-US" w:eastAsia="zh-CN"/>
        </w:rPr>
      </w:pPr>
      <w:r>
        <w:rPr>
          <w:rFonts w:hint="eastAsia"/>
          <w:color w:val="auto"/>
          <w:highlight w:val="none"/>
          <w:lang w:val="en-US" w:eastAsia="zh-CN"/>
        </w:rPr>
        <w:t>2.1.1.2污水（泥）泵</w:t>
      </w:r>
    </w:p>
    <w:p w14:paraId="0A52CAB0">
      <w:pPr>
        <w:ind w:firstLine="480"/>
        <w:rPr>
          <w:rFonts w:cs="宋体"/>
          <w:color w:val="auto"/>
          <w:highlight w:val="none"/>
          <w:lang w:eastAsia="zh-CN"/>
        </w:rPr>
      </w:pPr>
      <w:r>
        <w:rPr>
          <w:rFonts w:hint="eastAsia" w:cs="宋体"/>
          <w:color w:val="auto"/>
          <w:highlight w:val="none"/>
          <w:lang w:eastAsia="zh-CN"/>
        </w:rPr>
        <w:t>泵的主件材质为不锈钢，表面平滑、无砂眼、气孔或其它铸造缺陷。壳体厚度足以承受水压等荷载。零件表面之间的密封是金属与金属接触，并嵌入橡胶O型圈。</w:t>
      </w:r>
    </w:p>
    <w:p w14:paraId="1039787A">
      <w:pPr>
        <w:ind w:firstLine="480"/>
        <w:rPr>
          <w:rFonts w:cs="宋体"/>
          <w:color w:val="auto"/>
          <w:highlight w:val="none"/>
          <w:lang w:eastAsia="zh-CN"/>
        </w:rPr>
      </w:pPr>
      <w:r>
        <w:rPr>
          <w:rFonts w:hint="eastAsia" w:cs="宋体"/>
          <w:color w:val="auto"/>
          <w:highlight w:val="none"/>
          <w:lang w:eastAsia="zh-CN"/>
        </w:rPr>
        <w:t>进出口法兰应符合国标（GB/T17241.6或GB/T9124.1）PN10的尺寸要求；</w:t>
      </w:r>
    </w:p>
    <w:p w14:paraId="0596B276">
      <w:pPr>
        <w:ind w:firstLine="480"/>
        <w:rPr>
          <w:rFonts w:cs="宋体"/>
          <w:color w:val="auto"/>
          <w:highlight w:val="none"/>
          <w:lang w:eastAsia="zh-CN"/>
        </w:rPr>
      </w:pPr>
      <w:r>
        <w:rPr>
          <w:rFonts w:hint="eastAsia" w:cs="宋体"/>
          <w:color w:val="auto"/>
          <w:highlight w:val="none"/>
          <w:lang w:eastAsia="zh-CN"/>
        </w:rPr>
        <w:t>泵体上应在容易看到的位置设有转向标志；</w:t>
      </w:r>
    </w:p>
    <w:p w14:paraId="3DE012B7">
      <w:pPr>
        <w:ind w:firstLine="480"/>
        <w:rPr>
          <w:rFonts w:cs="宋体"/>
          <w:color w:val="auto"/>
          <w:highlight w:val="none"/>
          <w:lang w:eastAsia="zh-CN"/>
        </w:rPr>
      </w:pPr>
      <w:r>
        <w:rPr>
          <w:rFonts w:hint="eastAsia" w:cs="宋体"/>
          <w:color w:val="auto"/>
          <w:highlight w:val="none"/>
          <w:lang w:eastAsia="zh-CN"/>
        </w:rPr>
        <w:t>每台干式离心泵配备有一套机械密封系统，此机封结构简单，方便于安装与拆卸，机械密封材质可依据介质的不同选择不同的材质，满足不同的工况；</w:t>
      </w:r>
    </w:p>
    <w:p w14:paraId="3ABDBF2A">
      <w:pPr>
        <w:ind w:firstLine="480"/>
        <w:rPr>
          <w:rFonts w:cs="宋体"/>
          <w:color w:val="auto"/>
          <w:highlight w:val="none"/>
          <w:lang w:eastAsia="zh-CN"/>
        </w:rPr>
      </w:pPr>
      <w:r>
        <w:rPr>
          <w:rFonts w:hint="eastAsia" w:cs="宋体"/>
          <w:color w:val="auto"/>
          <w:highlight w:val="none"/>
          <w:lang w:eastAsia="zh-CN"/>
        </w:rPr>
        <w:t>机械密封设计为免维护型，机械密封的设计使用寿命不低于25000小时。</w:t>
      </w:r>
    </w:p>
    <w:p w14:paraId="38AA637C">
      <w:pPr>
        <w:pStyle w:val="3"/>
        <w:rPr>
          <w:rFonts w:hint="eastAsia"/>
          <w:color w:val="auto"/>
          <w:highlight w:val="none"/>
          <w:lang w:val="en-US" w:eastAsia="zh-CN"/>
        </w:rPr>
      </w:pPr>
      <w:r>
        <w:rPr>
          <w:rFonts w:hint="eastAsia"/>
          <w:color w:val="auto"/>
          <w:highlight w:val="none"/>
          <w:lang w:val="en-US" w:eastAsia="zh-CN"/>
        </w:rPr>
        <w:t>2.1.1.3立式搅拌机</w:t>
      </w:r>
    </w:p>
    <w:p w14:paraId="09598D02">
      <w:pPr>
        <w:ind w:firstLine="480"/>
        <w:rPr>
          <w:color w:val="auto"/>
          <w:highlight w:val="none"/>
          <w:lang w:eastAsia="zh-CN"/>
        </w:rPr>
      </w:pPr>
      <w:r>
        <w:rPr>
          <w:rFonts w:hint="eastAsia"/>
          <w:color w:val="auto"/>
          <w:highlight w:val="none"/>
          <w:lang w:eastAsia="zh-CN"/>
        </w:rPr>
        <w:t>电机和减速装置应为一体机，以提高运行的协调性和稳定性，采用德国SEW同档次或以上品牌。同一型号的零部件、易损件应能互换。</w:t>
      </w:r>
    </w:p>
    <w:p w14:paraId="40CD4869">
      <w:pPr>
        <w:ind w:firstLine="480"/>
        <w:rPr>
          <w:color w:val="auto"/>
          <w:highlight w:val="none"/>
          <w:lang w:eastAsia="zh-CN"/>
        </w:rPr>
      </w:pPr>
      <w:r>
        <w:rPr>
          <w:rFonts w:hint="eastAsia"/>
          <w:color w:val="auto"/>
          <w:highlight w:val="none"/>
          <w:lang w:eastAsia="zh-CN"/>
        </w:rPr>
        <w:t>搅拌器应具有标准化的外观、运行、维修、备品备件，能够提供专业的指导安装和运行维护的服务。</w:t>
      </w:r>
    </w:p>
    <w:p w14:paraId="2E82F63D">
      <w:pPr>
        <w:ind w:firstLine="480"/>
        <w:rPr>
          <w:color w:val="auto"/>
          <w:highlight w:val="none"/>
          <w:lang w:eastAsia="zh-CN"/>
        </w:rPr>
      </w:pPr>
      <w:r>
        <w:rPr>
          <w:rFonts w:hint="eastAsia"/>
          <w:color w:val="auto"/>
          <w:highlight w:val="none"/>
          <w:lang w:eastAsia="zh-CN"/>
        </w:rPr>
        <w:t>搅拌机材料要具有抗投加药剂的腐蚀性和足够的机械强度，选用SS316L不锈钢/耐候钢衬塑或同等材质。采用立式安装电机，齿轮箱采用结构紧凑的平行轴齿轮传动，轴承设计寿命应不小于5万小时。</w:t>
      </w:r>
    </w:p>
    <w:p w14:paraId="23494856">
      <w:pPr>
        <w:ind w:firstLine="480"/>
        <w:rPr>
          <w:color w:val="auto"/>
          <w:highlight w:val="none"/>
          <w:lang w:eastAsia="zh-CN"/>
        </w:rPr>
      </w:pPr>
      <w:r>
        <w:rPr>
          <w:rFonts w:hint="eastAsia"/>
          <w:color w:val="auto"/>
          <w:highlight w:val="none"/>
          <w:lang w:eastAsia="zh-CN"/>
        </w:rPr>
        <w:t>(1)搅拌机用于碳源与原水充分混合，利用桨叶的快速旋转和轴向提升作用使混凝剂或药剂迅速扩散于水中，其混合均匀度要达90％以上。</w:t>
      </w:r>
    </w:p>
    <w:p w14:paraId="7E50DD4E">
      <w:pPr>
        <w:ind w:firstLine="480"/>
        <w:rPr>
          <w:color w:val="auto"/>
          <w:highlight w:val="none"/>
          <w:lang w:eastAsia="zh-CN"/>
        </w:rPr>
      </w:pPr>
      <w:r>
        <w:rPr>
          <w:rFonts w:hint="eastAsia"/>
          <w:color w:val="auto"/>
          <w:highlight w:val="none"/>
          <w:lang w:eastAsia="zh-CN"/>
        </w:rPr>
        <w:t>(2)停留时间内，搅拌机循环流量至少应将池内液体循环2次以上。</w:t>
      </w:r>
    </w:p>
    <w:p w14:paraId="60D17E13">
      <w:pPr>
        <w:ind w:firstLine="480"/>
        <w:rPr>
          <w:color w:val="auto"/>
          <w:highlight w:val="none"/>
          <w:lang w:eastAsia="zh-CN"/>
        </w:rPr>
      </w:pPr>
      <w:r>
        <w:rPr>
          <w:rFonts w:hint="eastAsia"/>
          <w:color w:val="auto"/>
          <w:highlight w:val="none"/>
          <w:lang w:eastAsia="zh-CN"/>
        </w:rPr>
        <w:t>(3)搅拌器的电机及减速装置必须满足连续运行、间歇运行和长期停止状态后恢复运行的工况使用要求。</w:t>
      </w:r>
    </w:p>
    <w:p w14:paraId="385A280A">
      <w:pPr>
        <w:ind w:firstLine="480"/>
        <w:rPr>
          <w:color w:val="auto"/>
          <w:highlight w:val="none"/>
          <w:lang w:eastAsia="zh-CN"/>
        </w:rPr>
      </w:pPr>
      <w:r>
        <w:rPr>
          <w:rFonts w:hint="eastAsia"/>
          <w:color w:val="auto"/>
          <w:highlight w:val="none"/>
          <w:lang w:eastAsia="zh-CN"/>
        </w:rPr>
        <w:t>(4)投标人提供的设备材料应适用于水厂的腐蚀环境。</w:t>
      </w:r>
    </w:p>
    <w:p w14:paraId="24D16FD4">
      <w:pPr>
        <w:pStyle w:val="3"/>
        <w:rPr>
          <w:rFonts w:hint="eastAsia"/>
          <w:color w:val="auto"/>
          <w:highlight w:val="none"/>
          <w:lang w:val="en-US" w:eastAsia="zh-CN"/>
        </w:rPr>
      </w:pPr>
      <w:r>
        <w:rPr>
          <w:rFonts w:hint="eastAsia"/>
          <w:color w:val="auto"/>
          <w:highlight w:val="none"/>
          <w:lang w:val="en-US" w:eastAsia="zh-CN"/>
        </w:rPr>
        <w:t>2.1.1.4空气悬浮离心风机</w:t>
      </w:r>
    </w:p>
    <w:p w14:paraId="392742C8">
      <w:pPr>
        <w:ind w:firstLine="480"/>
        <w:rPr>
          <w:color w:val="auto"/>
          <w:highlight w:val="none"/>
          <w:lang w:eastAsia="zh-CN"/>
        </w:rPr>
      </w:pPr>
      <w:r>
        <w:rPr>
          <w:rFonts w:hint="eastAsia"/>
          <w:color w:val="auto"/>
          <w:highlight w:val="none"/>
          <w:lang w:eastAsia="zh-CN"/>
        </w:rPr>
        <w:t>投标方提供的设备主机应为优质品牌产品，投标方根据图纸等资料复核工况并选型。</w:t>
      </w:r>
    </w:p>
    <w:p w14:paraId="3A064FE2">
      <w:pPr>
        <w:ind w:firstLine="480"/>
        <w:rPr>
          <w:color w:val="auto"/>
          <w:highlight w:val="none"/>
          <w:lang w:eastAsia="zh-CN"/>
        </w:rPr>
      </w:pPr>
      <w:r>
        <w:rPr>
          <w:rFonts w:hint="eastAsia"/>
          <w:color w:val="auto"/>
          <w:highlight w:val="none"/>
          <w:lang w:eastAsia="zh-CN"/>
        </w:rPr>
        <w:t>每套鼓风机设备包括：鼓风机、电动机、进口过滤消音器、就地控制系统、变频调速控制系统、轴承、放空阀、放空阀消音器（投标方所投标产品如在任何工况情况无隔音罩的条件下，鼓风机外壳一米处噪音水平不大于80分贝，可以不用配置）、 出口扩压管、冷却系统、止回阀、蝶阀、柔性接头等，应成套配备安全、有效及可靠运行所需的配件，并应提供详细供货清单。</w:t>
      </w:r>
    </w:p>
    <w:p w14:paraId="324914DB">
      <w:pPr>
        <w:ind w:firstLine="480"/>
        <w:rPr>
          <w:color w:val="auto"/>
          <w:highlight w:val="none"/>
          <w:lang w:eastAsia="zh-CN"/>
        </w:rPr>
      </w:pPr>
      <w:r>
        <w:rPr>
          <w:rFonts w:hint="eastAsia"/>
          <w:color w:val="auto"/>
          <w:highlight w:val="none"/>
          <w:lang w:eastAsia="zh-CN"/>
        </w:rPr>
        <w:t xml:space="preserve">鼓风机风量调节：恒定工况压力下，范围不低于50%额定风量～100%额定风量，具体选型时投标方需给出恒定工况压力下50%额定风量时的效率对比最高效率的差值。 </w:t>
      </w:r>
    </w:p>
    <w:p w14:paraId="44C27BB8">
      <w:pPr>
        <w:ind w:firstLine="480"/>
        <w:rPr>
          <w:color w:val="auto"/>
          <w:highlight w:val="none"/>
          <w:lang w:eastAsia="zh-CN"/>
        </w:rPr>
      </w:pPr>
      <w:r>
        <w:rPr>
          <w:rFonts w:hint="eastAsia"/>
          <w:color w:val="auto"/>
          <w:highlight w:val="none"/>
          <w:lang w:eastAsia="zh-CN"/>
        </w:rPr>
        <w:t>鼓风机上应设计安装监测气动喘振的防喘振装置。系统应设有自动防喘振装置。</w:t>
      </w:r>
    </w:p>
    <w:p w14:paraId="20105283">
      <w:pPr>
        <w:ind w:firstLine="480"/>
        <w:rPr>
          <w:color w:val="auto"/>
          <w:highlight w:val="none"/>
          <w:lang w:eastAsia="zh-CN"/>
        </w:rPr>
      </w:pPr>
      <w:r>
        <w:rPr>
          <w:rFonts w:hint="eastAsia"/>
          <w:color w:val="auto"/>
          <w:highlight w:val="none"/>
          <w:lang w:eastAsia="zh-CN"/>
        </w:rPr>
        <w:t>在无隔音罩的条件下，鼓风机外壳一米处噪音水平不大于80分贝。</w:t>
      </w:r>
    </w:p>
    <w:p w14:paraId="63959688">
      <w:pPr>
        <w:ind w:firstLine="480"/>
        <w:rPr>
          <w:color w:val="auto"/>
          <w:highlight w:val="none"/>
          <w:lang w:eastAsia="zh-CN"/>
        </w:rPr>
      </w:pPr>
      <w:r>
        <w:rPr>
          <w:rFonts w:hint="eastAsia"/>
          <w:color w:val="auto"/>
          <w:highlight w:val="none"/>
          <w:lang w:eastAsia="zh-CN"/>
        </w:rPr>
        <w:t>鼓风机应适应24小时连续运行和间歇频繁启动（启动次数不低于50000次），运行时保持稳定，无异常振动。鼓风机应能适应目前常用的精确曝气系统，且不影响整机质保时间。如投标方对启停次数和风量调整幅度有限制时，应明确具体数据。</w:t>
      </w:r>
    </w:p>
    <w:p w14:paraId="37CFB442">
      <w:pPr>
        <w:pStyle w:val="3"/>
        <w:rPr>
          <w:rFonts w:hint="eastAsia"/>
          <w:color w:val="auto"/>
          <w:highlight w:val="none"/>
          <w:lang w:val="en-US" w:eastAsia="zh-CN"/>
        </w:rPr>
      </w:pPr>
      <w:bookmarkStart w:id="828" w:name="_Toc191280720"/>
      <w:r>
        <w:rPr>
          <w:rFonts w:hint="eastAsia"/>
          <w:color w:val="auto"/>
          <w:highlight w:val="none"/>
          <w:lang w:val="en-US" w:eastAsia="zh-CN"/>
        </w:rPr>
        <w:t>2.1.2除硬/除氟/后除氟沉淀池</w:t>
      </w:r>
      <w:bookmarkEnd w:id="828"/>
    </w:p>
    <w:p w14:paraId="4BC02383">
      <w:pPr>
        <w:pStyle w:val="3"/>
        <w:rPr>
          <w:rFonts w:hint="eastAsia"/>
          <w:color w:val="auto"/>
          <w:highlight w:val="none"/>
          <w:lang w:val="en-US" w:eastAsia="zh-CN"/>
        </w:rPr>
      </w:pPr>
      <w:r>
        <w:rPr>
          <w:rFonts w:hint="eastAsia"/>
          <w:color w:val="auto"/>
          <w:highlight w:val="none"/>
          <w:lang w:val="en-US" w:eastAsia="zh-CN"/>
        </w:rPr>
        <w:t>2.1.2.1机械设备技术要求</w:t>
      </w:r>
    </w:p>
    <w:p w14:paraId="6456A8BD">
      <w:pPr>
        <w:pStyle w:val="3"/>
        <w:rPr>
          <w:rFonts w:hint="eastAsia"/>
          <w:color w:val="auto"/>
          <w:highlight w:val="none"/>
          <w:lang w:val="en-US" w:eastAsia="zh-CN"/>
        </w:rPr>
      </w:pPr>
      <w:r>
        <w:rPr>
          <w:rFonts w:hint="eastAsia"/>
          <w:color w:val="auto"/>
          <w:highlight w:val="none"/>
          <w:lang w:val="en-US" w:eastAsia="zh-CN"/>
        </w:rPr>
        <w:t>2.1.2.1.1总述</w:t>
      </w:r>
    </w:p>
    <w:p w14:paraId="506388D8">
      <w:pPr>
        <w:ind w:firstLine="480"/>
        <w:rPr>
          <w:color w:val="auto"/>
          <w:highlight w:val="none"/>
          <w:lang w:eastAsia="zh-CN"/>
        </w:rPr>
      </w:pPr>
      <w:r>
        <w:rPr>
          <w:rFonts w:hint="eastAsia"/>
          <w:color w:val="auto"/>
          <w:highlight w:val="none"/>
          <w:lang w:eastAsia="zh-CN"/>
        </w:rPr>
        <w:t>根据本项目技术规范要求，工艺集成商应对本除硬/除氟沉淀池的处理水量、工艺流程及应达到的出水水质标准进行合理的设备配置，并对所选用的设备及配套附件应进行详细描述，下述仅为主要处理设备的技术要求。</w:t>
      </w:r>
    </w:p>
    <w:p w14:paraId="1F7431D8">
      <w:pPr>
        <w:pStyle w:val="3"/>
        <w:rPr>
          <w:rFonts w:hint="eastAsia"/>
          <w:color w:val="auto"/>
          <w:highlight w:val="none"/>
          <w:lang w:val="en-US" w:eastAsia="zh-CN"/>
        </w:rPr>
      </w:pPr>
      <w:r>
        <w:rPr>
          <w:rFonts w:hint="eastAsia"/>
          <w:color w:val="auto"/>
          <w:highlight w:val="none"/>
          <w:lang w:val="en-US" w:eastAsia="zh-CN"/>
        </w:rPr>
        <w:t>2.1.2.1.2一体化除硬/除氟沉淀装置</w:t>
      </w:r>
    </w:p>
    <w:p w14:paraId="268D1BEF">
      <w:pPr>
        <w:ind w:firstLine="480"/>
        <w:rPr>
          <w:color w:val="auto"/>
          <w:highlight w:val="none"/>
          <w:lang w:eastAsia="zh-CN"/>
        </w:rPr>
      </w:pPr>
      <w:r>
        <w:rPr>
          <w:rFonts w:hint="eastAsia"/>
          <w:color w:val="auto"/>
          <w:highlight w:val="none"/>
          <w:lang w:eastAsia="zh-CN"/>
        </w:rPr>
        <w:t>（1）一体化除硬/除氟沉淀装置作为除硬/除氟工艺的载体，应至少由以下部分组成：混凝反应池，PH调节池，加载反应池（如有），絮凝反应池，高效沉淀池，钢制爬梯，顶部护栏等。且整个系统应高度集成化于一个装置（箱体），各组成部分不可拆分成多个装置（箱体）。</w:t>
      </w:r>
    </w:p>
    <w:p w14:paraId="06FCAB67">
      <w:pPr>
        <w:ind w:firstLine="480"/>
        <w:rPr>
          <w:color w:val="auto"/>
          <w:highlight w:val="none"/>
          <w:lang w:eastAsia="zh-CN"/>
        </w:rPr>
      </w:pPr>
      <w:r>
        <w:rPr>
          <w:rFonts w:hint="eastAsia"/>
          <w:color w:val="auto"/>
          <w:highlight w:val="none"/>
          <w:lang w:eastAsia="zh-CN"/>
        </w:rPr>
        <w:t>（2）投标人所供装置应充分考虑其结构强度，保证在满载运行时不得出现变形，所有板材、型材厚度应≥5mm，整体采用基材加防腐层的复合防腐体系，材质可采用SS316L+钝化，耐候钢+涂层或其他同等材质。如采用替换材质，需提供氯离子耐1000mg/L以内的佐证材料。</w:t>
      </w:r>
    </w:p>
    <w:p w14:paraId="3A95C313">
      <w:pPr>
        <w:ind w:firstLine="480"/>
        <w:rPr>
          <w:color w:val="auto"/>
          <w:highlight w:val="none"/>
          <w:lang w:eastAsia="zh-CN"/>
        </w:rPr>
      </w:pPr>
      <w:r>
        <w:rPr>
          <w:rFonts w:hint="eastAsia"/>
          <w:color w:val="auto"/>
          <w:highlight w:val="none"/>
          <w:lang w:eastAsia="zh-CN"/>
        </w:rPr>
        <w:t>（3）投标人所供装置应充分考虑水密性能，承水部件应采用满焊连接，焊脚高度应至少大于板材厚度，保证设备运行时不得出现滴漏、渗漏等现象。</w:t>
      </w:r>
    </w:p>
    <w:p w14:paraId="0C609FC8">
      <w:pPr>
        <w:ind w:firstLine="480"/>
        <w:rPr>
          <w:color w:val="auto"/>
          <w:highlight w:val="none"/>
          <w:lang w:eastAsia="zh-CN"/>
        </w:rPr>
      </w:pPr>
      <w:r>
        <w:rPr>
          <w:rFonts w:hint="eastAsia"/>
          <w:color w:val="auto"/>
          <w:highlight w:val="none"/>
          <w:lang w:eastAsia="zh-CN"/>
        </w:rPr>
        <w:t>（4）顶部铺玻璃钢栅格板，方便人员顶部设备运行和维护</w:t>
      </w:r>
    </w:p>
    <w:p w14:paraId="19C53F46">
      <w:pPr>
        <w:ind w:firstLine="480"/>
        <w:rPr>
          <w:color w:val="auto"/>
          <w:highlight w:val="none"/>
          <w:lang w:eastAsia="zh-CN"/>
        </w:rPr>
      </w:pPr>
      <w:r>
        <w:rPr>
          <w:rFonts w:hint="eastAsia"/>
          <w:color w:val="auto"/>
          <w:highlight w:val="none"/>
          <w:lang w:eastAsia="zh-CN"/>
        </w:rPr>
        <w:t>（5）顶部周边设置SS201不锈钢栏杆进行人员防护，栏杆高度为1.1m。</w:t>
      </w:r>
    </w:p>
    <w:p w14:paraId="0434ED70">
      <w:pPr>
        <w:ind w:firstLine="480"/>
        <w:rPr>
          <w:color w:val="auto"/>
          <w:highlight w:val="none"/>
          <w:lang w:eastAsia="zh-CN"/>
        </w:rPr>
      </w:pPr>
    </w:p>
    <w:p w14:paraId="70A63FC3">
      <w:pPr>
        <w:pStyle w:val="3"/>
        <w:rPr>
          <w:rFonts w:hint="eastAsia"/>
          <w:color w:val="auto"/>
          <w:highlight w:val="none"/>
          <w:lang w:val="en-US" w:eastAsia="zh-CN"/>
        </w:rPr>
      </w:pPr>
      <w:r>
        <w:rPr>
          <w:rFonts w:hint="eastAsia"/>
          <w:color w:val="auto"/>
          <w:highlight w:val="none"/>
          <w:lang w:val="en-US" w:eastAsia="zh-CN"/>
        </w:rPr>
        <w:t>2.1.3</w:t>
      </w:r>
      <w:r>
        <w:rPr>
          <w:rFonts w:hint="eastAsia"/>
          <w:color w:val="auto"/>
          <w:highlight w:val="none"/>
          <w:lang w:val="en-US" w:eastAsia="zh-CN"/>
        </w:rPr>
        <w:fldChar w:fldCharType="begin"/>
      </w:r>
      <w:r>
        <w:rPr>
          <w:rFonts w:hint="eastAsia"/>
          <w:color w:val="auto"/>
          <w:highlight w:val="none"/>
          <w:lang w:val="en-US" w:eastAsia="zh-CN"/>
        </w:rPr>
        <w:instrText xml:space="preserve"> HYPERLINK \l "_Toc135410351" </w:instrText>
      </w:r>
      <w:r>
        <w:rPr>
          <w:rFonts w:hint="eastAsia"/>
          <w:color w:val="auto"/>
          <w:highlight w:val="none"/>
          <w:lang w:val="en-US" w:eastAsia="zh-CN"/>
        </w:rPr>
        <w:fldChar w:fldCharType="separate"/>
      </w:r>
      <w:bookmarkStart w:id="829" w:name="_Toc191280721"/>
      <w:r>
        <w:rPr>
          <w:rFonts w:hint="eastAsia"/>
          <w:color w:val="auto"/>
          <w:highlight w:val="none"/>
          <w:lang w:val="en-US" w:eastAsia="zh-CN"/>
        </w:rPr>
        <w:t>改良SBR生物池</w:t>
      </w:r>
      <w:bookmarkEnd w:id="829"/>
      <w:r>
        <w:rPr>
          <w:rFonts w:hint="eastAsia"/>
          <w:color w:val="auto"/>
          <w:highlight w:val="none"/>
          <w:lang w:val="en-US" w:eastAsia="zh-CN"/>
        </w:rPr>
        <w:fldChar w:fldCharType="end"/>
      </w:r>
    </w:p>
    <w:p w14:paraId="2FCD4363">
      <w:pPr>
        <w:pStyle w:val="3"/>
        <w:rPr>
          <w:rFonts w:hint="eastAsia"/>
          <w:color w:val="auto"/>
          <w:highlight w:val="none"/>
          <w:lang w:val="en-US" w:eastAsia="zh-CN"/>
        </w:rPr>
      </w:pPr>
      <w:r>
        <w:rPr>
          <w:rFonts w:hint="eastAsia"/>
          <w:color w:val="auto"/>
          <w:highlight w:val="none"/>
          <w:lang w:val="en-US" w:eastAsia="zh-CN"/>
        </w:rPr>
        <w:t>2.1.3.1总体要求：</w:t>
      </w:r>
    </w:p>
    <w:p w14:paraId="1B3ECF5D">
      <w:pPr>
        <w:tabs>
          <w:tab w:val="left" w:pos="1680"/>
          <w:tab w:val="left" w:pos="3960"/>
          <w:tab w:val="left" w:pos="5400"/>
          <w:tab w:val="left" w:pos="6840"/>
        </w:tabs>
        <w:ind w:firstLine="480"/>
        <w:rPr>
          <w:color w:val="auto"/>
          <w:highlight w:val="none"/>
          <w:lang w:eastAsia="zh-CN"/>
        </w:rPr>
      </w:pPr>
      <w:r>
        <w:rPr>
          <w:rFonts w:hint="eastAsia"/>
          <w:color w:val="auto"/>
          <w:highlight w:val="none"/>
          <w:lang w:eastAsia="zh-CN"/>
        </w:rPr>
        <w:t>工艺包供货范围为改良SBR一体化设备集成系统边界内，所有工艺设备、阀门、自控仪表设备、智能控制系统（软硬件）、管材管件、低压配电柜、现场控制箱、按钮箱、仪表箱、支吊架、桥架、穿线管、电缆及设备首次运行所必需的添加剂（包括第一次运行所用润滑油、脂等，不含药剂）。</w:t>
      </w:r>
    </w:p>
    <w:p w14:paraId="5F27291E">
      <w:pPr>
        <w:tabs>
          <w:tab w:val="left" w:pos="1680"/>
          <w:tab w:val="left" w:pos="3960"/>
          <w:tab w:val="left" w:pos="5400"/>
          <w:tab w:val="left" w:pos="6840"/>
        </w:tabs>
        <w:ind w:firstLine="482"/>
        <w:rPr>
          <w:b/>
          <w:color w:val="auto"/>
          <w:highlight w:val="none"/>
          <w:lang w:eastAsia="zh-CN"/>
        </w:rPr>
      </w:pPr>
      <w:r>
        <w:rPr>
          <w:rFonts w:hint="eastAsia"/>
          <w:b/>
          <w:color w:val="auto"/>
          <w:highlight w:val="none"/>
          <w:lang w:eastAsia="zh-CN"/>
        </w:rPr>
        <w:t>考虑设备安装地点以及进水特性，室外设备应考虑加盖并保温，设备内所有集成设施接水部分应耐1</w:t>
      </w:r>
      <w:r>
        <w:rPr>
          <w:b/>
          <w:color w:val="auto"/>
          <w:highlight w:val="none"/>
          <w:lang w:eastAsia="zh-CN"/>
        </w:rPr>
        <w:t>000</w:t>
      </w:r>
      <w:r>
        <w:rPr>
          <w:rFonts w:hint="eastAsia"/>
          <w:b/>
          <w:color w:val="auto"/>
          <w:highlight w:val="none"/>
          <w:lang w:eastAsia="zh-CN"/>
        </w:rPr>
        <w:t>mg/L以内的氯离子腐蚀，同时提供主罐体耐受1</w:t>
      </w:r>
      <w:r>
        <w:rPr>
          <w:b/>
          <w:color w:val="auto"/>
          <w:highlight w:val="none"/>
          <w:lang w:eastAsia="zh-CN"/>
        </w:rPr>
        <w:t>000</w:t>
      </w:r>
      <w:r>
        <w:rPr>
          <w:rFonts w:hint="eastAsia"/>
          <w:b/>
          <w:color w:val="auto"/>
          <w:highlight w:val="none"/>
          <w:lang w:eastAsia="zh-CN"/>
        </w:rPr>
        <w:t>mg/L以内氯离子腐蚀的佐证材料。</w:t>
      </w:r>
    </w:p>
    <w:p w14:paraId="7B99C268">
      <w:pPr>
        <w:pStyle w:val="3"/>
        <w:rPr>
          <w:rFonts w:hint="eastAsia"/>
          <w:color w:val="auto"/>
          <w:highlight w:val="none"/>
          <w:lang w:val="en-US" w:eastAsia="zh-CN"/>
        </w:rPr>
      </w:pPr>
      <w:bookmarkStart w:id="830" w:name="_Toc179309206"/>
      <w:bookmarkStart w:id="831" w:name="_Toc174609827"/>
      <w:r>
        <w:rPr>
          <w:rFonts w:hint="eastAsia"/>
          <w:color w:val="auto"/>
          <w:highlight w:val="none"/>
          <w:lang w:val="en-US" w:eastAsia="zh-CN"/>
        </w:rPr>
        <w:t>2.1.3.2技术要求</w:t>
      </w:r>
      <w:bookmarkEnd w:id="830"/>
      <w:bookmarkEnd w:id="831"/>
    </w:p>
    <w:p w14:paraId="53B05F68">
      <w:pPr>
        <w:pStyle w:val="3"/>
        <w:rPr>
          <w:rFonts w:hint="eastAsia"/>
          <w:color w:val="auto"/>
          <w:highlight w:val="none"/>
          <w:lang w:val="en-US" w:eastAsia="zh-CN"/>
        </w:rPr>
      </w:pPr>
      <w:bookmarkStart w:id="832" w:name="_Toc179309210"/>
      <w:r>
        <w:rPr>
          <w:rFonts w:hint="eastAsia"/>
          <w:color w:val="auto"/>
          <w:highlight w:val="none"/>
          <w:lang w:val="en-US" w:eastAsia="zh-CN"/>
        </w:rPr>
        <w:t>2.1.3.2.1系统及性能参数要求</w:t>
      </w:r>
      <w:bookmarkEnd w:id="832"/>
    </w:p>
    <w:p w14:paraId="52BAD24F">
      <w:pPr>
        <w:tabs>
          <w:tab w:val="left" w:pos="567"/>
        </w:tabs>
        <w:ind w:firstLine="480"/>
        <w:rPr>
          <w:color w:val="auto"/>
          <w:highlight w:val="none"/>
          <w:lang w:eastAsia="zh-CN"/>
        </w:rPr>
      </w:pPr>
      <w:r>
        <w:rPr>
          <w:rFonts w:hint="eastAsia"/>
          <w:color w:val="auto"/>
          <w:highlight w:val="none"/>
          <w:lang w:eastAsia="zh-CN"/>
        </w:rPr>
        <w:t>改良SBR一体化设备集成系统由系统性能工艺包厂家成套供应（不可拆分），包含设计优化、设备采购及系统集成供货、安装、调试服务及必要的技术服务，确保达到本项目设计进出水水质性能要求。</w:t>
      </w:r>
    </w:p>
    <w:p w14:paraId="678ED720">
      <w:pPr>
        <w:tabs>
          <w:tab w:val="left" w:pos="567"/>
        </w:tabs>
        <w:ind w:firstLine="480"/>
        <w:rPr>
          <w:color w:val="auto"/>
          <w:highlight w:val="none"/>
          <w:lang w:eastAsia="zh-CN"/>
        </w:rPr>
      </w:pPr>
      <w:r>
        <w:rPr>
          <w:rFonts w:hint="eastAsia"/>
          <w:color w:val="auto"/>
          <w:highlight w:val="none"/>
          <w:lang w:eastAsia="zh-CN"/>
        </w:rPr>
        <w:t>工艺设计参数</w:t>
      </w:r>
    </w:p>
    <w:p w14:paraId="260C60BD">
      <w:pPr>
        <w:tabs>
          <w:tab w:val="left" w:pos="567"/>
        </w:tabs>
        <w:ind w:firstLine="480"/>
        <w:rPr>
          <w:color w:val="auto"/>
          <w:highlight w:val="none"/>
          <w:lang w:eastAsia="zh-CN"/>
        </w:rPr>
      </w:pPr>
      <w:r>
        <w:rPr>
          <w:rFonts w:hint="eastAsia"/>
          <w:color w:val="auto"/>
          <w:highlight w:val="none"/>
          <w:lang w:eastAsia="zh-CN"/>
        </w:rPr>
        <w:t>建设方式：钢结构，瓷釉复合材料装配</w:t>
      </w:r>
    </w:p>
    <w:p w14:paraId="31CFBD7F">
      <w:pPr>
        <w:tabs>
          <w:tab w:val="left" w:pos="567"/>
        </w:tabs>
        <w:ind w:firstLine="480"/>
        <w:rPr>
          <w:color w:val="auto"/>
          <w:highlight w:val="none"/>
          <w:lang w:eastAsia="zh-CN"/>
        </w:rPr>
      </w:pPr>
      <w:r>
        <w:rPr>
          <w:rFonts w:hint="eastAsia"/>
          <w:color w:val="auto"/>
          <w:highlight w:val="none"/>
          <w:lang w:eastAsia="zh-CN"/>
        </w:rPr>
        <w:t>系统数量：4座</w:t>
      </w:r>
    </w:p>
    <w:p w14:paraId="058DFCF0">
      <w:pPr>
        <w:tabs>
          <w:tab w:val="left" w:pos="567"/>
        </w:tabs>
        <w:ind w:firstLine="480"/>
        <w:rPr>
          <w:color w:val="auto"/>
          <w:highlight w:val="none"/>
          <w:lang w:eastAsia="zh-CN"/>
        </w:rPr>
      </w:pPr>
      <w:r>
        <w:rPr>
          <w:rFonts w:hint="eastAsia" w:ascii="宋体" w:hAnsi="宋体" w:cs="宋体"/>
          <w:color w:val="auto"/>
          <w:highlight w:val="none"/>
          <w:lang w:eastAsia="zh-CN"/>
        </w:rPr>
        <w:t>★</w:t>
      </w:r>
      <w:r>
        <w:rPr>
          <w:rFonts w:hint="eastAsia"/>
          <w:color w:val="auto"/>
          <w:highlight w:val="none"/>
          <w:lang w:eastAsia="zh-CN"/>
        </w:rPr>
        <w:t>水力停留时间：约16h（含沉淀段）</w:t>
      </w:r>
    </w:p>
    <w:p w14:paraId="5C9D1F1C">
      <w:pPr>
        <w:ind w:firstLine="480"/>
        <w:rPr>
          <w:rFonts w:hint="eastAsia"/>
          <w:color w:val="auto"/>
          <w:highlight w:val="none"/>
          <w:lang w:eastAsia="zh-CN"/>
        </w:rPr>
      </w:pPr>
      <w:r>
        <w:rPr>
          <w:rFonts w:hint="eastAsia" w:ascii="宋体" w:hAnsi="宋体" w:cs="宋体"/>
          <w:color w:val="auto"/>
          <w:highlight w:val="none"/>
          <w:lang w:eastAsia="zh-CN"/>
        </w:rPr>
        <w:t>★</w:t>
      </w:r>
      <w:r>
        <w:rPr>
          <w:rFonts w:hint="eastAsia" w:cs="宋体"/>
          <w:color w:val="auto"/>
          <w:highlight w:val="none"/>
          <w:lang w:eastAsia="zh-CN"/>
        </w:rPr>
        <w:t>罐体正常使用寿命≥30年。</w:t>
      </w:r>
    </w:p>
    <w:p w14:paraId="649335E0">
      <w:pPr>
        <w:pStyle w:val="3"/>
        <w:rPr>
          <w:rFonts w:hint="eastAsia"/>
          <w:color w:val="auto"/>
          <w:highlight w:val="none"/>
          <w:lang w:val="en-US" w:eastAsia="zh-CN"/>
        </w:rPr>
      </w:pPr>
      <w:r>
        <w:rPr>
          <w:rFonts w:hint="eastAsia"/>
          <w:color w:val="auto"/>
          <w:highlight w:val="none"/>
          <w:lang w:val="en-US" w:eastAsia="zh-CN"/>
        </w:rPr>
        <w:t>2.1.4</w:t>
      </w:r>
      <w:r>
        <w:rPr>
          <w:rFonts w:hint="eastAsia"/>
          <w:color w:val="auto"/>
          <w:highlight w:val="none"/>
          <w:lang w:val="en-US" w:eastAsia="zh-CN"/>
        </w:rPr>
        <w:fldChar w:fldCharType="begin"/>
      </w:r>
      <w:r>
        <w:rPr>
          <w:rFonts w:hint="eastAsia"/>
          <w:color w:val="auto"/>
          <w:highlight w:val="none"/>
          <w:lang w:val="en-US" w:eastAsia="zh-CN"/>
        </w:rPr>
        <w:instrText xml:space="preserve"> HYPERLINK \l "_Toc135410368" </w:instrText>
      </w:r>
      <w:r>
        <w:rPr>
          <w:rFonts w:hint="eastAsia"/>
          <w:color w:val="auto"/>
          <w:highlight w:val="none"/>
          <w:lang w:val="en-US" w:eastAsia="zh-CN"/>
        </w:rPr>
        <w:fldChar w:fldCharType="separate"/>
      </w:r>
      <w:bookmarkStart w:id="833" w:name="_Toc191280722"/>
      <w:r>
        <w:rPr>
          <w:rFonts w:hint="eastAsia"/>
          <w:color w:val="auto"/>
          <w:highlight w:val="none"/>
          <w:lang w:val="en-US" w:eastAsia="zh-CN"/>
        </w:rPr>
        <w:t>臭氧发生间</w:t>
      </w:r>
      <w:r>
        <w:rPr>
          <w:rFonts w:hint="eastAsia"/>
          <w:color w:val="auto"/>
          <w:highlight w:val="none"/>
          <w:lang w:val="en-US" w:eastAsia="zh-CN"/>
        </w:rPr>
        <w:fldChar w:fldCharType="end"/>
      </w:r>
      <w:r>
        <w:rPr>
          <w:rFonts w:hint="eastAsia"/>
          <w:color w:val="auto"/>
          <w:highlight w:val="none"/>
          <w:lang w:val="en-US" w:eastAsia="zh-CN"/>
        </w:rPr>
        <w:t>及臭氧反应塔</w:t>
      </w:r>
      <w:bookmarkEnd w:id="833"/>
    </w:p>
    <w:p w14:paraId="2420DCFD">
      <w:pPr>
        <w:pStyle w:val="3"/>
        <w:rPr>
          <w:rFonts w:hint="eastAsia"/>
          <w:color w:val="auto"/>
          <w:highlight w:val="none"/>
          <w:lang w:val="en-US" w:eastAsia="zh-CN"/>
        </w:rPr>
      </w:pPr>
      <w:r>
        <w:rPr>
          <w:rFonts w:hint="eastAsia"/>
          <w:color w:val="auto"/>
          <w:highlight w:val="none"/>
          <w:lang w:val="en-US" w:eastAsia="zh-CN"/>
        </w:rPr>
        <w:t>2.1.4.1设备技术要求</w:t>
      </w:r>
    </w:p>
    <w:p w14:paraId="794E9F97">
      <w:pPr>
        <w:ind w:firstLine="482"/>
        <w:rPr>
          <w:b/>
          <w:color w:val="auto"/>
          <w:highlight w:val="none"/>
          <w:lang w:eastAsia="zh-CN"/>
        </w:rPr>
      </w:pPr>
      <w:r>
        <w:rPr>
          <w:rFonts w:hint="eastAsia"/>
          <w:b/>
          <w:color w:val="auto"/>
          <w:highlight w:val="none"/>
          <w:lang w:eastAsia="zh-CN"/>
        </w:rPr>
        <w:t>所供设备内所有过水部件应耐1000mg/L以内的氯离子腐蚀。</w:t>
      </w:r>
    </w:p>
    <w:p w14:paraId="7FDB3202">
      <w:pPr>
        <w:ind w:firstLine="480"/>
        <w:jc w:val="both"/>
        <w:rPr>
          <w:rFonts w:ascii="Times New Roman" w:hAnsi="Times New Roman"/>
          <w:color w:val="auto"/>
          <w:kern w:val="2"/>
          <w:szCs w:val="24"/>
          <w:highlight w:val="none"/>
          <w:lang w:eastAsia="zh-CN"/>
        </w:rPr>
      </w:pPr>
      <w:r>
        <w:rPr>
          <w:rFonts w:ascii="Times New Roman" w:hAnsi="Times New Roman"/>
          <w:color w:val="auto"/>
          <w:kern w:val="2"/>
          <w:szCs w:val="24"/>
          <w:highlight w:val="none"/>
          <w:lang w:eastAsia="zh-CN"/>
        </w:rPr>
        <w:t>A.氧气源，每台臭氧发生器产臭氧浓度≥10wt%，冷却水温度25℃时，产量≥设计值，单机调节范围10-100%，臭氧发生浓度必须在0%-7%之间可调，最大限度的降低用户的运行成本。</w:t>
      </w:r>
    </w:p>
    <w:p w14:paraId="51D086A7">
      <w:pPr>
        <w:ind w:firstLine="480"/>
        <w:jc w:val="both"/>
        <w:rPr>
          <w:rFonts w:ascii="Times New Roman" w:hAnsi="Times New Roman"/>
          <w:color w:val="auto"/>
          <w:kern w:val="2"/>
          <w:szCs w:val="24"/>
          <w:highlight w:val="none"/>
          <w:lang w:eastAsia="zh-CN"/>
        </w:rPr>
      </w:pPr>
      <w:r>
        <w:rPr>
          <w:rFonts w:ascii="Times New Roman" w:hAnsi="Times New Roman"/>
          <w:color w:val="auto"/>
          <w:kern w:val="2"/>
          <w:szCs w:val="24"/>
          <w:highlight w:val="none"/>
          <w:lang w:eastAsia="zh-CN"/>
        </w:rPr>
        <w:t>B．臭氧发生器应采取必要的措施，</w:t>
      </w:r>
      <w:r>
        <w:rPr>
          <w:rFonts w:hint="eastAsia" w:ascii="Times New Roman" w:hAnsi="Times New Roman"/>
          <w:color w:val="auto"/>
          <w:kern w:val="2"/>
          <w:szCs w:val="24"/>
          <w:highlight w:val="none"/>
          <w:lang w:eastAsia="zh-CN"/>
        </w:rPr>
        <w:t>保证任何一根放电管被击穿时</w:t>
      </w:r>
      <w:r>
        <w:rPr>
          <w:rFonts w:ascii="Times New Roman" w:hAnsi="Times New Roman"/>
          <w:color w:val="auto"/>
          <w:kern w:val="2"/>
          <w:szCs w:val="24"/>
          <w:highlight w:val="none"/>
          <w:lang w:eastAsia="zh-CN"/>
        </w:rPr>
        <w:t>，系统仍可以继续运行，不能由于部分放电管的损坏而使系统停机。</w:t>
      </w:r>
    </w:p>
    <w:p w14:paraId="4D7BF561">
      <w:pPr>
        <w:ind w:firstLine="482"/>
        <w:jc w:val="both"/>
        <w:rPr>
          <w:rFonts w:ascii="Times New Roman" w:hAnsi="Times New Roman"/>
          <w:b/>
          <w:color w:val="auto"/>
          <w:kern w:val="2"/>
          <w:szCs w:val="24"/>
          <w:highlight w:val="none"/>
          <w:lang w:eastAsia="zh-CN"/>
        </w:rPr>
      </w:pPr>
      <w:r>
        <w:rPr>
          <w:rFonts w:hint="eastAsia" w:ascii="Times New Roman" w:hAnsi="Times New Roman"/>
          <w:b/>
          <w:color w:val="auto"/>
          <w:kern w:val="2"/>
          <w:szCs w:val="24"/>
          <w:highlight w:val="none"/>
          <w:lang w:eastAsia="zh-CN"/>
        </w:rPr>
        <w:t>C</w:t>
      </w:r>
      <w:r>
        <w:rPr>
          <w:rFonts w:ascii="Times New Roman" w:hAnsi="Times New Roman"/>
          <w:b/>
          <w:color w:val="auto"/>
          <w:kern w:val="2"/>
          <w:szCs w:val="24"/>
          <w:highlight w:val="none"/>
          <w:lang w:eastAsia="zh-CN"/>
        </w:rPr>
        <w:t>．臭氧发生器气源以设计为准，冷却方式为水冷却，与循环冷却水接触的热交换器的材质不低于SS316。内循环冷却水为一次充装，补水管道根据现场条件设置。设备正常使用时，内循环水不消耗，但因各地水质情况不同，需定期检修并更换内循环水，检修周期一般为6-12个月，系统配置内循环泵。</w:t>
      </w:r>
    </w:p>
    <w:p w14:paraId="05321038">
      <w:pPr>
        <w:widowControl/>
        <w:ind w:firstLine="480"/>
        <w:rPr>
          <w:rFonts w:ascii="Times New Roman" w:hAnsi="Times New Roman"/>
          <w:color w:val="auto"/>
          <w:kern w:val="2"/>
          <w:szCs w:val="24"/>
          <w:highlight w:val="none"/>
          <w:lang w:eastAsia="zh-CN"/>
        </w:rPr>
      </w:pPr>
      <w:r>
        <w:rPr>
          <w:rFonts w:hint="eastAsia" w:ascii="Times New Roman" w:hAnsi="Times New Roman"/>
          <w:color w:val="auto"/>
          <w:kern w:val="2"/>
          <w:szCs w:val="24"/>
          <w:highlight w:val="none"/>
          <w:lang w:eastAsia="zh-CN"/>
        </w:rPr>
        <w:t>D</w:t>
      </w:r>
      <w:r>
        <w:rPr>
          <w:rFonts w:ascii="Times New Roman" w:hAnsi="Times New Roman"/>
          <w:color w:val="auto"/>
          <w:kern w:val="2"/>
          <w:szCs w:val="24"/>
          <w:highlight w:val="none"/>
          <w:lang w:eastAsia="zh-CN"/>
        </w:rPr>
        <w:t>．</w:t>
      </w:r>
      <w:r>
        <w:rPr>
          <w:rFonts w:ascii="Times New Roman" w:hAnsi="Times New Roman"/>
          <w:color w:val="auto"/>
          <w:kern w:val="2"/>
          <w:szCs w:val="24"/>
          <w:highlight w:val="none"/>
          <w:lang w:eastAsia="zh-CN" w:bidi="ar"/>
        </w:rPr>
        <w:t>臭氧发生器最重要的部分是臭氧放电管，采用的是先进的玻璃 臭氧放电管，外电极采用 316L 材质。 设备本体采用不锈钢耐臭氧材料、PTFE （聚四氟乙烯）制造，提高了系统的长期运行可靠性。放电管数量在设计时留有 10%的余量，可抵消不可预见放电管污染等带来的效率降低。</w:t>
      </w:r>
    </w:p>
    <w:p w14:paraId="1B9672AB">
      <w:pPr>
        <w:ind w:firstLine="480"/>
        <w:jc w:val="both"/>
        <w:rPr>
          <w:rFonts w:ascii="Times New Roman" w:hAnsi="Times New Roman"/>
          <w:color w:val="auto"/>
          <w:kern w:val="2"/>
          <w:szCs w:val="24"/>
          <w:highlight w:val="none"/>
          <w:lang w:eastAsia="zh-CN"/>
        </w:rPr>
      </w:pPr>
      <w:r>
        <w:rPr>
          <w:rFonts w:hint="eastAsia" w:ascii="Times New Roman" w:hAnsi="Times New Roman"/>
          <w:color w:val="auto"/>
          <w:kern w:val="2"/>
          <w:szCs w:val="24"/>
          <w:highlight w:val="none"/>
          <w:lang w:eastAsia="zh-CN"/>
        </w:rPr>
        <w:t>E</w:t>
      </w:r>
      <w:r>
        <w:rPr>
          <w:rFonts w:ascii="Times New Roman" w:hAnsi="Times New Roman"/>
          <w:color w:val="auto"/>
          <w:kern w:val="2"/>
          <w:szCs w:val="24"/>
          <w:highlight w:val="none"/>
          <w:lang w:eastAsia="zh-CN"/>
        </w:rPr>
        <w:t>．臭氧发生器的放电管组件要经过必要的测试，并提供测试报告。</w:t>
      </w:r>
      <w:r>
        <w:rPr>
          <w:rFonts w:ascii="Times New Roman" w:hAnsi="Times New Roman"/>
          <w:b/>
          <w:color w:val="auto"/>
          <w:kern w:val="2"/>
          <w:szCs w:val="24"/>
          <w:highlight w:val="none"/>
          <w:lang w:eastAsia="zh-CN"/>
        </w:rPr>
        <w:t>放电管5年内</w:t>
      </w:r>
      <w:r>
        <w:rPr>
          <w:rFonts w:hint="eastAsia" w:ascii="Times New Roman" w:hAnsi="Times New Roman"/>
          <w:b/>
          <w:color w:val="auto"/>
          <w:kern w:val="2"/>
          <w:szCs w:val="24"/>
          <w:highlight w:val="none"/>
          <w:lang w:eastAsia="zh-CN"/>
        </w:rPr>
        <w:t>因质量问题</w:t>
      </w:r>
      <w:r>
        <w:rPr>
          <w:rFonts w:ascii="Times New Roman" w:hAnsi="Times New Roman"/>
          <w:b/>
          <w:color w:val="auto"/>
          <w:kern w:val="2"/>
          <w:szCs w:val="24"/>
          <w:highlight w:val="none"/>
          <w:lang w:eastAsia="zh-CN"/>
        </w:rPr>
        <w:t>如有损坏，投标方必须无条件免费更换。</w:t>
      </w:r>
    </w:p>
    <w:p w14:paraId="527CC50A">
      <w:pPr>
        <w:ind w:firstLine="480"/>
        <w:jc w:val="both"/>
        <w:rPr>
          <w:rFonts w:ascii="Times New Roman" w:hAnsi="Times New Roman"/>
          <w:color w:val="auto"/>
          <w:kern w:val="2"/>
          <w:szCs w:val="24"/>
          <w:highlight w:val="none"/>
          <w:lang w:eastAsia="zh-CN"/>
        </w:rPr>
      </w:pPr>
      <w:r>
        <w:rPr>
          <w:rFonts w:hint="eastAsia" w:ascii="Times New Roman" w:hAnsi="Times New Roman"/>
          <w:color w:val="auto"/>
          <w:kern w:val="2"/>
          <w:szCs w:val="24"/>
          <w:highlight w:val="none"/>
          <w:lang w:eastAsia="zh-CN"/>
        </w:rPr>
        <w:t>F</w:t>
      </w:r>
      <w:r>
        <w:rPr>
          <w:rFonts w:ascii="Times New Roman" w:hAnsi="Times New Roman"/>
          <w:color w:val="auto"/>
          <w:kern w:val="2"/>
          <w:szCs w:val="24"/>
          <w:highlight w:val="none"/>
          <w:lang w:eastAsia="zh-CN"/>
        </w:rPr>
        <w:t>．所有重要的工艺参数，如冷却水流量</w:t>
      </w:r>
      <w:r>
        <w:rPr>
          <w:rFonts w:hint="eastAsia" w:ascii="Times New Roman" w:hAnsi="Times New Roman"/>
          <w:color w:val="auto"/>
          <w:kern w:val="2"/>
          <w:szCs w:val="24"/>
          <w:highlight w:val="none"/>
          <w:lang w:eastAsia="zh-CN"/>
        </w:rPr>
        <w:t>状态</w:t>
      </w:r>
      <w:r>
        <w:rPr>
          <w:rFonts w:ascii="Times New Roman" w:hAnsi="Times New Roman"/>
          <w:color w:val="auto"/>
          <w:kern w:val="2"/>
          <w:szCs w:val="24"/>
          <w:highlight w:val="none"/>
          <w:lang w:eastAsia="zh-CN"/>
        </w:rPr>
        <w:t>、气体流量、压力和温度都能被控制，如果发生故障，可在显示屏显示简明信息。</w:t>
      </w:r>
    </w:p>
    <w:p w14:paraId="67002A55">
      <w:pPr>
        <w:ind w:firstLine="480"/>
        <w:jc w:val="both"/>
        <w:rPr>
          <w:rFonts w:ascii="Times New Roman" w:hAnsi="Times New Roman"/>
          <w:color w:val="auto"/>
          <w:kern w:val="2"/>
          <w:szCs w:val="24"/>
          <w:highlight w:val="none"/>
          <w:lang w:eastAsia="zh-CN"/>
        </w:rPr>
      </w:pPr>
      <w:r>
        <w:rPr>
          <w:rFonts w:hint="eastAsia" w:ascii="Times New Roman" w:hAnsi="Times New Roman"/>
          <w:color w:val="auto"/>
          <w:kern w:val="2"/>
          <w:szCs w:val="24"/>
          <w:highlight w:val="none"/>
          <w:lang w:eastAsia="zh-CN"/>
        </w:rPr>
        <w:t>G</w:t>
      </w:r>
      <w:r>
        <w:rPr>
          <w:rFonts w:ascii="Times New Roman" w:hAnsi="Times New Roman"/>
          <w:color w:val="auto"/>
          <w:kern w:val="2"/>
          <w:szCs w:val="24"/>
          <w:highlight w:val="none"/>
          <w:lang w:eastAsia="zh-CN"/>
        </w:rPr>
        <w:t>．臭氧发生器系统包括臭氧发生器、PLC控制系统、热催化的臭氧破坏器等都需要在出厂前测试，发生器必须经过最大发生量的测试，并提供工厂测试报告。</w:t>
      </w:r>
    </w:p>
    <w:p w14:paraId="6F4CDF3A">
      <w:pPr>
        <w:ind w:firstLine="480"/>
        <w:rPr>
          <w:color w:val="auto"/>
          <w:highlight w:val="none"/>
          <w:lang w:eastAsia="zh-CN"/>
        </w:rPr>
      </w:pPr>
    </w:p>
    <w:p w14:paraId="71E8C380">
      <w:pPr>
        <w:pStyle w:val="3"/>
        <w:rPr>
          <w:rFonts w:hint="eastAsia"/>
          <w:color w:val="auto"/>
          <w:highlight w:val="none"/>
          <w:lang w:val="en-US" w:eastAsia="zh-CN"/>
        </w:rPr>
      </w:pPr>
      <w:bookmarkStart w:id="834" w:name="_Toc191280723"/>
      <w:r>
        <w:rPr>
          <w:rFonts w:hint="eastAsia"/>
          <w:color w:val="auto"/>
          <w:highlight w:val="none"/>
          <w:lang w:val="en-US" w:eastAsia="zh-CN"/>
        </w:rPr>
        <w:t>2.1.5污泥脱水间</w:t>
      </w:r>
      <w:bookmarkEnd w:id="834"/>
    </w:p>
    <w:p w14:paraId="2EE28C17">
      <w:pPr>
        <w:ind w:firstLine="482"/>
        <w:rPr>
          <w:color w:val="auto"/>
          <w:highlight w:val="none"/>
          <w:lang w:eastAsia="zh-CN"/>
        </w:rPr>
      </w:pPr>
      <w:r>
        <w:rPr>
          <w:rFonts w:hint="eastAsia"/>
          <w:b/>
          <w:color w:val="auto"/>
          <w:highlight w:val="none"/>
          <w:lang w:eastAsia="zh-CN"/>
        </w:rPr>
        <w:t>所供设备内所有过水部件应耐1000mg/L以内的氯离子腐蚀。</w:t>
      </w:r>
    </w:p>
    <w:p w14:paraId="65F118C3">
      <w:pPr>
        <w:pStyle w:val="3"/>
        <w:rPr>
          <w:rFonts w:hint="eastAsia"/>
          <w:color w:val="auto"/>
          <w:highlight w:val="none"/>
          <w:lang w:val="en-US" w:eastAsia="zh-CN"/>
        </w:rPr>
      </w:pPr>
      <w:r>
        <w:rPr>
          <w:rFonts w:hint="eastAsia"/>
          <w:color w:val="auto"/>
          <w:highlight w:val="none"/>
          <w:lang w:val="en-US" w:eastAsia="zh-CN"/>
        </w:rPr>
        <w:t>2.1.5.1污泥脱水系统</w:t>
      </w:r>
    </w:p>
    <w:p w14:paraId="2268614D">
      <w:pPr>
        <w:ind w:firstLine="480"/>
        <w:rPr>
          <w:color w:val="auto"/>
          <w:highlight w:val="none"/>
        </w:rPr>
      </w:pPr>
      <w:r>
        <w:rPr>
          <w:rFonts w:hint="eastAsia"/>
          <w:color w:val="auto"/>
          <w:highlight w:val="none"/>
          <w:lang w:eastAsia="zh-CN"/>
        </w:rPr>
        <w:t>系统</w:t>
      </w:r>
      <w:r>
        <w:rPr>
          <w:rFonts w:hint="eastAsia"/>
          <w:color w:val="auto"/>
          <w:highlight w:val="none"/>
        </w:rPr>
        <w:t>包含但不限于：</w:t>
      </w:r>
    </w:p>
    <w:p w14:paraId="2CB550A6">
      <w:pPr>
        <w:ind w:firstLine="480"/>
        <w:rPr>
          <w:color w:val="auto"/>
          <w:highlight w:val="none"/>
          <w:lang w:eastAsia="zh-CN"/>
        </w:rPr>
      </w:pPr>
      <w:r>
        <w:rPr>
          <w:rFonts w:hint="eastAsia"/>
          <w:color w:val="auto"/>
          <w:highlight w:val="none"/>
          <w:lang w:eastAsia="zh-CN"/>
        </w:rPr>
        <w:t>1)</w:t>
      </w:r>
      <w:r>
        <w:rPr>
          <w:rFonts w:hint="eastAsia"/>
          <w:color w:val="auto"/>
          <w:highlight w:val="none"/>
          <w:lang w:eastAsia="zh-CN"/>
        </w:rPr>
        <w:tab/>
      </w:r>
      <w:r>
        <w:rPr>
          <w:rFonts w:hint="eastAsia"/>
          <w:color w:val="auto"/>
          <w:highlight w:val="none"/>
          <w:lang w:eastAsia="zh-CN"/>
        </w:rPr>
        <w:t>污泥收集系统、污泥浓缩系统、污泥调理及加药系统、板框压滤脱水系统、压缩空气系统、出泥输送、污泥料仓系统，投标方提供各系统所有设备（包括地脚螺栓、螺母、垫片，其中预埋螺栓除外）、阀门、仪表及仪表安装材料、控制系统、电气设备（包括电机、接线箱所配格兰头）及其它必要附件。</w:t>
      </w:r>
    </w:p>
    <w:p w14:paraId="42B0D2EA">
      <w:pPr>
        <w:ind w:firstLine="480"/>
        <w:rPr>
          <w:color w:val="auto"/>
          <w:highlight w:val="none"/>
          <w:lang w:eastAsia="zh-CN"/>
        </w:rPr>
      </w:pPr>
      <w:r>
        <w:rPr>
          <w:rFonts w:hint="eastAsia"/>
          <w:color w:val="auto"/>
          <w:highlight w:val="none"/>
          <w:lang w:eastAsia="zh-CN"/>
        </w:rPr>
        <w:t>2)</w:t>
      </w:r>
      <w:r>
        <w:rPr>
          <w:rFonts w:hint="eastAsia"/>
          <w:color w:val="auto"/>
          <w:highlight w:val="none"/>
          <w:lang w:eastAsia="zh-CN"/>
        </w:rPr>
        <w:tab/>
      </w:r>
      <w:r>
        <w:rPr>
          <w:rFonts w:hint="eastAsia"/>
          <w:color w:val="auto"/>
          <w:highlight w:val="none"/>
          <w:lang w:eastAsia="zh-CN"/>
        </w:rPr>
        <w:t>单体设备（不含仪表、阀门）与对应的电控柜（箱）之间的线缆。</w:t>
      </w:r>
    </w:p>
    <w:p w14:paraId="48777A51">
      <w:pPr>
        <w:ind w:firstLine="480"/>
        <w:rPr>
          <w:color w:val="auto"/>
          <w:highlight w:val="none"/>
          <w:lang w:eastAsia="zh-CN"/>
        </w:rPr>
      </w:pPr>
      <w:r>
        <w:rPr>
          <w:rFonts w:hint="eastAsia"/>
          <w:color w:val="auto"/>
          <w:highlight w:val="none"/>
          <w:lang w:eastAsia="zh-CN"/>
        </w:rPr>
        <w:t>3)</w:t>
      </w:r>
      <w:r>
        <w:rPr>
          <w:rFonts w:hint="eastAsia"/>
          <w:color w:val="auto"/>
          <w:highlight w:val="none"/>
          <w:lang w:eastAsia="zh-CN"/>
        </w:rPr>
        <w:tab/>
      </w:r>
      <w:r>
        <w:rPr>
          <w:rFonts w:hint="eastAsia"/>
          <w:color w:val="auto"/>
          <w:highlight w:val="none"/>
          <w:lang w:eastAsia="zh-CN"/>
        </w:rPr>
        <w:t>投标方负责系统内各专业的施工图设计提资，并提供P&amp;ID图。</w:t>
      </w:r>
    </w:p>
    <w:p w14:paraId="549FA404">
      <w:pPr>
        <w:pStyle w:val="3"/>
        <w:rPr>
          <w:rFonts w:hint="eastAsia"/>
          <w:color w:val="auto"/>
          <w:highlight w:val="none"/>
          <w:lang w:val="en-US" w:eastAsia="zh-CN"/>
        </w:rPr>
      </w:pPr>
      <w:r>
        <w:rPr>
          <w:rFonts w:hint="eastAsia"/>
          <w:color w:val="auto"/>
          <w:highlight w:val="none"/>
          <w:lang w:val="en-US" w:eastAsia="zh-CN"/>
        </w:rPr>
        <w:t>2.1.5.2技术要求</w:t>
      </w:r>
    </w:p>
    <w:p w14:paraId="249AB31B">
      <w:pPr>
        <w:ind w:firstLine="480"/>
        <w:rPr>
          <w:color w:val="auto"/>
          <w:highlight w:val="none"/>
        </w:rPr>
      </w:pPr>
      <w:r>
        <w:rPr>
          <w:rFonts w:hint="eastAsia"/>
          <w:color w:val="auto"/>
          <w:highlight w:val="none"/>
          <w:lang w:eastAsia="zh-CN"/>
        </w:rPr>
        <w:t>A.</w:t>
      </w:r>
      <w:r>
        <w:rPr>
          <w:rFonts w:hint="eastAsia"/>
          <w:color w:val="auto"/>
          <w:highlight w:val="none"/>
        </w:rPr>
        <w:t>工艺要求</w:t>
      </w:r>
    </w:p>
    <w:p w14:paraId="12631B1A">
      <w:pPr>
        <w:ind w:firstLine="480"/>
        <w:rPr>
          <w:color w:val="auto"/>
          <w:highlight w:val="none"/>
          <w:lang w:eastAsia="zh-CN"/>
        </w:rPr>
      </w:pPr>
      <w:r>
        <w:rPr>
          <w:rFonts w:hint="eastAsia"/>
          <w:color w:val="auto"/>
          <w:highlight w:val="none"/>
          <w:lang w:eastAsia="zh-CN"/>
        </w:rPr>
        <w:t>在限定的工作时间内（两台板框每天工作时间不大于12小时，三台及以上板框每天工作时间不大于16小时）。</w:t>
      </w:r>
    </w:p>
    <w:p w14:paraId="66BA307D">
      <w:pPr>
        <w:ind w:firstLine="480"/>
        <w:rPr>
          <w:color w:val="auto"/>
          <w:highlight w:val="none"/>
          <w:lang w:eastAsia="zh-CN"/>
        </w:rPr>
      </w:pPr>
    </w:p>
    <w:p w14:paraId="72AE325A">
      <w:pPr>
        <w:pStyle w:val="3"/>
        <w:rPr>
          <w:rFonts w:hint="eastAsia"/>
          <w:color w:val="auto"/>
          <w:highlight w:val="none"/>
          <w:lang w:val="en-US" w:eastAsia="zh-CN"/>
        </w:rPr>
      </w:pPr>
      <w:bookmarkStart w:id="835" w:name="_Toc191280724"/>
      <w:r>
        <w:rPr>
          <w:rFonts w:hint="eastAsia"/>
          <w:color w:val="auto"/>
          <w:highlight w:val="none"/>
          <w:lang w:val="en-US" w:eastAsia="zh-CN"/>
        </w:rPr>
        <w:t>2.1.6加药间</w:t>
      </w:r>
      <w:bookmarkEnd w:id="835"/>
    </w:p>
    <w:p w14:paraId="7259CED7">
      <w:pPr>
        <w:pStyle w:val="3"/>
        <w:rPr>
          <w:rFonts w:hint="eastAsia"/>
          <w:color w:val="auto"/>
          <w:highlight w:val="none"/>
          <w:lang w:val="en-US" w:eastAsia="zh-CN"/>
        </w:rPr>
      </w:pPr>
      <w:r>
        <w:rPr>
          <w:rFonts w:hint="eastAsia"/>
          <w:color w:val="auto"/>
          <w:highlight w:val="none"/>
          <w:lang w:val="en-US" w:eastAsia="zh-CN"/>
        </w:rPr>
        <w:t>2.1.6.1加药系统</w:t>
      </w:r>
    </w:p>
    <w:p w14:paraId="26656EF7">
      <w:pPr>
        <w:ind w:firstLine="480"/>
        <w:rPr>
          <w:color w:val="auto"/>
          <w:highlight w:val="none"/>
        </w:rPr>
      </w:pPr>
      <w:r>
        <w:rPr>
          <w:rFonts w:hint="eastAsia"/>
          <w:color w:val="auto"/>
          <w:highlight w:val="none"/>
        </w:rPr>
        <w:t>2技术要求</w:t>
      </w:r>
    </w:p>
    <w:p w14:paraId="6E4FEDC7">
      <w:pPr>
        <w:ind w:firstLine="480"/>
        <w:rPr>
          <w:color w:val="auto"/>
          <w:highlight w:val="none"/>
        </w:rPr>
      </w:pPr>
      <w:r>
        <w:rPr>
          <w:rFonts w:hint="eastAsia"/>
          <w:color w:val="auto"/>
          <w:highlight w:val="none"/>
        </w:rPr>
        <w:t>1）加药计量泵</w:t>
      </w:r>
    </w:p>
    <w:p w14:paraId="351A564C">
      <w:pPr>
        <w:ind w:firstLine="480"/>
        <w:rPr>
          <w:color w:val="auto"/>
          <w:highlight w:val="none"/>
          <w:lang w:eastAsia="zh-CN"/>
        </w:rPr>
      </w:pPr>
      <w:r>
        <w:rPr>
          <w:rFonts w:hint="eastAsia"/>
          <w:color w:val="auto"/>
          <w:highlight w:val="none"/>
          <w:lang w:eastAsia="zh-CN"/>
        </w:rPr>
        <w:t>采用电机驱动隔膜计量泵，自动调节频率和冲程，调节范围在10～100%，精度±2％。全封闭风冷电机3P，380V，50Hz，防护等级IP55。计量泵隔膜驱动采用可变偏心机构驱动，运动应平稳无冲击，不得采用弹簧返回式驱动。无故障运行时间不小于20000小时。</w:t>
      </w:r>
    </w:p>
    <w:p w14:paraId="0888AAF5">
      <w:pPr>
        <w:ind w:firstLine="480"/>
        <w:rPr>
          <w:color w:val="auto"/>
          <w:highlight w:val="none"/>
          <w:lang w:eastAsia="zh-CN"/>
        </w:rPr>
      </w:pPr>
      <w:r>
        <w:rPr>
          <w:rFonts w:hint="eastAsia"/>
          <w:color w:val="auto"/>
          <w:highlight w:val="none"/>
          <w:lang w:eastAsia="zh-CN"/>
        </w:rPr>
        <w:t>2）储罐</w:t>
      </w:r>
    </w:p>
    <w:p w14:paraId="5E880C2B">
      <w:pPr>
        <w:ind w:firstLine="480"/>
        <w:rPr>
          <w:color w:val="auto"/>
          <w:highlight w:val="none"/>
          <w:lang w:eastAsia="zh-CN"/>
        </w:rPr>
      </w:pPr>
      <w:r>
        <w:rPr>
          <w:rFonts w:hint="eastAsia"/>
          <w:color w:val="auto"/>
          <w:highlight w:val="none"/>
          <w:lang w:eastAsia="zh-CN"/>
        </w:rPr>
        <w:t>采用PE材质，并配套液位监测装置。当储罐高于4米时，应配套爬梯及护栏，方便检修及维护工作。</w:t>
      </w:r>
    </w:p>
    <w:p w14:paraId="3AE06C48">
      <w:pPr>
        <w:ind w:firstLine="480"/>
        <w:rPr>
          <w:color w:val="auto"/>
          <w:highlight w:val="none"/>
          <w:lang w:eastAsia="zh-CN"/>
        </w:rPr>
      </w:pPr>
      <w:r>
        <w:rPr>
          <w:rFonts w:hint="eastAsia"/>
          <w:color w:val="auto"/>
          <w:highlight w:val="none"/>
          <w:lang w:eastAsia="zh-CN"/>
        </w:rPr>
        <w:t>3）控制系统</w:t>
      </w:r>
    </w:p>
    <w:p w14:paraId="2B7DB4B2">
      <w:pPr>
        <w:ind w:firstLine="480"/>
        <w:rPr>
          <w:color w:val="auto"/>
          <w:highlight w:val="none"/>
          <w:lang w:eastAsia="zh-CN"/>
        </w:rPr>
      </w:pPr>
      <w:r>
        <w:rPr>
          <w:rFonts w:hint="eastAsia"/>
          <w:color w:val="auto"/>
          <w:highlight w:val="none"/>
          <w:lang w:eastAsia="zh-CN"/>
        </w:rPr>
        <w:t xml:space="preserve">加药系统电柜需对系统内设备进行配电及控制，并收集系统内仪表数据。 </w:t>
      </w:r>
    </w:p>
    <w:p w14:paraId="4F566530">
      <w:pPr>
        <w:ind w:firstLine="480"/>
        <w:rPr>
          <w:color w:val="auto"/>
          <w:highlight w:val="none"/>
          <w:lang w:eastAsia="zh-CN"/>
        </w:rPr>
      </w:pPr>
      <w:r>
        <w:rPr>
          <w:rFonts w:hint="eastAsia"/>
          <w:color w:val="auto"/>
          <w:highlight w:val="none"/>
          <w:lang w:eastAsia="zh-CN"/>
        </w:rPr>
        <w:t>PLC数字量输入输出采用中继隔离，模拟量输入输出采用信号隔离器隔离，配置信号防雷器。</w:t>
      </w:r>
    </w:p>
    <w:p w14:paraId="11742B78">
      <w:pPr>
        <w:ind w:firstLine="480"/>
        <w:rPr>
          <w:color w:val="auto"/>
          <w:highlight w:val="none"/>
          <w:lang w:eastAsia="zh-CN"/>
        </w:rPr>
      </w:pPr>
      <w:r>
        <w:rPr>
          <w:rFonts w:hint="eastAsia"/>
          <w:color w:val="auto"/>
          <w:highlight w:val="none"/>
          <w:lang w:eastAsia="zh-CN"/>
        </w:rPr>
        <w:t>配套以太网交换机满足系统自身使用要求外，预留至少1个以太网口（光纤或者双绞线）接口，符合TCP/IP协议，并配合厂区内上级管控系统接入。</w:t>
      </w:r>
    </w:p>
    <w:p w14:paraId="760A1076">
      <w:pPr>
        <w:pStyle w:val="3"/>
        <w:rPr>
          <w:rFonts w:hint="eastAsia"/>
          <w:color w:val="auto"/>
          <w:highlight w:val="none"/>
          <w:lang w:val="en-US" w:eastAsia="zh-CN"/>
        </w:rPr>
      </w:pPr>
    </w:p>
    <w:p w14:paraId="2A03F0D2">
      <w:pPr>
        <w:pStyle w:val="3"/>
        <w:rPr>
          <w:rFonts w:hint="eastAsia"/>
          <w:color w:val="auto"/>
          <w:highlight w:val="none"/>
          <w:lang w:val="en-US" w:eastAsia="zh-CN"/>
        </w:rPr>
      </w:pPr>
      <w:bookmarkStart w:id="836" w:name="_Toc191280725"/>
      <w:r>
        <w:rPr>
          <w:rFonts w:hint="eastAsia"/>
          <w:color w:val="auto"/>
          <w:highlight w:val="none"/>
          <w:lang w:val="en-US" w:eastAsia="zh-CN"/>
        </w:rPr>
        <w:t>2.1.7粉末活性炭投加系统</w:t>
      </w:r>
      <w:bookmarkEnd w:id="836"/>
    </w:p>
    <w:p w14:paraId="64C36457">
      <w:pPr>
        <w:pStyle w:val="3"/>
        <w:rPr>
          <w:rFonts w:hint="eastAsia"/>
          <w:color w:val="auto"/>
          <w:highlight w:val="none"/>
          <w:lang w:val="en-US" w:eastAsia="zh-CN"/>
        </w:rPr>
      </w:pPr>
      <w:r>
        <w:rPr>
          <w:rFonts w:hint="eastAsia"/>
          <w:color w:val="auto"/>
          <w:highlight w:val="none"/>
          <w:lang w:val="en-US" w:eastAsia="zh-CN"/>
        </w:rPr>
        <w:t>2.1.7.1供货范围</w:t>
      </w:r>
    </w:p>
    <w:p w14:paraId="394E8972">
      <w:pPr>
        <w:ind w:firstLine="480"/>
        <w:rPr>
          <w:color w:val="auto"/>
          <w:highlight w:val="none"/>
          <w:lang w:eastAsia="zh-CN"/>
        </w:rPr>
      </w:pPr>
      <w:r>
        <w:rPr>
          <w:rFonts w:hint="eastAsia"/>
          <w:color w:val="auto"/>
          <w:highlight w:val="none"/>
          <w:lang w:eastAsia="zh-CN"/>
        </w:rPr>
        <w:t>投标方供货内容包括但不限于以下内容：</w:t>
      </w:r>
      <w:r>
        <w:rPr>
          <w:rFonts w:hint="eastAsia" w:ascii="宋体" w:hAnsi="宋体" w:cs="宋体"/>
          <w:bCs/>
          <w:snapToGrid w:val="0"/>
          <w:color w:val="auto"/>
          <w:szCs w:val="21"/>
          <w:highlight w:val="none"/>
          <w:lang w:eastAsia="zh-CN"/>
        </w:rPr>
        <w:t>干粉料仓、</w:t>
      </w:r>
      <w:r>
        <w:rPr>
          <w:rFonts w:hint="eastAsia" w:ascii="宋体" w:hAnsi="宋体" w:cs="宋体"/>
          <w:bCs/>
          <w:color w:val="auto"/>
          <w:szCs w:val="21"/>
          <w:highlight w:val="none"/>
          <w:lang w:eastAsia="zh-CN"/>
        </w:rPr>
        <w:t>除尘器、安全阀、浸润下料及高速射流单元、空气压缩机</w:t>
      </w:r>
      <w:r>
        <w:rPr>
          <w:rFonts w:hint="eastAsia"/>
          <w:color w:val="auto"/>
          <w:highlight w:val="none"/>
          <w:lang w:eastAsia="zh-CN"/>
        </w:rPr>
        <w:t>、电控系统等。</w:t>
      </w:r>
    </w:p>
    <w:p w14:paraId="178E8D64">
      <w:pPr>
        <w:pStyle w:val="3"/>
        <w:rPr>
          <w:rFonts w:hint="eastAsia"/>
          <w:color w:val="auto"/>
          <w:highlight w:val="none"/>
          <w:lang w:val="en-US" w:eastAsia="zh-CN"/>
        </w:rPr>
      </w:pPr>
      <w:bookmarkStart w:id="837" w:name="_Toc21085"/>
      <w:bookmarkStart w:id="838" w:name="_Toc15753"/>
      <w:r>
        <w:rPr>
          <w:rFonts w:hint="eastAsia"/>
          <w:color w:val="auto"/>
          <w:highlight w:val="none"/>
          <w:lang w:val="en-US" w:eastAsia="zh-CN"/>
        </w:rPr>
        <w:t>2.1.7.2系统控制说明</w:t>
      </w:r>
      <w:bookmarkEnd w:id="837"/>
      <w:bookmarkEnd w:id="838"/>
    </w:p>
    <w:p w14:paraId="01A11DA1">
      <w:pPr>
        <w:ind w:firstLine="480"/>
        <w:rPr>
          <w:rFonts w:hint="eastAsia" w:ascii="宋体" w:hAnsi="宋体" w:cs="宋体"/>
          <w:bCs/>
          <w:color w:val="auto"/>
          <w:szCs w:val="21"/>
          <w:highlight w:val="none"/>
          <w:lang w:eastAsia="zh-CN"/>
        </w:rPr>
      </w:pPr>
      <w:r>
        <w:rPr>
          <w:rFonts w:hint="eastAsia" w:ascii="宋体" w:hAnsi="宋体" w:cs="宋体"/>
          <w:bCs/>
          <w:color w:val="auto"/>
          <w:szCs w:val="21"/>
          <w:highlight w:val="none"/>
          <w:lang w:eastAsia="zh-CN"/>
        </w:rPr>
        <w:t>干法活性炭投加系统分为两个单元：螺旋送料控制单元和粉炭混合投加投加单元。系统控制由1个PLC控制柜组成，通过触摸屏进行人机交互，实现对设备工作状态的监测、操作，以及运行状态及参数的上传。</w:t>
      </w:r>
    </w:p>
    <w:p w14:paraId="23935709">
      <w:pPr>
        <w:ind w:firstLine="480"/>
        <w:rPr>
          <w:color w:val="auto"/>
          <w:highlight w:val="none"/>
          <w:lang w:eastAsia="zh-CN"/>
        </w:rPr>
      </w:pPr>
    </w:p>
    <w:p w14:paraId="2D9F5052">
      <w:pPr>
        <w:pStyle w:val="3"/>
        <w:rPr>
          <w:rFonts w:hint="eastAsia"/>
          <w:color w:val="auto"/>
          <w:highlight w:val="none"/>
          <w:lang w:val="en-US" w:eastAsia="zh-CN"/>
        </w:rPr>
      </w:pPr>
      <w:bookmarkStart w:id="839" w:name="_Toc191280726"/>
      <w:r>
        <w:rPr>
          <w:rFonts w:hint="eastAsia"/>
          <w:color w:val="auto"/>
          <w:highlight w:val="none"/>
          <w:lang w:val="en-US" w:eastAsia="zh-CN"/>
        </w:rPr>
        <w:t>2.1.8除臭系统</w:t>
      </w:r>
      <w:bookmarkEnd w:id="839"/>
    </w:p>
    <w:p w14:paraId="0A8227E6">
      <w:pPr>
        <w:ind w:firstLine="480"/>
        <w:rPr>
          <w:color w:val="auto"/>
          <w:highlight w:val="none"/>
        </w:rPr>
      </w:pPr>
      <w:r>
        <w:rPr>
          <w:rFonts w:hint="eastAsia"/>
          <w:color w:val="auto"/>
          <w:highlight w:val="none"/>
          <w:lang w:eastAsia="zh-CN"/>
        </w:rPr>
        <w:t>1.</w:t>
      </w:r>
      <w:r>
        <w:rPr>
          <w:rFonts w:hint="eastAsia"/>
          <w:color w:val="auto"/>
          <w:highlight w:val="none"/>
        </w:rPr>
        <w:t>除臭工艺</w:t>
      </w:r>
    </w:p>
    <w:p w14:paraId="3F737E58">
      <w:pPr>
        <w:ind w:firstLine="480"/>
        <w:rPr>
          <w:color w:val="auto"/>
          <w:highlight w:val="none"/>
          <w:lang w:eastAsia="zh-CN"/>
        </w:rPr>
      </w:pPr>
      <w:r>
        <w:rPr>
          <w:rFonts w:hint="eastAsia"/>
          <w:color w:val="auto"/>
          <w:highlight w:val="none"/>
          <w:lang w:eastAsia="zh-CN"/>
        </w:rPr>
        <w:t>系统要求采用离子法常温氧化除臭工艺设备，工艺流程如下：</w:t>
      </w:r>
    </w:p>
    <w:p w14:paraId="72A825FB">
      <w:pPr>
        <w:ind w:firstLine="480"/>
        <w:rPr>
          <w:color w:val="auto"/>
          <w:highlight w:val="none"/>
          <w:lang w:eastAsia="zh-CN"/>
        </w:rPr>
      </w:pPr>
      <w:r>
        <w:rPr>
          <w:rFonts w:hint="eastAsia"/>
          <w:color w:val="auto"/>
          <w:highlight w:val="none"/>
          <w:lang w:eastAsia="zh-CN"/>
        </w:rPr>
        <w:t>臭气密闭和收集——臭气输送——离子发生反应——离心风机——</w:t>
      </w:r>
      <w:r>
        <w:rPr>
          <w:rFonts w:hint="eastAsia"/>
          <w:color w:val="auto"/>
          <w:highlight w:val="none"/>
        </w:rPr>
        <w:t>活性炭吸附——</w:t>
      </w:r>
      <w:r>
        <w:rPr>
          <w:rFonts w:hint="eastAsia"/>
          <w:color w:val="auto"/>
          <w:highlight w:val="none"/>
          <w:lang w:eastAsia="zh-CN"/>
        </w:rPr>
        <w:t>达标后用管路向高空排放。</w:t>
      </w:r>
    </w:p>
    <w:p w14:paraId="7089312E">
      <w:pPr>
        <w:ind w:firstLine="480"/>
        <w:rPr>
          <w:color w:val="auto"/>
          <w:highlight w:val="none"/>
          <w:lang w:eastAsia="zh-CN"/>
        </w:rPr>
      </w:pPr>
      <w:r>
        <w:rPr>
          <w:rFonts w:hint="eastAsia"/>
          <w:color w:val="auto"/>
          <w:highlight w:val="none"/>
          <w:lang w:eastAsia="zh-CN"/>
        </w:rPr>
        <w:t>污水所产生的臭气经臭气收集系统收集后集中送至离子除臭装置</w:t>
      </w:r>
      <w:r>
        <w:rPr>
          <w:rFonts w:hint="eastAsia"/>
          <w:color w:val="auto"/>
          <w:highlight w:val="none"/>
        </w:rPr>
        <w:t>+活性炭吸附</w:t>
      </w:r>
      <w:r>
        <w:rPr>
          <w:rFonts w:hint="eastAsia"/>
          <w:color w:val="auto"/>
          <w:highlight w:val="none"/>
          <w:lang w:eastAsia="zh-CN"/>
        </w:rPr>
        <w:t>处理，</w:t>
      </w:r>
      <w:r>
        <w:rPr>
          <w:rFonts w:hint="eastAsia"/>
          <w:color w:val="auto"/>
          <w:highlight w:val="none"/>
        </w:rPr>
        <w:t>通过</w:t>
      </w:r>
      <w:r>
        <w:rPr>
          <w:rFonts w:hint="eastAsia"/>
          <w:color w:val="auto"/>
          <w:highlight w:val="none"/>
          <w:lang w:eastAsia="zh-CN"/>
        </w:rPr>
        <w:t>风机达标排放，风机与除臭装置配合设计选型。</w:t>
      </w:r>
    </w:p>
    <w:p w14:paraId="0DCC55D8">
      <w:pPr>
        <w:ind w:firstLine="480"/>
        <w:rPr>
          <w:color w:val="auto"/>
          <w:highlight w:val="none"/>
          <w:lang w:eastAsia="zh-CN"/>
        </w:rPr>
      </w:pPr>
      <w:r>
        <w:rPr>
          <w:rFonts w:hint="eastAsia"/>
          <w:color w:val="auto"/>
          <w:highlight w:val="none"/>
          <w:lang w:eastAsia="zh-CN"/>
        </w:rPr>
        <w:t>系统可采用自动化控制，无需专人值守，使用操作维护简便。</w:t>
      </w:r>
    </w:p>
    <w:p w14:paraId="5019353D">
      <w:pPr>
        <w:ind w:firstLine="480"/>
        <w:rPr>
          <w:color w:val="auto"/>
          <w:highlight w:val="none"/>
          <w:lang w:eastAsia="zh-CN"/>
        </w:rPr>
      </w:pPr>
      <w:r>
        <w:rPr>
          <w:rFonts w:hint="eastAsia"/>
          <w:color w:val="auto"/>
          <w:highlight w:val="none"/>
          <w:lang w:eastAsia="zh-CN"/>
        </w:rPr>
        <w:t>2.处理效果</w:t>
      </w:r>
    </w:p>
    <w:p w14:paraId="6A912A92">
      <w:pPr>
        <w:ind w:firstLine="480"/>
        <w:rPr>
          <w:color w:val="auto"/>
          <w:highlight w:val="none"/>
          <w:lang w:eastAsia="zh-CN"/>
        </w:rPr>
      </w:pPr>
      <w:r>
        <w:rPr>
          <w:rFonts w:hint="eastAsia"/>
          <w:color w:val="auto"/>
          <w:highlight w:val="none"/>
          <w:lang w:eastAsia="zh-CN"/>
        </w:rPr>
        <w:t>除臭设备的处理效果应符合环保要求。在正常工况及常规气象条件且本底值不超标情况下污染物气体中的氨气、硫化氢、臭气浓度经过处理后达到《恶臭污染物排放标准》（GB14554-1993）中15m高空排放标准（在排放口取样），同时在招标方除臭风管不存在泄漏等异常情况下，污染物气体中的氨气、硫化氢、臭气浓度经过处理后达到《恶臭污染物排放标准》（GB14554-1993）、《城镇污水处理厂污染物排放标准》（GB18918-2002）中二级标准(在厂界取样)。</w:t>
      </w:r>
    </w:p>
    <w:p w14:paraId="57B47CDB">
      <w:pPr>
        <w:pStyle w:val="3"/>
        <w:rPr>
          <w:rFonts w:hint="eastAsia"/>
          <w:color w:val="auto"/>
          <w:highlight w:val="none"/>
          <w:lang w:val="en-US" w:eastAsia="zh-CN"/>
        </w:rPr>
      </w:pPr>
      <w:bookmarkStart w:id="840" w:name="_Toc191280727"/>
      <w:bookmarkStart w:id="841" w:name="_Toc30065"/>
      <w:r>
        <w:rPr>
          <w:rFonts w:hint="eastAsia"/>
          <w:color w:val="auto"/>
          <w:highlight w:val="none"/>
          <w:lang w:val="en-US" w:eastAsia="zh-CN"/>
        </w:rPr>
        <w:t>2.2电气设备的相关要求</w:t>
      </w:r>
      <w:bookmarkEnd w:id="840"/>
      <w:bookmarkEnd w:id="841"/>
    </w:p>
    <w:p w14:paraId="4CC3D6A4">
      <w:pPr>
        <w:pStyle w:val="3"/>
        <w:rPr>
          <w:rFonts w:hint="eastAsia"/>
          <w:color w:val="auto"/>
          <w:highlight w:val="none"/>
          <w:lang w:val="en-US" w:eastAsia="zh-CN"/>
        </w:rPr>
      </w:pPr>
      <w:bookmarkStart w:id="842" w:name="_Toc191280728"/>
      <w:bookmarkStart w:id="843" w:name="_Toc29460"/>
      <w:r>
        <w:rPr>
          <w:rFonts w:hint="eastAsia"/>
          <w:color w:val="auto"/>
          <w:highlight w:val="none"/>
          <w:lang w:val="en-US" w:eastAsia="zh-CN"/>
        </w:rPr>
        <w:t>2.2.1供货范围</w:t>
      </w:r>
      <w:bookmarkEnd w:id="842"/>
      <w:bookmarkEnd w:id="843"/>
    </w:p>
    <w:p w14:paraId="284B04D6">
      <w:pPr>
        <w:ind w:firstLine="480"/>
        <w:jc w:val="both"/>
        <w:rPr>
          <w:rFonts w:ascii="Times New Roman" w:hAnsi="Times New Roman"/>
          <w:color w:val="auto"/>
          <w:kern w:val="2"/>
          <w:szCs w:val="24"/>
          <w:highlight w:val="none"/>
          <w:lang w:eastAsia="zh-CN"/>
        </w:rPr>
      </w:pPr>
      <w:r>
        <w:rPr>
          <w:rFonts w:hint="eastAsia" w:ascii="Times New Roman" w:hAnsi="Times New Roman"/>
          <w:color w:val="auto"/>
          <w:kern w:val="2"/>
          <w:szCs w:val="24"/>
          <w:highlight w:val="none"/>
          <w:lang w:eastAsia="zh-CN"/>
        </w:rPr>
        <w:t>投标方负责供货清单内所有中压配电设备及辅助设备、低压电气设备、各类三箱产品等设备及其元器件施工图设计、审图、制造、供应、安装、调试运转。</w:t>
      </w:r>
    </w:p>
    <w:p w14:paraId="35381B6B">
      <w:pPr>
        <w:pStyle w:val="5"/>
        <w:rPr>
          <w:color w:val="auto"/>
          <w:highlight w:val="none"/>
          <w:lang w:eastAsia="zh-CN"/>
        </w:rPr>
      </w:pPr>
      <w:bookmarkStart w:id="844" w:name="_Toc191280729"/>
      <w:r>
        <w:rPr>
          <w:rFonts w:hint="eastAsia"/>
          <w:color w:val="auto"/>
          <w:highlight w:val="none"/>
          <w:lang w:val="en-US" w:eastAsia="zh-CN"/>
        </w:rPr>
        <w:t>2.2.2</w:t>
      </w:r>
      <w:r>
        <w:rPr>
          <w:rFonts w:hint="eastAsia"/>
          <w:color w:val="auto"/>
          <w:highlight w:val="none"/>
          <w:lang w:eastAsia="zh-CN"/>
        </w:rPr>
        <w:t>主要电气设备技术要求</w:t>
      </w:r>
      <w:bookmarkEnd w:id="844"/>
    </w:p>
    <w:p w14:paraId="42F5B71D">
      <w:pPr>
        <w:ind w:firstLine="480"/>
        <w:jc w:val="both"/>
        <w:rPr>
          <w:rFonts w:ascii="Times New Roman" w:hAnsi="Times New Roman"/>
          <w:color w:val="auto"/>
          <w:kern w:val="2"/>
          <w:szCs w:val="24"/>
          <w:highlight w:val="none"/>
          <w:lang w:val="zh-CN" w:eastAsia="zh-CN"/>
        </w:rPr>
      </w:pPr>
      <w:r>
        <w:rPr>
          <w:rFonts w:hint="eastAsia" w:ascii="Times New Roman" w:hAnsi="Times New Roman"/>
          <w:color w:val="auto"/>
          <w:kern w:val="2"/>
          <w:szCs w:val="24"/>
          <w:highlight w:val="none"/>
          <w:lang w:val="zh-CN" w:eastAsia="zh-CN"/>
        </w:rPr>
        <w:t>（1）高压开关柜</w:t>
      </w:r>
    </w:p>
    <w:p w14:paraId="012E2C90">
      <w:pPr>
        <w:ind w:firstLine="480"/>
        <w:jc w:val="both"/>
        <w:rPr>
          <w:rFonts w:ascii="Times New Roman" w:hAnsi="Times New Roman"/>
          <w:color w:val="auto"/>
          <w:kern w:val="2"/>
          <w:szCs w:val="24"/>
          <w:highlight w:val="none"/>
          <w:lang w:val="zh-CN" w:eastAsia="zh-CN"/>
        </w:rPr>
      </w:pPr>
      <w:r>
        <w:rPr>
          <w:rFonts w:hint="eastAsia" w:ascii="Times New Roman" w:hAnsi="Times New Roman"/>
          <w:color w:val="auto"/>
          <w:kern w:val="2"/>
          <w:szCs w:val="24"/>
          <w:highlight w:val="none"/>
          <w:lang w:val="zh-CN" w:eastAsia="zh-CN"/>
        </w:rPr>
        <w:t>高压开关柜采用金属铠装中置式开关设备，断路器选用无电晕真空断路器， 可靠性高，使用寿命长，断路器操作方便并且免维修，手车自动对位装置，使手车推进极为方便，具有高性能的机械联锁和电气联锁，安全可靠。具有性能优良、安全可靠、美观大方、占 地面积小等特点。</w:t>
      </w:r>
    </w:p>
    <w:p w14:paraId="683FA10F">
      <w:pPr>
        <w:ind w:firstLine="480"/>
        <w:jc w:val="both"/>
        <w:rPr>
          <w:rFonts w:ascii="Times New Roman" w:hAnsi="Times New Roman"/>
          <w:color w:val="auto"/>
          <w:kern w:val="2"/>
          <w:szCs w:val="24"/>
          <w:highlight w:val="none"/>
          <w:lang w:val="zh-CN" w:eastAsia="zh-CN"/>
        </w:rPr>
      </w:pPr>
      <w:r>
        <w:rPr>
          <w:rFonts w:hint="eastAsia" w:ascii="Times New Roman" w:hAnsi="Times New Roman"/>
          <w:color w:val="auto"/>
          <w:kern w:val="2"/>
          <w:szCs w:val="24"/>
          <w:highlight w:val="none"/>
          <w:lang w:val="zh-CN" w:eastAsia="zh-CN"/>
        </w:rPr>
        <w:t>（2）低压开关柜</w:t>
      </w:r>
    </w:p>
    <w:p w14:paraId="3CCA384D">
      <w:pPr>
        <w:ind w:firstLine="480"/>
        <w:jc w:val="both"/>
        <w:rPr>
          <w:rFonts w:ascii="Times New Roman" w:hAnsi="Times New Roman"/>
          <w:color w:val="auto"/>
          <w:kern w:val="2"/>
          <w:szCs w:val="24"/>
          <w:highlight w:val="none"/>
          <w:lang w:val="zh-CN" w:eastAsia="zh-CN"/>
        </w:rPr>
      </w:pPr>
      <w:r>
        <w:rPr>
          <w:rFonts w:hint="eastAsia" w:ascii="Times New Roman" w:hAnsi="Times New Roman"/>
          <w:color w:val="auto"/>
          <w:kern w:val="2"/>
          <w:szCs w:val="24"/>
          <w:highlight w:val="none"/>
          <w:lang w:val="zh-CN" w:eastAsia="zh-CN"/>
        </w:rPr>
        <w:t>低压开关柜采用结构新颖的组合式抽屉式开关柜，产品技术性能符合 IEC439 等标准，柜体采用全模数组合，组装灵活，组柜简单，功能分隔明确， 具有广泛地适应性，独特的组合结构，产品可靠性高，抽屉互换性好，结构紧凑，占地少，维护检修方便，便于操作维护。</w:t>
      </w:r>
    </w:p>
    <w:p w14:paraId="5296FA71">
      <w:pPr>
        <w:ind w:firstLine="480"/>
        <w:jc w:val="both"/>
        <w:rPr>
          <w:rFonts w:ascii="Times New Roman" w:hAnsi="Times New Roman"/>
          <w:color w:val="auto"/>
          <w:kern w:val="2"/>
          <w:szCs w:val="24"/>
          <w:highlight w:val="none"/>
          <w:lang w:val="zh-CN" w:eastAsia="zh-CN"/>
        </w:rPr>
      </w:pPr>
      <w:r>
        <w:rPr>
          <w:rFonts w:hint="eastAsia" w:ascii="Times New Roman" w:hAnsi="Times New Roman"/>
          <w:color w:val="auto"/>
          <w:kern w:val="2"/>
          <w:szCs w:val="24"/>
          <w:highlight w:val="none"/>
          <w:lang w:val="zh-CN" w:eastAsia="zh-CN"/>
        </w:rPr>
        <w:t>（3）电力变压器</w:t>
      </w:r>
    </w:p>
    <w:p w14:paraId="4CB2FCD8">
      <w:pPr>
        <w:ind w:firstLine="480"/>
        <w:jc w:val="both"/>
        <w:rPr>
          <w:rFonts w:ascii="Times New Roman" w:hAnsi="Times New Roman"/>
          <w:color w:val="auto"/>
          <w:kern w:val="2"/>
          <w:szCs w:val="24"/>
          <w:highlight w:val="none"/>
          <w:lang w:val="zh-CN" w:eastAsia="zh-CN"/>
        </w:rPr>
      </w:pPr>
      <w:r>
        <w:rPr>
          <w:rFonts w:hint="eastAsia" w:ascii="Times New Roman" w:hAnsi="Times New Roman"/>
          <w:color w:val="auto"/>
          <w:kern w:val="2"/>
          <w:szCs w:val="24"/>
          <w:highlight w:val="none"/>
          <w:lang w:val="zh-CN" w:eastAsia="zh-CN"/>
        </w:rPr>
        <w:t>10/0.4KV 变压器采用 SCB</w:t>
      </w:r>
      <w:r>
        <w:rPr>
          <w:rFonts w:hint="eastAsia" w:ascii="Times New Roman" w:hAnsi="Times New Roman"/>
          <w:color w:val="auto"/>
          <w:kern w:val="2"/>
          <w:szCs w:val="24"/>
          <w:highlight w:val="none"/>
          <w:lang w:eastAsia="zh-CN"/>
        </w:rPr>
        <w:t>14</w:t>
      </w:r>
      <w:r>
        <w:rPr>
          <w:rFonts w:hint="eastAsia" w:ascii="Times New Roman" w:hAnsi="Times New Roman"/>
          <w:color w:val="auto"/>
          <w:kern w:val="2"/>
          <w:szCs w:val="24"/>
          <w:highlight w:val="none"/>
          <w:lang w:val="zh-CN" w:eastAsia="zh-CN"/>
        </w:rPr>
        <w:t xml:space="preserve"> 型干式变压器</w:t>
      </w:r>
      <w:r>
        <w:rPr>
          <w:rFonts w:hint="eastAsia" w:ascii="Times New Roman" w:hAnsi="Times New Roman"/>
          <w:color w:val="auto"/>
          <w:kern w:val="2"/>
          <w:szCs w:val="24"/>
          <w:highlight w:val="none"/>
          <w:lang w:eastAsia="zh-CN"/>
        </w:rPr>
        <w:t>或更优</w:t>
      </w:r>
      <w:r>
        <w:rPr>
          <w:rFonts w:hint="eastAsia" w:ascii="Times New Roman" w:hAnsi="Times New Roman"/>
          <w:color w:val="auto"/>
          <w:kern w:val="2"/>
          <w:szCs w:val="24"/>
          <w:highlight w:val="none"/>
          <w:lang w:val="zh-CN" w:eastAsia="zh-CN"/>
        </w:rPr>
        <w:t>。变压器线卷采用高真空浇注， 环氧树脂绝缘， 铁心采用优质硅钢片精制产品工作稳定、效率高，具有良好的防火、防潮、防盐雾以及耐雷电冲 击的能力。</w:t>
      </w:r>
    </w:p>
    <w:p w14:paraId="66D2B74D">
      <w:pPr>
        <w:pStyle w:val="5"/>
        <w:rPr>
          <w:rFonts w:hint="eastAsia"/>
          <w:color w:val="auto"/>
          <w:highlight w:val="none"/>
          <w:lang w:val="zh-CN" w:eastAsia="zh-CN"/>
        </w:rPr>
      </w:pPr>
      <w:bookmarkStart w:id="845" w:name="_Toc191280730"/>
      <w:r>
        <w:rPr>
          <w:rFonts w:hint="eastAsia"/>
          <w:color w:val="auto"/>
          <w:highlight w:val="none"/>
          <w:lang w:val="en-US" w:eastAsia="zh-CN"/>
        </w:rPr>
        <w:t>2.2.3保护方式</w:t>
      </w:r>
      <w:bookmarkEnd w:id="845"/>
    </w:p>
    <w:p w14:paraId="0F3A242D">
      <w:pPr>
        <w:ind w:firstLine="480"/>
        <w:jc w:val="both"/>
        <w:rPr>
          <w:rFonts w:ascii="Times New Roman" w:hAnsi="Times New Roman"/>
          <w:color w:val="auto"/>
          <w:kern w:val="2"/>
          <w:szCs w:val="24"/>
          <w:highlight w:val="none"/>
          <w:lang w:val="zh-CN" w:eastAsia="zh-CN"/>
        </w:rPr>
      </w:pPr>
      <w:r>
        <w:rPr>
          <w:rFonts w:hint="eastAsia" w:ascii="Times New Roman" w:hAnsi="Times New Roman"/>
          <w:color w:val="auto"/>
          <w:kern w:val="2"/>
          <w:szCs w:val="24"/>
          <w:highlight w:val="none"/>
          <w:lang w:val="zh-CN" w:eastAsia="zh-CN"/>
        </w:rPr>
        <w:t>高压电源进线采用带时限电流速断保护、过电流保护及接地保护。</w:t>
      </w:r>
    </w:p>
    <w:p w14:paraId="76DFE7D0">
      <w:pPr>
        <w:ind w:firstLine="480"/>
        <w:jc w:val="both"/>
        <w:rPr>
          <w:rFonts w:ascii="Times New Roman" w:hAnsi="Times New Roman"/>
          <w:color w:val="auto"/>
          <w:kern w:val="2"/>
          <w:szCs w:val="24"/>
          <w:highlight w:val="none"/>
          <w:lang w:val="zh-CN" w:eastAsia="zh-CN"/>
        </w:rPr>
      </w:pPr>
      <w:r>
        <w:rPr>
          <w:rFonts w:hint="eastAsia" w:ascii="Times New Roman" w:hAnsi="Times New Roman"/>
          <w:color w:val="auto"/>
          <w:kern w:val="2"/>
          <w:szCs w:val="24"/>
          <w:highlight w:val="none"/>
          <w:lang w:val="zh-CN" w:eastAsia="zh-CN"/>
        </w:rPr>
        <w:t>变压器采用电流速断、过电流、温度、单相接地保护。</w:t>
      </w:r>
    </w:p>
    <w:p w14:paraId="53887AE0">
      <w:pPr>
        <w:ind w:firstLine="480"/>
        <w:jc w:val="both"/>
        <w:rPr>
          <w:rFonts w:ascii="Times New Roman" w:hAnsi="Times New Roman"/>
          <w:color w:val="auto"/>
          <w:kern w:val="2"/>
          <w:szCs w:val="24"/>
          <w:highlight w:val="none"/>
          <w:lang w:val="zh-CN" w:eastAsia="zh-CN"/>
        </w:rPr>
      </w:pPr>
      <w:r>
        <w:rPr>
          <w:rFonts w:hint="eastAsia" w:ascii="Times New Roman" w:hAnsi="Times New Roman"/>
          <w:color w:val="auto"/>
          <w:kern w:val="2"/>
          <w:szCs w:val="24"/>
          <w:highlight w:val="none"/>
          <w:lang w:val="zh-CN" w:eastAsia="zh-CN"/>
        </w:rPr>
        <w:t>高压母线联络开关采用电流速断保护，合闸瞬间投入，合闸后解除。</w:t>
      </w:r>
    </w:p>
    <w:p w14:paraId="77CCEB1C">
      <w:pPr>
        <w:ind w:firstLine="480"/>
        <w:jc w:val="both"/>
        <w:rPr>
          <w:rFonts w:ascii="Times New Roman" w:hAnsi="Times New Roman"/>
          <w:color w:val="auto"/>
          <w:kern w:val="2"/>
          <w:szCs w:val="24"/>
          <w:highlight w:val="none"/>
          <w:lang w:val="zh-CN" w:eastAsia="zh-CN"/>
        </w:rPr>
      </w:pPr>
      <w:r>
        <w:rPr>
          <w:rFonts w:hint="eastAsia" w:ascii="Times New Roman" w:hAnsi="Times New Roman"/>
          <w:color w:val="auto"/>
          <w:kern w:val="2"/>
          <w:szCs w:val="24"/>
          <w:highlight w:val="none"/>
          <w:lang w:val="zh-CN" w:eastAsia="zh-CN"/>
        </w:rPr>
        <w:t>低压进线总开关采用短路速断保护、过负荷保护、单相接地保护。</w:t>
      </w:r>
    </w:p>
    <w:p w14:paraId="1244C136">
      <w:pPr>
        <w:ind w:firstLine="480"/>
        <w:jc w:val="both"/>
        <w:rPr>
          <w:rFonts w:ascii="Times New Roman" w:hAnsi="Times New Roman"/>
          <w:color w:val="auto"/>
          <w:kern w:val="2"/>
          <w:szCs w:val="24"/>
          <w:highlight w:val="none"/>
          <w:lang w:val="zh-CN" w:eastAsia="zh-CN"/>
        </w:rPr>
      </w:pPr>
      <w:r>
        <w:rPr>
          <w:rFonts w:hint="eastAsia" w:ascii="Times New Roman" w:hAnsi="Times New Roman"/>
          <w:color w:val="auto"/>
          <w:kern w:val="2"/>
          <w:szCs w:val="24"/>
          <w:highlight w:val="none"/>
          <w:lang w:val="zh-CN" w:eastAsia="zh-CN"/>
        </w:rPr>
        <w:t>低压用电设备及馈线回路设置速断及过载保护。</w:t>
      </w:r>
    </w:p>
    <w:p w14:paraId="62B340D3">
      <w:pPr>
        <w:ind w:firstLine="480"/>
        <w:jc w:val="both"/>
        <w:rPr>
          <w:rFonts w:ascii="Times New Roman" w:hAnsi="Times New Roman"/>
          <w:color w:val="auto"/>
          <w:kern w:val="2"/>
          <w:szCs w:val="24"/>
          <w:highlight w:val="none"/>
          <w:lang w:val="zh-CN" w:eastAsia="zh-CN"/>
        </w:rPr>
      </w:pPr>
      <w:r>
        <w:rPr>
          <w:rFonts w:hint="eastAsia" w:ascii="Times New Roman" w:hAnsi="Times New Roman"/>
          <w:color w:val="auto"/>
          <w:kern w:val="2"/>
          <w:szCs w:val="24"/>
          <w:highlight w:val="none"/>
          <w:lang w:val="zh-CN" w:eastAsia="zh-CN"/>
        </w:rPr>
        <w:t>10kV 高压系统操作电源采用直流 220V 直流屏。</w:t>
      </w:r>
    </w:p>
    <w:p w14:paraId="6AFD1F18">
      <w:pPr>
        <w:pStyle w:val="5"/>
        <w:rPr>
          <w:rFonts w:hint="eastAsia"/>
          <w:color w:val="auto"/>
          <w:highlight w:val="none"/>
          <w:lang w:val="en-US" w:eastAsia="zh-CN"/>
        </w:rPr>
      </w:pPr>
      <w:bookmarkStart w:id="846" w:name="_Toc5182"/>
      <w:bookmarkStart w:id="847" w:name="_Toc191280731"/>
      <w:r>
        <w:rPr>
          <w:rFonts w:hint="eastAsia"/>
          <w:color w:val="auto"/>
          <w:highlight w:val="none"/>
          <w:lang w:val="en-US" w:eastAsia="zh-CN"/>
        </w:rPr>
        <w:t>2.3仪表自控设备的相关要求</w:t>
      </w:r>
      <w:bookmarkEnd w:id="846"/>
      <w:bookmarkEnd w:id="847"/>
    </w:p>
    <w:p w14:paraId="52E88071">
      <w:pPr>
        <w:ind w:left="10" w:leftChars="4" w:firstLine="480"/>
        <w:rPr>
          <w:rFonts w:hint="eastAsia" w:hAnsi="宋体" w:cs="宋体"/>
          <w:color w:val="auto"/>
          <w:szCs w:val="24"/>
          <w:highlight w:val="none"/>
          <w:lang w:eastAsia="zh-CN"/>
        </w:rPr>
      </w:pPr>
      <w:bookmarkStart w:id="848" w:name="_Toc13472499"/>
      <w:r>
        <w:rPr>
          <w:rFonts w:hint="eastAsia" w:ascii="宋体" w:hAnsi="宋体" w:cs="宋体"/>
          <w:color w:val="auto"/>
          <w:szCs w:val="24"/>
          <w:highlight w:val="none"/>
          <w:lang w:eastAsia="zh-CN"/>
        </w:rPr>
        <w:t>本工程所涉及到的仪表供货，包括调试等相关现场服务；本工程所涉及到的PLC控制系统的集成；中控室内设备的安装、调试，视频监控系统的指导安装、调试，其它设备为指导安装</w:t>
      </w:r>
      <w:bookmarkEnd w:id="848"/>
      <w:r>
        <w:rPr>
          <w:rFonts w:hint="eastAsia" w:ascii="宋体" w:hAnsi="宋体" w:cs="宋体"/>
          <w:color w:val="auto"/>
          <w:szCs w:val="24"/>
          <w:highlight w:val="none"/>
          <w:lang w:val="en-US" w:eastAsia="zh-CN"/>
        </w:rPr>
        <w:t>。</w:t>
      </w:r>
    </w:p>
    <w:p w14:paraId="3D2650BB">
      <w:pPr>
        <w:ind w:firstLine="480"/>
        <w:rPr>
          <w:color w:val="auto"/>
          <w:highlight w:val="none"/>
          <w:lang w:eastAsia="zh-CN"/>
        </w:rPr>
      </w:pPr>
    </w:p>
    <w:p w14:paraId="647BECD8">
      <w:pPr>
        <w:pStyle w:val="114"/>
        <w:spacing w:after="156" w:line="300" w:lineRule="auto"/>
        <w:jc w:val="both"/>
        <w:outlineLvl w:val="2"/>
        <w:rPr>
          <w:rFonts w:hint="eastAsia" w:ascii="仿宋" w:hAnsi="仿宋" w:eastAsia="仿宋" w:cs="仿宋"/>
          <w:b/>
          <w:color w:val="auto"/>
          <w:sz w:val="44"/>
          <w:szCs w:val="44"/>
          <w:highlight w:val="none"/>
        </w:rPr>
      </w:pPr>
      <w:r>
        <w:rPr>
          <w:rFonts w:hint="eastAsia" w:ascii="仿宋" w:hAnsi="仿宋" w:eastAsia="仿宋" w:cs="仿宋"/>
          <w:color w:val="auto"/>
          <w:szCs w:val="21"/>
          <w:highlight w:val="none"/>
        </w:rPr>
        <w:br w:type="page"/>
      </w:r>
      <w:r>
        <w:rPr>
          <w:rFonts w:hint="eastAsia" w:ascii="仿宋" w:hAnsi="仿宋" w:eastAsia="仿宋" w:cs="仿宋"/>
          <w:b/>
          <w:color w:val="auto"/>
          <w:sz w:val="44"/>
          <w:szCs w:val="44"/>
          <w:highlight w:val="none"/>
        </w:rPr>
        <w:t>第五节运营技术要求</w:t>
      </w:r>
    </w:p>
    <w:p w14:paraId="4EB0AEA7">
      <w:pPr>
        <w:pStyle w:val="120"/>
        <w:jc w:val="left"/>
        <w:rPr>
          <w:rFonts w:hint="eastAsia" w:ascii="仿宋" w:hAnsi="仿宋" w:eastAsia="仿宋" w:cs="仿宋"/>
          <w:color w:val="auto"/>
          <w:kern w:val="2"/>
          <w:sz w:val="21"/>
          <w:szCs w:val="22"/>
          <w:highlight w:val="none"/>
        </w:rPr>
      </w:pPr>
    </w:p>
    <w:p w14:paraId="1A031615">
      <w:pPr>
        <w:spacing w:line="440" w:lineRule="exact"/>
        <w:ind w:firstLine="648" w:firstLineChars="27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1.项目地点：营口市老边区钢铁产业园营大路与上白线交叉口东北侧</w:t>
      </w:r>
    </w:p>
    <w:p w14:paraId="5B3D5E2C">
      <w:pPr>
        <w:spacing w:line="440" w:lineRule="exact"/>
        <w:ind w:firstLine="648" w:firstLineChars="27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2.运营范围：委托乙方进行老边污水处理厂的运营、管理、维护，项目在运营期限内，乙方保证污水处理厂的正常、稳定、达标、高效运作，确保出水水质达标排放。甲方与乙方签署本协议，并于委托运营期满结束后将全部资产及运营资料交还给甲方。</w:t>
      </w:r>
    </w:p>
    <w:p w14:paraId="0315E196">
      <w:pPr>
        <w:spacing w:line="440" w:lineRule="exact"/>
        <w:ind w:firstLine="648" w:firstLineChars="27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3.运营规模：设计污水处理废水量为8000吨/日。（最终以实际水量为准）。配套污水收集管网及尾水排放管:配套营口中板有限公司收水管，采用压力管道，PE管，管径 DN350，长度 515m;配套尾水排放管，采用钢管，管径 DN450，长约37m。</w:t>
      </w:r>
    </w:p>
    <w:p w14:paraId="2A8786A4">
      <w:pPr>
        <w:spacing w:line="440" w:lineRule="exact"/>
        <w:ind w:firstLine="648" w:firstLineChars="27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4.质量要求:污水处理至《城镇污水处理厂污染物排放标准》（GB 18918-2002）中一级A 排放标准后排入老边河，作为生态补水再利用。</w:t>
      </w:r>
    </w:p>
    <w:p w14:paraId="388391EE">
      <w:pPr>
        <w:spacing w:line="440" w:lineRule="exact"/>
        <w:ind w:firstLine="648" w:firstLineChars="27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污泥出厂含水率＜60%，交由营口粤丰环保电力有限公司进行焚烧。</w:t>
      </w:r>
    </w:p>
    <w:p w14:paraId="2673FA05">
      <w:pPr>
        <w:spacing w:line="440" w:lineRule="exact"/>
        <w:ind w:firstLine="648" w:firstLineChars="27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污水厂臭气污染物排放标准执行《城镇污水处理厂污染物排放标准》（GB18918-2002）中大气污染物排放二级标准。</w:t>
      </w:r>
    </w:p>
    <w:p w14:paraId="6385581A">
      <w:pPr>
        <w:spacing w:line="440" w:lineRule="exact"/>
        <w:ind w:firstLine="648" w:firstLineChars="27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5.本项目委托运营期为3年。</w:t>
      </w:r>
    </w:p>
    <w:p w14:paraId="1157E420">
      <w:pPr>
        <w:spacing w:line="400" w:lineRule="exact"/>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br w:type="page"/>
      </w:r>
    </w:p>
    <w:p w14:paraId="5680806D">
      <w:pPr>
        <w:spacing w:line="400" w:lineRule="exact"/>
        <w:jc w:val="left"/>
        <w:rPr>
          <w:rFonts w:hint="eastAsia" w:ascii="仿宋" w:hAnsi="仿宋" w:eastAsia="仿宋" w:cs="仿宋"/>
          <w:color w:val="auto"/>
          <w:szCs w:val="21"/>
          <w:highlight w:val="none"/>
        </w:rPr>
      </w:pPr>
    </w:p>
    <w:p w14:paraId="18305961">
      <w:pPr>
        <w:spacing w:line="360" w:lineRule="auto"/>
        <w:ind w:firstLine="420"/>
        <w:jc w:val="center"/>
        <w:rPr>
          <w:rFonts w:hint="eastAsia" w:ascii="仿宋" w:hAnsi="仿宋" w:eastAsia="仿宋" w:cs="仿宋"/>
          <w:color w:val="auto"/>
          <w:sz w:val="44"/>
          <w:szCs w:val="44"/>
          <w:highlight w:val="none"/>
        </w:rPr>
      </w:pPr>
    </w:p>
    <w:p w14:paraId="2999ADBE">
      <w:pPr>
        <w:pStyle w:val="3"/>
        <w:jc w:val="center"/>
        <w:rPr>
          <w:rFonts w:hint="eastAsia" w:ascii="仿宋" w:hAnsi="仿宋" w:eastAsia="仿宋" w:cs="仿宋"/>
          <w:color w:val="auto"/>
          <w:sz w:val="44"/>
          <w:szCs w:val="44"/>
          <w:highlight w:val="none"/>
        </w:rPr>
      </w:pPr>
      <w:bookmarkStart w:id="849" w:name="_Toc106998209"/>
      <w:r>
        <w:rPr>
          <w:rFonts w:hint="eastAsia" w:ascii="仿宋" w:hAnsi="仿宋" w:eastAsia="仿宋" w:cs="仿宋"/>
          <w:color w:val="auto"/>
          <w:sz w:val="44"/>
          <w:szCs w:val="44"/>
          <w:highlight w:val="none"/>
        </w:rPr>
        <w:t>第六章发包人提供的资料</w:t>
      </w:r>
      <w:bookmarkEnd w:id="849"/>
    </w:p>
    <w:p w14:paraId="73099E87">
      <w:pPr>
        <w:spacing w:line="360" w:lineRule="auto"/>
        <w:ind w:firstLine="420"/>
        <w:jc w:val="left"/>
        <w:rPr>
          <w:rFonts w:hint="eastAsia" w:ascii="仿宋" w:hAnsi="仿宋" w:eastAsia="仿宋" w:cs="仿宋"/>
          <w:color w:val="auto"/>
          <w:highlight w:val="none"/>
        </w:rPr>
      </w:pPr>
      <w:r>
        <w:rPr>
          <w:rFonts w:hint="eastAsia" w:ascii="仿宋" w:hAnsi="仿宋" w:eastAsia="仿宋" w:cs="仿宋"/>
          <w:color w:val="auto"/>
          <w:highlight w:val="none"/>
        </w:rPr>
        <w:br w:type="page"/>
      </w:r>
    </w:p>
    <w:p w14:paraId="611C4183">
      <w:pPr>
        <w:spacing w:line="400" w:lineRule="exact"/>
        <w:jc w:val="left"/>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发包人提供的资料</w:t>
      </w:r>
    </w:p>
    <w:p w14:paraId="764C383A">
      <w:pPr>
        <w:jc w:val="left"/>
        <w:rPr>
          <w:rFonts w:hint="eastAsia" w:ascii="仿宋" w:hAnsi="仿宋" w:eastAsia="仿宋" w:cs="仿宋"/>
          <w:b/>
          <w:color w:val="auto"/>
          <w:sz w:val="30"/>
          <w:szCs w:val="30"/>
          <w:highlight w:val="none"/>
        </w:rPr>
      </w:pPr>
    </w:p>
    <w:p w14:paraId="7B77909C">
      <w:pPr>
        <w:spacing w:line="360" w:lineRule="auto"/>
        <w:ind w:firstLine="48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初步设计的批复和</w:t>
      </w:r>
      <w:r>
        <w:rPr>
          <w:rFonts w:hint="eastAsia" w:ascii="仿宋" w:hAnsi="仿宋" w:eastAsia="仿宋" w:cs="仿宋"/>
          <w:color w:val="auto"/>
          <w:highlight w:val="none"/>
        </w:rPr>
        <w:t>初设文本</w:t>
      </w:r>
      <w:r>
        <w:rPr>
          <w:rFonts w:hint="eastAsia" w:ascii="仿宋" w:hAnsi="仿宋" w:eastAsia="仿宋" w:cs="仿宋"/>
          <w:color w:val="auto"/>
          <w:szCs w:val="21"/>
          <w:highlight w:val="none"/>
        </w:rPr>
        <w:t>：另附</w:t>
      </w:r>
    </w:p>
    <w:p w14:paraId="591DDDEF">
      <w:pPr>
        <w:spacing w:line="360" w:lineRule="auto"/>
        <w:ind w:firstLine="480" w:firstLineChars="200"/>
        <w:jc w:val="left"/>
        <w:rPr>
          <w:rFonts w:hint="eastAsia" w:ascii="仿宋" w:hAnsi="仿宋" w:eastAsia="仿宋" w:cs="仿宋"/>
          <w:color w:val="auto"/>
          <w:szCs w:val="21"/>
          <w:highlight w:val="none"/>
        </w:rPr>
      </w:pPr>
    </w:p>
    <w:p w14:paraId="0787EB32">
      <w:pPr>
        <w:spacing w:line="360" w:lineRule="auto"/>
        <w:ind w:firstLine="480" w:firstLineChars="200"/>
        <w:jc w:val="left"/>
        <w:rPr>
          <w:rFonts w:hint="eastAsia" w:ascii="仿宋" w:hAnsi="仿宋" w:eastAsia="仿宋" w:cs="仿宋"/>
          <w:color w:val="auto"/>
          <w:szCs w:val="21"/>
          <w:highlight w:val="none"/>
        </w:rPr>
      </w:pPr>
    </w:p>
    <w:p w14:paraId="48DF07F6">
      <w:pPr>
        <w:spacing w:line="360" w:lineRule="auto"/>
        <w:ind w:firstLine="480" w:firstLineChars="200"/>
        <w:jc w:val="left"/>
        <w:rPr>
          <w:rFonts w:hint="eastAsia" w:ascii="仿宋" w:hAnsi="仿宋" w:eastAsia="仿宋" w:cs="仿宋"/>
          <w:color w:val="auto"/>
          <w:szCs w:val="21"/>
          <w:highlight w:val="none"/>
        </w:rPr>
      </w:pPr>
    </w:p>
    <w:p w14:paraId="0A1F9617">
      <w:pPr>
        <w:spacing w:line="400" w:lineRule="exact"/>
        <w:jc w:val="left"/>
        <w:rPr>
          <w:rFonts w:hint="eastAsia" w:ascii="仿宋" w:hAnsi="仿宋" w:eastAsia="仿宋" w:cs="仿宋"/>
          <w:color w:val="auto"/>
          <w:highlight w:val="none"/>
        </w:rPr>
      </w:pPr>
      <w:r>
        <w:rPr>
          <w:rFonts w:hint="eastAsia" w:ascii="仿宋" w:hAnsi="仿宋" w:eastAsia="仿宋" w:cs="仿宋"/>
          <w:color w:val="auto"/>
          <w:highlight w:val="none"/>
        </w:rPr>
        <w:br w:type="page"/>
      </w:r>
    </w:p>
    <w:p w14:paraId="3C6D46C1">
      <w:pPr>
        <w:spacing w:line="400" w:lineRule="exact"/>
        <w:jc w:val="left"/>
        <w:rPr>
          <w:rFonts w:hint="eastAsia" w:ascii="仿宋" w:hAnsi="仿宋" w:eastAsia="仿宋" w:cs="仿宋"/>
          <w:color w:val="auto"/>
          <w:highlight w:val="none"/>
        </w:rPr>
      </w:pPr>
    </w:p>
    <w:p w14:paraId="54BF320C">
      <w:pPr>
        <w:spacing w:line="400" w:lineRule="exact"/>
        <w:jc w:val="left"/>
        <w:rPr>
          <w:rFonts w:hint="eastAsia" w:ascii="仿宋" w:hAnsi="仿宋" w:eastAsia="仿宋" w:cs="仿宋"/>
          <w:color w:val="auto"/>
          <w:highlight w:val="none"/>
        </w:rPr>
      </w:pPr>
    </w:p>
    <w:p w14:paraId="035472EE">
      <w:pPr>
        <w:spacing w:line="400" w:lineRule="exact"/>
        <w:jc w:val="left"/>
        <w:rPr>
          <w:rFonts w:hint="eastAsia" w:ascii="仿宋" w:hAnsi="仿宋" w:eastAsia="仿宋" w:cs="仿宋"/>
          <w:color w:val="auto"/>
          <w:highlight w:val="none"/>
        </w:rPr>
      </w:pPr>
    </w:p>
    <w:p w14:paraId="65086FBC">
      <w:pPr>
        <w:spacing w:line="400" w:lineRule="exact"/>
        <w:jc w:val="left"/>
        <w:rPr>
          <w:rFonts w:hint="eastAsia" w:ascii="仿宋" w:hAnsi="仿宋" w:eastAsia="仿宋" w:cs="仿宋"/>
          <w:color w:val="auto"/>
          <w:highlight w:val="none"/>
        </w:rPr>
      </w:pPr>
    </w:p>
    <w:p w14:paraId="4C767315">
      <w:pPr>
        <w:spacing w:line="400" w:lineRule="exact"/>
        <w:jc w:val="center"/>
        <w:rPr>
          <w:rFonts w:hint="eastAsia" w:ascii="仿宋" w:hAnsi="仿宋" w:eastAsia="仿宋" w:cs="仿宋"/>
          <w:color w:val="auto"/>
          <w:sz w:val="44"/>
          <w:szCs w:val="44"/>
          <w:highlight w:val="none"/>
        </w:rPr>
      </w:pPr>
    </w:p>
    <w:p w14:paraId="63DA9554">
      <w:pPr>
        <w:pStyle w:val="3"/>
        <w:jc w:val="center"/>
        <w:rPr>
          <w:rFonts w:hint="eastAsia" w:ascii="仿宋" w:hAnsi="仿宋" w:eastAsia="仿宋" w:cs="仿宋"/>
          <w:color w:val="auto"/>
          <w:sz w:val="44"/>
          <w:szCs w:val="44"/>
          <w:highlight w:val="none"/>
        </w:rPr>
      </w:pPr>
      <w:bookmarkStart w:id="850" w:name="_Toc106998210"/>
      <w:bookmarkStart w:id="851" w:name="_Toc247514244"/>
      <w:bookmarkStart w:id="852" w:name="_Toc247527825"/>
      <w:bookmarkStart w:id="853" w:name="_Toc144974855"/>
      <w:bookmarkStart w:id="854" w:name="_Toc152045786"/>
      <w:bookmarkStart w:id="855" w:name="_Toc152042575"/>
      <w:r>
        <w:rPr>
          <w:rFonts w:hint="eastAsia" w:ascii="仿宋" w:hAnsi="仿宋" w:eastAsia="仿宋" w:cs="仿宋"/>
          <w:color w:val="auto"/>
          <w:sz w:val="44"/>
          <w:szCs w:val="44"/>
          <w:highlight w:val="none"/>
        </w:rPr>
        <w:t>第三卷</w:t>
      </w:r>
      <w:bookmarkEnd w:id="850"/>
      <w:bookmarkEnd w:id="851"/>
      <w:bookmarkEnd w:id="852"/>
    </w:p>
    <w:p w14:paraId="5862716C">
      <w:pPr>
        <w:spacing w:line="400" w:lineRule="exact"/>
        <w:jc w:val="left"/>
        <w:rPr>
          <w:rFonts w:hint="eastAsia" w:ascii="仿宋" w:hAnsi="仿宋" w:eastAsia="仿宋" w:cs="仿宋"/>
          <w:color w:val="auto"/>
          <w:highlight w:val="none"/>
        </w:rPr>
      </w:pPr>
      <w:r>
        <w:rPr>
          <w:rFonts w:hint="eastAsia" w:ascii="仿宋" w:hAnsi="仿宋" w:eastAsia="仿宋" w:cs="仿宋"/>
          <w:b/>
          <w:bCs/>
          <w:color w:val="auto"/>
          <w:sz w:val="32"/>
          <w:highlight w:val="none"/>
        </w:rPr>
        <w:br w:type="page"/>
      </w:r>
    </w:p>
    <w:p w14:paraId="269089C1">
      <w:pPr>
        <w:spacing w:line="400" w:lineRule="exact"/>
        <w:jc w:val="center"/>
        <w:rPr>
          <w:rFonts w:hint="eastAsia" w:ascii="仿宋" w:hAnsi="仿宋" w:eastAsia="仿宋" w:cs="仿宋"/>
          <w:color w:val="auto"/>
          <w:sz w:val="44"/>
          <w:szCs w:val="44"/>
          <w:highlight w:val="none"/>
        </w:rPr>
      </w:pPr>
    </w:p>
    <w:p w14:paraId="1B39631B">
      <w:pPr>
        <w:spacing w:line="400" w:lineRule="exact"/>
        <w:jc w:val="center"/>
        <w:rPr>
          <w:rFonts w:hint="eastAsia" w:ascii="仿宋" w:hAnsi="仿宋" w:eastAsia="仿宋" w:cs="仿宋"/>
          <w:color w:val="auto"/>
          <w:sz w:val="44"/>
          <w:szCs w:val="44"/>
          <w:highlight w:val="none"/>
        </w:rPr>
      </w:pPr>
    </w:p>
    <w:p w14:paraId="0CF25018">
      <w:pPr>
        <w:pStyle w:val="3"/>
        <w:jc w:val="center"/>
        <w:rPr>
          <w:rFonts w:hint="eastAsia" w:ascii="仿宋" w:hAnsi="仿宋" w:eastAsia="仿宋" w:cs="仿宋"/>
          <w:color w:val="auto"/>
          <w:sz w:val="44"/>
          <w:szCs w:val="44"/>
          <w:highlight w:val="none"/>
        </w:rPr>
      </w:pPr>
      <w:bookmarkStart w:id="856" w:name="_Toc106998211"/>
      <w:bookmarkStart w:id="857" w:name="_Toc247527826"/>
      <w:bookmarkStart w:id="858" w:name="_Toc247514245"/>
      <w:r>
        <w:rPr>
          <w:rFonts w:hint="eastAsia" w:ascii="仿宋" w:hAnsi="仿宋" w:eastAsia="仿宋" w:cs="仿宋"/>
          <w:color w:val="auto"/>
          <w:sz w:val="44"/>
          <w:szCs w:val="44"/>
          <w:highlight w:val="none"/>
        </w:rPr>
        <w:t>第七章投标文件格式</w:t>
      </w:r>
      <w:bookmarkEnd w:id="853"/>
      <w:bookmarkEnd w:id="854"/>
      <w:bookmarkEnd w:id="855"/>
      <w:bookmarkEnd w:id="856"/>
      <w:bookmarkEnd w:id="857"/>
      <w:bookmarkEnd w:id="858"/>
    </w:p>
    <w:p w14:paraId="798CD7C5">
      <w:pPr>
        <w:spacing w:line="400" w:lineRule="exact"/>
        <w:jc w:val="left"/>
        <w:rPr>
          <w:rFonts w:hint="eastAsia" w:ascii="仿宋" w:hAnsi="仿宋" w:eastAsia="仿宋" w:cs="仿宋"/>
          <w:color w:val="auto"/>
          <w:highlight w:val="none"/>
        </w:rPr>
      </w:pPr>
    </w:p>
    <w:p w14:paraId="7D9C7F05">
      <w:pPr>
        <w:spacing w:line="400" w:lineRule="exact"/>
        <w:jc w:val="left"/>
        <w:rPr>
          <w:rFonts w:hint="eastAsia" w:ascii="仿宋" w:hAnsi="仿宋" w:eastAsia="仿宋" w:cs="仿宋"/>
          <w:color w:val="auto"/>
          <w:highlight w:val="none"/>
        </w:rPr>
      </w:pPr>
      <w:r>
        <w:rPr>
          <w:rFonts w:hint="eastAsia" w:ascii="仿宋" w:hAnsi="仿宋" w:eastAsia="仿宋" w:cs="仿宋"/>
          <w:color w:val="auto"/>
          <w:highlight w:val="none"/>
        </w:rPr>
        <w:br w:type="page"/>
      </w:r>
    </w:p>
    <w:p w14:paraId="321B0FC9">
      <w:pPr>
        <w:spacing w:line="440" w:lineRule="exact"/>
        <w:jc w:val="left"/>
        <w:rPr>
          <w:rFonts w:hint="eastAsia" w:ascii="仿宋" w:hAnsi="仿宋" w:eastAsia="仿宋" w:cs="仿宋"/>
          <w:color w:val="auto"/>
          <w:sz w:val="20"/>
          <w:szCs w:val="20"/>
          <w:highlight w:val="none"/>
        </w:rPr>
      </w:pPr>
    </w:p>
    <w:p w14:paraId="42D9DB0E">
      <w:pPr>
        <w:spacing w:line="440" w:lineRule="exact"/>
        <w:jc w:val="left"/>
        <w:rPr>
          <w:rFonts w:hint="eastAsia" w:ascii="仿宋" w:hAnsi="仿宋" w:eastAsia="仿宋" w:cs="仿宋"/>
          <w:color w:val="auto"/>
          <w:sz w:val="20"/>
          <w:szCs w:val="20"/>
          <w:highlight w:val="none"/>
        </w:rPr>
      </w:pPr>
    </w:p>
    <w:p w14:paraId="5E402016">
      <w:pPr>
        <w:jc w:val="cente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（项目名称）</w:t>
      </w:r>
    </w:p>
    <w:p w14:paraId="40838428">
      <w:pPr>
        <w:jc w:val="center"/>
        <w:rPr>
          <w:rFonts w:hint="eastAsia" w:ascii="仿宋" w:hAnsi="仿宋" w:eastAsia="仿宋" w:cs="仿宋"/>
          <w:color w:val="auto"/>
          <w:sz w:val="20"/>
          <w:szCs w:val="20"/>
          <w:highlight w:val="none"/>
        </w:rPr>
      </w:pPr>
    </w:p>
    <w:p w14:paraId="337ACA1D">
      <w:pPr>
        <w:jc w:val="center"/>
        <w:rPr>
          <w:rFonts w:hint="eastAsia" w:ascii="仿宋" w:hAnsi="仿宋" w:eastAsia="仿宋" w:cs="仿宋"/>
          <w:color w:val="auto"/>
          <w:sz w:val="20"/>
          <w:szCs w:val="20"/>
          <w:highlight w:val="none"/>
        </w:rPr>
      </w:pPr>
    </w:p>
    <w:p w14:paraId="133A9683">
      <w:pPr>
        <w:jc w:val="center"/>
        <w:rPr>
          <w:rFonts w:hint="eastAsia" w:ascii="仿宋" w:hAnsi="仿宋" w:eastAsia="仿宋" w:cs="仿宋"/>
          <w:color w:val="auto"/>
          <w:sz w:val="44"/>
          <w:szCs w:val="44"/>
          <w:highlight w:val="none"/>
        </w:rPr>
      </w:pPr>
      <w:r>
        <w:rPr>
          <w:rFonts w:hint="eastAsia" w:ascii="仿宋" w:hAnsi="仿宋" w:eastAsia="仿宋" w:cs="仿宋"/>
          <w:color w:val="auto"/>
          <w:sz w:val="44"/>
          <w:szCs w:val="44"/>
          <w:highlight w:val="none"/>
        </w:rPr>
        <w:t>投标文件</w:t>
      </w:r>
    </w:p>
    <w:p w14:paraId="4789D0FB">
      <w:pPr>
        <w:jc w:val="left"/>
        <w:rPr>
          <w:rFonts w:hint="eastAsia" w:ascii="仿宋" w:hAnsi="仿宋" w:eastAsia="仿宋" w:cs="仿宋"/>
          <w:color w:val="auto"/>
          <w:sz w:val="28"/>
          <w:szCs w:val="28"/>
          <w:highlight w:val="none"/>
        </w:rPr>
      </w:pPr>
    </w:p>
    <w:p w14:paraId="06D69225">
      <w:pPr>
        <w:jc w:val="left"/>
        <w:rPr>
          <w:rFonts w:hint="eastAsia" w:ascii="仿宋" w:hAnsi="仿宋" w:eastAsia="仿宋" w:cs="仿宋"/>
          <w:color w:val="auto"/>
          <w:sz w:val="28"/>
          <w:szCs w:val="28"/>
          <w:highlight w:val="none"/>
        </w:rPr>
      </w:pPr>
    </w:p>
    <w:p w14:paraId="28374C70">
      <w:pPr>
        <w:jc w:val="left"/>
        <w:rPr>
          <w:rFonts w:hint="eastAsia" w:ascii="仿宋" w:hAnsi="仿宋" w:eastAsia="仿宋" w:cs="仿宋"/>
          <w:color w:val="auto"/>
          <w:sz w:val="28"/>
          <w:szCs w:val="28"/>
          <w:highlight w:val="none"/>
        </w:rPr>
      </w:pPr>
    </w:p>
    <w:p w14:paraId="3854306D">
      <w:pPr>
        <w:jc w:val="left"/>
        <w:rPr>
          <w:rFonts w:hint="eastAsia" w:ascii="仿宋" w:hAnsi="仿宋" w:eastAsia="仿宋" w:cs="仿宋"/>
          <w:color w:val="auto"/>
          <w:sz w:val="28"/>
          <w:szCs w:val="28"/>
          <w:highlight w:val="none"/>
        </w:rPr>
      </w:pPr>
    </w:p>
    <w:p w14:paraId="4D01BF2B">
      <w:pPr>
        <w:jc w:val="left"/>
        <w:rPr>
          <w:rFonts w:hint="eastAsia" w:ascii="仿宋" w:hAnsi="仿宋" w:eastAsia="仿宋" w:cs="仿宋"/>
          <w:color w:val="auto"/>
          <w:sz w:val="28"/>
          <w:szCs w:val="28"/>
          <w:highlight w:val="none"/>
        </w:rPr>
      </w:pPr>
    </w:p>
    <w:p w14:paraId="2AFEB2A9">
      <w:pPr>
        <w:jc w:val="left"/>
        <w:rPr>
          <w:rFonts w:hint="eastAsia" w:ascii="仿宋" w:hAnsi="仿宋" w:eastAsia="仿宋" w:cs="仿宋"/>
          <w:color w:val="auto"/>
          <w:sz w:val="28"/>
          <w:szCs w:val="28"/>
          <w:highlight w:val="none"/>
        </w:rPr>
      </w:pPr>
    </w:p>
    <w:p w14:paraId="1E281086">
      <w:pPr>
        <w:jc w:val="left"/>
        <w:rPr>
          <w:rFonts w:hint="eastAsia" w:ascii="仿宋" w:hAnsi="仿宋" w:eastAsia="仿宋" w:cs="仿宋"/>
          <w:color w:val="auto"/>
          <w:sz w:val="28"/>
          <w:szCs w:val="28"/>
          <w:highlight w:val="none"/>
        </w:rPr>
      </w:pPr>
    </w:p>
    <w:p w14:paraId="63A5A54B">
      <w:pPr>
        <w:jc w:val="left"/>
        <w:rPr>
          <w:rFonts w:hint="eastAsia" w:ascii="仿宋" w:hAnsi="仿宋" w:eastAsia="仿宋" w:cs="仿宋"/>
          <w:color w:val="auto"/>
          <w:sz w:val="28"/>
          <w:szCs w:val="28"/>
          <w:highlight w:val="none"/>
        </w:rPr>
      </w:pPr>
    </w:p>
    <w:p w14:paraId="0E36A673">
      <w:pPr>
        <w:jc w:val="left"/>
        <w:rPr>
          <w:rFonts w:hint="eastAsia" w:ascii="仿宋" w:hAnsi="仿宋" w:eastAsia="仿宋" w:cs="仿宋"/>
          <w:color w:val="auto"/>
          <w:sz w:val="28"/>
          <w:szCs w:val="28"/>
          <w:highlight w:val="none"/>
        </w:rPr>
      </w:pPr>
    </w:p>
    <w:p w14:paraId="065327A1">
      <w:pPr>
        <w:jc w:val="left"/>
        <w:rPr>
          <w:rFonts w:hint="eastAsia" w:ascii="仿宋" w:hAnsi="仿宋" w:eastAsia="仿宋" w:cs="仿宋"/>
          <w:color w:val="auto"/>
          <w:sz w:val="28"/>
          <w:szCs w:val="28"/>
          <w:highlight w:val="none"/>
        </w:rPr>
      </w:pPr>
    </w:p>
    <w:p w14:paraId="0CD12DFA">
      <w:pPr>
        <w:jc w:val="left"/>
        <w:rPr>
          <w:rFonts w:hint="eastAsia" w:ascii="仿宋" w:hAnsi="仿宋" w:eastAsia="仿宋" w:cs="仿宋"/>
          <w:color w:val="auto"/>
          <w:sz w:val="28"/>
          <w:szCs w:val="28"/>
          <w:highlight w:val="none"/>
        </w:rPr>
      </w:pPr>
    </w:p>
    <w:p w14:paraId="049A88C1">
      <w:pPr>
        <w:jc w:val="left"/>
        <w:rPr>
          <w:rFonts w:hint="eastAsia" w:ascii="仿宋" w:hAnsi="仿宋" w:eastAsia="仿宋" w:cs="仿宋"/>
          <w:color w:val="auto"/>
          <w:sz w:val="28"/>
          <w:szCs w:val="28"/>
          <w:highlight w:val="none"/>
          <w:u w:val="single"/>
        </w:rPr>
      </w:pPr>
      <w:r>
        <w:rPr>
          <w:rFonts w:hint="eastAsia" w:ascii="仿宋" w:hAnsi="仿宋" w:eastAsia="仿宋" w:cs="仿宋"/>
          <w:color w:val="auto"/>
          <w:sz w:val="28"/>
          <w:szCs w:val="28"/>
          <w:highlight w:val="none"/>
        </w:rPr>
        <w:t>投标人：（盖单位章）</w:t>
      </w:r>
    </w:p>
    <w:p w14:paraId="78829BC5">
      <w:pPr>
        <w:jc w:val="lef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法定代表人或其委托代理人：（签字）</w:t>
      </w:r>
    </w:p>
    <w:p w14:paraId="2925702E">
      <w:pPr>
        <w:jc w:val="lef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年月日</w:t>
      </w:r>
    </w:p>
    <w:p w14:paraId="059661DC">
      <w:pPr>
        <w:spacing w:line="440" w:lineRule="exact"/>
        <w:jc w:val="left"/>
        <w:rPr>
          <w:rFonts w:hint="eastAsia" w:ascii="仿宋" w:hAnsi="仿宋" w:eastAsia="仿宋" w:cs="仿宋"/>
          <w:color w:val="auto"/>
          <w:sz w:val="20"/>
          <w:szCs w:val="20"/>
          <w:highlight w:val="none"/>
        </w:rPr>
      </w:pPr>
    </w:p>
    <w:p w14:paraId="57BCB10A">
      <w:pPr>
        <w:spacing w:line="400" w:lineRule="exact"/>
        <w:jc w:val="left"/>
        <w:rPr>
          <w:rFonts w:hint="eastAsia" w:ascii="仿宋" w:hAnsi="仿宋" w:eastAsia="仿宋" w:cs="仿宋"/>
          <w:color w:val="auto"/>
          <w:highlight w:val="none"/>
        </w:rPr>
      </w:pPr>
      <w:r>
        <w:rPr>
          <w:rFonts w:hint="eastAsia" w:ascii="仿宋" w:hAnsi="仿宋" w:eastAsia="仿宋" w:cs="仿宋"/>
          <w:color w:val="auto"/>
          <w:highlight w:val="none"/>
        </w:rPr>
        <w:br w:type="page"/>
      </w:r>
    </w:p>
    <w:p w14:paraId="503E9B60">
      <w:pPr>
        <w:pStyle w:val="4"/>
        <w:jc w:val="center"/>
        <w:rPr>
          <w:rFonts w:hint="eastAsia" w:ascii="仿宋" w:hAnsi="仿宋" w:eastAsia="仿宋" w:cs="仿宋"/>
          <w:color w:val="auto"/>
          <w:highlight w:val="none"/>
        </w:rPr>
      </w:pPr>
      <w:bookmarkStart w:id="859" w:name="_Toc152042576"/>
      <w:bookmarkStart w:id="860" w:name="_Toc7956822"/>
      <w:bookmarkStart w:id="861" w:name="_Toc247527827"/>
      <w:bookmarkStart w:id="862" w:name="_Toc144974856"/>
      <w:bookmarkStart w:id="863" w:name="_Toc106998212"/>
      <w:bookmarkStart w:id="864" w:name="_Toc247514246"/>
      <w:bookmarkStart w:id="865" w:name="_Toc152045787"/>
      <w:r>
        <w:rPr>
          <w:rFonts w:hint="eastAsia" w:ascii="仿宋" w:hAnsi="仿宋" w:eastAsia="仿宋" w:cs="仿宋"/>
          <w:color w:val="auto"/>
          <w:highlight w:val="none"/>
        </w:rPr>
        <w:t>目录</w:t>
      </w:r>
      <w:bookmarkEnd w:id="859"/>
      <w:bookmarkEnd w:id="860"/>
      <w:bookmarkEnd w:id="861"/>
      <w:bookmarkEnd w:id="862"/>
      <w:bookmarkEnd w:id="863"/>
      <w:bookmarkEnd w:id="864"/>
      <w:bookmarkEnd w:id="865"/>
    </w:p>
    <w:p w14:paraId="70533D19">
      <w:pPr>
        <w:spacing w:line="540" w:lineRule="exact"/>
        <w:jc w:val="left"/>
        <w:rPr>
          <w:rFonts w:hint="eastAsia" w:ascii="仿宋" w:hAnsi="仿宋" w:eastAsia="仿宋" w:cs="仿宋"/>
          <w:color w:val="auto"/>
          <w:highlight w:val="none"/>
        </w:rPr>
      </w:pPr>
    </w:p>
    <w:p w14:paraId="22B0ABA0">
      <w:pPr>
        <w:spacing w:line="540" w:lineRule="exact"/>
        <w:jc w:val="left"/>
        <w:rPr>
          <w:rFonts w:hint="eastAsia" w:ascii="仿宋" w:hAnsi="仿宋" w:eastAsia="仿宋" w:cs="仿宋"/>
          <w:color w:val="auto"/>
          <w:highlight w:val="none"/>
        </w:rPr>
      </w:pPr>
      <w:r>
        <w:rPr>
          <w:rFonts w:hint="eastAsia" w:ascii="仿宋" w:hAnsi="仿宋" w:eastAsia="仿宋" w:cs="仿宋"/>
          <w:color w:val="auto"/>
          <w:highlight w:val="none"/>
        </w:rPr>
        <w:t>一、投标函及投标函附录</w:t>
      </w:r>
    </w:p>
    <w:p w14:paraId="26CB27EE">
      <w:pPr>
        <w:spacing w:line="540" w:lineRule="exact"/>
        <w:jc w:val="left"/>
        <w:rPr>
          <w:rFonts w:hint="eastAsia" w:ascii="仿宋" w:hAnsi="仿宋" w:eastAsia="仿宋" w:cs="仿宋"/>
          <w:color w:val="auto"/>
          <w:highlight w:val="none"/>
        </w:rPr>
      </w:pPr>
      <w:r>
        <w:rPr>
          <w:rFonts w:hint="eastAsia" w:ascii="仿宋" w:hAnsi="仿宋" w:eastAsia="仿宋" w:cs="仿宋"/>
          <w:color w:val="auto"/>
          <w:highlight w:val="none"/>
        </w:rPr>
        <w:t>二、法定代表人身份证明或授权委托书</w:t>
      </w:r>
    </w:p>
    <w:p w14:paraId="0DF65BA3">
      <w:pPr>
        <w:spacing w:line="540" w:lineRule="exact"/>
        <w:jc w:val="left"/>
        <w:rPr>
          <w:rFonts w:hint="eastAsia" w:ascii="仿宋" w:hAnsi="仿宋" w:eastAsia="仿宋" w:cs="仿宋"/>
          <w:color w:val="auto"/>
          <w:highlight w:val="none"/>
        </w:rPr>
      </w:pPr>
      <w:r>
        <w:rPr>
          <w:rFonts w:hint="eastAsia" w:ascii="仿宋" w:hAnsi="仿宋" w:eastAsia="仿宋" w:cs="仿宋"/>
          <w:color w:val="auto"/>
          <w:highlight w:val="none"/>
        </w:rPr>
        <w:t>三、投标保证金</w:t>
      </w:r>
    </w:p>
    <w:p w14:paraId="366A54E8">
      <w:pPr>
        <w:spacing w:line="540" w:lineRule="exact"/>
        <w:jc w:val="left"/>
        <w:rPr>
          <w:rFonts w:hint="eastAsia" w:ascii="仿宋" w:hAnsi="仿宋" w:eastAsia="仿宋" w:cs="仿宋"/>
          <w:color w:val="auto"/>
          <w:highlight w:val="none"/>
        </w:rPr>
      </w:pPr>
      <w:r>
        <w:rPr>
          <w:rFonts w:hint="eastAsia" w:ascii="仿宋" w:hAnsi="仿宋" w:eastAsia="仿宋" w:cs="仿宋"/>
          <w:color w:val="auto"/>
          <w:highlight w:val="none"/>
        </w:rPr>
        <w:t>四、联合体协议书</w:t>
      </w:r>
    </w:p>
    <w:p w14:paraId="0BE2D1D6">
      <w:pPr>
        <w:spacing w:line="540" w:lineRule="exact"/>
        <w:jc w:val="left"/>
        <w:rPr>
          <w:rFonts w:hint="eastAsia" w:ascii="仿宋" w:hAnsi="仿宋" w:eastAsia="仿宋" w:cs="仿宋"/>
          <w:color w:val="auto"/>
          <w:highlight w:val="none"/>
        </w:rPr>
      </w:pPr>
      <w:r>
        <w:rPr>
          <w:rFonts w:hint="eastAsia" w:ascii="仿宋" w:hAnsi="仿宋" w:eastAsia="仿宋" w:cs="仿宋"/>
          <w:color w:val="auto"/>
          <w:highlight w:val="none"/>
        </w:rPr>
        <w:t>五、投标报价汇总表</w:t>
      </w:r>
    </w:p>
    <w:p w14:paraId="715DDD29">
      <w:pPr>
        <w:spacing w:line="540" w:lineRule="exact"/>
        <w:jc w:val="left"/>
        <w:rPr>
          <w:rFonts w:hint="eastAsia" w:ascii="仿宋" w:hAnsi="仿宋" w:eastAsia="仿宋" w:cs="仿宋"/>
          <w:color w:val="auto"/>
          <w:highlight w:val="none"/>
        </w:rPr>
      </w:pPr>
      <w:r>
        <w:rPr>
          <w:rFonts w:hint="eastAsia" w:ascii="仿宋" w:hAnsi="仿宋" w:eastAsia="仿宋" w:cs="仿宋"/>
          <w:color w:val="auto"/>
          <w:highlight w:val="none"/>
        </w:rPr>
        <w:t>六、</w:t>
      </w:r>
      <w:r>
        <w:rPr>
          <w:rFonts w:hint="eastAsia" w:ascii="仿宋" w:hAnsi="仿宋" w:eastAsia="仿宋" w:cs="仿宋"/>
          <w:color w:val="auto"/>
          <w:szCs w:val="21"/>
          <w:highlight w:val="none"/>
        </w:rPr>
        <w:t>实施方案</w:t>
      </w:r>
    </w:p>
    <w:p w14:paraId="395E3B6A">
      <w:pPr>
        <w:spacing w:line="540" w:lineRule="exact"/>
        <w:jc w:val="left"/>
        <w:rPr>
          <w:rFonts w:hint="eastAsia" w:ascii="仿宋" w:hAnsi="仿宋" w:eastAsia="仿宋" w:cs="仿宋"/>
          <w:color w:val="auto"/>
          <w:highlight w:val="none"/>
        </w:rPr>
      </w:pPr>
      <w:r>
        <w:rPr>
          <w:rFonts w:hint="eastAsia" w:ascii="仿宋" w:hAnsi="仿宋" w:eastAsia="仿宋" w:cs="仿宋"/>
          <w:color w:val="auto"/>
          <w:highlight w:val="none"/>
        </w:rPr>
        <w:t>七、建议书及相关方案</w:t>
      </w:r>
    </w:p>
    <w:p w14:paraId="03154635">
      <w:pPr>
        <w:spacing w:line="540" w:lineRule="exact"/>
        <w:jc w:val="left"/>
        <w:rPr>
          <w:rFonts w:hint="eastAsia" w:ascii="仿宋" w:hAnsi="仿宋" w:eastAsia="仿宋" w:cs="仿宋"/>
          <w:color w:val="auto"/>
          <w:highlight w:val="none"/>
        </w:rPr>
      </w:pPr>
      <w:r>
        <w:rPr>
          <w:rFonts w:hint="eastAsia" w:ascii="仿宋" w:hAnsi="仿宋" w:eastAsia="仿宋" w:cs="仿宋"/>
          <w:color w:val="auto"/>
          <w:highlight w:val="none"/>
        </w:rPr>
        <w:t>八、资格审查资料</w:t>
      </w:r>
    </w:p>
    <w:p w14:paraId="46912449">
      <w:pPr>
        <w:spacing w:line="540" w:lineRule="exact"/>
        <w:jc w:val="left"/>
        <w:rPr>
          <w:rFonts w:hint="eastAsia" w:ascii="仿宋" w:hAnsi="仿宋" w:eastAsia="仿宋" w:cs="仿宋"/>
          <w:color w:val="auto"/>
          <w:highlight w:val="none"/>
        </w:rPr>
      </w:pPr>
      <w:r>
        <w:rPr>
          <w:rFonts w:hint="eastAsia" w:ascii="仿宋" w:hAnsi="仿宋" w:eastAsia="仿宋" w:cs="仿宋"/>
          <w:color w:val="auto"/>
          <w:highlight w:val="none"/>
        </w:rPr>
        <w:t>九、企业其他资料</w:t>
      </w:r>
    </w:p>
    <w:p w14:paraId="3000C2DF">
      <w:pPr>
        <w:spacing w:line="540" w:lineRule="exact"/>
        <w:jc w:val="left"/>
        <w:rPr>
          <w:rFonts w:hint="eastAsia" w:ascii="仿宋" w:hAnsi="仿宋" w:eastAsia="仿宋" w:cs="仿宋"/>
          <w:color w:val="auto"/>
          <w:highlight w:val="none"/>
        </w:rPr>
      </w:pPr>
      <w:r>
        <w:rPr>
          <w:rFonts w:hint="eastAsia" w:ascii="仿宋" w:hAnsi="仿宋" w:eastAsia="仿宋" w:cs="仿宋"/>
          <w:color w:val="auto"/>
          <w:highlight w:val="none"/>
        </w:rPr>
        <w:t>十、环保要求承诺书</w:t>
      </w:r>
    </w:p>
    <w:p w14:paraId="6B57D8BA">
      <w:pPr>
        <w:spacing w:line="540" w:lineRule="exact"/>
        <w:jc w:val="left"/>
        <w:rPr>
          <w:rFonts w:hint="eastAsia" w:ascii="仿宋" w:hAnsi="仿宋" w:eastAsia="仿宋" w:cs="仿宋"/>
          <w:color w:val="auto"/>
          <w:highlight w:val="none"/>
        </w:rPr>
      </w:pPr>
      <w:r>
        <w:rPr>
          <w:rFonts w:hint="eastAsia" w:ascii="仿宋" w:hAnsi="仿宋" w:eastAsia="仿宋" w:cs="仿宋"/>
          <w:color w:val="auto"/>
          <w:highlight w:val="none"/>
        </w:rPr>
        <w:t>十一、项目经理驻场证明</w:t>
      </w:r>
    </w:p>
    <w:p w14:paraId="075CDB66">
      <w:pPr>
        <w:spacing w:line="540" w:lineRule="exact"/>
        <w:jc w:val="left"/>
        <w:rPr>
          <w:rFonts w:hint="eastAsia" w:ascii="仿宋" w:hAnsi="仿宋" w:eastAsia="仿宋" w:cs="仿宋"/>
          <w:color w:val="auto"/>
          <w:highlight w:val="none"/>
        </w:rPr>
      </w:pPr>
      <w:r>
        <w:rPr>
          <w:rFonts w:hint="eastAsia" w:ascii="仿宋" w:hAnsi="仿宋" w:eastAsia="仿宋" w:cs="仿宋"/>
          <w:color w:val="auto"/>
          <w:highlight w:val="none"/>
        </w:rPr>
        <w:t>十二、投标人告知承诺函</w:t>
      </w:r>
    </w:p>
    <w:p w14:paraId="6EA31912">
      <w:pPr>
        <w:spacing w:line="540" w:lineRule="exact"/>
        <w:jc w:val="left"/>
        <w:rPr>
          <w:rFonts w:hint="eastAsia" w:ascii="仿宋" w:hAnsi="仿宋" w:eastAsia="仿宋" w:cs="仿宋"/>
          <w:color w:val="auto"/>
          <w:highlight w:val="none"/>
        </w:rPr>
      </w:pPr>
      <w:r>
        <w:rPr>
          <w:rFonts w:hint="eastAsia" w:ascii="仿宋" w:hAnsi="仿宋" w:eastAsia="仿宋" w:cs="仿宋"/>
          <w:color w:val="auto"/>
          <w:highlight w:val="none"/>
        </w:rPr>
        <w:t>十三、其他材料</w:t>
      </w:r>
    </w:p>
    <w:p w14:paraId="71FDC222">
      <w:pPr>
        <w:pStyle w:val="121"/>
        <w:jc w:val="left"/>
        <w:rPr>
          <w:rFonts w:hint="eastAsia" w:ascii="仿宋" w:hAnsi="仿宋" w:eastAsia="仿宋" w:cs="仿宋"/>
          <w:color w:val="auto"/>
          <w:highlight w:val="none"/>
        </w:rPr>
      </w:pPr>
    </w:p>
    <w:p w14:paraId="5DAF061A">
      <w:pPr>
        <w:spacing w:line="540" w:lineRule="exact"/>
        <w:jc w:val="left"/>
        <w:rPr>
          <w:rFonts w:hint="eastAsia" w:ascii="仿宋" w:hAnsi="仿宋" w:eastAsia="仿宋" w:cs="仿宋"/>
          <w:color w:val="auto"/>
          <w:highlight w:val="none"/>
        </w:rPr>
      </w:pPr>
    </w:p>
    <w:p w14:paraId="13C57A42">
      <w:pPr>
        <w:spacing w:line="540" w:lineRule="exact"/>
        <w:jc w:val="left"/>
        <w:rPr>
          <w:rFonts w:hint="eastAsia" w:ascii="仿宋" w:hAnsi="仿宋" w:eastAsia="仿宋" w:cs="仿宋"/>
          <w:color w:val="auto"/>
          <w:highlight w:val="none"/>
        </w:rPr>
      </w:pPr>
    </w:p>
    <w:p w14:paraId="159F586C">
      <w:pPr>
        <w:spacing w:line="540" w:lineRule="exact"/>
        <w:jc w:val="left"/>
        <w:rPr>
          <w:rFonts w:hint="eastAsia" w:ascii="仿宋" w:hAnsi="仿宋" w:eastAsia="仿宋" w:cs="仿宋"/>
          <w:color w:val="auto"/>
          <w:highlight w:val="none"/>
        </w:rPr>
      </w:pPr>
    </w:p>
    <w:p w14:paraId="68398108">
      <w:pPr>
        <w:spacing w:line="540" w:lineRule="exact"/>
        <w:jc w:val="left"/>
        <w:rPr>
          <w:rFonts w:hint="eastAsia" w:ascii="仿宋" w:hAnsi="仿宋" w:eastAsia="仿宋" w:cs="仿宋"/>
          <w:color w:val="auto"/>
          <w:highlight w:val="none"/>
        </w:rPr>
      </w:pPr>
    </w:p>
    <w:p w14:paraId="0634A586">
      <w:pPr>
        <w:spacing w:line="540" w:lineRule="exact"/>
        <w:jc w:val="left"/>
        <w:rPr>
          <w:rFonts w:hint="eastAsia" w:ascii="仿宋" w:hAnsi="仿宋" w:eastAsia="仿宋" w:cs="仿宋"/>
          <w:color w:val="auto"/>
          <w:highlight w:val="none"/>
        </w:rPr>
      </w:pPr>
    </w:p>
    <w:p w14:paraId="203C5B79">
      <w:pPr>
        <w:spacing w:line="540" w:lineRule="exact"/>
        <w:jc w:val="left"/>
        <w:rPr>
          <w:rFonts w:hint="eastAsia" w:ascii="仿宋" w:hAnsi="仿宋" w:eastAsia="仿宋" w:cs="仿宋"/>
          <w:color w:val="auto"/>
          <w:highlight w:val="none"/>
        </w:rPr>
      </w:pPr>
    </w:p>
    <w:p w14:paraId="52162BE6">
      <w:pPr>
        <w:spacing w:line="540" w:lineRule="exact"/>
        <w:jc w:val="left"/>
        <w:rPr>
          <w:rFonts w:hint="eastAsia" w:ascii="仿宋" w:hAnsi="仿宋" w:eastAsia="仿宋" w:cs="仿宋"/>
          <w:color w:val="auto"/>
          <w:highlight w:val="none"/>
        </w:rPr>
      </w:pPr>
    </w:p>
    <w:p w14:paraId="48697E4E">
      <w:pPr>
        <w:spacing w:line="540" w:lineRule="exact"/>
        <w:jc w:val="left"/>
        <w:rPr>
          <w:rFonts w:hint="eastAsia" w:ascii="仿宋" w:hAnsi="仿宋" w:eastAsia="仿宋" w:cs="仿宋"/>
          <w:color w:val="auto"/>
          <w:highlight w:val="none"/>
        </w:rPr>
      </w:pPr>
    </w:p>
    <w:p w14:paraId="2AD1B061">
      <w:pPr>
        <w:pStyle w:val="4"/>
        <w:spacing w:before="100" w:after="100" w:line="360" w:lineRule="auto"/>
        <w:jc w:val="center"/>
        <w:rPr>
          <w:rFonts w:hint="eastAsia" w:ascii="仿宋" w:hAnsi="仿宋" w:eastAsia="仿宋" w:cs="仿宋"/>
          <w:color w:val="auto"/>
          <w:highlight w:val="none"/>
        </w:rPr>
      </w:pPr>
      <w:bookmarkStart w:id="866" w:name="_Toc247527828"/>
      <w:bookmarkStart w:id="867" w:name="_Toc106998213"/>
      <w:bookmarkStart w:id="868" w:name="_Toc7956823"/>
      <w:bookmarkStart w:id="869" w:name="_Toc247514247"/>
      <w:bookmarkStart w:id="870" w:name="_Toc152042577"/>
      <w:bookmarkStart w:id="871" w:name="_Toc152045788"/>
      <w:bookmarkStart w:id="872" w:name="_Toc144974857"/>
      <w:r>
        <w:rPr>
          <w:rFonts w:hint="eastAsia" w:ascii="仿宋" w:hAnsi="仿宋" w:eastAsia="仿宋" w:cs="仿宋"/>
          <w:color w:val="auto"/>
          <w:highlight w:val="none"/>
        </w:rPr>
        <w:t>一、投标函及投标函附录</w:t>
      </w:r>
      <w:bookmarkEnd w:id="866"/>
      <w:bookmarkEnd w:id="867"/>
      <w:bookmarkEnd w:id="868"/>
      <w:bookmarkEnd w:id="869"/>
      <w:bookmarkEnd w:id="870"/>
      <w:bookmarkEnd w:id="871"/>
      <w:bookmarkEnd w:id="872"/>
    </w:p>
    <w:p w14:paraId="144B8F9B">
      <w:pPr>
        <w:pStyle w:val="5"/>
        <w:spacing w:before="100" w:after="100" w:line="360" w:lineRule="auto"/>
        <w:jc w:val="center"/>
        <w:rPr>
          <w:rFonts w:hint="eastAsia" w:ascii="仿宋" w:hAnsi="仿宋" w:eastAsia="仿宋" w:cs="仿宋"/>
          <w:color w:val="auto"/>
          <w:highlight w:val="none"/>
        </w:rPr>
      </w:pPr>
      <w:bookmarkStart w:id="873" w:name="_Toc247527829"/>
      <w:bookmarkStart w:id="874" w:name="_Toc152042578"/>
      <w:bookmarkStart w:id="875" w:name="_Toc247514248"/>
      <w:bookmarkStart w:id="876" w:name="_Toc7956824"/>
      <w:bookmarkStart w:id="877" w:name="_Toc106998214"/>
      <w:bookmarkStart w:id="878" w:name="_Toc144974858"/>
      <w:bookmarkStart w:id="879" w:name="_Toc152045789"/>
      <w:r>
        <w:rPr>
          <w:rFonts w:hint="eastAsia" w:ascii="仿宋" w:hAnsi="仿宋" w:eastAsia="仿宋" w:cs="仿宋"/>
          <w:color w:val="auto"/>
          <w:highlight w:val="none"/>
        </w:rPr>
        <w:t>（一）投标函</w:t>
      </w:r>
      <w:bookmarkEnd w:id="873"/>
      <w:bookmarkEnd w:id="874"/>
      <w:bookmarkEnd w:id="875"/>
      <w:bookmarkEnd w:id="876"/>
      <w:bookmarkEnd w:id="877"/>
      <w:bookmarkEnd w:id="878"/>
      <w:bookmarkEnd w:id="879"/>
    </w:p>
    <w:p w14:paraId="22A493C4">
      <w:pPr>
        <w:adjustRightInd w:val="0"/>
        <w:snapToGrid w:val="0"/>
        <w:spacing w:line="360" w:lineRule="auto"/>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（招标人名称）：</w:t>
      </w:r>
    </w:p>
    <w:p w14:paraId="4C0B6662">
      <w:pPr>
        <w:adjustRightInd w:val="0"/>
        <w:snapToGrid w:val="0"/>
        <w:spacing w:line="360" w:lineRule="auto"/>
        <w:ind w:firstLine="480" w:firstLineChars="200"/>
        <w:jc w:val="left"/>
        <w:rPr>
          <w:rFonts w:hint="eastAsia" w:ascii="仿宋" w:hAnsi="仿宋" w:eastAsia="仿宋" w:cs="仿宋"/>
          <w:color w:val="auto"/>
          <w:szCs w:val="21"/>
          <w:highlight w:val="none"/>
          <w:lang w:val="en-GB"/>
        </w:rPr>
      </w:pPr>
      <w:r>
        <w:rPr>
          <w:rFonts w:hint="eastAsia" w:ascii="仿宋" w:hAnsi="仿宋" w:eastAsia="仿宋" w:cs="仿宋"/>
          <w:color w:val="auto"/>
          <w:szCs w:val="21"/>
          <w:highlight w:val="none"/>
        </w:rPr>
        <w:t>1．我方已仔细研究了（项目名称）招标文件的全部内容，并考察施工现场、研究技术规范、合同条件，认真落实成本，针对本项目制定了EPC+O总承包方案，</w:t>
      </w:r>
      <w:r>
        <w:rPr>
          <w:rFonts w:hint="eastAsia" w:ascii="仿宋" w:hAnsi="仿宋" w:eastAsia="仿宋" w:cs="仿宋"/>
          <w:color w:val="auto"/>
          <w:szCs w:val="21"/>
          <w:highlight w:val="none"/>
          <w:lang w:val="en-GB"/>
        </w:rPr>
        <w:t>愿以：</w:t>
      </w:r>
    </w:p>
    <w:p w14:paraId="45D2E010">
      <w:pPr>
        <w:adjustRightInd w:val="0"/>
        <w:snapToGrid w:val="0"/>
        <w:spacing w:line="360" w:lineRule="auto"/>
        <w:ind w:firstLine="480" w:firstLineChars="200"/>
        <w:jc w:val="left"/>
        <w:rPr>
          <w:rFonts w:hint="eastAsia" w:ascii="仿宋" w:hAnsi="仿宋" w:eastAsia="仿宋" w:cs="仿宋"/>
          <w:color w:val="auto"/>
          <w:szCs w:val="21"/>
          <w:highlight w:val="none"/>
          <w:lang w:val="en-GB"/>
        </w:rPr>
      </w:pPr>
      <w:r>
        <w:rPr>
          <w:rFonts w:hint="eastAsia" w:ascii="仿宋" w:hAnsi="仿宋" w:eastAsia="仿宋" w:cs="仿宋"/>
          <w:color w:val="auto"/>
          <w:szCs w:val="21"/>
          <w:highlight w:val="none"/>
        </w:rPr>
        <w:t>1.1设计费（设计总价）</w:t>
      </w:r>
      <w:r>
        <w:rPr>
          <w:rFonts w:hint="eastAsia" w:ascii="仿宋" w:hAnsi="仿宋" w:eastAsia="仿宋" w:cs="仿宋"/>
          <w:color w:val="auto"/>
          <w:szCs w:val="21"/>
          <w:highlight w:val="none"/>
          <w:lang w:val="en-GB"/>
        </w:rPr>
        <w:t>：大写：</w:t>
      </w:r>
      <w:r>
        <w:rPr>
          <w:rFonts w:hint="eastAsia" w:ascii="仿宋" w:hAnsi="仿宋" w:eastAsia="仿宋" w:cs="仿宋"/>
          <w:color w:val="auto"/>
          <w:szCs w:val="21"/>
          <w:highlight w:val="none"/>
          <w:u w:val="single"/>
          <w:lang w:val="en-GB"/>
        </w:rPr>
        <w:t xml:space="preserve">     </w:t>
      </w:r>
      <w:r>
        <w:rPr>
          <w:rFonts w:hint="eastAsia" w:ascii="仿宋" w:hAnsi="仿宋" w:eastAsia="仿宋" w:cs="仿宋"/>
          <w:color w:val="auto"/>
          <w:szCs w:val="21"/>
          <w:highlight w:val="none"/>
        </w:rPr>
        <w:t>小写：</w:t>
      </w:r>
      <w:r>
        <w:rPr>
          <w:rFonts w:hint="eastAsia" w:ascii="仿宋" w:hAnsi="仿宋" w:eastAsia="仿宋" w:cs="仿宋"/>
          <w:color w:val="auto"/>
          <w:szCs w:val="21"/>
          <w:highlight w:val="none"/>
          <w:lang w:val="en-GB"/>
        </w:rPr>
        <w:t>¥</w:t>
      </w:r>
      <w:r>
        <w:rPr>
          <w:rFonts w:hint="eastAsia" w:ascii="仿宋" w:hAnsi="仿宋" w:eastAsia="仿宋" w:cs="仿宋"/>
          <w:color w:val="auto"/>
          <w:szCs w:val="21"/>
          <w:highlight w:val="none"/>
          <w:u w:val="single"/>
          <w:lang w:val="en-GB"/>
        </w:rPr>
        <w:t xml:space="preserve">      </w:t>
      </w:r>
      <w:r>
        <w:rPr>
          <w:rFonts w:hint="eastAsia" w:ascii="仿宋" w:hAnsi="仿宋" w:eastAsia="仿宋" w:cs="仿宋"/>
          <w:color w:val="auto"/>
          <w:szCs w:val="21"/>
          <w:highlight w:val="none"/>
          <w:lang w:val="en-GB"/>
        </w:rPr>
        <w:t>元；</w:t>
      </w:r>
    </w:p>
    <w:p w14:paraId="311EF35B">
      <w:pPr>
        <w:adjustRightInd w:val="0"/>
        <w:snapToGrid w:val="0"/>
        <w:spacing w:line="360" w:lineRule="auto"/>
        <w:ind w:firstLine="480" w:firstLineChars="200"/>
        <w:jc w:val="left"/>
        <w:rPr>
          <w:rFonts w:hint="eastAsia" w:ascii="仿宋" w:hAnsi="仿宋" w:eastAsia="仿宋" w:cs="仿宋"/>
          <w:color w:val="auto"/>
          <w:szCs w:val="21"/>
          <w:highlight w:val="none"/>
          <w:lang w:val="en-GB"/>
        </w:rPr>
      </w:pPr>
      <w:r>
        <w:rPr>
          <w:rFonts w:hint="eastAsia" w:ascii="仿宋" w:hAnsi="仿宋" w:eastAsia="仿宋" w:cs="仿宋"/>
          <w:bCs/>
          <w:color w:val="auto"/>
          <w:szCs w:val="21"/>
          <w:highlight w:val="none"/>
          <w:lang w:val="en-GB"/>
        </w:rPr>
        <w:t>1.</w:t>
      </w:r>
      <w:r>
        <w:rPr>
          <w:rFonts w:hint="eastAsia" w:ascii="仿宋" w:hAnsi="仿宋" w:eastAsia="仿宋" w:cs="仿宋"/>
          <w:bCs/>
          <w:color w:val="auto"/>
          <w:szCs w:val="21"/>
          <w:highlight w:val="none"/>
        </w:rPr>
        <w:t>2施工费：</w:t>
      </w:r>
      <w:r>
        <w:rPr>
          <w:rFonts w:hint="eastAsia" w:ascii="仿宋" w:hAnsi="仿宋" w:eastAsia="仿宋" w:cs="仿宋"/>
          <w:color w:val="auto"/>
          <w:szCs w:val="21"/>
          <w:highlight w:val="none"/>
          <w:lang w:val="en-GB"/>
        </w:rPr>
        <w:t>大写：</w:t>
      </w:r>
      <w:r>
        <w:rPr>
          <w:rFonts w:hint="eastAsia" w:ascii="仿宋" w:hAnsi="仿宋" w:eastAsia="仿宋" w:cs="仿宋"/>
          <w:color w:val="auto"/>
          <w:szCs w:val="21"/>
          <w:highlight w:val="none"/>
          <w:u w:val="single"/>
          <w:lang w:val="en-GB"/>
        </w:rPr>
        <w:t xml:space="preserve">     </w:t>
      </w:r>
      <w:r>
        <w:rPr>
          <w:rFonts w:hint="eastAsia" w:ascii="仿宋" w:hAnsi="仿宋" w:eastAsia="仿宋" w:cs="仿宋"/>
          <w:color w:val="auto"/>
          <w:szCs w:val="21"/>
          <w:highlight w:val="none"/>
        </w:rPr>
        <w:t>小写：</w:t>
      </w:r>
      <w:r>
        <w:rPr>
          <w:rFonts w:hint="eastAsia" w:ascii="仿宋" w:hAnsi="仿宋" w:eastAsia="仿宋" w:cs="仿宋"/>
          <w:color w:val="auto"/>
          <w:szCs w:val="21"/>
          <w:highlight w:val="none"/>
          <w:lang w:val="en-GB"/>
        </w:rPr>
        <w:t>¥</w:t>
      </w:r>
      <w:r>
        <w:rPr>
          <w:rFonts w:hint="eastAsia" w:ascii="仿宋" w:hAnsi="仿宋" w:eastAsia="仿宋" w:cs="仿宋"/>
          <w:color w:val="auto"/>
          <w:szCs w:val="21"/>
          <w:highlight w:val="none"/>
          <w:u w:val="single"/>
          <w:lang w:val="en-GB"/>
        </w:rPr>
        <w:t xml:space="preserve">     </w:t>
      </w:r>
      <w:r>
        <w:rPr>
          <w:rFonts w:hint="eastAsia" w:ascii="仿宋" w:hAnsi="仿宋" w:eastAsia="仿宋" w:cs="仿宋"/>
          <w:color w:val="auto"/>
          <w:szCs w:val="21"/>
          <w:highlight w:val="none"/>
          <w:lang w:val="en-GB"/>
        </w:rPr>
        <w:t>元；（其中包含：建安工程费用：大写：</w:t>
      </w:r>
      <w:r>
        <w:rPr>
          <w:rFonts w:hint="eastAsia" w:ascii="仿宋" w:hAnsi="仿宋" w:eastAsia="仿宋" w:cs="仿宋"/>
          <w:color w:val="auto"/>
          <w:szCs w:val="21"/>
          <w:highlight w:val="none"/>
          <w:u w:val="single"/>
          <w:lang w:val="en-GB"/>
        </w:rPr>
        <w:t xml:space="preserve">     </w:t>
      </w:r>
      <w:r>
        <w:rPr>
          <w:rFonts w:hint="eastAsia" w:ascii="仿宋" w:hAnsi="仿宋" w:eastAsia="仿宋" w:cs="仿宋"/>
          <w:color w:val="auto"/>
          <w:szCs w:val="21"/>
          <w:highlight w:val="none"/>
        </w:rPr>
        <w:t>小写：</w:t>
      </w:r>
      <w:r>
        <w:rPr>
          <w:rFonts w:hint="eastAsia" w:ascii="仿宋" w:hAnsi="仿宋" w:eastAsia="仿宋" w:cs="仿宋"/>
          <w:color w:val="auto"/>
          <w:szCs w:val="21"/>
          <w:highlight w:val="none"/>
          <w:lang w:val="en-GB"/>
        </w:rPr>
        <w:t>¥</w:t>
      </w:r>
      <w:r>
        <w:rPr>
          <w:rFonts w:hint="eastAsia" w:ascii="仿宋" w:hAnsi="仿宋" w:eastAsia="仿宋" w:cs="仿宋"/>
          <w:color w:val="auto"/>
          <w:szCs w:val="21"/>
          <w:highlight w:val="none"/>
          <w:u w:val="single"/>
          <w:lang w:val="en-GB"/>
        </w:rPr>
        <w:t xml:space="preserve">     </w:t>
      </w:r>
      <w:r>
        <w:rPr>
          <w:rFonts w:hint="eastAsia" w:ascii="仿宋" w:hAnsi="仿宋" w:eastAsia="仿宋" w:cs="仿宋"/>
          <w:color w:val="auto"/>
          <w:szCs w:val="21"/>
          <w:highlight w:val="none"/>
          <w:lang w:val="en-GB"/>
        </w:rPr>
        <w:t>元；</w:t>
      </w:r>
      <w:r>
        <w:rPr>
          <w:rFonts w:hint="eastAsia" w:ascii="仿宋" w:hAnsi="仿宋" w:eastAsia="仿宋" w:cs="仿宋"/>
          <w:color w:val="auto"/>
          <w:szCs w:val="21"/>
          <w:highlight w:val="none"/>
        </w:rPr>
        <w:t>设备集成供货及服务</w:t>
      </w:r>
      <w:r>
        <w:rPr>
          <w:rFonts w:hint="eastAsia" w:ascii="仿宋" w:hAnsi="仿宋" w:eastAsia="仿宋" w:cs="仿宋"/>
          <w:color w:val="auto"/>
          <w:szCs w:val="21"/>
          <w:highlight w:val="none"/>
          <w:lang w:val="en-GB"/>
        </w:rPr>
        <w:t>费用：大写：</w:t>
      </w:r>
      <w:r>
        <w:rPr>
          <w:rFonts w:hint="eastAsia" w:ascii="仿宋" w:hAnsi="仿宋" w:eastAsia="仿宋" w:cs="仿宋"/>
          <w:color w:val="auto"/>
          <w:szCs w:val="21"/>
          <w:highlight w:val="none"/>
          <w:u w:val="single"/>
          <w:lang w:val="en-GB"/>
        </w:rPr>
        <w:t xml:space="preserve">     </w:t>
      </w:r>
      <w:r>
        <w:rPr>
          <w:rFonts w:hint="eastAsia" w:ascii="仿宋" w:hAnsi="仿宋" w:eastAsia="仿宋" w:cs="仿宋"/>
          <w:color w:val="auto"/>
          <w:szCs w:val="21"/>
          <w:highlight w:val="none"/>
        </w:rPr>
        <w:t>小写：</w:t>
      </w:r>
      <w:r>
        <w:rPr>
          <w:rFonts w:hint="eastAsia" w:ascii="仿宋" w:hAnsi="仿宋" w:eastAsia="仿宋" w:cs="仿宋"/>
          <w:color w:val="auto"/>
          <w:szCs w:val="21"/>
          <w:highlight w:val="none"/>
          <w:lang w:val="en-GB"/>
        </w:rPr>
        <w:t>¥</w:t>
      </w:r>
      <w:r>
        <w:rPr>
          <w:rFonts w:hint="eastAsia" w:ascii="仿宋" w:hAnsi="仿宋" w:eastAsia="仿宋" w:cs="仿宋"/>
          <w:color w:val="auto"/>
          <w:szCs w:val="21"/>
          <w:highlight w:val="none"/>
          <w:u w:val="single"/>
          <w:lang w:val="en-GB"/>
        </w:rPr>
        <w:t xml:space="preserve">     </w:t>
      </w:r>
      <w:r>
        <w:rPr>
          <w:rFonts w:hint="eastAsia" w:ascii="仿宋" w:hAnsi="仿宋" w:eastAsia="仿宋" w:cs="仿宋"/>
          <w:color w:val="auto"/>
          <w:szCs w:val="21"/>
          <w:highlight w:val="none"/>
          <w:lang w:val="en-GB"/>
        </w:rPr>
        <w:t>元；）</w:t>
      </w:r>
    </w:p>
    <w:p w14:paraId="03F97639">
      <w:pPr>
        <w:adjustRightInd w:val="0"/>
        <w:snapToGrid w:val="0"/>
        <w:spacing w:line="360" w:lineRule="auto"/>
        <w:ind w:firstLine="48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val="en-GB"/>
        </w:rPr>
        <w:t>1.</w:t>
      </w:r>
      <w:r>
        <w:rPr>
          <w:rFonts w:hint="eastAsia" w:ascii="仿宋" w:hAnsi="仿宋" w:eastAsia="仿宋" w:cs="仿宋"/>
          <w:color w:val="auto"/>
          <w:szCs w:val="21"/>
          <w:highlight w:val="none"/>
        </w:rPr>
        <w:t>3</w:t>
      </w:r>
      <w:r>
        <w:rPr>
          <w:rFonts w:hint="eastAsia" w:ascii="仿宋" w:hAnsi="仿宋" w:eastAsia="仿宋" w:cs="仿宋"/>
          <w:color w:val="auto"/>
          <w:szCs w:val="21"/>
          <w:highlight w:val="none"/>
          <w:lang w:val="en-GB"/>
        </w:rPr>
        <w:t>运营服务费用</w:t>
      </w:r>
      <w:r>
        <w:rPr>
          <w:rFonts w:hint="eastAsia" w:ascii="仿宋" w:hAnsi="仿宋" w:eastAsia="仿宋" w:cs="仿宋"/>
          <w:color w:val="auto"/>
          <w:szCs w:val="21"/>
          <w:highlight w:val="none"/>
          <w:lang w:val="en-GB" w:eastAsia="zh-CN"/>
        </w:rPr>
        <w:t>（</w:t>
      </w:r>
      <w:r>
        <w:rPr>
          <w:rFonts w:hint="eastAsia" w:ascii="仿宋" w:hAnsi="仿宋" w:eastAsia="仿宋" w:cs="仿宋"/>
          <w:color w:val="auto"/>
          <w:szCs w:val="21"/>
          <w:highlight w:val="none"/>
          <w:lang w:val="en-US" w:eastAsia="zh-CN"/>
        </w:rPr>
        <w:t>三年</w:t>
      </w:r>
      <w:r>
        <w:rPr>
          <w:rFonts w:hint="eastAsia" w:ascii="仿宋" w:hAnsi="仿宋" w:eastAsia="仿宋" w:cs="仿宋"/>
          <w:color w:val="auto"/>
          <w:szCs w:val="21"/>
          <w:highlight w:val="none"/>
          <w:lang w:val="en-GB" w:eastAsia="zh-CN"/>
        </w:rPr>
        <w:t>）</w:t>
      </w:r>
      <w:r>
        <w:rPr>
          <w:rFonts w:hint="eastAsia" w:ascii="仿宋" w:hAnsi="仿宋" w:eastAsia="仿宋" w:cs="仿宋"/>
          <w:color w:val="auto"/>
          <w:szCs w:val="21"/>
          <w:highlight w:val="none"/>
          <w:lang w:val="en-GB"/>
        </w:rPr>
        <w:t>：大写：</w:t>
      </w:r>
      <w:r>
        <w:rPr>
          <w:rFonts w:hint="eastAsia" w:ascii="仿宋" w:hAnsi="仿宋" w:eastAsia="仿宋" w:cs="仿宋"/>
          <w:color w:val="auto"/>
          <w:szCs w:val="21"/>
          <w:highlight w:val="none"/>
          <w:u w:val="single"/>
          <w:lang w:val="en-GB"/>
        </w:rPr>
        <w:t xml:space="preserve">     </w:t>
      </w:r>
      <w:r>
        <w:rPr>
          <w:rFonts w:hint="eastAsia" w:ascii="仿宋" w:hAnsi="仿宋" w:eastAsia="仿宋" w:cs="仿宋"/>
          <w:color w:val="auto"/>
          <w:szCs w:val="21"/>
          <w:highlight w:val="none"/>
        </w:rPr>
        <w:t>小写：</w:t>
      </w:r>
      <w:r>
        <w:rPr>
          <w:rFonts w:hint="eastAsia" w:ascii="仿宋" w:hAnsi="仿宋" w:eastAsia="仿宋" w:cs="仿宋"/>
          <w:color w:val="auto"/>
          <w:szCs w:val="21"/>
          <w:highlight w:val="none"/>
          <w:lang w:val="en-GB"/>
        </w:rPr>
        <w:t>¥</w:t>
      </w:r>
      <w:r>
        <w:rPr>
          <w:rFonts w:hint="eastAsia" w:ascii="仿宋" w:hAnsi="仿宋" w:eastAsia="仿宋" w:cs="仿宋"/>
          <w:color w:val="auto"/>
          <w:szCs w:val="21"/>
          <w:highlight w:val="none"/>
          <w:u w:val="single"/>
          <w:lang w:val="en-GB"/>
        </w:rPr>
        <w:t xml:space="preserve">     </w:t>
      </w:r>
      <w:r>
        <w:rPr>
          <w:rFonts w:hint="eastAsia" w:ascii="仿宋" w:hAnsi="仿宋" w:eastAsia="仿宋" w:cs="仿宋"/>
          <w:color w:val="auto"/>
          <w:szCs w:val="21"/>
          <w:highlight w:val="none"/>
          <w:lang w:val="en-GB"/>
        </w:rPr>
        <w:t>元（</w:t>
      </w:r>
      <w:r>
        <w:rPr>
          <w:rFonts w:hint="eastAsia" w:ascii="仿宋" w:hAnsi="仿宋" w:eastAsia="仿宋" w:cs="仿宋"/>
          <w:color w:val="auto"/>
          <w:szCs w:val="21"/>
          <w:highlight w:val="none"/>
        </w:rPr>
        <w:t>其中污水处理服务费用单价      元/吨）</w:t>
      </w:r>
    </w:p>
    <w:p w14:paraId="1036572B">
      <w:pPr>
        <w:adjustRightInd w:val="0"/>
        <w:snapToGrid w:val="0"/>
        <w:spacing w:line="360" w:lineRule="auto"/>
        <w:ind w:firstLine="480" w:firstLineChars="200"/>
        <w:jc w:val="left"/>
        <w:rPr>
          <w:rFonts w:hint="eastAsia" w:ascii="仿宋" w:hAnsi="仿宋" w:eastAsia="仿宋" w:cs="仿宋"/>
          <w:color w:val="auto"/>
          <w:szCs w:val="21"/>
          <w:highlight w:val="none"/>
          <w:lang w:val="en-GB"/>
        </w:rPr>
      </w:pPr>
      <w:r>
        <w:rPr>
          <w:rFonts w:hint="eastAsia" w:ascii="仿宋" w:hAnsi="仿宋" w:eastAsia="仿宋" w:cs="仿宋"/>
          <w:color w:val="auto"/>
          <w:szCs w:val="21"/>
          <w:highlight w:val="none"/>
          <w:lang w:val="en-US" w:eastAsia="zh-CN"/>
        </w:rPr>
        <w:t>1.4</w:t>
      </w:r>
      <w:r>
        <w:rPr>
          <w:rFonts w:hint="eastAsia" w:ascii="仿宋" w:hAnsi="仿宋" w:eastAsia="仿宋" w:cs="仿宋"/>
          <w:color w:val="auto"/>
          <w:szCs w:val="21"/>
          <w:highlight w:val="none"/>
          <w:lang w:val="en-GB"/>
        </w:rPr>
        <w:t>预备费：大写：     小写：¥     元；</w:t>
      </w:r>
    </w:p>
    <w:p w14:paraId="40E0B5DF">
      <w:pPr>
        <w:adjustRightInd w:val="0"/>
        <w:snapToGrid w:val="0"/>
        <w:ind w:firstLine="480"/>
        <w:rPr>
          <w:rFonts w:hint="eastAsia"/>
          <w:color w:val="auto"/>
          <w:highlight w:val="none"/>
          <w:lang w:val="en-GB"/>
        </w:rPr>
      </w:pPr>
      <w:r>
        <w:rPr>
          <w:rFonts w:ascii="仿宋" w:hAnsi="仿宋" w:cs="仿宋"/>
          <w:color w:val="auto"/>
          <w:szCs w:val="21"/>
          <w:highlight w:val="none"/>
          <w:lang w:val="en-US"/>
        </w:rPr>
        <w:t>1.5</w:t>
      </w:r>
      <w:r>
        <w:rPr>
          <w:rFonts w:hint="eastAsia" w:ascii="仿宋" w:hAnsi="仿宋" w:cs="仿宋"/>
          <w:color w:val="auto"/>
          <w:szCs w:val="21"/>
          <w:highlight w:val="none"/>
          <w:lang w:val="en-US"/>
        </w:rPr>
        <w:t>场地准备及临时设施费用</w:t>
      </w:r>
      <w:r>
        <w:rPr>
          <w:rFonts w:hint="eastAsia" w:ascii="仿宋" w:hAnsi="仿宋" w:cs="仿宋"/>
          <w:color w:val="auto"/>
          <w:szCs w:val="21"/>
          <w:highlight w:val="none"/>
        </w:rPr>
        <w:t>：大写：     小写：</w:t>
      </w:r>
      <w:r>
        <w:rPr>
          <w:rFonts w:cs="Calibri"/>
          <w:color w:val="auto"/>
          <w:szCs w:val="21"/>
          <w:highlight w:val="none"/>
        </w:rPr>
        <w:t>¥</w:t>
      </w:r>
      <w:r>
        <w:rPr>
          <w:rFonts w:hint="eastAsia" w:ascii="仿宋" w:hAnsi="仿宋" w:cs="仿宋"/>
          <w:color w:val="auto"/>
          <w:szCs w:val="21"/>
          <w:highlight w:val="none"/>
        </w:rPr>
        <w:t xml:space="preserve">     元；</w:t>
      </w:r>
    </w:p>
    <w:p w14:paraId="7D2E25CF">
      <w:pPr>
        <w:adjustRightInd w:val="0"/>
        <w:snapToGrid w:val="0"/>
        <w:spacing w:line="360" w:lineRule="auto"/>
        <w:ind w:firstLine="480" w:firstLineChars="200"/>
        <w:jc w:val="left"/>
        <w:rPr>
          <w:rFonts w:hint="eastAsia" w:ascii="仿宋" w:hAnsi="仿宋" w:eastAsia="仿宋" w:cs="仿宋"/>
          <w:color w:val="auto"/>
          <w:szCs w:val="21"/>
          <w:highlight w:val="none"/>
          <w:lang w:val="en-GB"/>
        </w:rPr>
      </w:pPr>
      <w:r>
        <w:rPr>
          <w:rFonts w:hint="eastAsia" w:ascii="仿宋" w:hAnsi="仿宋" w:eastAsia="仿宋" w:cs="仿宋"/>
          <w:color w:val="auto"/>
          <w:szCs w:val="21"/>
          <w:highlight w:val="none"/>
        </w:rPr>
        <w:t>1.</w:t>
      </w:r>
      <w:r>
        <w:rPr>
          <w:rFonts w:hint="eastAsia" w:ascii="仿宋" w:hAnsi="仿宋" w:cs="仿宋"/>
          <w:color w:val="auto"/>
          <w:szCs w:val="21"/>
          <w:highlight w:val="none"/>
          <w:lang w:val="en-US" w:eastAsia="zh-CN"/>
        </w:rPr>
        <w:t xml:space="preserve">6 </w:t>
      </w:r>
      <w:r>
        <w:rPr>
          <w:rFonts w:hint="eastAsia" w:ascii="仿宋" w:hAnsi="仿宋" w:eastAsia="仿宋" w:cs="仿宋"/>
          <w:color w:val="auto"/>
          <w:szCs w:val="21"/>
          <w:highlight w:val="none"/>
          <w:lang w:val="en-GB"/>
        </w:rPr>
        <w:t>EPC+O总包投标</w:t>
      </w:r>
      <w:r>
        <w:rPr>
          <w:rFonts w:hint="eastAsia" w:ascii="仿宋" w:hAnsi="仿宋" w:eastAsia="仿宋" w:cs="仿宋"/>
          <w:color w:val="auto"/>
          <w:szCs w:val="21"/>
          <w:highlight w:val="none"/>
        </w:rPr>
        <w:t>价（1.1+1.2+1.3</w:t>
      </w:r>
      <w:r>
        <w:rPr>
          <w:rFonts w:hint="eastAsia" w:ascii="仿宋" w:hAnsi="仿宋" w:eastAsia="仿宋" w:cs="仿宋"/>
          <w:color w:val="auto"/>
          <w:szCs w:val="21"/>
          <w:highlight w:val="none"/>
          <w:lang w:val="en-US" w:eastAsia="zh-CN"/>
        </w:rPr>
        <w:t>+1.4</w:t>
      </w:r>
      <w:r>
        <w:rPr>
          <w:rFonts w:hint="eastAsia" w:ascii="仿宋" w:hAnsi="仿宋" w:cs="仿宋"/>
          <w:color w:val="auto"/>
          <w:szCs w:val="21"/>
          <w:highlight w:val="none"/>
          <w:lang w:val="en-US" w:eastAsia="zh-CN"/>
        </w:rPr>
        <w:t>+1.5</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GB"/>
        </w:rPr>
        <w:t>：大写：</w:t>
      </w:r>
      <w:r>
        <w:rPr>
          <w:rFonts w:hint="eastAsia" w:ascii="仿宋" w:hAnsi="仿宋" w:eastAsia="仿宋" w:cs="仿宋"/>
          <w:color w:val="auto"/>
          <w:szCs w:val="21"/>
          <w:highlight w:val="none"/>
          <w:u w:val="single"/>
          <w:lang w:val="en-GB"/>
        </w:rPr>
        <w:t xml:space="preserve">     </w:t>
      </w:r>
      <w:r>
        <w:rPr>
          <w:rFonts w:hint="eastAsia" w:ascii="仿宋" w:hAnsi="仿宋" w:eastAsia="仿宋" w:cs="仿宋"/>
          <w:color w:val="auto"/>
          <w:szCs w:val="21"/>
          <w:highlight w:val="none"/>
        </w:rPr>
        <w:t>（小写：</w:t>
      </w:r>
      <w:r>
        <w:rPr>
          <w:rFonts w:hint="eastAsia" w:ascii="仿宋" w:hAnsi="仿宋" w:eastAsia="仿宋" w:cs="仿宋"/>
          <w:color w:val="auto"/>
          <w:szCs w:val="21"/>
          <w:highlight w:val="none"/>
          <w:lang w:val="en-GB"/>
        </w:rPr>
        <w:t>¥</w:t>
      </w:r>
      <w:r>
        <w:rPr>
          <w:rFonts w:hint="eastAsia" w:ascii="仿宋" w:hAnsi="仿宋" w:eastAsia="仿宋" w:cs="仿宋"/>
          <w:color w:val="auto"/>
          <w:szCs w:val="21"/>
          <w:highlight w:val="none"/>
          <w:u w:val="single"/>
          <w:lang w:val="en-GB"/>
        </w:rPr>
        <w:t xml:space="preserve">     </w:t>
      </w:r>
      <w:r>
        <w:rPr>
          <w:rFonts w:hint="eastAsia" w:ascii="仿宋" w:hAnsi="仿宋" w:eastAsia="仿宋" w:cs="仿宋"/>
          <w:color w:val="auto"/>
          <w:szCs w:val="21"/>
          <w:highlight w:val="none"/>
          <w:lang w:val="en-GB"/>
        </w:rPr>
        <w:t>元</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GB"/>
        </w:rPr>
        <w:t>；</w:t>
      </w:r>
    </w:p>
    <w:p w14:paraId="17EB813C">
      <w:pPr>
        <w:adjustRightInd w:val="0"/>
        <w:snapToGrid w:val="0"/>
        <w:spacing w:line="360" w:lineRule="auto"/>
        <w:ind w:firstLine="480" w:firstLineChars="200"/>
        <w:jc w:val="left"/>
        <w:rPr>
          <w:rFonts w:hint="eastAsia" w:ascii="仿宋" w:hAnsi="仿宋" w:eastAsia="仿宋" w:cs="仿宋"/>
          <w:color w:val="auto"/>
          <w:szCs w:val="21"/>
          <w:highlight w:val="none"/>
          <w:lang w:val="en-GB"/>
        </w:rPr>
      </w:pPr>
      <w:r>
        <w:rPr>
          <w:rFonts w:hint="eastAsia" w:ascii="仿宋" w:hAnsi="仿宋" w:eastAsia="仿宋" w:cs="仿宋"/>
          <w:color w:val="auto"/>
          <w:szCs w:val="21"/>
          <w:highlight w:val="none"/>
        </w:rPr>
        <w:t>按合同约定进行设计、实施和竣工承包工程，修补工程中的任何缺陷，实现工程目的。</w:t>
      </w:r>
    </w:p>
    <w:p w14:paraId="6FBA1187">
      <w:pPr>
        <w:numPr>
          <w:ilvl w:val="0"/>
          <w:numId w:val="5"/>
        </w:numPr>
        <w:spacing w:line="440" w:lineRule="exact"/>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val="en-GB"/>
        </w:rPr>
        <w:t>承诺</w:t>
      </w:r>
      <w:r>
        <w:rPr>
          <w:rFonts w:hint="eastAsia" w:ascii="仿宋" w:hAnsi="仿宋" w:eastAsia="仿宋" w:cs="仿宋"/>
          <w:color w:val="auto"/>
          <w:szCs w:val="21"/>
          <w:highlight w:val="none"/>
        </w:rPr>
        <w:t>工期：</w:t>
      </w:r>
      <w:r>
        <w:rPr>
          <w:rFonts w:hint="eastAsia" w:ascii="仿宋" w:hAnsi="仿宋" w:eastAsia="仿宋" w:cs="仿宋"/>
          <w:color w:val="auto"/>
          <w:szCs w:val="21"/>
          <w:highlight w:val="none"/>
          <w:u w:val="single"/>
        </w:rPr>
        <w:t xml:space="preserve">  年  月   日开工至  年   月    日竣工</w:t>
      </w:r>
      <w:r>
        <w:rPr>
          <w:rFonts w:hint="eastAsia" w:ascii="仿宋" w:hAnsi="仿宋" w:eastAsia="仿宋" w:cs="仿宋"/>
          <w:color w:val="auto"/>
          <w:szCs w:val="21"/>
          <w:highlight w:val="none"/>
        </w:rPr>
        <w:t>（共计</w:t>
      </w:r>
      <w:r>
        <w:rPr>
          <w:rFonts w:hint="eastAsia" w:ascii="仿宋" w:hAnsi="仿宋" w:eastAsia="仿宋" w:cs="仿宋"/>
          <w:color w:val="auto"/>
          <w:szCs w:val="21"/>
          <w:highlight w:val="none"/>
          <w:u w:val="single"/>
        </w:rPr>
        <w:t xml:space="preserve">   </w:t>
      </w:r>
      <w:r>
        <w:rPr>
          <w:rFonts w:hint="eastAsia" w:ascii="仿宋" w:hAnsi="仿宋" w:eastAsia="仿宋" w:cs="仿宋"/>
          <w:color w:val="auto"/>
          <w:szCs w:val="21"/>
          <w:highlight w:val="none"/>
        </w:rPr>
        <w:t>日历天），其中：设计周期</w:t>
      </w:r>
      <w:r>
        <w:rPr>
          <w:rFonts w:hint="eastAsia" w:ascii="仿宋" w:hAnsi="仿宋" w:eastAsia="仿宋" w:cs="仿宋"/>
          <w:color w:val="auto"/>
          <w:szCs w:val="21"/>
          <w:highlight w:val="none"/>
          <w:u w:val="single"/>
        </w:rPr>
        <w:t xml:space="preserve">   </w:t>
      </w:r>
      <w:r>
        <w:rPr>
          <w:rFonts w:hint="eastAsia" w:ascii="仿宋" w:hAnsi="仿宋" w:eastAsia="仿宋" w:cs="仿宋"/>
          <w:color w:val="auto"/>
          <w:szCs w:val="21"/>
          <w:highlight w:val="none"/>
        </w:rPr>
        <w:t>日历天，运营期   年。具体时间以合同签订为准。</w:t>
      </w:r>
    </w:p>
    <w:p w14:paraId="6A0CFDB0">
      <w:pPr>
        <w:adjustRightInd w:val="0"/>
        <w:snapToGrid w:val="0"/>
        <w:spacing w:line="360" w:lineRule="auto"/>
        <w:ind w:firstLine="48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val="en-GB"/>
        </w:rPr>
        <w:t>3.</w:t>
      </w:r>
      <w:r>
        <w:rPr>
          <w:rFonts w:hint="eastAsia" w:ascii="仿宋" w:hAnsi="仿宋" w:eastAsia="仿宋" w:cs="仿宋"/>
          <w:color w:val="auto"/>
          <w:szCs w:val="21"/>
          <w:highlight w:val="none"/>
        </w:rPr>
        <w:t>质量标准：</w:t>
      </w:r>
    </w:p>
    <w:p w14:paraId="0D9AA66E">
      <w:pPr>
        <w:adjustRightInd w:val="0"/>
        <w:snapToGrid w:val="0"/>
        <w:spacing w:line="360" w:lineRule="auto"/>
        <w:ind w:firstLine="720" w:firstLineChars="3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设计质量标准：</w:t>
      </w:r>
      <w:r>
        <w:rPr>
          <w:rFonts w:hint="eastAsia" w:ascii="仿宋" w:hAnsi="仿宋" w:eastAsia="仿宋" w:cs="仿宋"/>
          <w:color w:val="auto"/>
          <w:szCs w:val="21"/>
          <w:highlight w:val="none"/>
          <w:u w:val="single"/>
          <w:lang w:val="en-GB"/>
        </w:rPr>
        <w:t xml:space="preserve">     </w:t>
      </w:r>
      <w:r>
        <w:rPr>
          <w:rFonts w:hint="eastAsia" w:ascii="仿宋" w:hAnsi="仿宋" w:eastAsia="仿宋" w:cs="仿宋"/>
          <w:color w:val="auto"/>
          <w:szCs w:val="21"/>
          <w:highlight w:val="none"/>
        </w:rPr>
        <w:t>。</w:t>
      </w:r>
    </w:p>
    <w:p w14:paraId="7A0E16DE">
      <w:pPr>
        <w:adjustRightInd w:val="0"/>
        <w:snapToGrid w:val="0"/>
        <w:spacing w:line="360" w:lineRule="auto"/>
        <w:ind w:firstLine="720" w:firstLineChars="300"/>
        <w:jc w:val="left"/>
        <w:rPr>
          <w:rFonts w:hint="eastAsia" w:ascii="仿宋" w:hAnsi="仿宋" w:eastAsia="仿宋" w:cs="仿宋"/>
          <w:color w:val="auto"/>
          <w:szCs w:val="21"/>
          <w:highlight w:val="none"/>
          <w:lang w:val="en-GB"/>
        </w:rPr>
      </w:pPr>
      <w:r>
        <w:rPr>
          <w:rFonts w:hint="eastAsia" w:ascii="仿宋" w:hAnsi="仿宋" w:eastAsia="仿宋" w:cs="仿宋"/>
          <w:color w:val="auto"/>
          <w:szCs w:val="21"/>
          <w:highlight w:val="none"/>
        </w:rPr>
        <w:t>施工质量标准：</w:t>
      </w:r>
      <w:r>
        <w:rPr>
          <w:rFonts w:hint="eastAsia" w:ascii="仿宋" w:hAnsi="仿宋" w:eastAsia="仿宋" w:cs="仿宋"/>
          <w:color w:val="auto"/>
          <w:szCs w:val="21"/>
          <w:highlight w:val="none"/>
          <w:u w:val="single"/>
          <w:lang w:val="en-GB"/>
        </w:rPr>
        <w:t xml:space="preserve">     </w:t>
      </w:r>
      <w:r>
        <w:rPr>
          <w:rFonts w:hint="eastAsia" w:ascii="仿宋" w:hAnsi="仿宋" w:eastAsia="仿宋" w:cs="仿宋"/>
          <w:color w:val="auto"/>
          <w:szCs w:val="21"/>
          <w:highlight w:val="none"/>
        </w:rPr>
        <w:t>。</w:t>
      </w:r>
    </w:p>
    <w:p w14:paraId="7BF96BCC">
      <w:pPr>
        <w:adjustRightInd w:val="0"/>
        <w:snapToGrid w:val="0"/>
        <w:spacing w:line="360" w:lineRule="auto"/>
        <w:ind w:firstLine="48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val="en-GB"/>
        </w:rPr>
        <w:t>4.</w:t>
      </w:r>
      <w:r>
        <w:rPr>
          <w:rFonts w:hint="eastAsia" w:ascii="仿宋" w:hAnsi="仿宋" w:eastAsia="仿宋" w:cs="仿宋"/>
          <w:color w:val="auto"/>
          <w:szCs w:val="21"/>
          <w:highlight w:val="none"/>
        </w:rPr>
        <w:t>项目经理（兼施工负责人）</w:t>
      </w:r>
      <w:r>
        <w:rPr>
          <w:rFonts w:hint="eastAsia" w:ascii="仿宋" w:hAnsi="仿宋" w:eastAsia="仿宋" w:cs="仿宋"/>
          <w:color w:val="auto"/>
          <w:kern w:val="0"/>
          <w:szCs w:val="21"/>
          <w:highlight w:val="none"/>
          <w:u w:val="single"/>
        </w:rPr>
        <w:t>（姓名），（专业、级别、证书编号）</w:t>
      </w:r>
      <w:r>
        <w:rPr>
          <w:rFonts w:hint="eastAsia" w:ascii="仿宋" w:hAnsi="仿宋" w:eastAsia="仿宋" w:cs="仿宋"/>
          <w:color w:val="auto"/>
          <w:szCs w:val="21"/>
          <w:highlight w:val="none"/>
        </w:rPr>
        <w:t>。</w:t>
      </w:r>
    </w:p>
    <w:p w14:paraId="2597F790">
      <w:pPr>
        <w:adjustRightInd w:val="0"/>
        <w:snapToGrid w:val="0"/>
        <w:spacing w:line="360" w:lineRule="auto"/>
        <w:ind w:firstLine="840" w:firstLineChars="350"/>
        <w:jc w:val="left"/>
        <w:rPr>
          <w:rFonts w:hint="eastAsia" w:ascii="仿宋" w:hAnsi="仿宋" w:eastAsia="仿宋" w:cs="仿宋"/>
          <w:color w:val="auto"/>
          <w:szCs w:val="21"/>
          <w:highlight w:val="none"/>
          <w:lang w:val="en-GB"/>
        </w:rPr>
      </w:pPr>
      <w:r>
        <w:rPr>
          <w:rFonts w:hint="eastAsia" w:ascii="仿宋" w:hAnsi="仿宋" w:eastAsia="仿宋" w:cs="仿宋"/>
          <w:color w:val="auto"/>
          <w:szCs w:val="21"/>
          <w:highlight w:val="none"/>
        </w:rPr>
        <w:t>设计负责人</w:t>
      </w:r>
      <w:r>
        <w:rPr>
          <w:rFonts w:hint="eastAsia" w:ascii="仿宋" w:hAnsi="仿宋" w:eastAsia="仿宋" w:cs="仿宋"/>
          <w:color w:val="auto"/>
          <w:kern w:val="0"/>
          <w:szCs w:val="21"/>
          <w:highlight w:val="none"/>
          <w:u w:val="single"/>
        </w:rPr>
        <w:t>（姓名），（级别、证书编号）</w:t>
      </w:r>
      <w:r>
        <w:rPr>
          <w:rFonts w:hint="eastAsia" w:ascii="仿宋" w:hAnsi="仿宋" w:eastAsia="仿宋" w:cs="仿宋"/>
          <w:color w:val="auto"/>
          <w:szCs w:val="21"/>
          <w:highlight w:val="none"/>
        </w:rPr>
        <w:t>。</w:t>
      </w:r>
    </w:p>
    <w:p w14:paraId="14808C23">
      <w:pPr>
        <w:adjustRightInd w:val="0"/>
        <w:snapToGrid w:val="0"/>
        <w:spacing w:line="360" w:lineRule="auto"/>
        <w:ind w:firstLine="48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5．我方承诺在招标文件规定的投标有效期内不修改、撤销投标文件。</w:t>
      </w:r>
    </w:p>
    <w:p w14:paraId="3C3B8F17">
      <w:pPr>
        <w:adjustRightInd w:val="0"/>
        <w:snapToGrid w:val="0"/>
        <w:spacing w:line="360" w:lineRule="auto"/>
        <w:ind w:firstLine="48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6．随同本投标函提交投标保证金一份，金额为人民币（大写）</w:t>
      </w:r>
      <w:r>
        <w:rPr>
          <w:rFonts w:hint="eastAsia" w:ascii="仿宋" w:hAnsi="仿宋" w:eastAsia="仿宋" w:cs="仿宋"/>
          <w:color w:val="auto"/>
          <w:szCs w:val="21"/>
          <w:highlight w:val="none"/>
          <w:u w:val="single"/>
        </w:rPr>
        <w:t xml:space="preserve">     </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u w:val="single"/>
        </w:rPr>
        <w:t xml:space="preserve">    </w:t>
      </w:r>
      <w:r>
        <w:rPr>
          <w:rFonts w:hint="eastAsia" w:ascii="仿宋" w:hAnsi="仿宋" w:eastAsia="仿宋" w:cs="仿宋"/>
          <w:color w:val="auto"/>
          <w:szCs w:val="21"/>
          <w:highlight w:val="none"/>
        </w:rPr>
        <w:t>元。</w:t>
      </w:r>
    </w:p>
    <w:p w14:paraId="71AA76E8">
      <w:pPr>
        <w:adjustRightInd w:val="0"/>
        <w:snapToGrid w:val="0"/>
        <w:spacing w:line="360" w:lineRule="auto"/>
        <w:ind w:firstLine="48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7．如我方中标：</w:t>
      </w:r>
    </w:p>
    <w:p w14:paraId="5D14E0A2">
      <w:pPr>
        <w:adjustRightInd w:val="0"/>
        <w:snapToGrid w:val="0"/>
        <w:spacing w:line="360" w:lineRule="auto"/>
        <w:ind w:firstLine="820" w:firstLineChars="342"/>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（1）我方承诺在收到中标通知书后，在中标通知书规定的期限内与你方签订合同。</w:t>
      </w:r>
    </w:p>
    <w:p w14:paraId="79A70FBA">
      <w:pPr>
        <w:adjustRightInd w:val="0"/>
        <w:snapToGrid w:val="0"/>
        <w:spacing w:line="360" w:lineRule="auto"/>
        <w:ind w:firstLine="820" w:firstLineChars="342"/>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（2）随同本投标函递交的投标函附录属于合同文件的组成部分。</w:t>
      </w:r>
    </w:p>
    <w:p w14:paraId="0C45CA3B">
      <w:pPr>
        <w:adjustRightInd w:val="0"/>
        <w:snapToGrid w:val="0"/>
        <w:spacing w:line="360" w:lineRule="auto"/>
        <w:ind w:firstLine="820" w:firstLineChars="342"/>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（3）我方承诺按照招标文件规定向你方递交履约担保。</w:t>
      </w:r>
    </w:p>
    <w:p w14:paraId="5E4813F4">
      <w:pPr>
        <w:adjustRightInd w:val="0"/>
        <w:snapToGrid w:val="0"/>
        <w:spacing w:line="360" w:lineRule="auto"/>
        <w:ind w:firstLine="820" w:firstLineChars="342"/>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（4）我方承诺在合同约定的期限内完成并移交全部合同工程。</w:t>
      </w:r>
    </w:p>
    <w:p w14:paraId="03094CC5">
      <w:pPr>
        <w:adjustRightInd w:val="0"/>
        <w:snapToGrid w:val="0"/>
        <w:spacing w:line="360" w:lineRule="auto"/>
        <w:ind w:firstLine="48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8．</w:t>
      </w:r>
      <w:r>
        <w:rPr>
          <w:rFonts w:hint="eastAsia" w:ascii="仿宋" w:hAnsi="仿宋" w:eastAsia="仿宋" w:cs="仿宋"/>
          <w:color w:val="auto"/>
          <w:highlight w:val="none"/>
        </w:rPr>
        <w:t>我方在此声明，所递交的投标文件及有关资料内容完整、真实和准确，且不存在第二章“投标人须知”第1.4.3项和第1.4.4项规定的任何一种情形。</w:t>
      </w:r>
    </w:p>
    <w:p w14:paraId="305C7611">
      <w:pPr>
        <w:adjustRightInd w:val="0"/>
        <w:snapToGrid w:val="0"/>
        <w:spacing w:line="360" w:lineRule="auto"/>
        <w:ind w:firstLine="48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9．（其他补充说明）。</w:t>
      </w:r>
    </w:p>
    <w:p w14:paraId="4A1582EE">
      <w:pPr>
        <w:adjustRightInd w:val="0"/>
        <w:snapToGrid w:val="0"/>
        <w:spacing w:line="360" w:lineRule="auto"/>
        <w:ind w:firstLine="4200" w:firstLineChars="175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投标人：（盖单位章）</w:t>
      </w:r>
    </w:p>
    <w:p w14:paraId="624A431A">
      <w:pPr>
        <w:adjustRightInd w:val="0"/>
        <w:snapToGrid w:val="0"/>
        <w:spacing w:line="360" w:lineRule="auto"/>
        <w:ind w:firstLine="4200" w:firstLineChars="175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法定代表人或其委托代理人：（签字）</w:t>
      </w:r>
    </w:p>
    <w:p w14:paraId="672D2AEF">
      <w:pPr>
        <w:adjustRightInd w:val="0"/>
        <w:snapToGrid w:val="0"/>
        <w:spacing w:line="360" w:lineRule="auto"/>
        <w:ind w:firstLine="4200" w:firstLineChars="175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地址：</w:t>
      </w:r>
    </w:p>
    <w:p w14:paraId="09EDC44F">
      <w:pPr>
        <w:adjustRightInd w:val="0"/>
        <w:snapToGrid w:val="0"/>
        <w:spacing w:line="360" w:lineRule="auto"/>
        <w:ind w:firstLine="4200" w:firstLineChars="175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电话：          传真：</w:t>
      </w:r>
    </w:p>
    <w:p w14:paraId="71E3EF06">
      <w:pPr>
        <w:adjustRightInd w:val="0"/>
        <w:snapToGrid w:val="0"/>
        <w:spacing w:line="360" w:lineRule="auto"/>
        <w:ind w:firstLine="8160" w:firstLineChars="34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年  月  日</w:t>
      </w:r>
    </w:p>
    <w:p w14:paraId="42F54ADC">
      <w:pPr>
        <w:rPr>
          <w:rFonts w:hint="eastAsia" w:ascii="仿宋" w:hAnsi="仿宋" w:eastAsia="仿宋" w:cs="仿宋"/>
          <w:color w:val="auto"/>
          <w:highlight w:val="none"/>
        </w:rPr>
      </w:pPr>
      <w:bookmarkStart w:id="880" w:name="_Toc247514249"/>
      <w:bookmarkStart w:id="881" w:name="_Toc106998215"/>
      <w:bookmarkStart w:id="882" w:name="_Toc152045790"/>
      <w:bookmarkStart w:id="883" w:name="_Toc144974859"/>
      <w:bookmarkStart w:id="884" w:name="_Toc152042579"/>
      <w:bookmarkStart w:id="885" w:name="_Toc7956825"/>
      <w:bookmarkStart w:id="886" w:name="_Toc247527830"/>
      <w:r>
        <w:rPr>
          <w:rFonts w:hint="eastAsia" w:ascii="仿宋" w:hAnsi="仿宋" w:eastAsia="仿宋" w:cs="仿宋"/>
          <w:color w:val="auto"/>
          <w:highlight w:val="none"/>
        </w:rPr>
        <w:br w:type="page"/>
      </w:r>
    </w:p>
    <w:p w14:paraId="0D7DE85A">
      <w:pPr>
        <w:pStyle w:val="5"/>
        <w:jc w:val="center"/>
        <w:rPr>
          <w:rFonts w:hint="eastAsia" w:ascii="仿宋" w:hAnsi="仿宋" w:eastAsia="仿宋" w:cs="仿宋"/>
          <w:color w:val="auto"/>
          <w:highlight w:val="none"/>
        </w:rPr>
      </w:pPr>
      <w:r>
        <w:rPr>
          <w:rFonts w:hint="eastAsia" w:ascii="仿宋" w:hAnsi="仿宋" w:eastAsia="仿宋" w:cs="仿宋"/>
          <w:color w:val="auto"/>
          <w:highlight w:val="none"/>
        </w:rPr>
        <w:t>（二）投标函附录</w:t>
      </w:r>
      <w:bookmarkEnd w:id="880"/>
      <w:bookmarkEnd w:id="881"/>
      <w:bookmarkEnd w:id="882"/>
      <w:bookmarkEnd w:id="883"/>
      <w:bookmarkEnd w:id="884"/>
      <w:bookmarkEnd w:id="885"/>
      <w:bookmarkEnd w:id="886"/>
    </w:p>
    <w:tbl>
      <w:tblPr>
        <w:tblStyle w:val="39"/>
        <w:tblpPr w:leftFromText="180" w:rightFromText="180" w:vertAnchor="text" w:horzAnchor="page" w:tblpX="1723" w:tblpY="293"/>
        <w:tblOverlap w:val="never"/>
        <w:tblW w:w="90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8"/>
        <w:gridCol w:w="2529"/>
        <w:gridCol w:w="3077"/>
        <w:gridCol w:w="2576"/>
      </w:tblGrid>
      <w:tr w14:paraId="551968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818" w:type="dxa"/>
            <w:tcBorders>
              <w:top w:val="single" w:color="auto" w:sz="4" w:space="0"/>
              <w:left w:val="single" w:color="auto" w:sz="4" w:space="0"/>
              <w:bottom w:val="single" w:color="auto" w:sz="4" w:space="0"/>
              <w:right w:val="single" w:color="auto" w:sz="4" w:space="0"/>
            </w:tcBorders>
            <w:noWrap w:val="0"/>
            <w:vAlign w:val="center"/>
          </w:tcPr>
          <w:p w14:paraId="6454D357">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序号</w:t>
            </w:r>
          </w:p>
        </w:tc>
        <w:tc>
          <w:tcPr>
            <w:tcW w:w="2529" w:type="dxa"/>
            <w:tcBorders>
              <w:top w:val="single" w:color="auto" w:sz="4" w:space="0"/>
              <w:left w:val="single" w:color="auto" w:sz="4" w:space="0"/>
              <w:bottom w:val="single" w:color="auto" w:sz="4" w:space="0"/>
              <w:right w:val="single" w:color="auto" w:sz="4" w:space="0"/>
            </w:tcBorders>
            <w:noWrap w:val="0"/>
            <w:vAlign w:val="center"/>
          </w:tcPr>
          <w:p w14:paraId="75742912">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条款名称</w:t>
            </w:r>
          </w:p>
        </w:tc>
        <w:tc>
          <w:tcPr>
            <w:tcW w:w="3077" w:type="dxa"/>
            <w:tcBorders>
              <w:top w:val="single" w:color="auto" w:sz="4" w:space="0"/>
              <w:left w:val="single" w:color="auto" w:sz="4" w:space="0"/>
              <w:bottom w:val="single" w:color="auto" w:sz="4" w:space="0"/>
              <w:right w:val="single" w:color="auto" w:sz="4" w:space="0"/>
            </w:tcBorders>
            <w:noWrap w:val="0"/>
            <w:vAlign w:val="center"/>
          </w:tcPr>
          <w:p w14:paraId="4C29A008">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约定内容</w:t>
            </w:r>
          </w:p>
        </w:tc>
        <w:tc>
          <w:tcPr>
            <w:tcW w:w="2576" w:type="dxa"/>
            <w:tcBorders>
              <w:top w:val="single" w:color="auto" w:sz="4" w:space="0"/>
              <w:left w:val="single" w:color="auto" w:sz="4" w:space="0"/>
              <w:bottom w:val="single" w:color="auto" w:sz="4" w:space="0"/>
              <w:right w:val="single" w:color="auto" w:sz="4" w:space="0"/>
            </w:tcBorders>
            <w:noWrap w:val="0"/>
            <w:vAlign w:val="center"/>
          </w:tcPr>
          <w:p w14:paraId="4B16BDAB">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备注</w:t>
            </w:r>
          </w:p>
        </w:tc>
      </w:tr>
      <w:tr w14:paraId="3A4F8C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818" w:type="dxa"/>
            <w:tcBorders>
              <w:top w:val="single" w:color="auto" w:sz="4" w:space="0"/>
              <w:left w:val="single" w:color="auto" w:sz="4" w:space="0"/>
              <w:bottom w:val="single" w:color="auto" w:sz="4" w:space="0"/>
              <w:right w:val="single" w:color="auto" w:sz="4" w:space="0"/>
            </w:tcBorders>
            <w:noWrap w:val="0"/>
            <w:vAlign w:val="center"/>
          </w:tcPr>
          <w:p w14:paraId="4E199C86">
            <w:pPr>
              <w:keepNext w:val="0"/>
              <w:keepLines w:val="0"/>
              <w:pageBreakBefore w:val="0"/>
              <w:widowControl/>
              <w:kinsoku/>
              <w:wordWrap/>
              <w:overflowPunct/>
              <w:topLinePunct w:val="0"/>
              <w:autoSpaceDE/>
              <w:autoSpaceDN/>
              <w:bidi w:val="0"/>
              <w:adjustRightInd/>
              <w:snapToGrid/>
              <w:spacing w:line="440" w:lineRule="exact"/>
              <w:ind w:firstLine="0" w:firstLineChars="0"/>
              <w:jc w:val="left"/>
              <w:textAlignment w:val="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p>
        </w:tc>
        <w:tc>
          <w:tcPr>
            <w:tcW w:w="2529" w:type="dxa"/>
            <w:tcBorders>
              <w:top w:val="single" w:color="auto" w:sz="4" w:space="0"/>
              <w:left w:val="single" w:color="auto" w:sz="4" w:space="0"/>
              <w:bottom w:val="single" w:color="auto" w:sz="4" w:space="0"/>
              <w:right w:val="single" w:color="auto" w:sz="4" w:space="0"/>
            </w:tcBorders>
            <w:noWrap w:val="0"/>
            <w:vAlign w:val="center"/>
          </w:tcPr>
          <w:p w14:paraId="0D5C22DB">
            <w:pPr>
              <w:keepNext w:val="0"/>
              <w:keepLines w:val="0"/>
              <w:pageBreakBefore w:val="0"/>
              <w:widowControl/>
              <w:kinsoku/>
              <w:wordWrap/>
              <w:overflowPunct/>
              <w:topLinePunct w:val="0"/>
              <w:autoSpaceDE/>
              <w:autoSpaceDN/>
              <w:bidi w:val="0"/>
              <w:adjustRightInd/>
              <w:snapToGrid/>
              <w:spacing w:line="440" w:lineRule="exact"/>
              <w:ind w:firstLine="0" w:firstLineChars="0"/>
              <w:jc w:val="left"/>
              <w:textAlignment w:val="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项目经理（兼施工负责人）</w:t>
            </w:r>
          </w:p>
        </w:tc>
        <w:tc>
          <w:tcPr>
            <w:tcW w:w="3077" w:type="dxa"/>
            <w:tcBorders>
              <w:top w:val="single" w:color="auto" w:sz="4" w:space="0"/>
              <w:left w:val="single" w:color="auto" w:sz="4" w:space="0"/>
              <w:bottom w:val="single" w:color="auto" w:sz="4" w:space="0"/>
              <w:right w:val="single" w:color="auto" w:sz="4" w:space="0"/>
            </w:tcBorders>
            <w:noWrap w:val="0"/>
            <w:vAlign w:val="center"/>
          </w:tcPr>
          <w:p w14:paraId="6131AC51">
            <w:pPr>
              <w:keepNext w:val="0"/>
              <w:keepLines w:val="0"/>
              <w:pageBreakBefore w:val="0"/>
              <w:widowControl/>
              <w:kinsoku/>
              <w:wordWrap/>
              <w:overflowPunct/>
              <w:topLinePunct w:val="0"/>
              <w:autoSpaceDE/>
              <w:autoSpaceDN/>
              <w:bidi w:val="0"/>
              <w:adjustRightInd/>
              <w:snapToGrid/>
              <w:spacing w:line="440" w:lineRule="exact"/>
              <w:ind w:firstLine="0" w:firstLineChars="0"/>
              <w:jc w:val="left"/>
              <w:textAlignment w:val="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姓名：</w:t>
            </w:r>
          </w:p>
        </w:tc>
        <w:tc>
          <w:tcPr>
            <w:tcW w:w="2576" w:type="dxa"/>
            <w:tcBorders>
              <w:top w:val="single" w:color="auto" w:sz="4" w:space="0"/>
              <w:left w:val="single" w:color="auto" w:sz="4" w:space="0"/>
              <w:bottom w:val="single" w:color="auto" w:sz="4" w:space="0"/>
              <w:right w:val="single" w:color="auto" w:sz="4" w:space="0"/>
            </w:tcBorders>
            <w:noWrap w:val="0"/>
            <w:vAlign w:val="center"/>
          </w:tcPr>
          <w:p w14:paraId="52621653">
            <w:pPr>
              <w:keepNext w:val="0"/>
              <w:keepLines w:val="0"/>
              <w:pageBreakBefore w:val="0"/>
              <w:widowControl/>
              <w:kinsoku/>
              <w:wordWrap/>
              <w:overflowPunct/>
              <w:topLinePunct w:val="0"/>
              <w:autoSpaceDE/>
              <w:autoSpaceDN/>
              <w:bidi w:val="0"/>
              <w:adjustRightInd/>
              <w:snapToGrid/>
              <w:spacing w:line="440" w:lineRule="exact"/>
              <w:ind w:firstLine="0" w:firstLineChars="0"/>
              <w:jc w:val="left"/>
              <w:textAlignment w:val="auto"/>
              <w:rPr>
                <w:rFonts w:hint="eastAsia" w:ascii="仿宋" w:hAnsi="仿宋" w:eastAsia="仿宋" w:cs="仿宋"/>
                <w:color w:val="auto"/>
                <w:szCs w:val="21"/>
                <w:highlight w:val="none"/>
              </w:rPr>
            </w:pPr>
          </w:p>
        </w:tc>
      </w:tr>
      <w:tr w14:paraId="789223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818" w:type="dxa"/>
            <w:tcBorders>
              <w:top w:val="single" w:color="auto" w:sz="4" w:space="0"/>
              <w:left w:val="single" w:color="auto" w:sz="4" w:space="0"/>
              <w:bottom w:val="single" w:color="auto" w:sz="4" w:space="0"/>
              <w:right w:val="single" w:color="auto" w:sz="4" w:space="0"/>
            </w:tcBorders>
            <w:noWrap w:val="0"/>
            <w:vAlign w:val="center"/>
          </w:tcPr>
          <w:p w14:paraId="0FCDE7A0">
            <w:pPr>
              <w:keepNext w:val="0"/>
              <w:keepLines w:val="0"/>
              <w:pageBreakBefore w:val="0"/>
              <w:widowControl/>
              <w:kinsoku/>
              <w:wordWrap/>
              <w:overflowPunct/>
              <w:topLinePunct w:val="0"/>
              <w:autoSpaceDE/>
              <w:autoSpaceDN/>
              <w:bidi w:val="0"/>
              <w:adjustRightInd/>
              <w:snapToGrid/>
              <w:ind w:firstLine="0" w:firstLineChars="0"/>
              <w:jc w:val="left"/>
              <w:textAlignment w:val="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2</w:t>
            </w:r>
          </w:p>
        </w:tc>
        <w:tc>
          <w:tcPr>
            <w:tcW w:w="2529" w:type="dxa"/>
            <w:tcBorders>
              <w:top w:val="single" w:color="auto" w:sz="4" w:space="0"/>
              <w:left w:val="single" w:color="auto" w:sz="4" w:space="0"/>
              <w:bottom w:val="single" w:color="auto" w:sz="4" w:space="0"/>
              <w:right w:val="single" w:color="auto" w:sz="4" w:space="0"/>
            </w:tcBorders>
            <w:noWrap w:val="0"/>
            <w:vAlign w:val="center"/>
          </w:tcPr>
          <w:p w14:paraId="4CDE013A">
            <w:pPr>
              <w:keepNext w:val="0"/>
              <w:keepLines w:val="0"/>
              <w:pageBreakBefore w:val="0"/>
              <w:widowControl/>
              <w:kinsoku/>
              <w:wordWrap/>
              <w:overflowPunct/>
              <w:topLinePunct w:val="0"/>
              <w:autoSpaceDE/>
              <w:autoSpaceDN/>
              <w:bidi w:val="0"/>
              <w:adjustRightInd/>
              <w:snapToGrid/>
              <w:spacing w:line="440" w:lineRule="exact"/>
              <w:ind w:firstLine="0" w:firstLineChars="0"/>
              <w:jc w:val="left"/>
              <w:textAlignment w:val="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设计负责人</w:t>
            </w:r>
          </w:p>
        </w:tc>
        <w:tc>
          <w:tcPr>
            <w:tcW w:w="3077" w:type="dxa"/>
            <w:tcBorders>
              <w:top w:val="single" w:color="auto" w:sz="4" w:space="0"/>
              <w:left w:val="single" w:color="auto" w:sz="4" w:space="0"/>
              <w:bottom w:val="single" w:color="auto" w:sz="4" w:space="0"/>
              <w:right w:val="single" w:color="auto" w:sz="4" w:space="0"/>
            </w:tcBorders>
            <w:noWrap w:val="0"/>
            <w:vAlign w:val="center"/>
          </w:tcPr>
          <w:p w14:paraId="3185CAFD">
            <w:pPr>
              <w:keepNext w:val="0"/>
              <w:keepLines w:val="0"/>
              <w:pageBreakBefore w:val="0"/>
              <w:widowControl/>
              <w:kinsoku/>
              <w:wordWrap/>
              <w:overflowPunct/>
              <w:topLinePunct w:val="0"/>
              <w:autoSpaceDE/>
              <w:autoSpaceDN/>
              <w:bidi w:val="0"/>
              <w:adjustRightInd/>
              <w:snapToGrid/>
              <w:spacing w:line="440" w:lineRule="exact"/>
              <w:ind w:firstLine="0" w:firstLineChars="0"/>
              <w:jc w:val="left"/>
              <w:textAlignment w:val="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姓名：</w:t>
            </w:r>
          </w:p>
        </w:tc>
        <w:tc>
          <w:tcPr>
            <w:tcW w:w="2576" w:type="dxa"/>
            <w:tcBorders>
              <w:top w:val="single" w:color="auto" w:sz="4" w:space="0"/>
              <w:left w:val="single" w:color="auto" w:sz="4" w:space="0"/>
              <w:bottom w:val="single" w:color="auto" w:sz="4" w:space="0"/>
              <w:right w:val="single" w:color="auto" w:sz="4" w:space="0"/>
            </w:tcBorders>
            <w:noWrap w:val="0"/>
            <w:vAlign w:val="center"/>
          </w:tcPr>
          <w:p w14:paraId="589B9574">
            <w:pPr>
              <w:keepNext w:val="0"/>
              <w:keepLines w:val="0"/>
              <w:pageBreakBefore w:val="0"/>
              <w:widowControl/>
              <w:kinsoku/>
              <w:wordWrap/>
              <w:overflowPunct/>
              <w:topLinePunct w:val="0"/>
              <w:autoSpaceDE/>
              <w:autoSpaceDN/>
              <w:bidi w:val="0"/>
              <w:adjustRightInd/>
              <w:snapToGrid/>
              <w:spacing w:line="440" w:lineRule="exact"/>
              <w:ind w:firstLine="0" w:firstLineChars="0"/>
              <w:jc w:val="left"/>
              <w:textAlignment w:val="auto"/>
              <w:rPr>
                <w:rFonts w:hint="eastAsia" w:ascii="仿宋" w:hAnsi="仿宋" w:eastAsia="仿宋" w:cs="仿宋"/>
                <w:color w:val="auto"/>
                <w:szCs w:val="21"/>
                <w:highlight w:val="none"/>
              </w:rPr>
            </w:pPr>
          </w:p>
        </w:tc>
      </w:tr>
      <w:tr w14:paraId="13C867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818" w:type="dxa"/>
            <w:tcBorders>
              <w:top w:val="single" w:color="auto" w:sz="4" w:space="0"/>
              <w:left w:val="single" w:color="auto" w:sz="4" w:space="0"/>
              <w:bottom w:val="single" w:color="auto" w:sz="4" w:space="0"/>
              <w:right w:val="single" w:color="auto" w:sz="4" w:space="0"/>
            </w:tcBorders>
            <w:noWrap w:val="0"/>
            <w:vAlign w:val="center"/>
          </w:tcPr>
          <w:p w14:paraId="288EF7D5">
            <w:pPr>
              <w:keepNext w:val="0"/>
              <w:keepLines w:val="0"/>
              <w:pageBreakBefore w:val="0"/>
              <w:widowControl/>
              <w:kinsoku/>
              <w:wordWrap/>
              <w:overflowPunct/>
              <w:topLinePunct w:val="0"/>
              <w:autoSpaceDE/>
              <w:autoSpaceDN/>
              <w:bidi w:val="0"/>
              <w:adjustRightInd/>
              <w:snapToGrid/>
              <w:ind w:firstLine="0" w:firstLineChars="0"/>
              <w:jc w:val="left"/>
              <w:textAlignment w:val="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3</w:t>
            </w:r>
          </w:p>
        </w:tc>
        <w:tc>
          <w:tcPr>
            <w:tcW w:w="2529" w:type="dxa"/>
            <w:tcBorders>
              <w:top w:val="single" w:color="auto" w:sz="4" w:space="0"/>
              <w:left w:val="single" w:color="auto" w:sz="4" w:space="0"/>
              <w:bottom w:val="single" w:color="auto" w:sz="4" w:space="0"/>
              <w:right w:val="single" w:color="auto" w:sz="4" w:space="0"/>
            </w:tcBorders>
            <w:noWrap w:val="0"/>
            <w:vAlign w:val="center"/>
          </w:tcPr>
          <w:p w14:paraId="47A0A58C">
            <w:pPr>
              <w:keepNext w:val="0"/>
              <w:keepLines w:val="0"/>
              <w:pageBreakBefore w:val="0"/>
              <w:widowControl/>
              <w:kinsoku/>
              <w:wordWrap/>
              <w:overflowPunct/>
              <w:topLinePunct w:val="0"/>
              <w:autoSpaceDE/>
              <w:autoSpaceDN/>
              <w:bidi w:val="0"/>
              <w:adjustRightInd/>
              <w:snapToGrid/>
              <w:spacing w:line="440" w:lineRule="exact"/>
              <w:ind w:firstLine="0" w:firstLineChars="0"/>
              <w:jc w:val="left"/>
              <w:textAlignment w:val="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设计费</w:t>
            </w:r>
          </w:p>
        </w:tc>
        <w:tc>
          <w:tcPr>
            <w:tcW w:w="3077" w:type="dxa"/>
            <w:tcBorders>
              <w:top w:val="single" w:color="auto" w:sz="4" w:space="0"/>
              <w:left w:val="single" w:color="auto" w:sz="4" w:space="0"/>
              <w:bottom w:val="single" w:color="auto" w:sz="4" w:space="0"/>
              <w:right w:val="single" w:color="auto" w:sz="4" w:space="0"/>
            </w:tcBorders>
            <w:noWrap w:val="0"/>
            <w:vAlign w:val="center"/>
          </w:tcPr>
          <w:p w14:paraId="5AC3D2AA">
            <w:pPr>
              <w:keepNext w:val="0"/>
              <w:keepLines w:val="0"/>
              <w:pageBreakBefore w:val="0"/>
              <w:widowControl/>
              <w:kinsoku/>
              <w:wordWrap/>
              <w:overflowPunct/>
              <w:topLinePunct w:val="0"/>
              <w:autoSpaceDE/>
              <w:autoSpaceDN/>
              <w:bidi w:val="0"/>
              <w:adjustRightInd/>
              <w:snapToGrid/>
              <w:spacing w:line="440" w:lineRule="exact"/>
              <w:ind w:firstLine="0" w:firstLineChars="0"/>
              <w:jc w:val="left"/>
              <w:textAlignment w:val="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元</w:t>
            </w:r>
          </w:p>
        </w:tc>
        <w:tc>
          <w:tcPr>
            <w:tcW w:w="2576" w:type="dxa"/>
            <w:tcBorders>
              <w:top w:val="single" w:color="auto" w:sz="4" w:space="0"/>
              <w:left w:val="single" w:color="auto" w:sz="4" w:space="0"/>
              <w:bottom w:val="single" w:color="auto" w:sz="4" w:space="0"/>
              <w:right w:val="single" w:color="auto" w:sz="4" w:space="0"/>
            </w:tcBorders>
            <w:noWrap w:val="0"/>
            <w:vAlign w:val="center"/>
          </w:tcPr>
          <w:p w14:paraId="5489EE9D">
            <w:pPr>
              <w:keepNext w:val="0"/>
              <w:keepLines w:val="0"/>
              <w:pageBreakBefore w:val="0"/>
              <w:widowControl/>
              <w:kinsoku/>
              <w:wordWrap/>
              <w:overflowPunct/>
              <w:topLinePunct w:val="0"/>
              <w:autoSpaceDE/>
              <w:autoSpaceDN/>
              <w:bidi w:val="0"/>
              <w:adjustRightInd/>
              <w:snapToGrid/>
              <w:spacing w:line="440" w:lineRule="exact"/>
              <w:ind w:firstLine="0" w:firstLineChars="0"/>
              <w:jc w:val="left"/>
              <w:textAlignment w:val="auto"/>
              <w:rPr>
                <w:rFonts w:hint="eastAsia" w:ascii="仿宋" w:hAnsi="仿宋" w:eastAsia="仿宋" w:cs="仿宋"/>
                <w:color w:val="auto"/>
                <w:szCs w:val="21"/>
                <w:highlight w:val="none"/>
              </w:rPr>
            </w:pPr>
            <w:r>
              <w:rPr>
                <w:rFonts w:hint="eastAsia" w:ascii="仿宋" w:hAnsi="仿宋" w:eastAsia="仿宋" w:cs="仿宋"/>
                <w:b/>
                <w:color w:val="auto"/>
                <w:szCs w:val="21"/>
                <w:highlight w:val="none"/>
              </w:rPr>
              <w:t>此价为开标一览表中设计总价</w:t>
            </w:r>
          </w:p>
        </w:tc>
      </w:tr>
      <w:tr w14:paraId="72E1B0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818" w:type="dxa"/>
            <w:tcBorders>
              <w:top w:val="single" w:color="auto" w:sz="4" w:space="0"/>
              <w:left w:val="single" w:color="auto" w:sz="4" w:space="0"/>
              <w:bottom w:val="single" w:color="auto" w:sz="4" w:space="0"/>
              <w:right w:val="single" w:color="auto" w:sz="4" w:space="0"/>
            </w:tcBorders>
            <w:noWrap w:val="0"/>
            <w:vAlign w:val="center"/>
          </w:tcPr>
          <w:p w14:paraId="3027849F">
            <w:pPr>
              <w:keepNext w:val="0"/>
              <w:keepLines w:val="0"/>
              <w:pageBreakBefore w:val="0"/>
              <w:widowControl/>
              <w:kinsoku/>
              <w:wordWrap/>
              <w:overflowPunct/>
              <w:topLinePunct w:val="0"/>
              <w:autoSpaceDE/>
              <w:autoSpaceDN/>
              <w:bidi w:val="0"/>
              <w:adjustRightInd/>
              <w:snapToGrid/>
              <w:ind w:firstLine="0" w:firstLineChars="0"/>
              <w:jc w:val="left"/>
              <w:textAlignment w:val="auto"/>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4</w:t>
            </w:r>
          </w:p>
        </w:tc>
        <w:tc>
          <w:tcPr>
            <w:tcW w:w="2529" w:type="dxa"/>
            <w:tcBorders>
              <w:top w:val="single" w:color="auto" w:sz="4" w:space="0"/>
              <w:left w:val="single" w:color="auto" w:sz="4" w:space="0"/>
              <w:bottom w:val="single" w:color="auto" w:sz="4" w:space="0"/>
              <w:right w:val="single" w:color="auto" w:sz="4" w:space="0"/>
            </w:tcBorders>
            <w:noWrap w:val="0"/>
            <w:vAlign w:val="center"/>
          </w:tcPr>
          <w:p w14:paraId="23FEDBFF">
            <w:pPr>
              <w:keepNext w:val="0"/>
              <w:keepLines w:val="0"/>
              <w:pageBreakBefore w:val="0"/>
              <w:widowControl/>
              <w:kinsoku/>
              <w:wordWrap/>
              <w:overflowPunct/>
              <w:topLinePunct w:val="0"/>
              <w:autoSpaceDE/>
              <w:autoSpaceDN/>
              <w:bidi w:val="0"/>
              <w:adjustRightInd/>
              <w:snapToGrid/>
              <w:spacing w:line="440" w:lineRule="exact"/>
              <w:ind w:firstLine="0" w:firstLineChars="0"/>
              <w:jc w:val="left"/>
              <w:textAlignment w:val="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施工费（4.1+4.2）合计</w:t>
            </w:r>
          </w:p>
        </w:tc>
        <w:tc>
          <w:tcPr>
            <w:tcW w:w="3077" w:type="dxa"/>
            <w:tcBorders>
              <w:top w:val="single" w:color="auto" w:sz="4" w:space="0"/>
              <w:left w:val="single" w:color="auto" w:sz="4" w:space="0"/>
              <w:bottom w:val="single" w:color="auto" w:sz="4" w:space="0"/>
              <w:right w:val="single" w:color="auto" w:sz="4" w:space="0"/>
            </w:tcBorders>
            <w:noWrap w:val="0"/>
            <w:vAlign w:val="center"/>
          </w:tcPr>
          <w:p w14:paraId="362F9565">
            <w:pPr>
              <w:keepNext w:val="0"/>
              <w:keepLines w:val="0"/>
              <w:pageBreakBefore w:val="0"/>
              <w:widowControl/>
              <w:kinsoku/>
              <w:wordWrap/>
              <w:overflowPunct/>
              <w:topLinePunct w:val="0"/>
              <w:autoSpaceDE/>
              <w:autoSpaceDN/>
              <w:bidi w:val="0"/>
              <w:adjustRightInd/>
              <w:snapToGrid/>
              <w:spacing w:line="440" w:lineRule="exact"/>
              <w:ind w:firstLine="0" w:firstLineChars="0"/>
              <w:jc w:val="left"/>
              <w:textAlignment w:val="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元</w:t>
            </w:r>
          </w:p>
        </w:tc>
        <w:tc>
          <w:tcPr>
            <w:tcW w:w="2576" w:type="dxa"/>
            <w:tcBorders>
              <w:top w:val="single" w:color="auto" w:sz="4" w:space="0"/>
              <w:left w:val="single" w:color="auto" w:sz="4" w:space="0"/>
              <w:bottom w:val="single" w:color="auto" w:sz="4" w:space="0"/>
              <w:right w:val="single" w:color="auto" w:sz="4" w:space="0"/>
            </w:tcBorders>
            <w:noWrap w:val="0"/>
            <w:vAlign w:val="center"/>
          </w:tcPr>
          <w:p w14:paraId="734DB175">
            <w:pPr>
              <w:keepNext w:val="0"/>
              <w:keepLines w:val="0"/>
              <w:pageBreakBefore w:val="0"/>
              <w:widowControl/>
              <w:kinsoku/>
              <w:wordWrap/>
              <w:overflowPunct/>
              <w:topLinePunct w:val="0"/>
              <w:autoSpaceDE/>
              <w:autoSpaceDN/>
              <w:bidi w:val="0"/>
              <w:adjustRightInd/>
              <w:snapToGrid/>
              <w:spacing w:line="440" w:lineRule="exact"/>
              <w:ind w:firstLine="0" w:firstLineChars="0"/>
              <w:jc w:val="left"/>
              <w:textAlignment w:val="auto"/>
              <w:rPr>
                <w:rFonts w:hint="eastAsia" w:ascii="仿宋" w:hAnsi="仿宋" w:eastAsia="仿宋" w:cs="仿宋"/>
                <w:color w:val="auto"/>
                <w:szCs w:val="21"/>
                <w:highlight w:val="none"/>
              </w:rPr>
            </w:pPr>
          </w:p>
        </w:tc>
      </w:tr>
      <w:tr w14:paraId="1B30C2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818" w:type="dxa"/>
            <w:tcBorders>
              <w:top w:val="single" w:color="auto" w:sz="4" w:space="0"/>
              <w:left w:val="single" w:color="auto" w:sz="4" w:space="0"/>
              <w:bottom w:val="single" w:color="auto" w:sz="4" w:space="0"/>
              <w:right w:val="single" w:color="auto" w:sz="4" w:space="0"/>
            </w:tcBorders>
            <w:noWrap w:val="0"/>
            <w:vAlign w:val="center"/>
          </w:tcPr>
          <w:p w14:paraId="34410603">
            <w:pPr>
              <w:keepNext w:val="0"/>
              <w:keepLines w:val="0"/>
              <w:pageBreakBefore w:val="0"/>
              <w:widowControl/>
              <w:kinsoku/>
              <w:wordWrap/>
              <w:overflowPunct/>
              <w:topLinePunct w:val="0"/>
              <w:autoSpaceDE/>
              <w:autoSpaceDN/>
              <w:bidi w:val="0"/>
              <w:adjustRightInd/>
              <w:snapToGrid/>
              <w:ind w:firstLine="0" w:firstLineChars="0"/>
              <w:jc w:val="left"/>
              <w:textAlignment w:val="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4.1</w:t>
            </w:r>
          </w:p>
        </w:tc>
        <w:tc>
          <w:tcPr>
            <w:tcW w:w="2529" w:type="dxa"/>
            <w:tcBorders>
              <w:top w:val="single" w:color="auto" w:sz="4" w:space="0"/>
              <w:left w:val="single" w:color="auto" w:sz="4" w:space="0"/>
              <w:bottom w:val="single" w:color="auto" w:sz="4" w:space="0"/>
              <w:right w:val="single" w:color="auto" w:sz="4" w:space="0"/>
            </w:tcBorders>
            <w:noWrap w:val="0"/>
            <w:vAlign w:val="center"/>
          </w:tcPr>
          <w:p w14:paraId="272A9174">
            <w:pPr>
              <w:keepNext w:val="0"/>
              <w:keepLines w:val="0"/>
              <w:pageBreakBefore w:val="0"/>
              <w:widowControl/>
              <w:kinsoku/>
              <w:wordWrap/>
              <w:overflowPunct/>
              <w:topLinePunct w:val="0"/>
              <w:autoSpaceDE/>
              <w:autoSpaceDN/>
              <w:bidi w:val="0"/>
              <w:adjustRightInd/>
              <w:snapToGrid/>
              <w:spacing w:line="440" w:lineRule="exact"/>
              <w:ind w:firstLine="0" w:firstLineChars="0"/>
              <w:jc w:val="left"/>
              <w:textAlignment w:val="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建安工程费用</w:t>
            </w:r>
          </w:p>
        </w:tc>
        <w:tc>
          <w:tcPr>
            <w:tcW w:w="3077" w:type="dxa"/>
            <w:tcBorders>
              <w:top w:val="single" w:color="auto" w:sz="4" w:space="0"/>
              <w:left w:val="single" w:color="auto" w:sz="4" w:space="0"/>
              <w:bottom w:val="single" w:color="auto" w:sz="4" w:space="0"/>
              <w:right w:val="single" w:color="auto" w:sz="4" w:space="0"/>
            </w:tcBorders>
            <w:noWrap w:val="0"/>
            <w:vAlign w:val="center"/>
          </w:tcPr>
          <w:p w14:paraId="1EC29B5C">
            <w:pPr>
              <w:keepNext w:val="0"/>
              <w:keepLines w:val="0"/>
              <w:pageBreakBefore w:val="0"/>
              <w:widowControl/>
              <w:kinsoku/>
              <w:wordWrap/>
              <w:overflowPunct/>
              <w:topLinePunct w:val="0"/>
              <w:autoSpaceDE/>
              <w:autoSpaceDN/>
              <w:bidi w:val="0"/>
              <w:adjustRightInd/>
              <w:snapToGrid/>
              <w:spacing w:line="440" w:lineRule="exact"/>
              <w:ind w:firstLine="0" w:firstLineChars="0"/>
              <w:jc w:val="left"/>
              <w:textAlignment w:val="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元</w:t>
            </w:r>
          </w:p>
        </w:tc>
        <w:tc>
          <w:tcPr>
            <w:tcW w:w="2576" w:type="dxa"/>
            <w:tcBorders>
              <w:top w:val="single" w:color="auto" w:sz="4" w:space="0"/>
              <w:left w:val="single" w:color="auto" w:sz="4" w:space="0"/>
              <w:bottom w:val="single" w:color="auto" w:sz="4" w:space="0"/>
              <w:right w:val="single" w:color="auto" w:sz="4" w:space="0"/>
            </w:tcBorders>
            <w:noWrap w:val="0"/>
            <w:vAlign w:val="center"/>
          </w:tcPr>
          <w:p w14:paraId="68155511">
            <w:pPr>
              <w:keepNext w:val="0"/>
              <w:keepLines w:val="0"/>
              <w:pageBreakBefore w:val="0"/>
              <w:widowControl/>
              <w:kinsoku/>
              <w:wordWrap/>
              <w:overflowPunct/>
              <w:topLinePunct w:val="0"/>
              <w:autoSpaceDE/>
              <w:autoSpaceDN/>
              <w:bidi w:val="0"/>
              <w:adjustRightInd/>
              <w:snapToGrid/>
              <w:spacing w:line="440" w:lineRule="exact"/>
              <w:ind w:firstLine="0" w:firstLineChars="0"/>
              <w:jc w:val="left"/>
              <w:textAlignment w:val="auto"/>
              <w:rPr>
                <w:rFonts w:hint="eastAsia" w:ascii="仿宋" w:hAnsi="仿宋" w:eastAsia="仿宋" w:cs="仿宋"/>
                <w:color w:val="auto"/>
                <w:szCs w:val="21"/>
                <w:highlight w:val="none"/>
              </w:rPr>
            </w:pPr>
          </w:p>
        </w:tc>
      </w:tr>
      <w:tr w14:paraId="7A38CE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818" w:type="dxa"/>
            <w:tcBorders>
              <w:top w:val="single" w:color="auto" w:sz="4" w:space="0"/>
              <w:left w:val="single" w:color="auto" w:sz="4" w:space="0"/>
              <w:bottom w:val="single" w:color="auto" w:sz="4" w:space="0"/>
              <w:right w:val="single" w:color="auto" w:sz="4" w:space="0"/>
            </w:tcBorders>
            <w:noWrap w:val="0"/>
            <w:vAlign w:val="center"/>
          </w:tcPr>
          <w:p w14:paraId="548761D4">
            <w:pPr>
              <w:keepNext w:val="0"/>
              <w:keepLines w:val="0"/>
              <w:pageBreakBefore w:val="0"/>
              <w:widowControl/>
              <w:kinsoku/>
              <w:wordWrap/>
              <w:overflowPunct/>
              <w:topLinePunct w:val="0"/>
              <w:autoSpaceDE/>
              <w:autoSpaceDN/>
              <w:bidi w:val="0"/>
              <w:adjustRightInd/>
              <w:snapToGrid/>
              <w:ind w:firstLine="0" w:firstLineChars="0"/>
              <w:jc w:val="left"/>
              <w:textAlignment w:val="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4.2</w:t>
            </w:r>
          </w:p>
        </w:tc>
        <w:tc>
          <w:tcPr>
            <w:tcW w:w="2529" w:type="dxa"/>
            <w:tcBorders>
              <w:top w:val="single" w:color="auto" w:sz="4" w:space="0"/>
              <w:left w:val="single" w:color="auto" w:sz="4" w:space="0"/>
              <w:bottom w:val="single" w:color="auto" w:sz="4" w:space="0"/>
              <w:right w:val="single" w:color="auto" w:sz="4" w:space="0"/>
            </w:tcBorders>
            <w:noWrap w:val="0"/>
            <w:vAlign w:val="center"/>
          </w:tcPr>
          <w:p w14:paraId="5787725D">
            <w:pPr>
              <w:keepNext w:val="0"/>
              <w:keepLines w:val="0"/>
              <w:pageBreakBefore w:val="0"/>
              <w:widowControl/>
              <w:kinsoku/>
              <w:wordWrap/>
              <w:overflowPunct/>
              <w:topLinePunct w:val="0"/>
              <w:autoSpaceDE/>
              <w:autoSpaceDN/>
              <w:bidi w:val="0"/>
              <w:adjustRightInd/>
              <w:snapToGrid/>
              <w:spacing w:line="440" w:lineRule="exact"/>
              <w:ind w:firstLine="0" w:firstLineChars="0"/>
              <w:jc w:val="left"/>
              <w:textAlignment w:val="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设备集成供货及服务</w:t>
            </w:r>
          </w:p>
        </w:tc>
        <w:tc>
          <w:tcPr>
            <w:tcW w:w="3077" w:type="dxa"/>
            <w:tcBorders>
              <w:top w:val="single" w:color="auto" w:sz="4" w:space="0"/>
              <w:left w:val="single" w:color="auto" w:sz="4" w:space="0"/>
              <w:bottom w:val="single" w:color="auto" w:sz="4" w:space="0"/>
              <w:right w:val="single" w:color="auto" w:sz="4" w:space="0"/>
            </w:tcBorders>
            <w:noWrap w:val="0"/>
            <w:vAlign w:val="center"/>
          </w:tcPr>
          <w:p w14:paraId="0D12AF5E">
            <w:pPr>
              <w:keepNext w:val="0"/>
              <w:keepLines w:val="0"/>
              <w:pageBreakBefore w:val="0"/>
              <w:widowControl/>
              <w:kinsoku/>
              <w:wordWrap/>
              <w:overflowPunct/>
              <w:topLinePunct w:val="0"/>
              <w:autoSpaceDE/>
              <w:autoSpaceDN/>
              <w:bidi w:val="0"/>
              <w:adjustRightInd/>
              <w:snapToGrid/>
              <w:spacing w:line="440" w:lineRule="exact"/>
              <w:ind w:firstLine="0" w:firstLineChars="0"/>
              <w:jc w:val="left"/>
              <w:textAlignment w:val="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元</w:t>
            </w:r>
          </w:p>
        </w:tc>
        <w:tc>
          <w:tcPr>
            <w:tcW w:w="2576" w:type="dxa"/>
            <w:tcBorders>
              <w:top w:val="single" w:color="auto" w:sz="4" w:space="0"/>
              <w:left w:val="single" w:color="auto" w:sz="4" w:space="0"/>
              <w:bottom w:val="single" w:color="auto" w:sz="4" w:space="0"/>
              <w:right w:val="single" w:color="auto" w:sz="4" w:space="0"/>
            </w:tcBorders>
            <w:noWrap w:val="0"/>
            <w:vAlign w:val="center"/>
          </w:tcPr>
          <w:p w14:paraId="42519FEB">
            <w:pPr>
              <w:keepNext w:val="0"/>
              <w:keepLines w:val="0"/>
              <w:pageBreakBefore w:val="0"/>
              <w:widowControl/>
              <w:kinsoku/>
              <w:wordWrap/>
              <w:overflowPunct/>
              <w:topLinePunct w:val="0"/>
              <w:autoSpaceDE/>
              <w:autoSpaceDN/>
              <w:bidi w:val="0"/>
              <w:adjustRightInd/>
              <w:snapToGrid/>
              <w:spacing w:line="440" w:lineRule="exact"/>
              <w:ind w:firstLine="0" w:firstLineChars="0"/>
              <w:jc w:val="left"/>
              <w:textAlignment w:val="auto"/>
              <w:rPr>
                <w:rFonts w:hint="eastAsia" w:ascii="仿宋" w:hAnsi="仿宋" w:eastAsia="仿宋" w:cs="仿宋"/>
                <w:color w:val="auto"/>
                <w:szCs w:val="21"/>
                <w:highlight w:val="none"/>
              </w:rPr>
            </w:pPr>
          </w:p>
        </w:tc>
      </w:tr>
      <w:tr w14:paraId="3E9DC8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818" w:type="dxa"/>
            <w:tcBorders>
              <w:top w:val="single" w:color="auto" w:sz="4" w:space="0"/>
              <w:left w:val="single" w:color="auto" w:sz="4" w:space="0"/>
              <w:bottom w:val="single" w:color="auto" w:sz="4" w:space="0"/>
              <w:right w:val="single" w:color="auto" w:sz="4" w:space="0"/>
            </w:tcBorders>
            <w:noWrap w:val="0"/>
            <w:vAlign w:val="center"/>
          </w:tcPr>
          <w:p w14:paraId="2DC9B485">
            <w:pPr>
              <w:keepNext w:val="0"/>
              <w:keepLines w:val="0"/>
              <w:pageBreakBefore w:val="0"/>
              <w:widowControl/>
              <w:kinsoku/>
              <w:wordWrap/>
              <w:overflowPunct/>
              <w:topLinePunct w:val="0"/>
              <w:autoSpaceDE/>
              <w:autoSpaceDN/>
              <w:bidi w:val="0"/>
              <w:adjustRightInd/>
              <w:snapToGrid/>
              <w:ind w:firstLine="0" w:firstLineChars="0"/>
              <w:jc w:val="left"/>
              <w:textAlignment w:val="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5</w:t>
            </w:r>
          </w:p>
        </w:tc>
        <w:tc>
          <w:tcPr>
            <w:tcW w:w="2529" w:type="dxa"/>
            <w:tcBorders>
              <w:top w:val="single" w:color="auto" w:sz="4" w:space="0"/>
              <w:left w:val="single" w:color="auto" w:sz="4" w:space="0"/>
              <w:bottom w:val="single" w:color="auto" w:sz="4" w:space="0"/>
              <w:right w:val="single" w:color="auto" w:sz="4" w:space="0"/>
            </w:tcBorders>
            <w:noWrap w:val="0"/>
            <w:vAlign w:val="center"/>
          </w:tcPr>
          <w:p w14:paraId="1428E7A5">
            <w:pPr>
              <w:keepNext w:val="0"/>
              <w:keepLines w:val="0"/>
              <w:pageBreakBefore w:val="0"/>
              <w:widowControl/>
              <w:kinsoku/>
              <w:wordWrap/>
              <w:overflowPunct/>
              <w:topLinePunct w:val="0"/>
              <w:autoSpaceDE/>
              <w:autoSpaceDN/>
              <w:bidi w:val="0"/>
              <w:adjustRightInd/>
              <w:snapToGrid/>
              <w:spacing w:line="440" w:lineRule="exact"/>
              <w:ind w:firstLine="0" w:firstLineChars="0"/>
              <w:jc w:val="left"/>
              <w:textAlignment w:val="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运营服务费用（三年）</w:t>
            </w:r>
          </w:p>
        </w:tc>
        <w:tc>
          <w:tcPr>
            <w:tcW w:w="3077" w:type="dxa"/>
            <w:tcBorders>
              <w:top w:val="single" w:color="auto" w:sz="4" w:space="0"/>
              <w:left w:val="single" w:color="auto" w:sz="4" w:space="0"/>
              <w:bottom w:val="single" w:color="auto" w:sz="4" w:space="0"/>
              <w:right w:val="single" w:color="auto" w:sz="4" w:space="0"/>
            </w:tcBorders>
            <w:noWrap w:val="0"/>
            <w:vAlign w:val="center"/>
          </w:tcPr>
          <w:p w14:paraId="62E96F4C">
            <w:pPr>
              <w:keepNext w:val="0"/>
              <w:keepLines w:val="0"/>
              <w:pageBreakBefore w:val="0"/>
              <w:widowControl/>
              <w:kinsoku/>
              <w:wordWrap/>
              <w:overflowPunct/>
              <w:topLinePunct w:val="0"/>
              <w:autoSpaceDE/>
              <w:autoSpaceDN/>
              <w:bidi w:val="0"/>
              <w:adjustRightInd/>
              <w:snapToGrid/>
              <w:spacing w:line="440" w:lineRule="exact"/>
              <w:ind w:firstLine="0" w:firstLineChars="0"/>
              <w:jc w:val="left"/>
              <w:textAlignment w:val="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元</w:t>
            </w:r>
          </w:p>
          <w:p w14:paraId="1A715C47">
            <w:pPr>
              <w:keepNext w:val="0"/>
              <w:keepLines w:val="0"/>
              <w:pageBreakBefore w:val="0"/>
              <w:widowControl/>
              <w:kinsoku/>
              <w:wordWrap/>
              <w:overflowPunct/>
              <w:topLinePunct w:val="0"/>
              <w:autoSpaceDE/>
              <w:autoSpaceDN/>
              <w:bidi w:val="0"/>
              <w:adjustRightInd/>
              <w:snapToGrid/>
              <w:spacing w:line="440" w:lineRule="exact"/>
              <w:ind w:firstLine="0" w:firstLineChars="0"/>
              <w:jc w:val="left"/>
              <w:textAlignment w:val="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其中：</w:t>
            </w:r>
          </w:p>
          <w:p w14:paraId="7F1DD44C">
            <w:pPr>
              <w:keepNext w:val="0"/>
              <w:keepLines w:val="0"/>
              <w:pageBreakBefore w:val="0"/>
              <w:widowControl/>
              <w:kinsoku/>
              <w:wordWrap/>
              <w:overflowPunct/>
              <w:topLinePunct w:val="0"/>
              <w:autoSpaceDE/>
              <w:autoSpaceDN/>
              <w:bidi w:val="0"/>
              <w:adjustRightInd/>
              <w:snapToGrid/>
              <w:spacing w:line="440" w:lineRule="exact"/>
              <w:ind w:firstLine="0" w:firstLineChars="0"/>
              <w:jc w:val="left"/>
              <w:textAlignment w:val="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①污水处理运营服务费用单价         元/吨</w:t>
            </w:r>
          </w:p>
        </w:tc>
        <w:tc>
          <w:tcPr>
            <w:tcW w:w="2576" w:type="dxa"/>
            <w:tcBorders>
              <w:top w:val="single" w:color="auto" w:sz="4" w:space="0"/>
              <w:left w:val="single" w:color="auto" w:sz="4" w:space="0"/>
              <w:bottom w:val="single" w:color="auto" w:sz="4" w:space="0"/>
              <w:right w:val="single" w:color="auto" w:sz="4" w:space="0"/>
            </w:tcBorders>
            <w:noWrap w:val="0"/>
            <w:vAlign w:val="center"/>
          </w:tcPr>
          <w:p w14:paraId="5EA84842">
            <w:pPr>
              <w:keepNext w:val="0"/>
              <w:keepLines w:val="0"/>
              <w:pageBreakBefore w:val="0"/>
              <w:widowControl/>
              <w:kinsoku/>
              <w:wordWrap/>
              <w:overflowPunct/>
              <w:topLinePunct w:val="0"/>
              <w:autoSpaceDE/>
              <w:autoSpaceDN/>
              <w:bidi w:val="0"/>
              <w:adjustRightInd/>
              <w:snapToGrid/>
              <w:spacing w:line="440" w:lineRule="exact"/>
              <w:ind w:firstLine="0" w:firstLineChars="0"/>
              <w:jc w:val="left"/>
              <w:textAlignment w:val="auto"/>
              <w:rPr>
                <w:rFonts w:hint="eastAsia" w:ascii="仿宋" w:hAnsi="仿宋" w:eastAsia="仿宋" w:cs="仿宋"/>
                <w:color w:val="auto"/>
                <w:szCs w:val="21"/>
                <w:highlight w:val="none"/>
              </w:rPr>
            </w:pPr>
          </w:p>
        </w:tc>
      </w:tr>
      <w:tr w14:paraId="3D043E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818" w:type="dxa"/>
            <w:tcBorders>
              <w:top w:val="single" w:color="auto" w:sz="4" w:space="0"/>
              <w:left w:val="single" w:color="auto" w:sz="4" w:space="0"/>
              <w:bottom w:val="single" w:color="auto" w:sz="4" w:space="0"/>
              <w:right w:val="single" w:color="auto" w:sz="4" w:space="0"/>
            </w:tcBorders>
            <w:noWrap w:val="0"/>
            <w:vAlign w:val="center"/>
          </w:tcPr>
          <w:p w14:paraId="27EF72FF">
            <w:pPr>
              <w:keepNext w:val="0"/>
              <w:keepLines w:val="0"/>
              <w:pageBreakBefore w:val="0"/>
              <w:widowControl/>
              <w:kinsoku/>
              <w:wordWrap/>
              <w:overflowPunct/>
              <w:topLinePunct w:val="0"/>
              <w:autoSpaceDE/>
              <w:autoSpaceDN/>
              <w:bidi w:val="0"/>
              <w:adjustRightInd/>
              <w:snapToGrid/>
              <w:ind w:firstLine="0" w:firstLineChars="0"/>
              <w:jc w:val="left"/>
              <w:textAlignment w:val="auto"/>
              <w:rPr>
                <w:rFonts w:hint="eastAsia"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6</w:t>
            </w:r>
          </w:p>
        </w:tc>
        <w:tc>
          <w:tcPr>
            <w:tcW w:w="2529" w:type="dxa"/>
            <w:tcBorders>
              <w:top w:val="single" w:color="auto" w:sz="4" w:space="0"/>
              <w:left w:val="single" w:color="auto" w:sz="4" w:space="0"/>
              <w:bottom w:val="single" w:color="auto" w:sz="4" w:space="0"/>
              <w:right w:val="single" w:color="auto" w:sz="4" w:space="0"/>
            </w:tcBorders>
            <w:noWrap w:val="0"/>
            <w:vAlign w:val="center"/>
          </w:tcPr>
          <w:p w14:paraId="1995229F">
            <w:pPr>
              <w:keepNext w:val="0"/>
              <w:keepLines w:val="0"/>
              <w:pageBreakBefore w:val="0"/>
              <w:widowControl/>
              <w:kinsoku/>
              <w:wordWrap/>
              <w:overflowPunct/>
              <w:topLinePunct w:val="0"/>
              <w:autoSpaceDE/>
              <w:autoSpaceDN/>
              <w:bidi w:val="0"/>
              <w:adjustRightInd/>
              <w:snapToGrid/>
              <w:spacing w:line="440" w:lineRule="exact"/>
              <w:ind w:firstLine="0" w:firstLineChars="0"/>
              <w:jc w:val="left"/>
              <w:textAlignment w:val="auto"/>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Cs w:val="21"/>
                <w:highlight w:val="none"/>
              </w:rPr>
              <w:t>预备费</w:t>
            </w:r>
          </w:p>
        </w:tc>
        <w:tc>
          <w:tcPr>
            <w:tcW w:w="3077" w:type="dxa"/>
            <w:tcBorders>
              <w:top w:val="single" w:color="auto" w:sz="4" w:space="0"/>
              <w:left w:val="single" w:color="auto" w:sz="4" w:space="0"/>
              <w:bottom w:val="single" w:color="auto" w:sz="4" w:space="0"/>
              <w:right w:val="single" w:color="auto" w:sz="4" w:space="0"/>
            </w:tcBorders>
            <w:noWrap w:val="0"/>
            <w:vAlign w:val="center"/>
          </w:tcPr>
          <w:p w14:paraId="5CCD45F9">
            <w:pPr>
              <w:keepNext w:val="0"/>
              <w:keepLines w:val="0"/>
              <w:pageBreakBefore w:val="0"/>
              <w:widowControl/>
              <w:kinsoku/>
              <w:wordWrap/>
              <w:overflowPunct/>
              <w:topLinePunct w:val="0"/>
              <w:autoSpaceDE/>
              <w:autoSpaceDN/>
              <w:bidi w:val="0"/>
              <w:adjustRightInd/>
              <w:snapToGrid/>
              <w:spacing w:line="440" w:lineRule="exact"/>
              <w:ind w:firstLine="0" w:firstLineChars="0"/>
              <w:jc w:val="left"/>
              <w:textAlignment w:val="auto"/>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Cs w:val="21"/>
                <w:highlight w:val="none"/>
              </w:rPr>
              <w:t>元</w:t>
            </w:r>
          </w:p>
        </w:tc>
        <w:tc>
          <w:tcPr>
            <w:tcW w:w="2576" w:type="dxa"/>
            <w:tcBorders>
              <w:top w:val="single" w:color="auto" w:sz="4" w:space="0"/>
              <w:left w:val="single" w:color="auto" w:sz="4" w:space="0"/>
              <w:bottom w:val="single" w:color="auto" w:sz="4" w:space="0"/>
              <w:right w:val="single" w:color="auto" w:sz="4" w:space="0"/>
            </w:tcBorders>
            <w:noWrap w:val="0"/>
            <w:vAlign w:val="center"/>
          </w:tcPr>
          <w:p w14:paraId="59006B83">
            <w:pPr>
              <w:keepNext w:val="0"/>
              <w:keepLines w:val="0"/>
              <w:pageBreakBefore w:val="0"/>
              <w:widowControl/>
              <w:kinsoku/>
              <w:wordWrap/>
              <w:overflowPunct/>
              <w:topLinePunct w:val="0"/>
              <w:autoSpaceDE/>
              <w:autoSpaceDN/>
              <w:bidi w:val="0"/>
              <w:adjustRightInd/>
              <w:snapToGrid/>
              <w:spacing w:line="440" w:lineRule="exact"/>
              <w:ind w:firstLine="0" w:firstLineChars="0"/>
              <w:jc w:val="left"/>
              <w:textAlignment w:val="auto"/>
              <w:rPr>
                <w:rFonts w:hint="eastAsia" w:ascii="仿宋" w:hAnsi="仿宋" w:eastAsia="仿宋" w:cs="仿宋"/>
                <w:color w:val="auto"/>
                <w:szCs w:val="21"/>
                <w:highlight w:val="none"/>
              </w:rPr>
            </w:pPr>
          </w:p>
        </w:tc>
      </w:tr>
      <w:tr w14:paraId="3C89A3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818"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22C59ABE">
            <w:pPr>
              <w:keepNext w:val="0"/>
              <w:keepLines w:val="0"/>
              <w:pageBreakBefore w:val="0"/>
              <w:widowControl/>
              <w:kinsoku/>
              <w:wordWrap/>
              <w:overflowPunct/>
              <w:topLinePunct w:val="0"/>
              <w:autoSpaceDE/>
              <w:autoSpaceDN/>
              <w:bidi w:val="0"/>
              <w:adjustRightInd/>
              <w:snapToGrid/>
              <w:ind w:firstLine="0" w:firstLineChars="0"/>
              <w:jc w:val="left"/>
              <w:textAlignment w:val="auto"/>
              <w:rPr>
                <w:rFonts w:hint="eastAsia" w:ascii="仿宋" w:hAnsi="仿宋" w:eastAsia="仿宋" w:cs="仿宋"/>
                <w:color w:val="auto"/>
                <w:kern w:val="2"/>
                <w:sz w:val="24"/>
                <w:szCs w:val="21"/>
                <w:highlight w:val="none"/>
                <w:lang w:val="en-US" w:eastAsia="zh-CN" w:bidi="ar-SA"/>
              </w:rPr>
            </w:pPr>
            <w:r>
              <w:rPr>
                <w:rFonts w:hint="eastAsia" w:ascii="仿宋" w:hAnsi="仿宋" w:eastAsia="仿宋" w:cs="仿宋"/>
                <w:color w:val="auto"/>
                <w:szCs w:val="21"/>
                <w:highlight w:val="none"/>
              </w:rPr>
              <w:t>7</w:t>
            </w:r>
          </w:p>
        </w:tc>
        <w:tc>
          <w:tcPr>
            <w:tcW w:w="2529"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2833375">
            <w:pPr>
              <w:spacing w:line="440" w:lineRule="exact"/>
              <w:ind w:firstLine="0" w:firstLineChars="0"/>
              <w:rPr>
                <w:rFonts w:hint="eastAsia" w:ascii="仿宋" w:hAnsi="仿宋" w:eastAsia="仿宋" w:cs="仿宋"/>
                <w:color w:val="auto"/>
                <w:kern w:val="2"/>
                <w:sz w:val="24"/>
                <w:szCs w:val="21"/>
                <w:highlight w:val="none"/>
                <w:lang w:val="en-US" w:eastAsia="zh-CN" w:bidi="ar-SA"/>
              </w:rPr>
            </w:pPr>
            <w:r>
              <w:rPr>
                <w:rFonts w:hint="eastAsia" w:ascii="仿宋" w:hAnsi="仿宋" w:cs="仿宋"/>
                <w:color w:val="auto"/>
                <w:szCs w:val="21"/>
                <w:highlight w:val="none"/>
              </w:rPr>
              <w:t>场地准备及临时设施费用</w:t>
            </w:r>
          </w:p>
        </w:tc>
        <w:tc>
          <w:tcPr>
            <w:tcW w:w="3077"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05A71FC7">
            <w:pPr>
              <w:spacing w:line="440" w:lineRule="exact"/>
              <w:ind w:firstLine="0" w:firstLineChars="0"/>
              <w:rPr>
                <w:rFonts w:hint="eastAsia" w:ascii="仿宋" w:hAnsi="仿宋" w:eastAsia="仿宋" w:cs="仿宋"/>
                <w:color w:val="auto"/>
                <w:kern w:val="2"/>
                <w:sz w:val="24"/>
                <w:szCs w:val="21"/>
                <w:highlight w:val="none"/>
                <w:lang w:val="en-US" w:eastAsia="zh-CN" w:bidi="ar-SA"/>
              </w:rPr>
            </w:pPr>
            <w:r>
              <w:rPr>
                <w:rFonts w:hint="eastAsia" w:ascii="仿宋" w:hAnsi="仿宋" w:cs="仿宋"/>
                <w:color w:val="auto"/>
                <w:szCs w:val="21"/>
                <w:highlight w:val="none"/>
              </w:rPr>
              <w:t>元</w:t>
            </w:r>
          </w:p>
        </w:tc>
        <w:tc>
          <w:tcPr>
            <w:tcW w:w="2576" w:type="dxa"/>
            <w:tcBorders>
              <w:top w:val="single" w:color="auto" w:sz="4" w:space="0"/>
              <w:left w:val="single" w:color="auto" w:sz="4" w:space="0"/>
              <w:bottom w:val="single" w:color="auto" w:sz="4" w:space="0"/>
              <w:right w:val="single" w:color="auto" w:sz="4" w:space="0"/>
            </w:tcBorders>
            <w:noWrap w:val="0"/>
            <w:vAlign w:val="center"/>
          </w:tcPr>
          <w:p w14:paraId="25CA1F42">
            <w:pPr>
              <w:keepNext w:val="0"/>
              <w:keepLines w:val="0"/>
              <w:pageBreakBefore w:val="0"/>
              <w:widowControl/>
              <w:kinsoku/>
              <w:wordWrap/>
              <w:overflowPunct/>
              <w:topLinePunct w:val="0"/>
              <w:autoSpaceDE/>
              <w:autoSpaceDN/>
              <w:bidi w:val="0"/>
              <w:adjustRightInd/>
              <w:snapToGrid/>
              <w:spacing w:line="440" w:lineRule="exact"/>
              <w:ind w:firstLine="0" w:firstLineChars="0"/>
              <w:jc w:val="left"/>
              <w:textAlignment w:val="auto"/>
              <w:rPr>
                <w:rFonts w:hint="eastAsia" w:ascii="仿宋" w:hAnsi="仿宋" w:eastAsia="仿宋" w:cs="仿宋"/>
                <w:color w:val="auto"/>
                <w:szCs w:val="21"/>
                <w:highlight w:val="none"/>
              </w:rPr>
            </w:pPr>
          </w:p>
        </w:tc>
      </w:tr>
      <w:tr w14:paraId="33DB37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818"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E57CF5E">
            <w:pPr>
              <w:keepNext w:val="0"/>
              <w:keepLines w:val="0"/>
              <w:pageBreakBefore w:val="0"/>
              <w:widowControl/>
              <w:kinsoku/>
              <w:wordWrap/>
              <w:overflowPunct/>
              <w:topLinePunct w:val="0"/>
              <w:autoSpaceDE/>
              <w:autoSpaceDN/>
              <w:bidi w:val="0"/>
              <w:adjustRightInd/>
              <w:snapToGrid/>
              <w:ind w:firstLine="0" w:firstLineChars="0"/>
              <w:jc w:val="left"/>
              <w:textAlignment w:val="auto"/>
              <w:rPr>
                <w:rFonts w:hint="eastAsia" w:ascii="仿宋" w:hAnsi="仿宋" w:eastAsia="仿宋" w:cs="仿宋"/>
                <w:color w:val="auto"/>
                <w:kern w:val="2"/>
                <w:sz w:val="24"/>
                <w:szCs w:val="21"/>
                <w:highlight w:val="none"/>
                <w:lang w:val="en-US" w:eastAsia="zh-CN" w:bidi="ar-SA"/>
              </w:rPr>
            </w:pPr>
            <w:r>
              <w:rPr>
                <w:rFonts w:hint="eastAsia" w:ascii="仿宋" w:hAnsi="仿宋" w:eastAsia="仿宋" w:cs="仿宋"/>
                <w:color w:val="auto"/>
                <w:szCs w:val="21"/>
                <w:highlight w:val="none"/>
              </w:rPr>
              <w:t>8</w:t>
            </w:r>
          </w:p>
        </w:tc>
        <w:tc>
          <w:tcPr>
            <w:tcW w:w="2529" w:type="dxa"/>
            <w:tcBorders>
              <w:top w:val="single" w:color="auto" w:sz="4" w:space="0"/>
              <w:left w:val="single" w:color="auto" w:sz="4" w:space="0"/>
              <w:bottom w:val="single" w:color="auto" w:sz="4" w:space="0"/>
              <w:right w:val="single" w:color="auto" w:sz="4" w:space="0"/>
            </w:tcBorders>
            <w:noWrap w:val="0"/>
            <w:vAlign w:val="center"/>
          </w:tcPr>
          <w:p w14:paraId="716C36E9">
            <w:pPr>
              <w:keepNext w:val="0"/>
              <w:keepLines w:val="0"/>
              <w:pageBreakBefore w:val="0"/>
              <w:widowControl/>
              <w:kinsoku/>
              <w:wordWrap/>
              <w:overflowPunct/>
              <w:topLinePunct w:val="0"/>
              <w:autoSpaceDE/>
              <w:autoSpaceDN/>
              <w:bidi w:val="0"/>
              <w:adjustRightInd/>
              <w:snapToGrid/>
              <w:ind w:firstLine="0" w:firstLineChars="0"/>
              <w:jc w:val="left"/>
              <w:textAlignment w:val="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EPC+O总包投标价（3+4+5</w:t>
            </w:r>
            <w:r>
              <w:rPr>
                <w:rFonts w:hint="eastAsia" w:ascii="仿宋" w:hAnsi="仿宋" w:eastAsia="仿宋" w:cs="仿宋"/>
                <w:color w:val="auto"/>
                <w:szCs w:val="21"/>
                <w:highlight w:val="none"/>
                <w:lang w:val="en-US" w:eastAsia="zh-CN"/>
              </w:rPr>
              <w:t>+6</w:t>
            </w:r>
            <w:r>
              <w:rPr>
                <w:rFonts w:hint="eastAsia" w:ascii="仿宋" w:hAnsi="仿宋" w:eastAsia="仿宋" w:cs="仿宋"/>
                <w:color w:val="auto"/>
                <w:szCs w:val="21"/>
                <w:highlight w:val="none"/>
              </w:rPr>
              <w:t>合计）</w:t>
            </w:r>
          </w:p>
        </w:tc>
        <w:tc>
          <w:tcPr>
            <w:tcW w:w="3077" w:type="dxa"/>
            <w:tcBorders>
              <w:top w:val="single" w:color="auto" w:sz="4" w:space="0"/>
              <w:left w:val="single" w:color="auto" w:sz="4" w:space="0"/>
              <w:bottom w:val="single" w:color="auto" w:sz="4" w:space="0"/>
              <w:right w:val="single" w:color="auto" w:sz="4" w:space="0"/>
            </w:tcBorders>
            <w:noWrap w:val="0"/>
            <w:vAlign w:val="center"/>
          </w:tcPr>
          <w:p w14:paraId="216F38E5">
            <w:pPr>
              <w:keepNext w:val="0"/>
              <w:keepLines w:val="0"/>
              <w:pageBreakBefore w:val="0"/>
              <w:widowControl/>
              <w:kinsoku/>
              <w:wordWrap/>
              <w:overflowPunct/>
              <w:topLinePunct w:val="0"/>
              <w:autoSpaceDE/>
              <w:autoSpaceDN/>
              <w:bidi w:val="0"/>
              <w:adjustRightInd/>
              <w:snapToGrid/>
              <w:spacing w:line="440" w:lineRule="exact"/>
              <w:ind w:firstLine="0" w:firstLineChars="0"/>
              <w:jc w:val="left"/>
              <w:textAlignment w:val="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 xml:space="preserve"> 元</w:t>
            </w:r>
          </w:p>
        </w:tc>
        <w:tc>
          <w:tcPr>
            <w:tcW w:w="2576" w:type="dxa"/>
            <w:tcBorders>
              <w:top w:val="single" w:color="auto" w:sz="4" w:space="0"/>
              <w:left w:val="single" w:color="auto" w:sz="4" w:space="0"/>
              <w:bottom w:val="single" w:color="auto" w:sz="4" w:space="0"/>
              <w:right w:val="single" w:color="auto" w:sz="4" w:space="0"/>
            </w:tcBorders>
            <w:noWrap w:val="0"/>
            <w:vAlign w:val="center"/>
          </w:tcPr>
          <w:p w14:paraId="53E93B61">
            <w:pPr>
              <w:keepNext w:val="0"/>
              <w:keepLines w:val="0"/>
              <w:pageBreakBefore w:val="0"/>
              <w:widowControl/>
              <w:kinsoku/>
              <w:wordWrap/>
              <w:overflowPunct/>
              <w:topLinePunct w:val="0"/>
              <w:autoSpaceDE/>
              <w:autoSpaceDN/>
              <w:bidi w:val="0"/>
              <w:adjustRightInd/>
              <w:snapToGrid/>
              <w:spacing w:line="440" w:lineRule="exact"/>
              <w:ind w:firstLine="0" w:firstLineChars="0"/>
              <w:jc w:val="left"/>
              <w:textAlignment w:val="auto"/>
              <w:rPr>
                <w:rFonts w:hint="eastAsia" w:ascii="仿宋" w:hAnsi="仿宋" w:eastAsia="仿宋" w:cs="仿宋"/>
                <w:color w:val="auto"/>
                <w:szCs w:val="21"/>
                <w:highlight w:val="none"/>
              </w:rPr>
            </w:pPr>
          </w:p>
        </w:tc>
      </w:tr>
      <w:tr w14:paraId="4BF60C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818"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F8E96C1">
            <w:pPr>
              <w:keepNext w:val="0"/>
              <w:keepLines w:val="0"/>
              <w:pageBreakBefore w:val="0"/>
              <w:widowControl/>
              <w:kinsoku/>
              <w:wordWrap/>
              <w:overflowPunct/>
              <w:topLinePunct w:val="0"/>
              <w:autoSpaceDE/>
              <w:autoSpaceDN/>
              <w:bidi w:val="0"/>
              <w:adjustRightInd/>
              <w:snapToGrid/>
              <w:ind w:firstLine="0" w:firstLineChars="0"/>
              <w:jc w:val="left"/>
              <w:textAlignment w:val="auto"/>
              <w:rPr>
                <w:rFonts w:hint="eastAsia" w:ascii="仿宋" w:hAnsi="仿宋" w:eastAsia="仿宋" w:cs="仿宋"/>
                <w:color w:val="auto"/>
                <w:kern w:val="2"/>
                <w:sz w:val="24"/>
                <w:szCs w:val="21"/>
                <w:highlight w:val="none"/>
                <w:lang w:val="en-US" w:eastAsia="zh-CN" w:bidi="ar-SA"/>
              </w:rPr>
            </w:pPr>
            <w:r>
              <w:rPr>
                <w:rFonts w:hint="eastAsia" w:ascii="仿宋" w:hAnsi="仿宋" w:eastAsia="仿宋" w:cs="仿宋"/>
                <w:color w:val="auto"/>
                <w:szCs w:val="21"/>
                <w:highlight w:val="none"/>
              </w:rPr>
              <w:t>9</w:t>
            </w:r>
          </w:p>
        </w:tc>
        <w:tc>
          <w:tcPr>
            <w:tcW w:w="2529" w:type="dxa"/>
            <w:tcBorders>
              <w:top w:val="single" w:color="auto" w:sz="4" w:space="0"/>
              <w:left w:val="single" w:color="auto" w:sz="4" w:space="0"/>
              <w:bottom w:val="single" w:color="auto" w:sz="4" w:space="0"/>
              <w:right w:val="single" w:color="auto" w:sz="4" w:space="0"/>
            </w:tcBorders>
            <w:noWrap w:val="0"/>
            <w:vAlign w:val="center"/>
          </w:tcPr>
          <w:p w14:paraId="291DB79D">
            <w:pPr>
              <w:keepNext w:val="0"/>
              <w:keepLines w:val="0"/>
              <w:pageBreakBefore w:val="0"/>
              <w:widowControl/>
              <w:kinsoku/>
              <w:wordWrap/>
              <w:overflowPunct/>
              <w:topLinePunct w:val="0"/>
              <w:autoSpaceDE/>
              <w:autoSpaceDN/>
              <w:bidi w:val="0"/>
              <w:adjustRightInd/>
              <w:snapToGrid/>
              <w:spacing w:line="440" w:lineRule="exact"/>
              <w:ind w:firstLine="0" w:firstLineChars="0"/>
              <w:jc w:val="left"/>
              <w:textAlignment w:val="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工期</w:t>
            </w:r>
          </w:p>
        </w:tc>
        <w:tc>
          <w:tcPr>
            <w:tcW w:w="3077" w:type="dxa"/>
            <w:tcBorders>
              <w:top w:val="single" w:color="auto" w:sz="4" w:space="0"/>
              <w:left w:val="single" w:color="auto" w:sz="4" w:space="0"/>
              <w:bottom w:val="single" w:color="auto" w:sz="4" w:space="0"/>
              <w:right w:val="single" w:color="auto" w:sz="4" w:space="0"/>
            </w:tcBorders>
            <w:noWrap w:val="0"/>
            <w:vAlign w:val="center"/>
          </w:tcPr>
          <w:p w14:paraId="7CA25876">
            <w:pPr>
              <w:keepNext w:val="0"/>
              <w:keepLines w:val="0"/>
              <w:pageBreakBefore w:val="0"/>
              <w:widowControl/>
              <w:kinsoku/>
              <w:wordWrap/>
              <w:overflowPunct/>
              <w:topLinePunct w:val="0"/>
              <w:autoSpaceDE/>
              <w:autoSpaceDN/>
              <w:bidi w:val="0"/>
              <w:adjustRightInd/>
              <w:snapToGrid/>
              <w:spacing w:line="440" w:lineRule="exact"/>
              <w:ind w:left="210" w:firstLine="0" w:firstLineChars="0"/>
              <w:jc w:val="left"/>
              <w:textAlignment w:val="auto"/>
              <w:rPr>
                <w:rFonts w:hint="eastAsia" w:ascii="仿宋" w:hAnsi="仿宋" w:eastAsia="仿宋" w:cs="仿宋"/>
                <w:color w:val="auto"/>
                <w:szCs w:val="21"/>
                <w:highlight w:val="none"/>
              </w:rPr>
            </w:pPr>
            <w:r>
              <w:rPr>
                <w:rFonts w:hint="eastAsia" w:ascii="仿宋" w:hAnsi="仿宋" w:eastAsia="仿宋" w:cs="仿宋"/>
                <w:color w:val="auto"/>
                <w:szCs w:val="21"/>
                <w:highlight w:val="none"/>
                <w:u w:val="single"/>
              </w:rPr>
              <w:t xml:space="preserve">  年  月   日开工至  年   月    日竣工</w:t>
            </w:r>
            <w:r>
              <w:rPr>
                <w:rFonts w:hint="eastAsia" w:ascii="仿宋" w:hAnsi="仿宋" w:eastAsia="仿宋" w:cs="仿宋"/>
                <w:color w:val="auto"/>
                <w:szCs w:val="21"/>
                <w:highlight w:val="none"/>
              </w:rPr>
              <w:t>（共计日历天），其中：设计周期</w:t>
            </w:r>
            <w:r>
              <w:rPr>
                <w:rFonts w:hint="eastAsia" w:ascii="仿宋" w:hAnsi="仿宋" w:eastAsia="仿宋" w:cs="仿宋"/>
                <w:color w:val="auto"/>
                <w:szCs w:val="21"/>
                <w:highlight w:val="none"/>
                <w:u w:val="single"/>
              </w:rPr>
              <w:t xml:space="preserve">   </w:t>
            </w:r>
            <w:r>
              <w:rPr>
                <w:rFonts w:hint="eastAsia" w:ascii="仿宋" w:hAnsi="仿宋" w:eastAsia="仿宋" w:cs="仿宋"/>
                <w:color w:val="auto"/>
                <w:szCs w:val="21"/>
                <w:highlight w:val="none"/>
              </w:rPr>
              <w:t>日历天。运营期</w:t>
            </w:r>
            <w:r>
              <w:rPr>
                <w:rFonts w:hint="eastAsia" w:ascii="仿宋" w:hAnsi="仿宋" w:eastAsia="仿宋" w:cs="仿宋"/>
                <w:color w:val="auto"/>
                <w:szCs w:val="21"/>
                <w:highlight w:val="none"/>
                <w:u w:val="single"/>
              </w:rPr>
              <w:t xml:space="preserve">   </w:t>
            </w:r>
            <w:r>
              <w:rPr>
                <w:rFonts w:hint="eastAsia" w:ascii="仿宋" w:hAnsi="仿宋" w:eastAsia="仿宋" w:cs="仿宋"/>
                <w:color w:val="auto"/>
                <w:szCs w:val="21"/>
                <w:highlight w:val="none"/>
              </w:rPr>
              <w:t>年具体时间以合同签订为准。</w:t>
            </w:r>
          </w:p>
        </w:tc>
        <w:tc>
          <w:tcPr>
            <w:tcW w:w="2576" w:type="dxa"/>
            <w:tcBorders>
              <w:top w:val="single" w:color="auto" w:sz="4" w:space="0"/>
              <w:left w:val="single" w:color="auto" w:sz="4" w:space="0"/>
              <w:bottom w:val="single" w:color="auto" w:sz="4" w:space="0"/>
              <w:right w:val="single" w:color="auto" w:sz="4" w:space="0"/>
            </w:tcBorders>
            <w:noWrap w:val="0"/>
            <w:vAlign w:val="center"/>
          </w:tcPr>
          <w:p w14:paraId="2011CD2E">
            <w:pPr>
              <w:keepNext w:val="0"/>
              <w:keepLines w:val="0"/>
              <w:pageBreakBefore w:val="0"/>
              <w:widowControl/>
              <w:kinsoku/>
              <w:wordWrap/>
              <w:overflowPunct/>
              <w:topLinePunct w:val="0"/>
              <w:autoSpaceDE/>
              <w:autoSpaceDN/>
              <w:bidi w:val="0"/>
              <w:adjustRightInd/>
              <w:snapToGrid/>
              <w:spacing w:line="440" w:lineRule="exact"/>
              <w:ind w:firstLine="0" w:firstLineChars="0"/>
              <w:jc w:val="left"/>
              <w:textAlignment w:val="auto"/>
              <w:rPr>
                <w:rFonts w:hint="eastAsia" w:ascii="仿宋" w:hAnsi="仿宋" w:eastAsia="仿宋" w:cs="仿宋"/>
                <w:color w:val="auto"/>
                <w:szCs w:val="21"/>
                <w:highlight w:val="none"/>
              </w:rPr>
            </w:pPr>
          </w:p>
        </w:tc>
      </w:tr>
      <w:tr w14:paraId="70073C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818"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73B0B38">
            <w:pPr>
              <w:keepNext w:val="0"/>
              <w:keepLines w:val="0"/>
              <w:pageBreakBefore w:val="0"/>
              <w:widowControl/>
              <w:kinsoku/>
              <w:wordWrap/>
              <w:overflowPunct/>
              <w:topLinePunct w:val="0"/>
              <w:autoSpaceDE/>
              <w:autoSpaceDN/>
              <w:bidi w:val="0"/>
              <w:adjustRightInd/>
              <w:snapToGrid/>
              <w:ind w:firstLine="0" w:firstLineChars="0"/>
              <w:jc w:val="left"/>
              <w:textAlignment w:val="auto"/>
              <w:rPr>
                <w:rFonts w:hint="default" w:ascii="仿宋" w:hAnsi="仿宋" w:eastAsia="仿宋" w:cs="仿宋"/>
                <w:color w:val="auto"/>
                <w:kern w:val="2"/>
                <w:sz w:val="24"/>
                <w:szCs w:val="21"/>
                <w:highlight w:val="none"/>
                <w:lang w:val="en-US" w:eastAsia="zh-CN" w:bidi="ar-SA"/>
              </w:rPr>
            </w:pPr>
            <w:r>
              <w:rPr>
                <w:rFonts w:hint="eastAsia" w:ascii="仿宋" w:hAnsi="仿宋" w:cs="仿宋"/>
                <w:color w:val="auto"/>
                <w:kern w:val="2"/>
                <w:sz w:val="24"/>
                <w:szCs w:val="21"/>
                <w:highlight w:val="none"/>
                <w:lang w:val="en-US" w:eastAsia="zh-CN" w:bidi="ar-SA"/>
              </w:rPr>
              <w:t>10</w:t>
            </w:r>
          </w:p>
        </w:tc>
        <w:tc>
          <w:tcPr>
            <w:tcW w:w="2529" w:type="dxa"/>
            <w:tcBorders>
              <w:top w:val="single" w:color="auto" w:sz="4" w:space="0"/>
              <w:left w:val="single" w:color="auto" w:sz="4" w:space="0"/>
              <w:bottom w:val="single" w:color="auto" w:sz="4" w:space="0"/>
              <w:right w:val="single" w:color="auto" w:sz="4" w:space="0"/>
            </w:tcBorders>
            <w:noWrap w:val="0"/>
            <w:vAlign w:val="center"/>
          </w:tcPr>
          <w:p w14:paraId="5177D891">
            <w:pPr>
              <w:keepNext w:val="0"/>
              <w:keepLines w:val="0"/>
              <w:pageBreakBefore w:val="0"/>
              <w:widowControl/>
              <w:kinsoku/>
              <w:wordWrap/>
              <w:overflowPunct/>
              <w:topLinePunct w:val="0"/>
              <w:autoSpaceDE/>
              <w:autoSpaceDN/>
              <w:bidi w:val="0"/>
              <w:adjustRightInd/>
              <w:snapToGrid/>
              <w:spacing w:line="440" w:lineRule="exact"/>
              <w:ind w:firstLine="0" w:firstLineChars="0"/>
              <w:jc w:val="left"/>
              <w:textAlignment w:val="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质量标准</w:t>
            </w:r>
          </w:p>
        </w:tc>
        <w:tc>
          <w:tcPr>
            <w:tcW w:w="3077" w:type="dxa"/>
            <w:tcBorders>
              <w:top w:val="single" w:color="auto" w:sz="4" w:space="0"/>
              <w:left w:val="single" w:color="auto" w:sz="4" w:space="0"/>
              <w:bottom w:val="single" w:color="auto" w:sz="4" w:space="0"/>
              <w:right w:val="single" w:color="auto" w:sz="4" w:space="0"/>
            </w:tcBorders>
            <w:noWrap w:val="0"/>
            <w:vAlign w:val="center"/>
          </w:tcPr>
          <w:p w14:paraId="26E30A0E">
            <w:pPr>
              <w:keepNext w:val="0"/>
              <w:keepLines w:val="0"/>
              <w:pageBreakBefore w:val="0"/>
              <w:widowControl/>
              <w:kinsoku/>
              <w:wordWrap/>
              <w:overflowPunct/>
              <w:topLinePunct w:val="0"/>
              <w:autoSpaceDE/>
              <w:autoSpaceDN/>
              <w:bidi w:val="0"/>
              <w:adjustRightInd/>
              <w:snapToGrid/>
              <w:spacing w:line="440" w:lineRule="exact"/>
              <w:ind w:firstLine="0" w:firstLineChars="0"/>
              <w:jc w:val="left"/>
              <w:textAlignment w:val="auto"/>
              <w:rPr>
                <w:rFonts w:hint="eastAsia" w:ascii="仿宋" w:hAnsi="仿宋" w:eastAsia="仿宋" w:cs="仿宋"/>
                <w:color w:val="auto"/>
                <w:szCs w:val="21"/>
                <w:highlight w:val="none"/>
              </w:rPr>
            </w:pPr>
          </w:p>
        </w:tc>
        <w:tc>
          <w:tcPr>
            <w:tcW w:w="2576" w:type="dxa"/>
            <w:tcBorders>
              <w:top w:val="single" w:color="auto" w:sz="4" w:space="0"/>
              <w:left w:val="single" w:color="auto" w:sz="4" w:space="0"/>
              <w:bottom w:val="single" w:color="auto" w:sz="4" w:space="0"/>
              <w:right w:val="single" w:color="auto" w:sz="4" w:space="0"/>
            </w:tcBorders>
            <w:noWrap w:val="0"/>
            <w:vAlign w:val="center"/>
          </w:tcPr>
          <w:p w14:paraId="6103CF49">
            <w:pPr>
              <w:spacing w:line="440" w:lineRule="exact"/>
              <w:jc w:val="left"/>
              <w:rPr>
                <w:rFonts w:hint="eastAsia" w:ascii="仿宋" w:hAnsi="仿宋" w:eastAsia="仿宋" w:cs="仿宋"/>
                <w:color w:val="auto"/>
                <w:szCs w:val="21"/>
                <w:highlight w:val="none"/>
              </w:rPr>
            </w:pPr>
          </w:p>
        </w:tc>
      </w:tr>
      <w:tr w14:paraId="4E12E7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818" w:type="dxa"/>
            <w:tcBorders>
              <w:top w:val="single" w:color="auto" w:sz="4" w:space="0"/>
              <w:left w:val="single" w:color="auto" w:sz="4" w:space="0"/>
              <w:bottom w:val="single" w:color="auto" w:sz="4" w:space="0"/>
              <w:right w:val="single" w:color="auto" w:sz="4" w:space="0"/>
            </w:tcBorders>
            <w:noWrap w:val="0"/>
            <w:vAlign w:val="center"/>
          </w:tcPr>
          <w:p w14:paraId="76B74049">
            <w:pPr>
              <w:keepNext w:val="0"/>
              <w:keepLines w:val="0"/>
              <w:pageBreakBefore w:val="0"/>
              <w:widowControl/>
              <w:kinsoku/>
              <w:wordWrap/>
              <w:overflowPunct/>
              <w:topLinePunct w:val="0"/>
              <w:autoSpaceDE/>
              <w:autoSpaceDN/>
              <w:bidi w:val="0"/>
              <w:adjustRightInd/>
              <w:snapToGrid/>
              <w:ind w:firstLine="0" w:firstLineChars="0"/>
              <w:jc w:val="left"/>
              <w:textAlignment w:val="auto"/>
              <w:rPr>
                <w:rFonts w:hint="default" w:ascii="仿宋" w:hAnsi="仿宋" w:eastAsia="仿宋" w:cs="仿宋"/>
                <w:color w:val="auto"/>
                <w:szCs w:val="21"/>
                <w:highlight w:val="none"/>
                <w:lang w:val="en-US" w:eastAsia="zh-CN"/>
              </w:rPr>
            </w:pPr>
            <w:r>
              <w:rPr>
                <w:rFonts w:hint="eastAsia" w:ascii="仿宋" w:hAnsi="仿宋" w:cs="仿宋"/>
                <w:color w:val="auto"/>
                <w:szCs w:val="21"/>
                <w:highlight w:val="none"/>
                <w:lang w:val="en-US" w:eastAsia="zh-CN"/>
              </w:rPr>
              <w:t>11</w:t>
            </w:r>
          </w:p>
        </w:tc>
        <w:tc>
          <w:tcPr>
            <w:tcW w:w="2529" w:type="dxa"/>
            <w:tcBorders>
              <w:top w:val="single" w:color="auto" w:sz="4" w:space="0"/>
              <w:left w:val="single" w:color="auto" w:sz="4" w:space="0"/>
              <w:bottom w:val="single" w:color="auto" w:sz="4" w:space="0"/>
              <w:right w:val="single" w:color="auto" w:sz="4" w:space="0"/>
            </w:tcBorders>
            <w:noWrap w:val="0"/>
            <w:vAlign w:val="center"/>
          </w:tcPr>
          <w:p w14:paraId="5AAD0C14">
            <w:pPr>
              <w:keepNext w:val="0"/>
              <w:keepLines w:val="0"/>
              <w:pageBreakBefore w:val="0"/>
              <w:widowControl/>
              <w:kinsoku/>
              <w:wordWrap/>
              <w:overflowPunct/>
              <w:topLinePunct w:val="0"/>
              <w:autoSpaceDE/>
              <w:autoSpaceDN/>
              <w:bidi w:val="0"/>
              <w:adjustRightInd/>
              <w:snapToGrid/>
              <w:spacing w:line="440" w:lineRule="exact"/>
              <w:ind w:firstLine="0" w:firstLineChars="0"/>
              <w:jc w:val="left"/>
              <w:textAlignment w:val="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缺陷责任期</w:t>
            </w:r>
          </w:p>
        </w:tc>
        <w:tc>
          <w:tcPr>
            <w:tcW w:w="3077" w:type="dxa"/>
            <w:tcBorders>
              <w:top w:val="single" w:color="auto" w:sz="4" w:space="0"/>
              <w:left w:val="single" w:color="auto" w:sz="4" w:space="0"/>
              <w:bottom w:val="single" w:color="auto" w:sz="4" w:space="0"/>
              <w:right w:val="single" w:color="auto" w:sz="4" w:space="0"/>
            </w:tcBorders>
            <w:noWrap w:val="0"/>
            <w:vAlign w:val="center"/>
          </w:tcPr>
          <w:p w14:paraId="4ADF56B7">
            <w:pPr>
              <w:keepNext w:val="0"/>
              <w:keepLines w:val="0"/>
              <w:pageBreakBefore w:val="0"/>
              <w:widowControl/>
              <w:kinsoku/>
              <w:wordWrap/>
              <w:overflowPunct/>
              <w:topLinePunct w:val="0"/>
              <w:autoSpaceDE/>
              <w:autoSpaceDN/>
              <w:bidi w:val="0"/>
              <w:adjustRightInd/>
              <w:snapToGrid/>
              <w:spacing w:line="440" w:lineRule="exact"/>
              <w:ind w:firstLine="0" w:firstLineChars="0"/>
              <w:jc w:val="left"/>
              <w:textAlignment w:val="auto"/>
              <w:rPr>
                <w:rFonts w:hint="eastAsia" w:ascii="仿宋" w:hAnsi="仿宋" w:eastAsia="仿宋" w:cs="仿宋"/>
                <w:color w:val="auto"/>
                <w:szCs w:val="21"/>
                <w:highlight w:val="none"/>
              </w:rPr>
            </w:pPr>
            <w:r>
              <w:rPr>
                <w:rFonts w:hint="eastAsia" w:ascii="仿宋" w:hAnsi="仿宋" w:cs="仿宋"/>
                <w:color w:val="auto"/>
                <w:szCs w:val="21"/>
                <w:highlight w:val="none"/>
                <w:lang w:val="en-US" w:eastAsia="zh-CN"/>
              </w:rPr>
              <w:t>2</w:t>
            </w:r>
            <w:r>
              <w:rPr>
                <w:rFonts w:hint="eastAsia" w:ascii="仿宋" w:hAnsi="仿宋" w:eastAsia="仿宋" w:cs="仿宋"/>
                <w:color w:val="auto"/>
                <w:szCs w:val="21"/>
                <w:highlight w:val="none"/>
              </w:rPr>
              <w:t>年</w:t>
            </w:r>
          </w:p>
        </w:tc>
        <w:tc>
          <w:tcPr>
            <w:tcW w:w="2576" w:type="dxa"/>
            <w:tcBorders>
              <w:top w:val="single" w:color="auto" w:sz="4" w:space="0"/>
              <w:left w:val="single" w:color="auto" w:sz="4" w:space="0"/>
              <w:bottom w:val="single" w:color="auto" w:sz="4" w:space="0"/>
              <w:right w:val="single" w:color="auto" w:sz="4" w:space="0"/>
            </w:tcBorders>
            <w:noWrap w:val="0"/>
            <w:vAlign w:val="center"/>
          </w:tcPr>
          <w:p w14:paraId="217B1051">
            <w:pPr>
              <w:spacing w:line="440" w:lineRule="exact"/>
              <w:jc w:val="left"/>
              <w:rPr>
                <w:rFonts w:hint="eastAsia" w:ascii="仿宋" w:hAnsi="仿宋" w:eastAsia="仿宋" w:cs="仿宋"/>
                <w:color w:val="auto"/>
                <w:szCs w:val="21"/>
                <w:highlight w:val="none"/>
              </w:rPr>
            </w:pPr>
          </w:p>
        </w:tc>
      </w:tr>
      <w:tr w14:paraId="66436F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818" w:type="dxa"/>
            <w:tcBorders>
              <w:top w:val="single" w:color="auto" w:sz="4" w:space="0"/>
              <w:left w:val="single" w:color="auto" w:sz="4" w:space="0"/>
              <w:bottom w:val="single" w:color="auto" w:sz="4" w:space="0"/>
              <w:right w:val="single" w:color="auto" w:sz="4" w:space="0"/>
            </w:tcBorders>
            <w:noWrap w:val="0"/>
            <w:vAlign w:val="center"/>
          </w:tcPr>
          <w:p w14:paraId="6FEE8165">
            <w:pPr>
              <w:keepNext w:val="0"/>
              <w:keepLines w:val="0"/>
              <w:pageBreakBefore w:val="0"/>
              <w:widowControl/>
              <w:kinsoku/>
              <w:wordWrap/>
              <w:overflowPunct/>
              <w:topLinePunct w:val="0"/>
              <w:autoSpaceDE/>
              <w:autoSpaceDN/>
              <w:bidi w:val="0"/>
              <w:adjustRightInd/>
              <w:snapToGrid/>
              <w:ind w:firstLine="0" w:firstLineChars="0"/>
              <w:jc w:val="left"/>
              <w:textAlignment w:val="auto"/>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rPr>
              <w:t>1</w:t>
            </w:r>
            <w:r>
              <w:rPr>
                <w:rFonts w:hint="eastAsia" w:ascii="仿宋" w:hAnsi="仿宋" w:cs="仿宋"/>
                <w:color w:val="auto"/>
                <w:szCs w:val="21"/>
                <w:highlight w:val="none"/>
                <w:lang w:val="en-US" w:eastAsia="zh-CN"/>
              </w:rPr>
              <w:t>2</w:t>
            </w:r>
          </w:p>
        </w:tc>
        <w:tc>
          <w:tcPr>
            <w:tcW w:w="2529" w:type="dxa"/>
            <w:tcBorders>
              <w:top w:val="single" w:color="auto" w:sz="4" w:space="0"/>
              <w:left w:val="single" w:color="auto" w:sz="4" w:space="0"/>
              <w:bottom w:val="single" w:color="auto" w:sz="4" w:space="0"/>
              <w:right w:val="single" w:color="auto" w:sz="4" w:space="0"/>
            </w:tcBorders>
            <w:noWrap w:val="0"/>
            <w:vAlign w:val="center"/>
          </w:tcPr>
          <w:p w14:paraId="610815C5">
            <w:pPr>
              <w:keepNext w:val="0"/>
              <w:keepLines w:val="0"/>
              <w:pageBreakBefore w:val="0"/>
              <w:widowControl/>
              <w:kinsoku/>
              <w:wordWrap/>
              <w:overflowPunct/>
              <w:topLinePunct w:val="0"/>
              <w:autoSpaceDE/>
              <w:autoSpaceDN/>
              <w:bidi w:val="0"/>
              <w:adjustRightInd/>
              <w:snapToGrid/>
              <w:spacing w:line="440" w:lineRule="exact"/>
              <w:ind w:firstLine="0" w:firstLineChars="0"/>
              <w:jc w:val="left"/>
              <w:textAlignment w:val="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承包人履约担保金额</w:t>
            </w:r>
          </w:p>
        </w:tc>
        <w:tc>
          <w:tcPr>
            <w:tcW w:w="3077" w:type="dxa"/>
            <w:tcBorders>
              <w:top w:val="single" w:color="auto" w:sz="4" w:space="0"/>
              <w:left w:val="single" w:color="auto" w:sz="4" w:space="0"/>
              <w:bottom w:val="single" w:color="auto" w:sz="4" w:space="0"/>
              <w:right w:val="single" w:color="auto" w:sz="4" w:space="0"/>
            </w:tcBorders>
            <w:noWrap w:val="0"/>
            <w:vAlign w:val="center"/>
          </w:tcPr>
          <w:p w14:paraId="78812896">
            <w:pPr>
              <w:keepNext w:val="0"/>
              <w:keepLines w:val="0"/>
              <w:pageBreakBefore w:val="0"/>
              <w:widowControl/>
              <w:kinsoku/>
              <w:wordWrap/>
              <w:overflowPunct/>
              <w:topLinePunct w:val="0"/>
              <w:autoSpaceDE/>
              <w:autoSpaceDN/>
              <w:bidi w:val="0"/>
              <w:adjustRightInd/>
              <w:snapToGrid/>
              <w:spacing w:line="440" w:lineRule="exact"/>
              <w:ind w:firstLine="0" w:firstLineChars="0"/>
              <w:jc w:val="left"/>
              <w:textAlignment w:val="auto"/>
              <w:rPr>
                <w:rFonts w:hint="eastAsia" w:ascii="仿宋" w:hAnsi="仿宋" w:eastAsia="仿宋" w:cs="仿宋"/>
                <w:color w:val="auto"/>
                <w:szCs w:val="21"/>
                <w:highlight w:val="none"/>
              </w:rPr>
            </w:pPr>
          </w:p>
        </w:tc>
        <w:tc>
          <w:tcPr>
            <w:tcW w:w="2576" w:type="dxa"/>
            <w:tcBorders>
              <w:top w:val="single" w:color="auto" w:sz="4" w:space="0"/>
              <w:left w:val="single" w:color="auto" w:sz="4" w:space="0"/>
              <w:bottom w:val="single" w:color="auto" w:sz="4" w:space="0"/>
              <w:right w:val="single" w:color="auto" w:sz="4" w:space="0"/>
            </w:tcBorders>
            <w:noWrap w:val="0"/>
            <w:vAlign w:val="center"/>
          </w:tcPr>
          <w:p w14:paraId="681644F1">
            <w:pPr>
              <w:spacing w:line="440" w:lineRule="exact"/>
              <w:jc w:val="left"/>
              <w:rPr>
                <w:rFonts w:hint="eastAsia" w:ascii="仿宋" w:hAnsi="仿宋" w:eastAsia="仿宋" w:cs="仿宋"/>
                <w:color w:val="auto"/>
                <w:szCs w:val="21"/>
                <w:highlight w:val="none"/>
              </w:rPr>
            </w:pPr>
          </w:p>
        </w:tc>
      </w:tr>
    </w:tbl>
    <w:p w14:paraId="0F2570CF">
      <w:pPr>
        <w:spacing w:line="440" w:lineRule="exact"/>
        <w:jc w:val="left"/>
        <w:rPr>
          <w:rFonts w:hint="eastAsia" w:ascii="仿宋" w:hAnsi="仿宋" w:eastAsia="仿宋" w:cs="仿宋"/>
          <w:color w:val="auto"/>
          <w:sz w:val="20"/>
          <w:szCs w:val="20"/>
          <w:highlight w:val="none"/>
        </w:rPr>
      </w:pPr>
    </w:p>
    <w:p w14:paraId="784F9EF4">
      <w:pPr>
        <w:pStyle w:val="4"/>
        <w:jc w:val="center"/>
        <w:rPr>
          <w:rFonts w:hint="eastAsia" w:ascii="仿宋" w:hAnsi="仿宋" w:eastAsia="仿宋" w:cs="仿宋"/>
          <w:color w:val="auto"/>
          <w:highlight w:val="none"/>
        </w:rPr>
      </w:pPr>
      <w:bookmarkStart w:id="887" w:name="_Toc144974860"/>
      <w:bookmarkStart w:id="888" w:name="_Toc247514283"/>
      <w:bookmarkStart w:id="889" w:name="_Toc152042580"/>
      <w:bookmarkStart w:id="890" w:name="_Toc106998216"/>
      <w:bookmarkStart w:id="891" w:name="_Toc152045791"/>
      <w:bookmarkStart w:id="892" w:name="_Toc7956826"/>
      <w:bookmarkStart w:id="893" w:name="_Toc247527831"/>
      <w:r>
        <w:rPr>
          <w:rFonts w:hint="eastAsia" w:ascii="仿宋" w:hAnsi="仿宋" w:eastAsia="仿宋" w:cs="仿宋"/>
          <w:color w:val="auto"/>
          <w:highlight w:val="none"/>
        </w:rPr>
        <w:br w:type="page"/>
      </w:r>
      <w:r>
        <w:rPr>
          <w:rFonts w:hint="eastAsia" w:ascii="仿宋" w:hAnsi="仿宋" w:eastAsia="仿宋" w:cs="仿宋"/>
          <w:color w:val="auto"/>
          <w:highlight w:val="none"/>
        </w:rPr>
        <w:t>二、法定代表人身份证明</w:t>
      </w:r>
      <w:bookmarkEnd w:id="887"/>
      <w:bookmarkEnd w:id="888"/>
      <w:bookmarkEnd w:id="889"/>
      <w:bookmarkEnd w:id="890"/>
      <w:bookmarkEnd w:id="891"/>
      <w:bookmarkEnd w:id="892"/>
      <w:bookmarkEnd w:id="893"/>
      <w:r>
        <w:rPr>
          <w:rFonts w:hint="eastAsia" w:ascii="仿宋" w:hAnsi="仿宋" w:eastAsia="仿宋" w:cs="仿宋"/>
          <w:color w:val="auto"/>
          <w:highlight w:val="none"/>
        </w:rPr>
        <w:t>或授权委托书</w:t>
      </w:r>
    </w:p>
    <w:p w14:paraId="06B64573">
      <w:pPr>
        <w:pStyle w:val="5"/>
        <w:ind w:firstLine="138"/>
        <w:jc w:val="center"/>
        <w:rPr>
          <w:rFonts w:hint="eastAsia" w:ascii="仿宋" w:hAnsi="仿宋" w:eastAsia="仿宋" w:cs="仿宋"/>
          <w:b/>
          <w:bCs/>
          <w:color w:val="auto"/>
          <w:sz w:val="28"/>
          <w:szCs w:val="20"/>
          <w:highlight w:val="none"/>
        </w:rPr>
      </w:pPr>
      <w:r>
        <w:rPr>
          <w:rFonts w:hint="eastAsia" w:ascii="仿宋" w:hAnsi="仿宋" w:eastAsia="仿宋" w:cs="仿宋"/>
          <w:b/>
          <w:bCs/>
          <w:color w:val="auto"/>
          <w:sz w:val="28"/>
          <w:szCs w:val="20"/>
          <w:highlight w:val="none"/>
        </w:rPr>
        <w:t>（一）法定代表人身份证明</w:t>
      </w:r>
    </w:p>
    <w:p w14:paraId="66F4A6A2">
      <w:pPr>
        <w:spacing w:line="440" w:lineRule="exact"/>
        <w:jc w:val="left"/>
        <w:rPr>
          <w:rFonts w:hint="eastAsia" w:ascii="仿宋" w:hAnsi="仿宋" w:eastAsia="仿宋" w:cs="仿宋"/>
          <w:color w:val="auto"/>
          <w:sz w:val="20"/>
          <w:szCs w:val="20"/>
          <w:highlight w:val="none"/>
        </w:rPr>
      </w:pPr>
    </w:p>
    <w:p w14:paraId="1B1CDEBD">
      <w:pPr>
        <w:spacing w:line="440" w:lineRule="exact"/>
        <w:jc w:val="left"/>
        <w:rPr>
          <w:rFonts w:hint="eastAsia" w:ascii="仿宋" w:hAnsi="仿宋" w:eastAsia="仿宋" w:cs="仿宋"/>
          <w:color w:val="auto"/>
          <w:szCs w:val="21"/>
          <w:highlight w:val="none"/>
        </w:rPr>
      </w:pPr>
    </w:p>
    <w:p w14:paraId="229225FC">
      <w:pPr>
        <w:spacing w:line="440" w:lineRule="exact"/>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投标人名称：</w:t>
      </w:r>
    </w:p>
    <w:p w14:paraId="2411FF35">
      <w:pPr>
        <w:spacing w:line="440" w:lineRule="exact"/>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单位性质：</w:t>
      </w:r>
    </w:p>
    <w:p w14:paraId="5D26BA43">
      <w:pPr>
        <w:spacing w:line="440" w:lineRule="exact"/>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地址：</w:t>
      </w:r>
    </w:p>
    <w:p w14:paraId="2FD6BD04">
      <w:pPr>
        <w:spacing w:line="440" w:lineRule="exact"/>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成立时间：年  月  日</w:t>
      </w:r>
    </w:p>
    <w:p w14:paraId="4A917C74">
      <w:pPr>
        <w:spacing w:line="440" w:lineRule="exact"/>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经营期限：</w:t>
      </w:r>
    </w:p>
    <w:p w14:paraId="46E4ABD7">
      <w:pPr>
        <w:spacing w:line="440" w:lineRule="exact"/>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姓名：      性别：         年龄：             职务：</w:t>
      </w:r>
    </w:p>
    <w:p w14:paraId="0047585E">
      <w:pPr>
        <w:spacing w:line="440" w:lineRule="exact"/>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系（投标人名称）的法定代表人。</w:t>
      </w:r>
    </w:p>
    <w:p w14:paraId="1B3A56A6">
      <w:pPr>
        <w:spacing w:line="440" w:lineRule="exact"/>
        <w:ind w:firstLine="48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特此证明。</w:t>
      </w:r>
    </w:p>
    <w:p w14:paraId="39397140">
      <w:pPr>
        <w:spacing w:line="440" w:lineRule="exact"/>
        <w:jc w:val="left"/>
        <w:rPr>
          <w:rFonts w:hint="eastAsia" w:ascii="仿宋" w:hAnsi="仿宋" w:eastAsia="仿宋" w:cs="仿宋"/>
          <w:color w:val="auto"/>
          <w:szCs w:val="21"/>
          <w:highlight w:val="none"/>
        </w:rPr>
      </w:pPr>
    </w:p>
    <w:p w14:paraId="7D844F36">
      <w:pPr>
        <w:spacing w:line="440" w:lineRule="exact"/>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附：法定代表人身份证。</w:t>
      </w:r>
    </w:p>
    <w:p w14:paraId="5F248C4F">
      <w:pPr>
        <w:spacing w:line="440" w:lineRule="exact"/>
        <w:jc w:val="left"/>
        <w:rPr>
          <w:rFonts w:hint="eastAsia" w:ascii="仿宋" w:hAnsi="仿宋" w:eastAsia="仿宋" w:cs="仿宋"/>
          <w:color w:val="auto"/>
          <w:szCs w:val="21"/>
          <w:highlight w:val="none"/>
        </w:rPr>
      </w:pPr>
    </w:p>
    <w:p w14:paraId="4F504C3C">
      <w:pPr>
        <w:spacing w:line="440" w:lineRule="exact"/>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投标人：（盖单位章）</w:t>
      </w:r>
    </w:p>
    <w:p w14:paraId="5CF71095">
      <w:pPr>
        <w:spacing w:line="440" w:lineRule="exact"/>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年  月  日</w:t>
      </w:r>
    </w:p>
    <w:p w14:paraId="1212200B">
      <w:pPr>
        <w:spacing w:line="440" w:lineRule="exact"/>
        <w:jc w:val="left"/>
        <w:rPr>
          <w:rFonts w:hint="eastAsia" w:ascii="仿宋" w:hAnsi="仿宋" w:eastAsia="仿宋" w:cs="仿宋"/>
          <w:color w:val="auto"/>
          <w:sz w:val="20"/>
          <w:szCs w:val="20"/>
          <w:highlight w:val="none"/>
        </w:rPr>
      </w:pPr>
      <w:r>
        <w:rPr>
          <w:rFonts w:hint="eastAsia" w:ascii="仿宋" w:hAnsi="仿宋" w:eastAsia="仿宋" w:cs="仿宋"/>
          <w:color w:val="auto"/>
          <w:sz w:val="20"/>
          <w:szCs w:val="20"/>
          <w:highlight w:val="none"/>
        </w:rPr>
        <w:br w:type="page"/>
      </w:r>
    </w:p>
    <w:p w14:paraId="1D5F9DDE">
      <w:pPr>
        <w:pStyle w:val="4"/>
        <w:jc w:val="center"/>
        <w:rPr>
          <w:rFonts w:hint="eastAsia" w:ascii="仿宋" w:hAnsi="仿宋" w:eastAsia="仿宋" w:cs="仿宋"/>
          <w:color w:val="auto"/>
          <w:highlight w:val="none"/>
        </w:rPr>
      </w:pPr>
      <w:bookmarkStart w:id="894" w:name="_Toc247527832"/>
      <w:bookmarkStart w:id="895" w:name="_Toc247514284"/>
      <w:bookmarkStart w:id="896" w:name="_Toc152042581"/>
      <w:bookmarkStart w:id="897" w:name="_Toc152045792"/>
      <w:bookmarkStart w:id="898" w:name="_Toc106998217"/>
      <w:bookmarkStart w:id="899" w:name="_Toc7956827"/>
      <w:bookmarkStart w:id="900" w:name="_Toc144974861"/>
      <w:r>
        <w:rPr>
          <w:rFonts w:hint="eastAsia" w:ascii="仿宋" w:hAnsi="仿宋" w:eastAsia="仿宋" w:cs="仿宋"/>
          <w:color w:val="auto"/>
          <w:highlight w:val="none"/>
        </w:rPr>
        <w:t>（二）授权委托书</w:t>
      </w:r>
      <w:bookmarkEnd w:id="894"/>
      <w:bookmarkEnd w:id="895"/>
      <w:bookmarkEnd w:id="896"/>
      <w:bookmarkEnd w:id="897"/>
      <w:bookmarkEnd w:id="898"/>
      <w:bookmarkEnd w:id="899"/>
      <w:bookmarkEnd w:id="900"/>
    </w:p>
    <w:p w14:paraId="2CFAF0AE">
      <w:pPr>
        <w:spacing w:line="440" w:lineRule="exact"/>
        <w:jc w:val="left"/>
        <w:rPr>
          <w:rFonts w:hint="eastAsia" w:ascii="仿宋" w:hAnsi="仿宋" w:eastAsia="仿宋" w:cs="仿宋"/>
          <w:color w:val="auto"/>
          <w:szCs w:val="21"/>
          <w:highlight w:val="none"/>
        </w:rPr>
      </w:pPr>
    </w:p>
    <w:p w14:paraId="0695D772">
      <w:pPr>
        <w:topLinePunct/>
        <w:spacing w:line="440" w:lineRule="exact"/>
        <w:ind w:firstLine="48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本人</w:t>
      </w:r>
      <w:r>
        <w:rPr>
          <w:rFonts w:hint="eastAsia" w:ascii="仿宋" w:hAnsi="仿宋" w:eastAsia="仿宋" w:cs="仿宋"/>
          <w:color w:val="auto"/>
          <w:szCs w:val="21"/>
          <w:highlight w:val="none"/>
          <w:u w:val="single"/>
        </w:rPr>
        <w:t xml:space="preserve">  （姓名）</w:t>
      </w:r>
      <w:r>
        <w:rPr>
          <w:rFonts w:hint="eastAsia" w:ascii="仿宋" w:hAnsi="仿宋" w:eastAsia="仿宋" w:cs="仿宋"/>
          <w:color w:val="auto"/>
          <w:szCs w:val="21"/>
          <w:highlight w:val="none"/>
        </w:rPr>
        <w:t>系</w:t>
      </w:r>
      <w:r>
        <w:rPr>
          <w:rFonts w:hint="eastAsia" w:ascii="仿宋" w:hAnsi="仿宋" w:eastAsia="仿宋" w:cs="仿宋"/>
          <w:color w:val="auto"/>
          <w:szCs w:val="21"/>
          <w:highlight w:val="none"/>
          <w:u w:val="single"/>
        </w:rPr>
        <w:t xml:space="preserve">  （投标人名称）</w:t>
      </w:r>
      <w:r>
        <w:rPr>
          <w:rFonts w:hint="eastAsia" w:ascii="仿宋" w:hAnsi="仿宋" w:eastAsia="仿宋" w:cs="仿宋"/>
          <w:color w:val="auto"/>
          <w:szCs w:val="21"/>
          <w:highlight w:val="none"/>
        </w:rPr>
        <w:t>的法定代表人，现委托</w:t>
      </w:r>
      <w:r>
        <w:rPr>
          <w:rFonts w:hint="eastAsia" w:ascii="仿宋" w:hAnsi="仿宋" w:eastAsia="仿宋" w:cs="仿宋"/>
          <w:color w:val="auto"/>
          <w:szCs w:val="21"/>
          <w:highlight w:val="none"/>
          <w:u w:val="single"/>
        </w:rPr>
        <w:t xml:space="preserve">  （姓名）</w:t>
      </w:r>
      <w:r>
        <w:rPr>
          <w:rFonts w:hint="eastAsia" w:ascii="仿宋" w:hAnsi="仿宋" w:eastAsia="仿宋" w:cs="仿宋"/>
          <w:color w:val="auto"/>
          <w:szCs w:val="21"/>
          <w:highlight w:val="none"/>
        </w:rPr>
        <w:t>为我方代理人。代理人根据授权，以我方名义签署、澄清、说明、补正、递交、撤回、修改（项目名称）EPC+O总承包投标文件、签订合同和处理有关事宜，其法律后果由我方承担。</w:t>
      </w:r>
    </w:p>
    <w:p w14:paraId="159F6FAC">
      <w:pPr>
        <w:spacing w:line="440" w:lineRule="exact"/>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委托期限：</w:t>
      </w:r>
      <w:r>
        <w:rPr>
          <w:rFonts w:hint="eastAsia" w:ascii="仿宋" w:hAnsi="仿宋" w:eastAsia="仿宋" w:cs="仿宋"/>
          <w:color w:val="auto"/>
          <w:szCs w:val="21"/>
          <w:highlight w:val="none"/>
          <w:u w:val="single"/>
        </w:rPr>
        <w:t xml:space="preserve">       </w:t>
      </w:r>
      <w:r>
        <w:rPr>
          <w:rFonts w:hint="eastAsia" w:ascii="仿宋" w:hAnsi="仿宋" w:eastAsia="仿宋" w:cs="仿宋"/>
          <w:color w:val="auto"/>
          <w:szCs w:val="21"/>
          <w:highlight w:val="none"/>
        </w:rPr>
        <w:t>。</w:t>
      </w:r>
    </w:p>
    <w:p w14:paraId="3EA63935">
      <w:pPr>
        <w:spacing w:line="440" w:lineRule="exact"/>
        <w:ind w:firstLine="48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代理人无转委托权。</w:t>
      </w:r>
    </w:p>
    <w:p w14:paraId="07F2AD63">
      <w:pPr>
        <w:spacing w:line="440" w:lineRule="exact"/>
        <w:ind w:firstLine="48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附：法定代表人身份证明</w:t>
      </w:r>
    </w:p>
    <w:p w14:paraId="6655F8A4">
      <w:pPr>
        <w:spacing w:line="440" w:lineRule="exact"/>
        <w:jc w:val="left"/>
        <w:rPr>
          <w:rFonts w:hint="eastAsia" w:ascii="仿宋" w:hAnsi="仿宋" w:eastAsia="仿宋" w:cs="仿宋"/>
          <w:color w:val="auto"/>
          <w:szCs w:val="21"/>
          <w:highlight w:val="none"/>
        </w:rPr>
      </w:pPr>
    </w:p>
    <w:p w14:paraId="7FB776BD">
      <w:pPr>
        <w:spacing w:line="440" w:lineRule="exact"/>
        <w:jc w:val="left"/>
        <w:rPr>
          <w:rFonts w:hint="eastAsia" w:ascii="仿宋" w:hAnsi="仿宋" w:eastAsia="仿宋" w:cs="仿宋"/>
          <w:color w:val="auto"/>
          <w:szCs w:val="21"/>
          <w:highlight w:val="none"/>
        </w:rPr>
      </w:pPr>
    </w:p>
    <w:p w14:paraId="38F1D502">
      <w:pPr>
        <w:spacing w:line="440" w:lineRule="exact"/>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投标人：（盖单位章）</w:t>
      </w:r>
    </w:p>
    <w:p w14:paraId="32ACE235">
      <w:pPr>
        <w:spacing w:line="440" w:lineRule="exact"/>
        <w:jc w:val="left"/>
        <w:rPr>
          <w:rFonts w:hint="eastAsia" w:ascii="仿宋" w:hAnsi="仿宋" w:eastAsia="仿宋" w:cs="仿宋"/>
          <w:color w:val="auto"/>
          <w:szCs w:val="21"/>
          <w:highlight w:val="none"/>
        </w:rPr>
      </w:pPr>
    </w:p>
    <w:p w14:paraId="36AE1323">
      <w:pPr>
        <w:spacing w:line="440" w:lineRule="exact"/>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法定代表人：（签字或盖章）</w:t>
      </w:r>
    </w:p>
    <w:p w14:paraId="10D0BA8A">
      <w:pPr>
        <w:spacing w:line="440" w:lineRule="exact"/>
        <w:jc w:val="left"/>
        <w:rPr>
          <w:rFonts w:hint="eastAsia" w:ascii="仿宋" w:hAnsi="仿宋" w:eastAsia="仿宋" w:cs="仿宋"/>
          <w:color w:val="auto"/>
          <w:szCs w:val="21"/>
          <w:highlight w:val="none"/>
        </w:rPr>
      </w:pPr>
    </w:p>
    <w:p w14:paraId="1E0D8B6B">
      <w:pPr>
        <w:spacing w:line="440" w:lineRule="exact"/>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身份证号码：</w:t>
      </w:r>
    </w:p>
    <w:p w14:paraId="6428F03F">
      <w:pPr>
        <w:spacing w:line="440" w:lineRule="exact"/>
        <w:jc w:val="left"/>
        <w:rPr>
          <w:rFonts w:hint="eastAsia" w:ascii="仿宋" w:hAnsi="仿宋" w:eastAsia="仿宋" w:cs="仿宋"/>
          <w:color w:val="auto"/>
          <w:szCs w:val="21"/>
          <w:highlight w:val="none"/>
        </w:rPr>
      </w:pPr>
    </w:p>
    <w:p w14:paraId="2BAC6EA8">
      <w:pPr>
        <w:spacing w:line="440" w:lineRule="exact"/>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委托代理人：（签字）</w:t>
      </w:r>
    </w:p>
    <w:p w14:paraId="0B2F1CFA">
      <w:pPr>
        <w:spacing w:line="440" w:lineRule="exact"/>
        <w:jc w:val="left"/>
        <w:rPr>
          <w:rFonts w:hint="eastAsia" w:ascii="仿宋" w:hAnsi="仿宋" w:eastAsia="仿宋" w:cs="仿宋"/>
          <w:color w:val="auto"/>
          <w:szCs w:val="21"/>
          <w:highlight w:val="none"/>
        </w:rPr>
      </w:pPr>
    </w:p>
    <w:p w14:paraId="47BE8AA0">
      <w:pPr>
        <w:spacing w:line="440" w:lineRule="exact"/>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身份证号码：</w:t>
      </w:r>
    </w:p>
    <w:p w14:paraId="111FE41B">
      <w:pPr>
        <w:spacing w:line="440" w:lineRule="exact"/>
        <w:jc w:val="left"/>
        <w:rPr>
          <w:rFonts w:hint="eastAsia" w:ascii="仿宋" w:hAnsi="仿宋" w:eastAsia="仿宋" w:cs="仿宋"/>
          <w:color w:val="auto"/>
          <w:szCs w:val="21"/>
          <w:highlight w:val="none"/>
        </w:rPr>
      </w:pPr>
    </w:p>
    <w:p w14:paraId="1589D1A7">
      <w:pPr>
        <w:spacing w:line="440" w:lineRule="exact"/>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附身份证</w:t>
      </w:r>
    </w:p>
    <w:p w14:paraId="6A4D7B16">
      <w:pPr>
        <w:spacing w:line="440" w:lineRule="exact"/>
        <w:jc w:val="left"/>
        <w:rPr>
          <w:rFonts w:hint="eastAsia" w:ascii="仿宋" w:hAnsi="仿宋" w:eastAsia="仿宋" w:cs="仿宋"/>
          <w:color w:val="auto"/>
          <w:szCs w:val="21"/>
          <w:highlight w:val="none"/>
        </w:rPr>
      </w:pPr>
    </w:p>
    <w:p w14:paraId="37CEA4E2">
      <w:pPr>
        <w:spacing w:line="440" w:lineRule="exact"/>
        <w:jc w:val="left"/>
        <w:rPr>
          <w:rFonts w:hint="eastAsia" w:ascii="仿宋" w:hAnsi="仿宋" w:eastAsia="仿宋" w:cs="仿宋"/>
          <w:color w:val="auto"/>
          <w:szCs w:val="21"/>
          <w:highlight w:val="none"/>
        </w:rPr>
      </w:pPr>
    </w:p>
    <w:p w14:paraId="7F94EBEC">
      <w:pPr>
        <w:spacing w:line="440" w:lineRule="exact"/>
        <w:ind w:firstLine="1800" w:firstLineChars="75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年  月  日</w:t>
      </w:r>
    </w:p>
    <w:p w14:paraId="426D9EFC">
      <w:pPr>
        <w:spacing w:line="400" w:lineRule="exact"/>
        <w:jc w:val="left"/>
        <w:rPr>
          <w:rFonts w:hint="eastAsia" w:ascii="仿宋" w:hAnsi="仿宋" w:eastAsia="仿宋" w:cs="仿宋"/>
          <w:color w:val="auto"/>
          <w:highlight w:val="none"/>
        </w:rPr>
      </w:pPr>
      <w:r>
        <w:rPr>
          <w:rFonts w:hint="eastAsia" w:ascii="仿宋" w:hAnsi="仿宋" w:eastAsia="仿宋" w:cs="仿宋"/>
          <w:color w:val="auto"/>
          <w:highlight w:val="none"/>
        </w:rPr>
        <w:br w:type="page"/>
      </w:r>
    </w:p>
    <w:p w14:paraId="015BEEAC">
      <w:pPr>
        <w:pStyle w:val="4"/>
        <w:jc w:val="center"/>
        <w:rPr>
          <w:rFonts w:hint="eastAsia" w:ascii="仿宋" w:hAnsi="仿宋" w:eastAsia="仿宋" w:cs="仿宋"/>
          <w:color w:val="auto"/>
          <w:highlight w:val="none"/>
        </w:rPr>
      </w:pPr>
      <w:bookmarkStart w:id="901" w:name="_Toc152042583"/>
      <w:bookmarkStart w:id="902" w:name="_Toc247514286"/>
      <w:bookmarkStart w:id="903" w:name="_Toc106998218"/>
      <w:bookmarkStart w:id="904" w:name="_Toc7956829"/>
      <w:bookmarkStart w:id="905" w:name="_Toc144974862"/>
      <w:bookmarkStart w:id="906" w:name="_Toc247527834"/>
      <w:bookmarkStart w:id="907" w:name="_Toc152045794"/>
      <w:r>
        <w:rPr>
          <w:rFonts w:hint="eastAsia" w:ascii="仿宋" w:hAnsi="仿宋" w:eastAsia="仿宋" w:cs="仿宋"/>
          <w:color w:val="auto"/>
          <w:highlight w:val="none"/>
        </w:rPr>
        <w:t>三、投标保证金</w:t>
      </w:r>
      <w:bookmarkEnd w:id="901"/>
      <w:bookmarkEnd w:id="902"/>
      <w:bookmarkEnd w:id="903"/>
      <w:bookmarkEnd w:id="904"/>
      <w:bookmarkEnd w:id="905"/>
      <w:bookmarkEnd w:id="906"/>
      <w:bookmarkEnd w:id="907"/>
      <w:bookmarkStart w:id="908" w:name="_Toc247514288"/>
      <w:bookmarkStart w:id="909" w:name="_Toc152045796"/>
      <w:bookmarkStart w:id="910" w:name="_Toc247527836"/>
      <w:bookmarkStart w:id="911" w:name="_Toc144974864"/>
      <w:bookmarkStart w:id="912" w:name="_Toc152042585"/>
    </w:p>
    <w:p w14:paraId="7E3BC453">
      <w:pPr>
        <w:spacing w:line="440" w:lineRule="exact"/>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（投标保证金收据或银行汇款凭证或保函的扫描件加盖公章。）</w:t>
      </w:r>
    </w:p>
    <w:p w14:paraId="3C0A7FD0">
      <w:pPr>
        <w:spacing w:line="440" w:lineRule="exact"/>
        <w:jc w:val="left"/>
        <w:rPr>
          <w:rFonts w:hint="eastAsia" w:ascii="仿宋" w:hAnsi="仿宋" w:eastAsia="仿宋" w:cs="仿宋"/>
          <w:color w:val="auto"/>
          <w:szCs w:val="21"/>
          <w:highlight w:val="none"/>
        </w:rPr>
      </w:pPr>
    </w:p>
    <w:p w14:paraId="00F969C1">
      <w:pPr>
        <w:spacing w:line="440" w:lineRule="exact"/>
        <w:jc w:val="left"/>
        <w:rPr>
          <w:rFonts w:hint="eastAsia" w:ascii="仿宋" w:hAnsi="仿宋" w:eastAsia="仿宋" w:cs="仿宋"/>
          <w:color w:val="auto"/>
          <w:szCs w:val="21"/>
          <w:highlight w:val="none"/>
        </w:rPr>
      </w:pPr>
    </w:p>
    <w:p w14:paraId="0F3D1566">
      <w:pPr>
        <w:spacing w:line="440" w:lineRule="exact"/>
        <w:jc w:val="left"/>
        <w:rPr>
          <w:rFonts w:hint="eastAsia" w:ascii="仿宋" w:hAnsi="仿宋" w:eastAsia="仿宋" w:cs="仿宋"/>
          <w:color w:val="auto"/>
          <w:szCs w:val="21"/>
          <w:highlight w:val="none"/>
        </w:rPr>
      </w:pPr>
    </w:p>
    <w:p w14:paraId="24A9D1D5">
      <w:pPr>
        <w:spacing w:line="440" w:lineRule="exact"/>
        <w:jc w:val="left"/>
        <w:rPr>
          <w:rFonts w:hint="eastAsia" w:ascii="仿宋" w:hAnsi="仿宋" w:eastAsia="仿宋" w:cs="仿宋"/>
          <w:color w:val="auto"/>
          <w:szCs w:val="21"/>
          <w:highlight w:val="none"/>
        </w:rPr>
      </w:pPr>
    </w:p>
    <w:p w14:paraId="752AF048">
      <w:pPr>
        <w:spacing w:line="440" w:lineRule="exact"/>
        <w:jc w:val="left"/>
        <w:rPr>
          <w:rFonts w:hint="eastAsia" w:ascii="仿宋" w:hAnsi="仿宋" w:eastAsia="仿宋" w:cs="仿宋"/>
          <w:color w:val="auto"/>
          <w:szCs w:val="21"/>
          <w:highlight w:val="none"/>
        </w:rPr>
      </w:pPr>
    </w:p>
    <w:p w14:paraId="01A108FC">
      <w:pPr>
        <w:spacing w:line="440" w:lineRule="exact"/>
        <w:jc w:val="left"/>
        <w:rPr>
          <w:rFonts w:hint="eastAsia" w:ascii="仿宋" w:hAnsi="仿宋" w:eastAsia="仿宋" w:cs="仿宋"/>
          <w:color w:val="auto"/>
          <w:szCs w:val="21"/>
          <w:highlight w:val="none"/>
        </w:rPr>
      </w:pPr>
    </w:p>
    <w:p w14:paraId="6C674831">
      <w:pPr>
        <w:spacing w:line="440" w:lineRule="exact"/>
        <w:jc w:val="left"/>
        <w:rPr>
          <w:rFonts w:hint="eastAsia" w:ascii="仿宋" w:hAnsi="仿宋" w:eastAsia="仿宋" w:cs="仿宋"/>
          <w:color w:val="auto"/>
          <w:szCs w:val="21"/>
          <w:highlight w:val="none"/>
        </w:rPr>
      </w:pPr>
    </w:p>
    <w:p w14:paraId="158F1187">
      <w:pPr>
        <w:spacing w:line="440" w:lineRule="exact"/>
        <w:jc w:val="left"/>
        <w:rPr>
          <w:rFonts w:hint="eastAsia" w:ascii="仿宋" w:hAnsi="仿宋" w:eastAsia="仿宋" w:cs="仿宋"/>
          <w:color w:val="auto"/>
          <w:szCs w:val="21"/>
          <w:highlight w:val="none"/>
        </w:rPr>
      </w:pPr>
    </w:p>
    <w:p w14:paraId="086585E1">
      <w:pPr>
        <w:spacing w:line="440" w:lineRule="exact"/>
        <w:jc w:val="left"/>
        <w:rPr>
          <w:rFonts w:hint="eastAsia" w:ascii="仿宋" w:hAnsi="仿宋" w:eastAsia="仿宋" w:cs="仿宋"/>
          <w:color w:val="auto"/>
          <w:szCs w:val="21"/>
          <w:highlight w:val="none"/>
        </w:rPr>
      </w:pPr>
    </w:p>
    <w:p w14:paraId="2E770FAE">
      <w:pPr>
        <w:spacing w:line="440" w:lineRule="exact"/>
        <w:jc w:val="left"/>
        <w:rPr>
          <w:rFonts w:hint="eastAsia" w:ascii="仿宋" w:hAnsi="仿宋" w:eastAsia="仿宋" w:cs="仿宋"/>
          <w:color w:val="auto"/>
          <w:szCs w:val="21"/>
          <w:highlight w:val="none"/>
        </w:rPr>
      </w:pPr>
    </w:p>
    <w:p w14:paraId="4E1F52FE">
      <w:pPr>
        <w:spacing w:line="440" w:lineRule="exact"/>
        <w:jc w:val="left"/>
        <w:rPr>
          <w:rFonts w:hint="eastAsia" w:ascii="仿宋" w:hAnsi="仿宋" w:eastAsia="仿宋" w:cs="仿宋"/>
          <w:color w:val="auto"/>
          <w:szCs w:val="21"/>
          <w:highlight w:val="none"/>
        </w:rPr>
      </w:pPr>
    </w:p>
    <w:p w14:paraId="371161E0">
      <w:pPr>
        <w:spacing w:line="440" w:lineRule="exact"/>
        <w:jc w:val="left"/>
        <w:rPr>
          <w:rFonts w:hint="eastAsia" w:ascii="仿宋" w:hAnsi="仿宋" w:eastAsia="仿宋" w:cs="仿宋"/>
          <w:color w:val="auto"/>
          <w:szCs w:val="21"/>
          <w:highlight w:val="none"/>
        </w:rPr>
      </w:pPr>
    </w:p>
    <w:p w14:paraId="10DBC821">
      <w:pPr>
        <w:spacing w:line="440" w:lineRule="exact"/>
        <w:jc w:val="left"/>
        <w:rPr>
          <w:rFonts w:hint="eastAsia" w:ascii="仿宋" w:hAnsi="仿宋" w:eastAsia="仿宋" w:cs="仿宋"/>
          <w:color w:val="auto"/>
          <w:szCs w:val="21"/>
          <w:highlight w:val="none"/>
        </w:rPr>
      </w:pPr>
    </w:p>
    <w:p w14:paraId="43FF2540">
      <w:pPr>
        <w:spacing w:line="440" w:lineRule="exact"/>
        <w:jc w:val="left"/>
        <w:rPr>
          <w:rFonts w:hint="eastAsia" w:ascii="仿宋" w:hAnsi="仿宋" w:eastAsia="仿宋" w:cs="仿宋"/>
          <w:color w:val="auto"/>
          <w:szCs w:val="21"/>
          <w:highlight w:val="none"/>
        </w:rPr>
      </w:pPr>
    </w:p>
    <w:p w14:paraId="6431AB28">
      <w:pPr>
        <w:spacing w:line="440" w:lineRule="exact"/>
        <w:jc w:val="left"/>
        <w:rPr>
          <w:rFonts w:hint="eastAsia" w:ascii="仿宋" w:hAnsi="仿宋" w:eastAsia="仿宋" w:cs="仿宋"/>
          <w:color w:val="auto"/>
          <w:szCs w:val="21"/>
          <w:highlight w:val="none"/>
        </w:rPr>
      </w:pPr>
    </w:p>
    <w:p w14:paraId="0B816797">
      <w:pPr>
        <w:spacing w:line="440" w:lineRule="exact"/>
        <w:jc w:val="left"/>
        <w:rPr>
          <w:rFonts w:hint="eastAsia" w:ascii="仿宋" w:hAnsi="仿宋" w:eastAsia="仿宋" w:cs="仿宋"/>
          <w:color w:val="auto"/>
          <w:szCs w:val="21"/>
          <w:highlight w:val="none"/>
        </w:rPr>
      </w:pPr>
    </w:p>
    <w:p w14:paraId="310508A3">
      <w:pPr>
        <w:spacing w:line="440" w:lineRule="exact"/>
        <w:jc w:val="left"/>
        <w:rPr>
          <w:rFonts w:hint="eastAsia" w:ascii="仿宋" w:hAnsi="仿宋" w:eastAsia="仿宋" w:cs="仿宋"/>
          <w:color w:val="auto"/>
          <w:szCs w:val="21"/>
          <w:highlight w:val="none"/>
        </w:rPr>
      </w:pPr>
    </w:p>
    <w:p w14:paraId="503E840F">
      <w:pPr>
        <w:spacing w:line="440" w:lineRule="exact"/>
        <w:jc w:val="left"/>
        <w:rPr>
          <w:rFonts w:hint="eastAsia" w:ascii="仿宋" w:hAnsi="仿宋" w:eastAsia="仿宋" w:cs="仿宋"/>
          <w:color w:val="auto"/>
          <w:szCs w:val="21"/>
          <w:highlight w:val="none"/>
        </w:rPr>
      </w:pPr>
    </w:p>
    <w:p w14:paraId="002CA6B0">
      <w:pPr>
        <w:spacing w:line="440" w:lineRule="exact"/>
        <w:jc w:val="left"/>
        <w:rPr>
          <w:rFonts w:hint="eastAsia" w:ascii="仿宋" w:hAnsi="仿宋" w:eastAsia="仿宋" w:cs="仿宋"/>
          <w:color w:val="auto"/>
          <w:szCs w:val="21"/>
          <w:highlight w:val="none"/>
        </w:rPr>
      </w:pPr>
    </w:p>
    <w:p w14:paraId="3D974C7F">
      <w:pPr>
        <w:spacing w:line="440" w:lineRule="exact"/>
        <w:jc w:val="left"/>
        <w:rPr>
          <w:rFonts w:hint="eastAsia" w:ascii="仿宋" w:hAnsi="仿宋" w:eastAsia="仿宋" w:cs="仿宋"/>
          <w:color w:val="auto"/>
          <w:szCs w:val="21"/>
          <w:highlight w:val="none"/>
        </w:rPr>
      </w:pPr>
    </w:p>
    <w:p w14:paraId="75414147">
      <w:pPr>
        <w:spacing w:line="440" w:lineRule="exact"/>
        <w:jc w:val="left"/>
        <w:rPr>
          <w:rFonts w:hint="eastAsia" w:ascii="仿宋" w:hAnsi="仿宋" w:eastAsia="仿宋" w:cs="仿宋"/>
          <w:color w:val="auto"/>
          <w:szCs w:val="21"/>
          <w:highlight w:val="none"/>
        </w:rPr>
      </w:pPr>
    </w:p>
    <w:p w14:paraId="52D4A5F2">
      <w:pPr>
        <w:spacing w:line="440" w:lineRule="exact"/>
        <w:jc w:val="left"/>
        <w:rPr>
          <w:rFonts w:hint="eastAsia" w:ascii="仿宋" w:hAnsi="仿宋" w:eastAsia="仿宋" w:cs="仿宋"/>
          <w:color w:val="auto"/>
          <w:szCs w:val="21"/>
          <w:highlight w:val="none"/>
        </w:rPr>
      </w:pPr>
    </w:p>
    <w:p w14:paraId="0596CE6F">
      <w:pPr>
        <w:spacing w:line="440" w:lineRule="exact"/>
        <w:jc w:val="left"/>
        <w:rPr>
          <w:rFonts w:hint="eastAsia" w:ascii="仿宋" w:hAnsi="仿宋" w:eastAsia="仿宋" w:cs="仿宋"/>
          <w:color w:val="auto"/>
          <w:szCs w:val="21"/>
          <w:highlight w:val="none"/>
        </w:rPr>
      </w:pPr>
    </w:p>
    <w:p w14:paraId="66BC5D51">
      <w:pPr>
        <w:spacing w:line="440" w:lineRule="exact"/>
        <w:jc w:val="left"/>
        <w:rPr>
          <w:rFonts w:hint="eastAsia" w:ascii="仿宋" w:hAnsi="仿宋" w:eastAsia="仿宋" w:cs="仿宋"/>
          <w:color w:val="auto"/>
          <w:szCs w:val="21"/>
          <w:highlight w:val="none"/>
        </w:rPr>
      </w:pPr>
    </w:p>
    <w:p w14:paraId="16B23CA7">
      <w:pPr>
        <w:spacing w:line="440" w:lineRule="exact"/>
        <w:jc w:val="left"/>
        <w:rPr>
          <w:rFonts w:hint="eastAsia" w:ascii="仿宋" w:hAnsi="仿宋" w:eastAsia="仿宋" w:cs="仿宋"/>
          <w:color w:val="auto"/>
          <w:szCs w:val="21"/>
          <w:highlight w:val="none"/>
        </w:rPr>
      </w:pPr>
    </w:p>
    <w:p w14:paraId="24E6827F">
      <w:pPr>
        <w:rPr>
          <w:rFonts w:hint="eastAsia" w:ascii="仿宋" w:hAnsi="仿宋" w:eastAsia="仿宋" w:cs="仿宋"/>
          <w:color w:val="auto"/>
          <w:highlight w:val="none"/>
        </w:rPr>
      </w:pPr>
      <w:bookmarkStart w:id="913" w:name="_Toc152045793"/>
      <w:bookmarkStart w:id="914" w:name="_Toc152042582"/>
      <w:bookmarkStart w:id="915" w:name="_Toc247527833"/>
      <w:bookmarkStart w:id="916" w:name="_Toc106998219"/>
      <w:bookmarkStart w:id="917" w:name="_Toc247514285"/>
      <w:bookmarkStart w:id="918" w:name="_Toc9604009"/>
      <w:bookmarkStart w:id="919" w:name="_Toc300835215"/>
      <w:r>
        <w:rPr>
          <w:rFonts w:hint="eastAsia" w:ascii="仿宋" w:hAnsi="仿宋" w:eastAsia="仿宋" w:cs="仿宋"/>
          <w:color w:val="auto"/>
          <w:highlight w:val="none"/>
        </w:rPr>
        <w:br w:type="page"/>
      </w:r>
    </w:p>
    <w:p w14:paraId="5CE7EE84">
      <w:pPr>
        <w:pStyle w:val="4"/>
        <w:jc w:val="center"/>
        <w:rPr>
          <w:rFonts w:hint="eastAsia" w:ascii="仿宋" w:hAnsi="仿宋" w:eastAsia="仿宋" w:cs="仿宋"/>
          <w:color w:val="auto"/>
          <w:highlight w:val="none"/>
        </w:rPr>
      </w:pPr>
      <w:r>
        <w:rPr>
          <w:rFonts w:hint="eastAsia" w:ascii="仿宋" w:hAnsi="仿宋" w:eastAsia="仿宋" w:cs="仿宋"/>
          <w:color w:val="auto"/>
          <w:highlight w:val="none"/>
        </w:rPr>
        <w:t>四、联合体协议书</w:t>
      </w:r>
      <w:bookmarkEnd w:id="913"/>
      <w:bookmarkEnd w:id="914"/>
      <w:bookmarkEnd w:id="915"/>
      <w:bookmarkEnd w:id="916"/>
      <w:bookmarkEnd w:id="917"/>
      <w:bookmarkEnd w:id="918"/>
      <w:bookmarkEnd w:id="919"/>
    </w:p>
    <w:p w14:paraId="417BEC7A">
      <w:pPr>
        <w:spacing w:line="400" w:lineRule="exact"/>
        <w:jc w:val="left"/>
        <w:rPr>
          <w:rFonts w:hint="eastAsia" w:ascii="仿宋" w:hAnsi="仿宋" w:eastAsia="仿宋" w:cs="仿宋"/>
          <w:color w:val="auto"/>
          <w:szCs w:val="21"/>
          <w:highlight w:val="none"/>
        </w:rPr>
      </w:pPr>
    </w:p>
    <w:p w14:paraId="6CF9BF00">
      <w:pPr>
        <w:topLinePunct/>
        <w:spacing w:line="440" w:lineRule="exact"/>
        <w:ind w:firstLine="720" w:firstLineChars="3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u w:val="single"/>
        </w:rPr>
        <w:t xml:space="preserve">     （所有成员单位名称）</w:t>
      </w:r>
      <w:r>
        <w:rPr>
          <w:rFonts w:hint="eastAsia" w:ascii="仿宋" w:hAnsi="仿宋" w:eastAsia="仿宋" w:cs="仿宋"/>
          <w:color w:val="auto"/>
          <w:szCs w:val="21"/>
          <w:highlight w:val="none"/>
        </w:rPr>
        <w:t>自愿组成</w:t>
      </w:r>
      <w:r>
        <w:rPr>
          <w:rFonts w:hint="eastAsia" w:ascii="仿宋" w:hAnsi="仿宋" w:eastAsia="仿宋" w:cs="仿宋"/>
          <w:color w:val="auto"/>
          <w:szCs w:val="21"/>
          <w:highlight w:val="none"/>
          <w:u w:val="single"/>
        </w:rPr>
        <w:t xml:space="preserve">   （联合体名称）</w:t>
      </w:r>
      <w:r>
        <w:rPr>
          <w:rFonts w:hint="eastAsia" w:ascii="仿宋" w:hAnsi="仿宋" w:eastAsia="仿宋" w:cs="仿宋"/>
          <w:color w:val="auto"/>
          <w:szCs w:val="21"/>
          <w:highlight w:val="none"/>
        </w:rPr>
        <w:t>联合体，共同参加</w:t>
      </w:r>
      <w:r>
        <w:rPr>
          <w:rFonts w:hint="eastAsia" w:ascii="仿宋" w:hAnsi="仿宋" w:eastAsia="仿宋" w:cs="仿宋"/>
          <w:color w:val="auto"/>
          <w:szCs w:val="21"/>
          <w:highlight w:val="none"/>
          <w:u w:val="single"/>
        </w:rPr>
        <w:t xml:space="preserve">     （项目名称）</w:t>
      </w:r>
      <w:r>
        <w:rPr>
          <w:rFonts w:hint="eastAsia" w:ascii="仿宋" w:hAnsi="仿宋" w:eastAsia="仿宋" w:cs="仿宋"/>
          <w:color w:val="auto"/>
          <w:szCs w:val="21"/>
          <w:highlight w:val="none"/>
        </w:rPr>
        <w:t>投标。现就联合体投标事宜订立如下协议。</w:t>
      </w:r>
    </w:p>
    <w:p w14:paraId="66C9F849">
      <w:pPr>
        <w:topLinePunct/>
        <w:spacing w:line="440" w:lineRule="exact"/>
        <w:ind w:firstLine="48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u w:val="single"/>
        </w:rPr>
        <w:t xml:space="preserve">     （某成员单位名称）</w:t>
      </w:r>
      <w:r>
        <w:rPr>
          <w:rFonts w:hint="eastAsia" w:ascii="仿宋" w:hAnsi="仿宋" w:eastAsia="仿宋" w:cs="仿宋"/>
          <w:color w:val="auto"/>
          <w:szCs w:val="21"/>
          <w:highlight w:val="none"/>
        </w:rPr>
        <w:t>为</w:t>
      </w:r>
      <w:r>
        <w:rPr>
          <w:rFonts w:hint="eastAsia" w:ascii="仿宋" w:hAnsi="仿宋" w:eastAsia="仿宋" w:cs="仿宋"/>
          <w:color w:val="auto"/>
          <w:szCs w:val="21"/>
          <w:highlight w:val="none"/>
          <w:u w:val="single"/>
        </w:rPr>
        <w:t xml:space="preserve">    （联合体名称）</w:t>
      </w:r>
      <w:r>
        <w:rPr>
          <w:rFonts w:hint="eastAsia" w:ascii="仿宋" w:hAnsi="仿宋" w:eastAsia="仿宋" w:cs="仿宋"/>
          <w:color w:val="auto"/>
          <w:szCs w:val="21"/>
          <w:highlight w:val="none"/>
        </w:rPr>
        <w:t>牵头人。</w:t>
      </w:r>
    </w:p>
    <w:p w14:paraId="256A1BE2">
      <w:pPr>
        <w:topLinePunct/>
        <w:spacing w:line="440" w:lineRule="exact"/>
        <w:ind w:firstLine="48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2、联合体牵头人合法代表联合体各成员负责本招标项目投标文件编制和合同谈判活动，并代表联合体提交和接收相关的资料、信息及指示，并处理与之有关的一切事务，负责合同实施阶段的主办、组织和协调工作。</w:t>
      </w:r>
    </w:p>
    <w:p w14:paraId="0F4E1071">
      <w:pPr>
        <w:topLinePunct/>
        <w:spacing w:line="440" w:lineRule="exact"/>
        <w:ind w:firstLine="48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3、联合体将严格按照招标文件的各项要求，递交投标文件，履行合同，并对外承担连带责任。</w:t>
      </w:r>
    </w:p>
    <w:p w14:paraId="4DE648C6">
      <w:pPr>
        <w:topLinePunct/>
        <w:spacing w:line="440" w:lineRule="exact"/>
        <w:ind w:firstLine="48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4、联合体各成员单位内部的职责分工如下：</w:t>
      </w:r>
      <w:r>
        <w:rPr>
          <w:rFonts w:hint="eastAsia" w:ascii="仿宋" w:hAnsi="仿宋" w:eastAsia="仿宋" w:cs="仿宋"/>
          <w:color w:val="auto"/>
          <w:szCs w:val="21"/>
          <w:highlight w:val="none"/>
          <w:u w:val="single"/>
        </w:rPr>
        <w:t xml:space="preserve">      </w:t>
      </w:r>
      <w:r>
        <w:rPr>
          <w:rFonts w:hint="eastAsia" w:ascii="仿宋" w:hAnsi="仿宋" w:eastAsia="仿宋" w:cs="仿宋"/>
          <w:color w:val="auto"/>
          <w:szCs w:val="21"/>
          <w:highlight w:val="none"/>
        </w:rPr>
        <w:t>。</w:t>
      </w:r>
    </w:p>
    <w:p w14:paraId="78E223FE">
      <w:pPr>
        <w:topLinePunct/>
        <w:spacing w:line="440" w:lineRule="exact"/>
        <w:ind w:firstLine="48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5、本协议书自签署之日起生效，合同履行完毕后自动失效。</w:t>
      </w:r>
    </w:p>
    <w:p w14:paraId="58761765">
      <w:pPr>
        <w:topLinePunct/>
        <w:spacing w:line="440" w:lineRule="exact"/>
        <w:ind w:firstLine="48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6、本协议书一式份，联合体成员和招标人各执一份。</w:t>
      </w:r>
    </w:p>
    <w:p w14:paraId="714EC24E">
      <w:pPr>
        <w:topLinePunct/>
        <w:spacing w:line="440" w:lineRule="exact"/>
        <w:jc w:val="left"/>
        <w:rPr>
          <w:rFonts w:hint="eastAsia" w:ascii="仿宋" w:hAnsi="仿宋" w:eastAsia="仿宋" w:cs="仿宋"/>
          <w:color w:val="auto"/>
          <w:szCs w:val="21"/>
          <w:highlight w:val="none"/>
        </w:rPr>
      </w:pPr>
    </w:p>
    <w:p w14:paraId="489F4B51">
      <w:pPr>
        <w:topLinePunct/>
        <w:spacing w:line="440" w:lineRule="exact"/>
        <w:ind w:firstLine="48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注：本协议书由委托代理人签字的，应附法定代表人签字的授权委托书。</w:t>
      </w:r>
    </w:p>
    <w:p w14:paraId="22AFA851">
      <w:pPr>
        <w:topLinePunct/>
        <w:spacing w:line="440" w:lineRule="exact"/>
        <w:jc w:val="left"/>
        <w:rPr>
          <w:rFonts w:hint="eastAsia" w:ascii="仿宋" w:hAnsi="仿宋" w:eastAsia="仿宋" w:cs="仿宋"/>
          <w:color w:val="auto"/>
          <w:szCs w:val="21"/>
          <w:highlight w:val="none"/>
        </w:rPr>
      </w:pPr>
    </w:p>
    <w:p w14:paraId="56C5EAB8">
      <w:pPr>
        <w:topLinePunct/>
        <w:spacing w:line="440" w:lineRule="exact"/>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牵头人名称：（盖单位章）</w:t>
      </w:r>
    </w:p>
    <w:p w14:paraId="64715834">
      <w:pPr>
        <w:topLinePunct/>
        <w:spacing w:line="440" w:lineRule="exact"/>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法定代表人或其委托代理人：（签字或盖章）</w:t>
      </w:r>
    </w:p>
    <w:p w14:paraId="051E59FE">
      <w:pPr>
        <w:topLinePunct/>
        <w:spacing w:line="440" w:lineRule="exact"/>
        <w:jc w:val="left"/>
        <w:rPr>
          <w:rFonts w:hint="eastAsia" w:ascii="仿宋" w:hAnsi="仿宋" w:eastAsia="仿宋" w:cs="仿宋"/>
          <w:color w:val="auto"/>
          <w:szCs w:val="21"/>
          <w:highlight w:val="none"/>
        </w:rPr>
      </w:pPr>
    </w:p>
    <w:p w14:paraId="5212F137">
      <w:pPr>
        <w:topLinePunct/>
        <w:spacing w:line="440" w:lineRule="exact"/>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成员一名称：（盖单位章）</w:t>
      </w:r>
    </w:p>
    <w:p w14:paraId="6234099C">
      <w:pPr>
        <w:topLinePunct/>
        <w:spacing w:line="440" w:lineRule="exact"/>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法定代表人或其委托代理人：（签字或盖章）</w:t>
      </w:r>
    </w:p>
    <w:p w14:paraId="567EB5FE">
      <w:pPr>
        <w:topLinePunct/>
        <w:spacing w:line="440" w:lineRule="exact"/>
        <w:jc w:val="left"/>
        <w:rPr>
          <w:rFonts w:hint="eastAsia" w:ascii="仿宋" w:hAnsi="仿宋" w:eastAsia="仿宋" w:cs="仿宋"/>
          <w:color w:val="auto"/>
          <w:szCs w:val="21"/>
          <w:highlight w:val="none"/>
        </w:rPr>
      </w:pPr>
    </w:p>
    <w:p w14:paraId="5C69E7DE">
      <w:pPr>
        <w:topLinePunct/>
        <w:spacing w:line="440" w:lineRule="exact"/>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成员二名称：（盖单位章）</w:t>
      </w:r>
    </w:p>
    <w:p w14:paraId="1E3928E5">
      <w:pPr>
        <w:topLinePunct/>
        <w:spacing w:line="440" w:lineRule="exact"/>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法定代表人或其委托代理人：（签字或盖章）</w:t>
      </w:r>
    </w:p>
    <w:p w14:paraId="0C8791EC">
      <w:pPr>
        <w:topLinePunct/>
        <w:spacing w:line="440" w:lineRule="exact"/>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 xml:space="preserve">…… </w:t>
      </w:r>
    </w:p>
    <w:p w14:paraId="466050BB">
      <w:pPr>
        <w:topLinePunct/>
        <w:spacing w:line="440" w:lineRule="exact"/>
        <w:jc w:val="left"/>
        <w:rPr>
          <w:rFonts w:hint="eastAsia" w:ascii="仿宋" w:hAnsi="仿宋" w:eastAsia="仿宋" w:cs="仿宋"/>
          <w:color w:val="auto"/>
          <w:szCs w:val="21"/>
          <w:highlight w:val="none"/>
        </w:rPr>
      </w:pPr>
    </w:p>
    <w:p w14:paraId="17377423">
      <w:pPr>
        <w:spacing w:line="440" w:lineRule="exact"/>
        <w:ind w:firstLine="3290" w:firstLineChars="1371"/>
        <w:jc w:val="left"/>
        <w:rPr>
          <w:rFonts w:hint="eastAsia" w:ascii="仿宋" w:hAnsi="仿宋" w:eastAsia="仿宋" w:cs="仿宋"/>
          <w:color w:val="auto"/>
          <w:highlight w:val="none"/>
        </w:rPr>
      </w:pPr>
      <w:r>
        <w:rPr>
          <w:rFonts w:hint="eastAsia" w:ascii="仿宋" w:hAnsi="仿宋" w:eastAsia="仿宋" w:cs="仿宋"/>
          <w:color w:val="auto"/>
          <w:highlight w:val="none"/>
        </w:rPr>
        <w:t>年  月  日</w:t>
      </w:r>
    </w:p>
    <w:p w14:paraId="39DFE939">
      <w:pPr>
        <w:spacing w:line="440" w:lineRule="exact"/>
        <w:ind w:firstLine="3290" w:firstLineChars="1371"/>
        <w:jc w:val="left"/>
        <w:rPr>
          <w:rFonts w:hint="eastAsia" w:ascii="仿宋" w:hAnsi="仿宋" w:eastAsia="仿宋" w:cs="仿宋"/>
          <w:color w:val="auto"/>
          <w:highlight w:val="none"/>
        </w:rPr>
      </w:pPr>
    </w:p>
    <w:p w14:paraId="024950BB">
      <w:pPr>
        <w:spacing w:line="440" w:lineRule="exact"/>
        <w:ind w:firstLine="3290" w:firstLineChars="1371"/>
        <w:jc w:val="left"/>
        <w:rPr>
          <w:rFonts w:hint="eastAsia" w:ascii="仿宋" w:hAnsi="仿宋" w:eastAsia="仿宋" w:cs="仿宋"/>
          <w:color w:val="auto"/>
          <w:highlight w:val="none"/>
        </w:rPr>
      </w:pPr>
    </w:p>
    <w:p w14:paraId="2FC175FF">
      <w:pPr>
        <w:spacing w:line="440" w:lineRule="exact"/>
        <w:ind w:firstLine="3290" w:firstLineChars="1371"/>
        <w:jc w:val="left"/>
        <w:rPr>
          <w:rFonts w:hint="eastAsia" w:ascii="仿宋" w:hAnsi="仿宋" w:eastAsia="仿宋" w:cs="仿宋"/>
          <w:color w:val="auto"/>
          <w:highlight w:val="none"/>
        </w:rPr>
      </w:pPr>
    </w:p>
    <w:p w14:paraId="23DDD87E">
      <w:pPr>
        <w:spacing w:line="440" w:lineRule="exact"/>
        <w:ind w:firstLine="3290" w:firstLineChars="1371"/>
        <w:jc w:val="left"/>
        <w:rPr>
          <w:rFonts w:hint="eastAsia" w:ascii="仿宋" w:hAnsi="仿宋" w:eastAsia="仿宋" w:cs="仿宋"/>
          <w:color w:val="auto"/>
          <w:sz w:val="24"/>
          <w:highlight w:val="none"/>
        </w:rPr>
      </w:pPr>
    </w:p>
    <w:p w14:paraId="43007D4E">
      <w:pPr>
        <w:pStyle w:val="4"/>
        <w:jc w:val="center"/>
        <w:rPr>
          <w:rFonts w:hint="eastAsia" w:ascii="仿宋" w:hAnsi="仿宋" w:eastAsia="仿宋" w:cs="仿宋"/>
          <w:color w:val="auto"/>
          <w:highlight w:val="none"/>
        </w:rPr>
      </w:pPr>
      <w:bookmarkStart w:id="920" w:name="_Toc9604012"/>
      <w:bookmarkStart w:id="921" w:name="_Toc106998220"/>
      <w:r>
        <w:rPr>
          <w:rFonts w:hint="eastAsia" w:ascii="仿宋" w:hAnsi="仿宋" w:eastAsia="仿宋" w:cs="仿宋"/>
          <w:color w:val="auto"/>
          <w:highlight w:val="none"/>
        </w:rPr>
        <w:t>五、</w:t>
      </w:r>
      <w:bookmarkEnd w:id="920"/>
      <w:r>
        <w:rPr>
          <w:rFonts w:hint="eastAsia" w:ascii="仿宋" w:hAnsi="仿宋" w:eastAsia="仿宋" w:cs="仿宋"/>
          <w:color w:val="auto"/>
          <w:highlight w:val="none"/>
        </w:rPr>
        <w:t>投标报价汇总表</w:t>
      </w:r>
      <w:bookmarkEnd w:id="921"/>
    </w:p>
    <w:tbl>
      <w:tblPr>
        <w:tblStyle w:val="39"/>
        <w:tblW w:w="9654" w:type="dxa"/>
        <w:tblInd w:w="93" w:type="dxa"/>
        <w:tblLayout w:type="fixed"/>
        <w:tblCellMar>
          <w:top w:w="0" w:type="dxa"/>
          <w:left w:w="108" w:type="dxa"/>
          <w:bottom w:w="0" w:type="dxa"/>
          <w:right w:w="108" w:type="dxa"/>
        </w:tblCellMar>
      </w:tblPr>
      <w:tblGrid>
        <w:gridCol w:w="874"/>
        <w:gridCol w:w="4103"/>
        <w:gridCol w:w="2404"/>
        <w:gridCol w:w="2273"/>
      </w:tblGrid>
      <w:tr w14:paraId="0D27632F">
        <w:tblPrEx>
          <w:tblCellMar>
            <w:top w:w="0" w:type="dxa"/>
            <w:left w:w="108" w:type="dxa"/>
            <w:bottom w:w="0" w:type="dxa"/>
            <w:right w:w="108" w:type="dxa"/>
          </w:tblCellMar>
        </w:tblPrEx>
        <w:trPr>
          <w:trHeight w:val="810" w:hRule="atLeast"/>
        </w:trPr>
        <w:tc>
          <w:tcPr>
            <w:tcW w:w="9654" w:type="dxa"/>
            <w:gridSpan w:val="4"/>
            <w:tcBorders>
              <w:top w:val="nil"/>
              <w:left w:val="nil"/>
              <w:bottom w:val="nil"/>
              <w:right w:val="nil"/>
            </w:tcBorders>
            <w:noWrap/>
            <w:vAlign w:val="center"/>
          </w:tcPr>
          <w:p w14:paraId="34448DA0">
            <w:pPr>
              <w:widowControl/>
              <w:jc w:val="center"/>
              <w:rPr>
                <w:rFonts w:hint="eastAsia" w:ascii="仿宋" w:hAnsi="仿宋" w:eastAsia="仿宋" w:cs="仿宋"/>
                <w:b/>
                <w:bCs/>
                <w:color w:val="auto"/>
                <w:kern w:val="0"/>
                <w:sz w:val="32"/>
                <w:szCs w:val="32"/>
                <w:highlight w:val="none"/>
              </w:rPr>
            </w:pPr>
            <w:r>
              <w:rPr>
                <w:rFonts w:hint="eastAsia" w:ascii="仿宋" w:hAnsi="仿宋" w:eastAsia="仿宋" w:cs="仿宋"/>
                <w:b/>
                <w:bCs/>
                <w:color w:val="auto"/>
                <w:kern w:val="0"/>
                <w:sz w:val="32"/>
                <w:szCs w:val="32"/>
                <w:highlight w:val="none"/>
              </w:rPr>
              <w:t>投标报价汇总表</w:t>
            </w:r>
          </w:p>
        </w:tc>
      </w:tr>
      <w:tr w14:paraId="5A45F5AE">
        <w:tblPrEx>
          <w:tblCellMar>
            <w:top w:w="0" w:type="dxa"/>
            <w:left w:w="108" w:type="dxa"/>
            <w:bottom w:w="0" w:type="dxa"/>
            <w:right w:w="108" w:type="dxa"/>
          </w:tblCellMar>
        </w:tblPrEx>
        <w:trPr>
          <w:trHeight w:val="945" w:hRule="atLeast"/>
        </w:trPr>
        <w:tc>
          <w:tcPr>
            <w:tcW w:w="874" w:type="dxa"/>
            <w:tcBorders>
              <w:top w:val="single" w:color="auto" w:sz="4" w:space="0"/>
              <w:left w:val="single" w:color="auto" w:sz="4" w:space="0"/>
              <w:bottom w:val="single" w:color="auto" w:sz="4" w:space="0"/>
              <w:right w:val="single" w:color="auto" w:sz="4" w:space="0"/>
            </w:tcBorders>
            <w:noWrap/>
            <w:vAlign w:val="center"/>
          </w:tcPr>
          <w:p w14:paraId="43295831">
            <w:pPr>
              <w:keepNext w:val="0"/>
              <w:keepLines w:val="0"/>
              <w:pageBreakBefore w:val="0"/>
              <w:widowControl/>
              <w:kinsoku/>
              <w:wordWrap/>
              <w:overflowPunct/>
              <w:topLinePunct w:val="0"/>
              <w:autoSpaceDE/>
              <w:autoSpaceDN/>
              <w:bidi w:val="0"/>
              <w:adjustRightInd/>
              <w:snapToGrid/>
              <w:ind w:firstLine="0" w:firstLineChars="0"/>
              <w:jc w:val="left"/>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序号</w:t>
            </w:r>
          </w:p>
        </w:tc>
        <w:tc>
          <w:tcPr>
            <w:tcW w:w="4103" w:type="dxa"/>
            <w:tcBorders>
              <w:top w:val="single" w:color="auto" w:sz="4" w:space="0"/>
              <w:left w:val="nil"/>
              <w:bottom w:val="single" w:color="auto" w:sz="4" w:space="0"/>
              <w:right w:val="single" w:color="auto" w:sz="4" w:space="0"/>
            </w:tcBorders>
            <w:noWrap/>
            <w:vAlign w:val="center"/>
          </w:tcPr>
          <w:p w14:paraId="685485F0">
            <w:pPr>
              <w:keepNext w:val="0"/>
              <w:keepLines w:val="0"/>
              <w:pageBreakBefore w:val="0"/>
              <w:widowControl/>
              <w:kinsoku/>
              <w:wordWrap/>
              <w:overflowPunct/>
              <w:topLinePunct w:val="0"/>
              <w:autoSpaceDE/>
              <w:autoSpaceDN/>
              <w:bidi w:val="0"/>
              <w:adjustRightInd/>
              <w:snapToGrid/>
              <w:ind w:firstLine="0" w:firstLineChars="0"/>
              <w:jc w:val="left"/>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费用明细</w:t>
            </w:r>
          </w:p>
        </w:tc>
        <w:tc>
          <w:tcPr>
            <w:tcW w:w="2404" w:type="dxa"/>
            <w:tcBorders>
              <w:top w:val="single" w:color="auto" w:sz="4" w:space="0"/>
              <w:left w:val="nil"/>
              <w:bottom w:val="single" w:color="auto" w:sz="4" w:space="0"/>
              <w:right w:val="single" w:color="auto" w:sz="4" w:space="0"/>
            </w:tcBorders>
            <w:noWrap w:val="0"/>
            <w:vAlign w:val="center"/>
          </w:tcPr>
          <w:p w14:paraId="5E33A22E">
            <w:pPr>
              <w:keepNext w:val="0"/>
              <w:keepLines w:val="0"/>
              <w:pageBreakBefore w:val="0"/>
              <w:widowControl/>
              <w:kinsoku/>
              <w:wordWrap/>
              <w:overflowPunct/>
              <w:topLinePunct w:val="0"/>
              <w:autoSpaceDE/>
              <w:autoSpaceDN/>
              <w:bidi w:val="0"/>
              <w:adjustRightInd/>
              <w:snapToGrid/>
              <w:ind w:firstLine="0" w:firstLineChars="0"/>
              <w:jc w:val="left"/>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金额（人民币元）</w:t>
            </w:r>
          </w:p>
        </w:tc>
        <w:tc>
          <w:tcPr>
            <w:tcW w:w="2273" w:type="dxa"/>
            <w:tcBorders>
              <w:top w:val="single" w:color="auto" w:sz="4" w:space="0"/>
              <w:left w:val="nil"/>
              <w:bottom w:val="single" w:color="auto" w:sz="4" w:space="0"/>
              <w:right w:val="single" w:color="auto" w:sz="4" w:space="0"/>
            </w:tcBorders>
            <w:noWrap/>
            <w:vAlign w:val="center"/>
          </w:tcPr>
          <w:p w14:paraId="64BE8B47">
            <w:pPr>
              <w:keepNext w:val="0"/>
              <w:keepLines w:val="0"/>
              <w:pageBreakBefore w:val="0"/>
              <w:widowControl/>
              <w:kinsoku/>
              <w:wordWrap/>
              <w:overflowPunct/>
              <w:topLinePunct w:val="0"/>
              <w:autoSpaceDE/>
              <w:autoSpaceDN/>
              <w:bidi w:val="0"/>
              <w:adjustRightInd/>
              <w:snapToGrid/>
              <w:ind w:firstLine="0" w:firstLineChars="0"/>
              <w:jc w:val="left"/>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备注</w:t>
            </w:r>
          </w:p>
        </w:tc>
      </w:tr>
      <w:tr w14:paraId="203BBFDC">
        <w:tblPrEx>
          <w:tblCellMar>
            <w:top w:w="0" w:type="dxa"/>
            <w:left w:w="108" w:type="dxa"/>
            <w:bottom w:w="0" w:type="dxa"/>
            <w:right w:w="108" w:type="dxa"/>
          </w:tblCellMar>
        </w:tblPrEx>
        <w:trPr>
          <w:trHeight w:val="750" w:hRule="atLeast"/>
        </w:trPr>
        <w:tc>
          <w:tcPr>
            <w:tcW w:w="874" w:type="dxa"/>
            <w:tcBorders>
              <w:top w:val="nil"/>
              <w:left w:val="single" w:color="auto" w:sz="4" w:space="0"/>
              <w:bottom w:val="single" w:color="auto" w:sz="4" w:space="0"/>
              <w:right w:val="single" w:color="auto" w:sz="4" w:space="0"/>
            </w:tcBorders>
            <w:noWrap/>
            <w:vAlign w:val="center"/>
          </w:tcPr>
          <w:p w14:paraId="75BEDC2B">
            <w:pPr>
              <w:keepNext w:val="0"/>
              <w:keepLines w:val="0"/>
              <w:pageBreakBefore w:val="0"/>
              <w:widowControl/>
              <w:kinsoku/>
              <w:wordWrap/>
              <w:overflowPunct/>
              <w:topLinePunct w:val="0"/>
              <w:autoSpaceDE/>
              <w:autoSpaceDN/>
              <w:bidi w:val="0"/>
              <w:adjustRightInd/>
              <w:snapToGrid/>
              <w:ind w:firstLine="0" w:firstLineChars="0"/>
              <w:jc w:val="left"/>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一</w:t>
            </w:r>
          </w:p>
        </w:tc>
        <w:tc>
          <w:tcPr>
            <w:tcW w:w="4103" w:type="dxa"/>
            <w:tcBorders>
              <w:top w:val="nil"/>
              <w:left w:val="nil"/>
              <w:bottom w:val="single" w:color="auto" w:sz="4" w:space="0"/>
              <w:right w:val="single" w:color="auto" w:sz="4" w:space="0"/>
            </w:tcBorders>
            <w:noWrap/>
            <w:vAlign w:val="center"/>
          </w:tcPr>
          <w:p w14:paraId="716BA83D">
            <w:pPr>
              <w:keepNext w:val="0"/>
              <w:keepLines w:val="0"/>
              <w:pageBreakBefore w:val="0"/>
              <w:widowControl/>
              <w:kinsoku/>
              <w:wordWrap/>
              <w:overflowPunct/>
              <w:topLinePunct w:val="0"/>
              <w:autoSpaceDE/>
              <w:autoSpaceDN/>
              <w:bidi w:val="0"/>
              <w:adjustRightInd/>
              <w:snapToGrid/>
              <w:ind w:firstLine="0" w:firstLineChars="0"/>
              <w:jc w:val="left"/>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设计费总价</w:t>
            </w:r>
          </w:p>
        </w:tc>
        <w:tc>
          <w:tcPr>
            <w:tcW w:w="2404" w:type="dxa"/>
            <w:tcBorders>
              <w:top w:val="nil"/>
              <w:left w:val="nil"/>
              <w:bottom w:val="single" w:color="auto" w:sz="4" w:space="0"/>
              <w:right w:val="single" w:color="auto" w:sz="4" w:space="0"/>
            </w:tcBorders>
            <w:noWrap/>
            <w:vAlign w:val="center"/>
          </w:tcPr>
          <w:p w14:paraId="7981D97C">
            <w:pPr>
              <w:keepNext w:val="0"/>
              <w:keepLines w:val="0"/>
              <w:pageBreakBefore w:val="0"/>
              <w:widowControl/>
              <w:kinsoku/>
              <w:wordWrap/>
              <w:overflowPunct/>
              <w:topLinePunct w:val="0"/>
              <w:autoSpaceDE/>
              <w:autoSpaceDN/>
              <w:bidi w:val="0"/>
              <w:adjustRightInd/>
              <w:snapToGrid/>
              <w:ind w:firstLine="0" w:firstLineChars="0"/>
              <w:jc w:val="left"/>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　元</w:t>
            </w:r>
          </w:p>
        </w:tc>
        <w:tc>
          <w:tcPr>
            <w:tcW w:w="2273" w:type="dxa"/>
            <w:tcBorders>
              <w:top w:val="nil"/>
              <w:left w:val="nil"/>
              <w:bottom w:val="single" w:color="auto" w:sz="4" w:space="0"/>
              <w:right w:val="single" w:color="auto" w:sz="4" w:space="0"/>
            </w:tcBorders>
            <w:noWrap/>
            <w:vAlign w:val="center"/>
          </w:tcPr>
          <w:p w14:paraId="6D249373">
            <w:pPr>
              <w:keepNext w:val="0"/>
              <w:keepLines w:val="0"/>
              <w:pageBreakBefore w:val="0"/>
              <w:widowControl/>
              <w:kinsoku/>
              <w:wordWrap/>
              <w:overflowPunct/>
              <w:topLinePunct w:val="0"/>
              <w:autoSpaceDE/>
              <w:autoSpaceDN/>
              <w:bidi w:val="0"/>
              <w:adjustRightInd/>
              <w:snapToGrid/>
              <w:ind w:firstLine="0" w:firstLineChars="0"/>
              <w:jc w:val="left"/>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　</w:t>
            </w:r>
          </w:p>
        </w:tc>
      </w:tr>
      <w:tr w14:paraId="50A36E9E">
        <w:tblPrEx>
          <w:tblCellMar>
            <w:top w:w="0" w:type="dxa"/>
            <w:left w:w="108" w:type="dxa"/>
            <w:bottom w:w="0" w:type="dxa"/>
            <w:right w:w="108" w:type="dxa"/>
          </w:tblCellMar>
        </w:tblPrEx>
        <w:trPr>
          <w:trHeight w:val="690" w:hRule="atLeast"/>
        </w:trPr>
        <w:tc>
          <w:tcPr>
            <w:tcW w:w="874" w:type="dxa"/>
            <w:tcBorders>
              <w:top w:val="nil"/>
              <w:left w:val="single" w:color="auto" w:sz="4" w:space="0"/>
              <w:bottom w:val="single" w:color="auto" w:sz="4" w:space="0"/>
              <w:right w:val="single" w:color="auto" w:sz="4" w:space="0"/>
            </w:tcBorders>
            <w:noWrap/>
            <w:vAlign w:val="center"/>
          </w:tcPr>
          <w:p w14:paraId="2D1C120F">
            <w:pPr>
              <w:keepNext w:val="0"/>
              <w:keepLines w:val="0"/>
              <w:pageBreakBefore w:val="0"/>
              <w:widowControl/>
              <w:kinsoku/>
              <w:wordWrap/>
              <w:overflowPunct/>
              <w:topLinePunct w:val="0"/>
              <w:autoSpaceDE/>
              <w:autoSpaceDN/>
              <w:bidi w:val="0"/>
              <w:adjustRightInd/>
              <w:snapToGrid/>
              <w:ind w:firstLine="0" w:firstLineChars="0"/>
              <w:jc w:val="left"/>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二</w:t>
            </w:r>
          </w:p>
        </w:tc>
        <w:tc>
          <w:tcPr>
            <w:tcW w:w="4103" w:type="dxa"/>
            <w:tcBorders>
              <w:top w:val="nil"/>
              <w:left w:val="nil"/>
              <w:bottom w:val="single" w:color="auto" w:sz="4" w:space="0"/>
              <w:right w:val="single" w:color="auto" w:sz="4" w:space="0"/>
            </w:tcBorders>
            <w:noWrap/>
            <w:vAlign w:val="center"/>
          </w:tcPr>
          <w:p w14:paraId="3B764DCE">
            <w:pPr>
              <w:keepNext w:val="0"/>
              <w:keepLines w:val="0"/>
              <w:pageBreakBefore w:val="0"/>
              <w:widowControl/>
              <w:kinsoku/>
              <w:wordWrap/>
              <w:overflowPunct/>
              <w:topLinePunct w:val="0"/>
              <w:autoSpaceDE/>
              <w:autoSpaceDN/>
              <w:bidi w:val="0"/>
              <w:adjustRightInd/>
              <w:snapToGrid/>
              <w:ind w:firstLine="0" w:firstLineChars="0"/>
              <w:jc w:val="left"/>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施工费总价（1+2+3+4合计）</w:t>
            </w:r>
          </w:p>
        </w:tc>
        <w:tc>
          <w:tcPr>
            <w:tcW w:w="2404" w:type="dxa"/>
            <w:tcBorders>
              <w:top w:val="nil"/>
              <w:left w:val="nil"/>
              <w:bottom w:val="single" w:color="auto" w:sz="4" w:space="0"/>
              <w:right w:val="single" w:color="auto" w:sz="4" w:space="0"/>
            </w:tcBorders>
            <w:noWrap/>
            <w:vAlign w:val="center"/>
          </w:tcPr>
          <w:p w14:paraId="67AAC769">
            <w:pPr>
              <w:keepNext w:val="0"/>
              <w:keepLines w:val="0"/>
              <w:pageBreakBefore w:val="0"/>
              <w:widowControl/>
              <w:kinsoku/>
              <w:wordWrap/>
              <w:overflowPunct/>
              <w:topLinePunct w:val="0"/>
              <w:autoSpaceDE/>
              <w:autoSpaceDN/>
              <w:bidi w:val="0"/>
              <w:adjustRightInd/>
              <w:snapToGrid/>
              <w:ind w:firstLine="0" w:firstLineChars="0"/>
              <w:jc w:val="left"/>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　元</w:t>
            </w:r>
          </w:p>
        </w:tc>
        <w:tc>
          <w:tcPr>
            <w:tcW w:w="2273" w:type="dxa"/>
            <w:tcBorders>
              <w:top w:val="nil"/>
              <w:left w:val="nil"/>
              <w:bottom w:val="single" w:color="auto" w:sz="4" w:space="0"/>
              <w:right w:val="single" w:color="auto" w:sz="4" w:space="0"/>
            </w:tcBorders>
            <w:noWrap/>
            <w:vAlign w:val="center"/>
          </w:tcPr>
          <w:p w14:paraId="184030F7">
            <w:pPr>
              <w:keepNext w:val="0"/>
              <w:keepLines w:val="0"/>
              <w:pageBreakBefore w:val="0"/>
              <w:widowControl/>
              <w:kinsoku/>
              <w:wordWrap/>
              <w:overflowPunct/>
              <w:topLinePunct w:val="0"/>
              <w:autoSpaceDE/>
              <w:autoSpaceDN/>
              <w:bidi w:val="0"/>
              <w:adjustRightInd/>
              <w:snapToGrid/>
              <w:ind w:firstLine="0" w:firstLineChars="0"/>
              <w:jc w:val="left"/>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　</w:t>
            </w:r>
          </w:p>
        </w:tc>
      </w:tr>
      <w:tr w14:paraId="1E952058">
        <w:tblPrEx>
          <w:tblCellMar>
            <w:top w:w="0" w:type="dxa"/>
            <w:left w:w="108" w:type="dxa"/>
            <w:bottom w:w="0" w:type="dxa"/>
            <w:right w:w="108" w:type="dxa"/>
          </w:tblCellMar>
        </w:tblPrEx>
        <w:trPr>
          <w:trHeight w:val="700" w:hRule="atLeast"/>
        </w:trPr>
        <w:tc>
          <w:tcPr>
            <w:tcW w:w="874" w:type="dxa"/>
            <w:tcBorders>
              <w:top w:val="nil"/>
              <w:left w:val="single" w:color="auto" w:sz="4" w:space="0"/>
              <w:bottom w:val="single" w:color="auto" w:sz="4" w:space="0"/>
              <w:right w:val="single" w:color="auto" w:sz="4" w:space="0"/>
            </w:tcBorders>
            <w:noWrap/>
            <w:vAlign w:val="center"/>
          </w:tcPr>
          <w:p w14:paraId="6FCA3D3B">
            <w:pPr>
              <w:keepNext w:val="0"/>
              <w:keepLines w:val="0"/>
              <w:pageBreakBefore w:val="0"/>
              <w:widowControl/>
              <w:kinsoku/>
              <w:wordWrap/>
              <w:overflowPunct/>
              <w:topLinePunct w:val="0"/>
              <w:autoSpaceDE/>
              <w:autoSpaceDN/>
              <w:bidi w:val="0"/>
              <w:adjustRightInd/>
              <w:snapToGrid/>
              <w:ind w:firstLine="0" w:firstLineChars="0"/>
              <w:jc w:val="left"/>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w:t>
            </w:r>
          </w:p>
        </w:tc>
        <w:tc>
          <w:tcPr>
            <w:tcW w:w="4103" w:type="dxa"/>
            <w:tcBorders>
              <w:top w:val="nil"/>
              <w:left w:val="nil"/>
              <w:bottom w:val="single" w:color="auto" w:sz="4" w:space="0"/>
              <w:right w:val="single" w:color="auto" w:sz="4" w:space="0"/>
            </w:tcBorders>
            <w:noWrap w:val="0"/>
            <w:vAlign w:val="center"/>
          </w:tcPr>
          <w:p w14:paraId="635AD30D">
            <w:pPr>
              <w:keepNext w:val="0"/>
              <w:keepLines w:val="0"/>
              <w:pageBreakBefore w:val="0"/>
              <w:widowControl/>
              <w:kinsoku/>
              <w:wordWrap/>
              <w:overflowPunct/>
              <w:topLinePunct w:val="0"/>
              <w:autoSpaceDE/>
              <w:autoSpaceDN/>
              <w:bidi w:val="0"/>
              <w:adjustRightInd/>
              <w:snapToGrid/>
              <w:ind w:firstLine="0" w:firstLineChars="0"/>
              <w:jc w:val="left"/>
              <w:textAlignment w:val="auto"/>
              <w:rPr>
                <w:rFonts w:hint="eastAsia" w:ascii="仿宋" w:hAnsi="仿宋" w:eastAsia="仿宋" w:cs="仿宋"/>
                <w:color w:val="auto"/>
                <w:kern w:val="0"/>
                <w:sz w:val="24"/>
                <w:highlight w:val="none"/>
                <w:lang w:eastAsia="zh-CN"/>
              </w:rPr>
            </w:pPr>
            <w:r>
              <w:rPr>
                <w:rFonts w:hint="eastAsia" w:ascii="仿宋" w:hAnsi="仿宋" w:eastAsia="仿宋" w:cs="仿宋"/>
                <w:color w:val="auto"/>
                <w:kern w:val="0"/>
                <w:sz w:val="24"/>
                <w:highlight w:val="none"/>
                <w:lang w:eastAsia="zh-CN"/>
              </w:rPr>
              <w:t>建安工程费用</w:t>
            </w:r>
          </w:p>
        </w:tc>
        <w:tc>
          <w:tcPr>
            <w:tcW w:w="2404" w:type="dxa"/>
            <w:tcBorders>
              <w:top w:val="nil"/>
              <w:left w:val="nil"/>
              <w:bottom w:val="single" w:color="auto" w:sz="4" w:space="0"/>
              <w:right w:val="single" w:color="auto" w:sz="4" w:space="0"/>
            </w:tcBorders>
            <w:noWrap/>
            <w:vAlign w:val="center"/>
          </w:tcPr>
          <w:p w14:paraId="410E3EF4">
            <w:pPr>
              <w:keepNext w:val="0"/>
              <w:keepLines w:val="0"/>
              <w:pageBreakBefore w:val="0"/>
              <w:widowControl/>
              <w:kinsoku/>
              <w:wordWrap/>
              <w:overflowPunct/>
              <w:topLinePunct w:val="0"/>
              <w:autoSpaceDE/>
              <w:autoSpaceDN/>
              <w:bidi w:val="0"/>
              <w:adjustRightInd/>
              <w:snapToGrid/>
              <w:ind w:firstLine="0" w:firstLineChars="0"/>
              <w:jc w:val="left"/>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　元</w:t>
            </w:r>
          </w:p>
        </w:tc>
        <w:tc>
          <w:tcPr>
            <w:tcW w:w="2273" w:type="dxa"/>
            <w:tcBorders>
              <w:top w:val="nil"/>
              <w:left w:val="nil"/>
              <w:bottom w:val="single" w:color="auto" w:sz="4" w:space="0"/>
              <w:right w:val="single" w:color="auto" w:sz="4" w:space="0"/>
            </w:tcBorders>
            <w:noWrap/>
            <w:vAlign w:val="center"/>
          </w:tcPr>
          <w:p w14:paraId="2CBBC6EF">
            <w:pPr>
              <w:keepNext w:val="0"/>
              <w:keepLines w:val="0"/>
              <w:pageBreakBefore w:val="0"/>
              <w:widowControl/>
              <w:kinsoku/>
              <w:wordWrap/>
              <w:overflowPunct/>
              <w:topLinePunct w:val="0"/>
              <w:autoSpaceDE/>
              <w:autoSpaceDN/>
              <w:bidi w:val="0"/>
              <w:adjustRightInd/>
              <w:snapToGrid/>
              <w:ind w:firstLine="0" w:firstLineChars="0"/>
              <w:jc w:val="left"/>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　</w:t>
            </w:r>
          </w:p>
        </w:tc>
      </w:tr>
      <w:tr w14:paraId="1804F963">
        <w:tblPrEx>
          <w:tblCellMar>
            <w:top w:w="0" w:type="dxa"/>
            <w:left w:w="108" w:type="dxa"/>
            <w:bottom w:w="0" w:type="dxa"/>
            <w:right w:w="108" w:type="dxa"/>
          </w:tblCellMar>
        </w:tblPrEx>
        <w:trPr>
          <w:trHeight w:val="700" w:hRule="atLeast"/>
        </w:trPr>
        <w:tc>
          <w:tcPr>
            <w:tcW w:w="874" w:type="dxa"/>
            <w:tcBorders>
              <w:top w:val="nil"/>
              <w:left w:val="single" w:color="auto" w:sz="4" w:space="0"/>
              <w:bottom w:val="single" w:color="auto" w:sz="4" w:space="0"/>
              <w:right w:val="single" w:color="auto" w:sz="4" w:space="0"/>
            </w:tcBorders>
            <w:noWrap/>
            <w:vAlign w:val="center"/>
          </w:tcPr>
          <w:p w14:paraId="560AF233">
            <w:pPr>
              <w:keepNext w:val="0"/>
              <w:keepLines w:val="0"/>
              <w:pageBreakBefore w:val="0"/>
              <w:widowControl/>
              <w:kinsoku/>
              <w:wordWrap/>
              <w:overflowPunct/>
              <w:topLinePunct w:val="0"/>
              <w:autoSpaceDE/>
              <w:autoSpaceDN/>
              <w:bidi w:val="0"/>
              <w:adjustRightInd/>
              <w:snapToGrid/>
              <w:ind w:firstLine="0" w:firstLineChars="0"/>
              <w:jc w:val="left"/>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w:t>
            </w:r>
          </w:p>
        </w:tc>
        <w:tc>
          <w:tcPr>
            <w:tcW w:w="4103" w:type="dxa"/>
            <w:tcBorders>
              <w:top w:val="nil"/>
              <w:left w:val="nil"/>
              <w:bottom w:val="single" w:color="auto" w:sz="4" w:space="0"/>
              <w:right w:val="single" w:color="auto" w:sz="4" w:space="0"/>
            </w:tcBorders>
            <w:noWrap w:val="0"/>
            <w:vAlign w:val="center"/>
          </w:tcPr>
          <w:p w14:paraId="23ABDF14">
            <w:pPr>
              <w:keepNext w:val="0"/>
              <w:keepLines w:val="0"/>
              <w:pageBreakBefore w:val="0"/>
              <w:widowControl/>
              <w:kinsoku/>
              <w:wordWrap/>
              <w:overflowPunct/>
              <w:topLinePunct w:val="0"/>
              <w:autoSpaceDE/>
              <w:autoSpaceDN/>
              <w:bidi w:val="0"/>
              <w:adjustRightInd/>
              <w:snapToGrid/>
              <w:ind w:firstLine="0" w:firstLineChars="0"/>
              <w:jc w:val="left"/>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设备集成供货及服务费用</w:t>
            </w:r>
          </w:p>
        </w:tc>
        <w:tc>
          <w:tcPr>
            <w:tcW w:w="2404" w:type="dxa"/>
            <w:tcBorders>
              <w:top w:val="nil"/>
              <w:left w:val="nil"/>
              <w:bottom w:val="single" w:color="auto" w:sz="4" w:space="0"/>
              <w:right w:val="single" w:color="auto" w:sz="4" w:space="0"/>
            </w:tcBorders>
            <w:noWrap/>
            <w:vAlign w:val="center"/>
          </w:tcPr>
          <w:p w14:paraId="10C6F6BF">
            <w:pPr>
              <w:keepNext w:val="0"/>
              <w:keepLines w:val="0"/>
              <w:pageBreakBefore w:val="0"/>
              <w:widowControl/>
              <w:kinsoku/>
              <w:wordWrap/>
              <w:overflowPunct/>
              <w:topLinePunct w:val="0"/>
              <w:autoSpaceDE/>
              <w:autoSpaceDN/>
              <w:bidi w:val="0"/>
              <w:adjustRightInd/>
              <w:snapToGrid/>
              <w:ind w:firstLine="0" w:firstLineChars="0"/>
              <w:jc w:val="left"/>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元</w:t>
            </w:r>
          </w:p>
        </w:tc>
        <w:tc>
          <w:tcPr>
            <w:tcW w:w="2273" w:type="dxa"/>
            <w:tcBorders>
              <w:top w:val="nil"/>
              <w:left w:val="nil"/>
              <w:bottom w:val="single" w:color="auto" w:sz="4" w:space="0"/>
              <w:right w:val="single" w:color="auto" w:sz="4" w:space="0"/>
            </w:tcBorders>
            <w:noWrap/>
            <w:vAlign w:val="center"/>
          </w:tcPr>
          <w:p w14:paraId="2561710E">
            <w:pPr>
              <w:keepNext w:val="0"/>
              <w:keepLines w:val="0"/>
              <w:pageBreakBefore w:val="0"/>
              <w:widowControl/>
              <w:kinsoku/>
              <w:wordWrap/>
              <w:overflowPunct/>
              <w:topLinePunct w:val="0"/>
              <w:autoSpaceDE/>
              <w:autoSpaceDN/>
              <w:bidi w:val="0"/>
              <w:adjustRightInd/>
              <w:snapToGrid/>
              <w:ind w:firstLine="0" w:firstLineChars="0"/>
              <w:jc w:val="left"/>
              <w:textAlignment w:val="auto"/>
              <w:rPr>
                <w:rFonts w:hint="eastAsia" w:ascii="仿宋" w:hAnsi="仿宋" w:eastAsia="仿宋" w:cs="仿宋"/>
                <w:color w:val="auto"/>
                <w:kern w:val="0"/>
                <w:sz w:val="24"/>
                <w:highlight w:val="none"/>
              </w:rPr>
            </w:pPr>
          </w:p>
        </w:tc>
      </w:tr>
      <w:tr w14:paraId="5155A1C8">
        <w:tblPrEx>
          <w:tblCellMar>
            <w:top w:w="0" w:type="dxa"/>
            <w:left w:w="108" w:type="dxa"/>
            <w:bottom w:w="0" w:type="dxa"/>
            <w:right w:w="108" w:type="dxa"/>
          </w:tblCellMar>
        </w:tblPrEx>
        <w:trPr>
          <w:trHeight w:val="700" w:hRule="atLeast"/>
        </w:trPr>
        <w:tc>
          <w:tcPr>
            <w:tcW w:w="874" w:type="dxa"/>
            <w:tcBorders>
              <w:top w:val="nil"/>
              <w:left w:val="single" w:color="auto" w:sz="4" w:space="0"/>
              <w:bottom w:val="single" w:color="auto" w:sz="4" w:space="0"/>
              <w:right w:val="single" w:color="auto" w:sz="4" w:space="0"/>
            </w:tcBorders>
            <w:noWrap/>
            <w:vAlign w:val="center"/>
          </w:tcPr>
          <w:p w14:paraId="6C159D76">
            <w:pPr>
              <w:keepNext w:val="0"/>
              <w:keepLines w:val="0"/>
              <w:pageBreakBefore w:val="0"/>
              <w:widowControl/>
              <w:kinsoku/>
              <w:wordWrap/>
              <w:overflowPunct/>
              <w:topLinePunct w:val="0"/>
              <w:autoSpaceDE/>
              <w:autoSpaceDN/>
              <w:bidi w:val="0"/>
              <w:adjustRightInd/>
              <w:snapToGrid/>
              <w:ind w:firstLine="0" w:firstLineChars="0"/>
              <w:jc w:val="left"/>
              <w:textAlignment w:val="auto"/>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color w:val="auto"/>
                <w:kern w:val="0"/>
                <w:sz w:val="24"/>
                <w:highlight w:val="none"/>
                <w:lang w:val="en-US" w:eastAsia="zh-CN"/>
              </w:rPr>
              <w:t>三</w:t>
            </w:r>
          </w:p>
        </w:tc>
        <w:tc>
          <w:tcPr>
            <w:tcW w:w="4103" w:type="dxa"/>
            <w:tcBorders>
              <w:top w:val="nil"/>
              <w:left w:val="nil"/>
              <w:bottom w:val="single" w:color="auto" w:sz="4" w:space="0"/>
              <w:right w:val="single" w:color="auto" w:sz="4" w:space="0"/>
            </w:tcBorders>
            <w:noWrap w:val="0"/>
            <w:vAlign w:val="center"/>
          </w:tcPr>
          <w:p w14:paraId="66315206">
            <w:pPr>
              <w:keepNext w:val="0"/>
              <w:keepLines w:val="0"/>
              <w:pageBreakBefore w:val="0"/>
              <w:widowControl/>
              <w:kinsoku/>
              <w:wordWrap/>
              <w:overflowPunct/>
              <w:topLinePunct w:val="0"/>
              <w:autoSpaceDE/>
              <w:autoSpaceDN/>
              <w:bidi w:val="0"/>
              <w:adjustRightInd/>
              <w:snapToGrid/>
              <w:ind w:firstLine="0" w:firstLineChars="0"/>
              <w:jc w:val="left"/>
              <w:textAlignment w:val="auto"/>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color w:val="auto"/>
                <w:kern w:val="0"/>
                <w:sz w:val="24"/>
                <w:highlight w:val="none"/>
              </w:rPr>
              <w:t>运营服务费用（三年）</w:t>
            </w:r>
          </w:p>
        </w:tc>
        <w:tc>
          <w:tcPr>
            <w:tcW w:w="2404" w:type="dxa"/>
            <w:tcBorders>
              <w:top w:val="nil"/>
              <w:left w:val="nil"/>
              <w:bottom w:val="single" w:color="auto" w:sz="4" w:space="0"/>
              <w:right w:val="single" w:color="auto" w:sz="4" w:space="0"/>
            </w:tcBorders>
            <w:noWrap/>
            <w:vAlign w:val="center"/>
          </w:tcPr>
          <w:p w14:paraId="6635A40C">
            <w:pPr>
              <w:keepNext w:val="0"/>
              <w:keepLines w:val="0"/>
              <w:pageBreakBefore w:val="0"/>
              <w:widowControl/>
              <w:kinsoku/>
              <w:wordWrap/>
              <w:overflowPunct/>
              <w:topLinePunct w:val="0"/>
              <w:autoSpaceDE/>
              <w:autoSpaceDN/>
              <w:bidi w:val="0"/>
              <w:adjustRightInd/>
              <w:snapToGrid/>
              <w:ind w:firstLine="0" w:firstLineChars="0"/>
              <w:jc w:val="left"/>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 xml:space="preserve">               元</w:t>
            </w:r>
          </w:p>
          <w:p w14:paraId="17234138">
            <w:pPr>
              <w:keepNext w:val="0"/>
              <w:keepLines w:val="0"/>
              <w:pageBreakBefore w:val="0"/>
              <w:widowControl/>
              <w:kinsoku/>
              <w:wordWrap/>
              <w:overflowPunct/>
              <w:topLinePunct w:val="0"/>
              <w:autoSpaceDE/>
              <w:autoSpaceDN/>
              <w:bidi w:val="0"/>
              <w:adjustRightInd/>
              <w:snapToGrid/>
              <w:ind w:firstLine="0" w:firstLineChars="0"/>
              <w:jc w:val="left"/>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其中：</w:t>
            </w:r>
          </w:p>
          <w:p w14:paraId="26D0398B">
            <w:pPr>
              <w:keepNext w:val="0"/>
              <w:keepLines w:val="0"/>
              <w:pageBreakBefore w:val="0"/>
              <w:widowControl/>
              <w:kinsoku/>
              <w:wordWrap/>
              <w:overflowPunct/>
              <w:topLinePunct w:val="0"/>
              <w:autoSpaceDE/>
              <w:autoSpaceDN/>
              <w:bidi w:val="0"/>
              <w:adjustRightInd/>
              <w:snapToGrid/>
              <w:ind w:firstLine="0" w:firstLineChars="0"/>
              <w:jc w:val="left"/>
              <w:textAlignment w:val="auto"/>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color w:val="auto"/>
                <w:kern w:val="0"/>
                <w:sz w:val="24"/>
                <w:highlight w:val="none"/>
              </w:rPr>
              <w:t>污水处理运营服务费用单价    元</w:t>
            </w:r>
            <w:r>
              <w:rPr>
                <w:rFonts w:hint="eastAsia" w:ascii="仿宋" w:hAnsi="仿宋" w:eastAsia="仿宋" w:cs="仿宋"/>
                <w:color w:val="auto"/>
                <w:kern w:val="0"/>
                <w:sz w:val="24"/>
                <w:highlight w:val="none"/>
                <w:lang w:val="en-US" w:eastAsia="zh-CN"/>
              </w:rPr>
              <w:t>/</w:t>
            </w:r>
            <w:r>
              <w:rPr>
                <w:rFonts w:hint="eastAsia" w:ascii="仿宋" w:hAnsi="仿宋" w:eastAsia="仿宋" w:cs="仿宋"/>
                <w:color w:val="auto"/>
                <w:kern w:val="0"/>
                <w:sz w:val="24"/>
                <w:highlight w:val="none"/>
              </w:rPr>
              <w:t>吨，</w:t>
            </w:r>
          </w:p>
        </w:tc>
        <w:tc>
          <w:tcPr>
            <w:tcW w:w="2273" w:type="dxa"/>
            <w:tcBorders>
              <w:top w:val="nil"/>
              <w:left w:val="nil"/>
              <w:bottom w:val="single" w:color="auto" w:sz="4" w:space="0"/>
              <w:right w:val="single" w:color="auto" w:sz="4" w:space="0"/>
            </w:tcBorders>
            <w:noWrap/>
            <w:vAlign w:val="center"/>
          </w:tcPr>
          <w:p w14:paraId="2DC7AE38">
            <w:pPr>
              <w:keepNext w:val="0"/>
              <w:keepLines w:val="0"/>
              <w:pageBreakBefore w:val="0"/>
              <w:widowControl/>
              <w:kinsoku/>
              <w:wordWrap/>
              <w:overflowPunct/>
              <w:topLinePunct w:val="0"/>
              <w:autoSpaceDE/>
              <w:autoSpaceDN/>
              <w:bidi w:val="0"/>
              <w:adjustRightInd/>
              <w:snapToGrid/>
              <w:ind w:firstLine="0" w:firstLineChars="0"/>
              <w:jc w:val="left"/>
              <w:textAlignment w:val="auto"/>
              <w:rPr>
                <w:rFonts w:hint="eastAsia" w:ascii="仿宋" w:hAnsi="仿宋" w:eastAsia="仿宋" w:cs="仿宋"/>
                <w:color w:val="auto"/>
                <w:kern w:val="0"/>
                <w:sz w:val="24"/>
                <w:highlight w:val="none"/>
              </w:rPr>
            </w:pPr>
          </w:p>
        </w:tc>
      </w:tr>
      <w:tr w14:paraId="27DDB19D">
        <w:tblPrEx>
          <w:tblCellMar>
            <w:top w:w="0" w:type="dxa"/>
            <w:left w:w="108" w:type="dxa"/>
            <w:bottom w:w="0" w:type="dxa"/>
            <w:right w:w="108" w:type="dxa"/>
          </w:tblCellMar>
        </w:tblPrEx>
        <w:trPr>
          <w:trHeight w:val="700" w:hRule="atLeast"/>
        </w:trPr>
        <w:tc>
          <w:tcPr>
            <w:tcW w:w="874" w:type="dxa"/>
            <w:tcBorders>
              <w:top w:val="nil"/>
              <w:left w:val="single" w:color="auto" w:sz="4" w:space="0"/>
              <w:bottom w:val="single" w:color="auto" w:sz="4" w:space="0"/>
              <w:right w:val="single" w:color="auto" w:sz="4" w:space="0"/>
            </w:tcBorders>
            <w:noWrap/>
            <w:vAlign w:val="center"/>
          </w:tcPr>
          <w:p w14:paraId="4F6EAC56">
            <w:pPr>
              <w:keepNext w:val="0"/>
              <w:keepLines w:val="0"/>
              <w:pageBreakBefore w:val="0"/>
              <w:widowControl/>
              <w:kinsoku/>
              <w:wordWrap/>
              <w:overflowPunct/>
              <w:topLinePunct w:val="0"/>
              <w:autoSpaceDE/>
              <w:autoSpaceDN/>
              <w:bidi w:val="0"/>
              <w:adjustRightInd/>
              <w:snapToGrid/>
              <w:ind w:firstLine="0" w:firstLineChars="0"/>
              <w:jc w:val="left"/>
              <w:textAlignment w:val="auto"/>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color w:val="auto"/>
                <w:kern w:val="0"/>
                <w:sz w:val="24"/>
                <w:highlight w:val="none"/>
                <w:lang w:val="en-US" w:eastAsia="zh-CN"/>
              </w:rPr>
              <w:t>四</w:t>
            </w:r>
          </w:p>
        </w:tc>
        <w:tc>
          <w:tcPr>
            <w:tcW w:w="4103" w:type="dxa"/>
            <w:tcBorders>
              <w:top w:val="nil"/>
              <w:left w:val="nil"/>
              <w:bottom w:val="single" w:color="auto" w:sz="4" w:space="0"/>
              <w:right w:val="single" w:color="auto" w:sz="4" w:space="0"/>
            </w:tcBorders>
            <w:noWrap w:val="0"/>
            <w:vAlign w:val="center"/>
          </w:tcPr>
          <w:p w14:paraId="2FD15ABA">
            <w:pPr>
              <w:keepNext w:val="0"/>
              <w:keepLines w:val="0"/>
              <w:pageBreakBefore w:val="0"/>
              <w:widowControl/>
              <w:kinsoku/>
              <w:wordWrap/>
              <w:overflowPunct/>
              <w:topLinePunct w:val="0"/>
              <w:autoSpaceDE/>
              <w:autoSpaceDN/>
              <w:bidi w:val="0"/>
              <w:adjustRightInd/>
              <w:snapToGrid/>
              <w:ind w:firstLine="0" w:firstLineChars="0"/>
              <w:jc w:val="left"/>
              <w:textAlignment w:val="auto"/>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color w:val="auto"/>
                <w:kern w:val="0"/>
                <w:sz w:val="24"/>
                <w:highlight w:val="none"/>
              </w:rPr>
              <w:t>预备费</w:t>
            </w:r>
          </w:p>
        </w:tc>
        <w:tc>
          <w:tcPr>
            <w:tcW w:w="2404" w:type="dxa"/>
            <w:tcBorders>
              <w:top w:val="nil"/>
              <w:left w:val="nil"/>
              <w:bottom w:val="single" w:color="auto" w:sz="4" w:space="0"/>
              <w:right w:val="single" w:color="auto" w:sz="4" w:space="0"/>
            </w:tcBorders>
            <w:noWrap/>
            <w:vAlign w:val="center"/>
          </w:tcPr>
          <w:p w14:paraId="3BE21EF0">
            <w:pPr>
              <w:keepNext w:val="0"/>
              <w:keepLines w:val="0"/>
              <w:pageBreakBefore w:val="0"/>
              <w:widowControl/>
              <w:kinsoku/>
              <w:wordWrap/>
              <w:overflowPunct/>
              <w:topLinePunct w:val="0"/>
              <w:autoSpaceDE/>
              <w:autoSpaceDN/>
              <w:bidi w:val="0"/>
              <w:adjustRightInd/>
              <w:snapToGrid/>
              <w:ind w:firstLine="0" w:firstLineChars="0"/>
              <w:jc w:val="left"/>
              <w:textAlignment w:val="auto"/>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color w:val="auto"/>
                <w:kern w:val="0"/>
                <w:sz w:val="24"/>
                <w:highlight w:val="none"/>
              </w:rPr>
              <w:t>元</w:t>
            </w:r>
          </w:p>
        </w:tc>
        <w:tc>
          <w:tcPr>
            <w:tcW w:w="2273" w:type="dxa"/>
            <w:tcBorders>
              <w:top w:val="nil"/>
              <w:left w:val="nil"/>
              <w:bottom w:val="single" w:color="auto" w:sz="4" w:space="0"/>
              <w:right w:val="single" w:color="auto" w:sz="4" w:space="0"/>
            </w:tcBorders>
            <w:noWrap/>
            <w:vAlign w:val="center"/>
          </w:tcPr>
          <w:p w14:paraId="7371555C">
            <w:pPr>
              <w:keepNext w:val="0"/>
              <w:keepLines w:val="0"/>
              <w:pageBreakBefore w:val="0"/>
              <w:widowControl/>
              <w:kinsoku/>
              <w:wordWrap/>
              <w:overflowPunct/>
              <w:topLinePunct w:val="0"/>
              <w:autoSpaceDE/>
              <w:autoSpaceDN/>
              <w:bidi w:val="0"/>
              <w:adjustRightInd/>
              <w:snapToGrid/>
              <w:ind w:firstLine="0" w:firstLineChars="0"/>
              <w:jc w:val="left"/>
              <w:textAlignment w:val="auto"/>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color w:val="auto"/>
                <w:kern w:val="0"/>
                <w:sz w:val="24"/>
                <w:highlight w:val="none"/>
              </w:rPr>
              <w:t>此费用为不可竞争费用，投标单位不得擅自修改，否则评标委员会否决其投标。</w:t>
            </w:r>
          </w:p>
        </w:tc>
      </w:tr>
      <w:tr w14:paraId="4277F60F">
        <w:tblPrEx>
          <w:tblCellMar>
            <w:top w:w="0" w:type="dxa"/>
            <w:left w:w="108" w:type="dxa"/>
            <w:bottom w:w="0" w:type="dxa"/>
            <w:right w:w="108" w:type="dxa"/>
          </w:tblCellMar>
        </w:tblPrEx>
        <w:trPr>
          <w:trHeight w:val="700" w:hRule="atLeast"/>
        </w:trPr>
        <w:tc>
          <w:tcPr>
            <w:tcW w:w="874" w:type="dxa"/>
            <w:tcBorders>
              <w:top w:val="nil"/>
              <w:left w:val="single" w:color="auto" w:sz="4" w:space="0"/>
              <w:bottom w:val="single" w:color="auto" w:sz="4" w:space="0"/>
              <w:right w:val="single" w:color="auto" w:sz="4" w:space="0"/>
            </w:tcBorders>
            <w:noWrap/>
            <w:vAlign w:val="center"/>
          </w:tcPr>
          <w:p w14:paraId="4072FE14">
            <w:pPr>
              <w:keepNext w:val="0"/>
              <w:keepLines w:val="0"/>
              <w:pageBreakBefore w:val="0"/>
              <w:widowControl/>
              <w:kinsoku/>
              <w:wordWrap/>
              <w:overflowPunct/>
              <w:topLinePunct w:val="0"/>
              <w:autoSpaceDE/>
              <w:autoSpaceDN/>
              <w:bidi w:val="0"/>
              <w:adjustRightInd/>
              <w:snapToGrid/>
              <w:ind w:firstLine="0" w:firstLineChars="0"/>
              <w:jc w:val="left"/>
              <w:textAlignment w:val="auto"/>
              <w:rPr>
                <w:rFonts w:hint="default" w:ascii="仿宋" w:hAnsi="仿宋" w:eastAsia="仿宋" w:cs="仿宋"/>
                <w:color w:val="auto"/>
                <w:kern w:val="0"/>
                <w:sz w:val="24"/>
                <w:highlight w:val="none"/>
                <w:lang w:val="en-US" w:eastAsia="zh-CN"/>
              </w:rPr>
            </w:pPr>
            <w:r>
              <w:rPr>
                <w:rFonts w:hint="eastAsia" w:ascii="仿宋" w:hAnsi="仿宋" w:cs="仿宋"/>
                <w:color w:val="auto"/>
                <w:kern w:val="0"/>
                <w:sz w:val="24"/>
                <w:highlight w:val="none"/>
                <w:lang w:val="en-US" w:eastAsia="zh-CN"/>
              </w:rPr>
              <w:t>五</w:t>
            </w:r>
          </w:p>
        </w:tc>
        <w:tc>
          <w:tcPr>
            <w:tcW w:w="4103" w:type="dxa"/>
            <w:tcBorders>
              <w:top w:val="nil"/>
              <w:left w:val="nil"/>
              <w:bottom w:val="single" w:color="auto" w:sz="4" w:space="0"/>
              <w:right w:val="single" w:color="auto" w:sz="4" w:space="0"/>
            </w:tcBorders>
            <w:shd w:val="clear" w:color="auto" w:fill="auto"/>
            <w:noWrap w:val="0"/>
            <w:vAlign w:val="center"/>
          </w:tcPr>
          <w:p w14:paraId="44AC88F7">
            <w:pPr>
              <w:ind w:firstLine="0" w:firstLineChars="0"/>
              <w:rPr>
                <w:rFonts w:hint="eastAsia" w:ascii="仿宋" w:hAnsi="仿宋" w:eastAsia="仿宋" w:cs="仿宋"/>
                <w:color w:val="auto"/>
                <w:kern w:val="0"/>
                <w:sz w:val="24"/>
                <w:szCs w:val="22"/>
                <w:highlight w:val="none"/>
                <w:lang w:val="en-US" w:eastAsia="zh-CN" w:bidi="ar-SA"/>
              </w:rPr>
            </w:pPr>
            <w:r>
              <w:rPr>
                <w:rFonts w:hint="eastAsia" w:ascii="仿宋" w:hAnsi="仿宋" w:cs="仿宋"/>
                <w:color w:val="auto"/>
                <w:kern w:val="0"/>
                <w:highlight w:val="none"/>
              </w:rPr>
              <w:t>场地准备及临时设施费用</w:t>
            </w:r>
          </w:p>
        </w:tc>
        <w:tc>
          <w:tcPr>
            <w:tcW w:w="2404" w:type="dxa"/>
            <w:tcBorders>
              <w:top w:val="nil"/>
              <w:left w:val="nil"/>
              <w:bottom w:val="single" w:color="auto" w:sz="4" w:space="0"/>
              <w:right w:val="single" w:color="auto" w:sz="4" w:space="0"/>
            </w:tcBorders>
            <w:shd w:val="clear" w:color="auto" w:fill="auto"/>
            <w:noWrap/>
            <w:vAlign w:val="center"/>
          </w:tcPr>
          <w:p w14:paraId="009FDFB4">
            <w:pPr>
              <w:ind w:firstLine="0" w:firstLineChars="0"/>
              <w:rPr>
                <w:rFonts w:hint="eastAsia" w:ascii="仿宋" w:hAnsi="仿宋" w:eastAsia="仿宋" w:cs="仿宋"/>
                <w:color w:val="auto"/>
                <w:kern w:val="0"/>
                <w:sz w:val="24"/>
                <w:szCs w:val="22"/>
                <w:highlight w:val="none"/>
                <w:lang w:val="en-US" w:eastAsia="zh-CN" w:bidi="ar-SA"/>
              </w:rPr>
            </w:pPr>
            <w:r>
              <w:rPr>
                <w:rFonts w:hint="eastAsia" w:ascii="仿宋" w:hAnsi="仿宋" w:cs="仿宋"/>
                <w:color w:val="auto"/>
                <w:kern w:val="0"/>
                <w:highlight w:val="none"/>
              </w:rPr>
              <w:t>元</w:t>
            </w:r>
          </w:p>
        </w:tc>
        <w:tc>
          <w:tcPr>
            <w:tcW w:w="2273" w:type="dxa"/>
            <w:tcBorders>
              <w:top w:val="nil"/>
              <w:left w:val="nil"/>
              <w:bottom w:val="single" w:color="auto" w:sz="4" w:space="0"/>
              <w:right w:val="single" w:color="auto" w:sz="4" w:space="0"/>
            </w:tcBorders>
            <w:noWrap/>
            <w:vAlign w:val="center"/>
          </w:tcPr>
          <w:p w14:paraId="53F0BFB7">
            <w:pPr>
              <w:keepNext w:val="0"/>
              <w:keepLines w:val="0"/>
              <w:pageBreakBefore w:val="0"/>
              <w:widowControl/>
              <w:kinsoku/>
              <w:wordWrap/>
              <w:overflowPunct/>
              <w:topLinePunct w:val="0"/>
              <w:autoSpaceDE/>
              <w:autoSpaceDN/>
              <w:bidi w:val="0"/>
              <w:adjustRightInd/>
              <w:snapToGrid/>
              <w:ind w:firstLine="0" w:firstLineChars="0"/>
              <w:jc w:val="left"/>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此费用为不可竞争费用，投标单位不得擅自修改，否则评标委员会否决其投标。</w:t>
            </w:r>
          </w:p>
        </w:tc>
      </w:tr>
      <w:tr w14:paraId="485458B1">
        <w:tblPrEx>
          <w:tblCellMar>
            <w:top w:w="0" w:type="dxa"/>
            <w:left w:w="108" w:type="dxa"/>
            <w:bottom w:w="0" w:type="dxa"/>
            <w:right w:w="108" w:type="dxa"/>
          </w:tblCellMar>
        </w:tblPrEx>
        <w:trPr>
          <w:trHeight w:val="855" w:hRule="atLeast"/>
        </w:trPr>
        <w:tc>
          <w:tcPr>
            <w:tcW w:w="4977" w:type="dxa"/>
            <w:gridSpan w:val="2"/>
            <w:tcBorders>
              <w:top w:val="single" w:color="auto" w:sz="4" w:space="0"/>
              <w:left w:val="single" w:color="auto" w:sz="4" w:space="0"/>
              <w:bottom w:val="single" w:color="auto" w:sz="4" w:space="0"/>
              <w:right w:val="single" w:color="000000" w:sz="4" w:space="0"/>
            </w:tcBorders>
            <w:noWrap/>
            <w:vAlign w:val="center"/>
          </w:tcPr>
          <w:p w14:paraId="1876CD9F">
            <w:pPr>
              <w:keepNext w:val="0"/>
              <w:keepLines w:val="0"/>
              <w:pageBreakBefore w:val="0"/>
              <w:widowControl/>
              <w:kinsoku/>
              <w:wordWrap/>
              <w:overflowPunct/>
              <w:topLinePunct w:val="0"/>
              <w:autoSpaceDE/>
              <w:autoSpaceDN/>
              <w:bidi w:val="0"/>
              <w:adjustRightInd/>
              <w:snapToGrid/>
              <w:ind w:firstLine="0" w:firstLineChars="0"/>
              <w:jc w:val="left"/>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EPC+O总包投标总价（一+二+三</w:t>
            </w:r>
            <w:r>
              <w:rPr>
                <w:rFonts w:hint="eastAsia" w:ascii="仿宋" w:hAnsi="仿宋" w:eastAsia="仿宋" w:cs="仿宋"/>
                <w:color w:val="auto"/>
                <w:kern w:val="0"/>
                <w:sz w:val="24"/>
                <w:highlight w:val="none"/>
                <w:lang w:val="en-US" w:eastAsia="zh-CN"/>
              </w:rPr>
              <w:t>+四</w:t>
            </w:r>
            <w:r>
              <w:rPr>
                <w:rFonts w:hint="eastAsia" w:ascii="仿宋" w:hAnsi="仿宋" w:cs="仿宋"/>
                <w:color w:val="auto"/>
                <w:kern w:val="0"/>
                <w:sz w:val="24"/>
                <w:highlight w:val="none"/>
                <w:lang w:val="en-US" w:eastAsia="zh-CN"/>
              </w:rPr>
              <w:t>+五</w:t>
            </w:r>
            <w:r>
              <w:rPr>
                <w:rFonts w:hint="eastAsia" w:ascii="仿宋" w:hAnsi="仿宋" w:eastAsia="仿宋" w:cs="仿宋"/>
                <w:color w:val="auto"/>
                <w:kern w:val="0"/>
                <w:sz w:val="24"/>
                <w:highlight w:val="none"/>
              </w:rPr>
              <w:t>项合计）</w:t>
            </w:r>
          </w:p>
        </w:tc>
        <w:tc>
          <w:tcPr>
            <w:tcW w:w="2404" w:type="dxa"/>
            <w:tcBorders>
              <w:top w:val="nil"/>
              <w:left w:val="nil"/>
              <w:bottom w:val="single" w:color="auto" w:sz="4" w:space="0"/>
              <w:right w:val="single" w:color="auto" w:sz="4" w:space="0"/>
            </w:tcBorders>
            <w:noWrap/>
            <w:vAlign w:val="bottom"/>
          </w:tcPr>
          <w:p w14:paraId="4C7E3238">
            <w:pPr>
              <w:keepNext w:val="0"/>
              <w:keepLines w:val="0"/>
              <w:pageBreakBefore w:val="0"/>
              <w:widowControl/>
              <w:kinsoku/>
              <w:wordWrap/>
              <w:overflowPunct/>
              <w:topLinePunct w:val="0"/>
              <w:autoSpaceDE/>
              <w:autoSpaceDN/>
              <w:bidi w:val="0"/>
              <w:adjustRightInd/>
              <w:snapToGrid/>
              <w:ind w:firstLine="0" w:firstLineChars="0"/>
              <w:jc w:val="left"/>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　元</w:t>
            </w:r>
          </w:p>
        </w:tc>
        <w:tc>
          <w:tcPr>
            <w:tcW w:w="2273" w:type="dxa"/>
            <w:tcBorders>
              <w:top w:val="nil"/>
              <w:left w:val="nil"/>
              <w:bottom w:val="single" w:color="auto" w:sz="4" w:space="0"/>
              <w:right w:val="single" w:color="auto" w:sz="4" w:space="0"/>
            </w:tcBorders>
            <w:noWrap/>
            <w:vAlign w:val="bottom"/>
          </w:tcPr>
          <w:p w14:paraId="6D3BD3FC">
            <w:pPr>
              <w:keepNext w:val="0"/>
              <w:keepLines w:val="0"/>
              <w:pageBreakBefore w:val="0"/>
              <w:widowControl/>
              <w:kinsoku/>
              <w:wordWrap/>
              <w:overflowPunct/>
              <w:topLinePunct w:val="0"/>
              <w:autoSpaceDE/>
              <w:autoSpaceDN/>
              <w:bidi w:val="0"/>
              <w:adjustRightInd/>
              <w:snapToGrid/>
              <w:ind w:firstLine="0" w:firstLineChars="0"/>
              <w:jc w:val="left"/>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　</w:t>
            </w:r>
          </w:p>
        </w:tc>
      </w:tr>
      <w:tr w14:paraId="50756F19">
        <w:tblPrEx>
          <w:tblCellMar>
            <w:top w:w="0" w:type="dxa"/>
            <w:left w:w="108" w:type="dxa"/>
            <w:bottom w:w="0" w:type="dxa"/>
            <w:right w:w="108" w:type="dxa"/>
          </w:tblCellMar>
        </w:tblPrEx>
        <w:trPr>
          <w:trHeight w:val="270" w:hRule="atLeast"/>
        </w:trPr>
        <w:tc>
          <w:tcPr>
            <w:tcW w:w="874" w:type="dxa"/>
            <w:tcBorders>
              <w:top w:val="nil"/>
              <w:left w:val="nil"/>
              <w:bottom w:val="nil"/>
              <w:right w:val="nil"/>
            </w:tcBorders>
            <w:noWrap/>
            <w:vAlign w:val="bottom"/>
          </w:tcPr>
          <w:p w14:paraId="7EAC3750">
            <w:pPr>
              <w:widowControl/>
              <w:jc w:val="left"/>
              <w:rPr>
                <w:rFonts w:hint="eastAsia" w:ascii="仿宋" w:hAnsi="仿宋" w:eastAsia="仿宋" w:cs="仿宋"/>
                <w:color w:val="auto"/>
                <w:kern w:val="0"/>
                <w:sz w:val="22"/>
                <w:szCs w:val="22"/>
                <w:highlight w:val="none"/>
              </w:rPr>
            </w:pPr>
          </w:p>
        </w:tc>
        <w:tc>
          <w:tcPr>
            <w:tcW w:w="4103" w:type="dxa"/>
            <w:tcBorders>
              <w:top w:val="nil"/>
              <w:left w:val="nil"/>
              <w:bottom w:val="nil"/>
              <w:right w:val="nil"/>
            </w:tcBorders>
            <w:noWrap/>
            <w:vAlign w:val="bottom"/>
          </w:tcPr>
          <w:p w14:paraId="4F5FA3BD">
            <w:pPr>
              <w:widowControl/>
              <w:jc w:val="left"/>
              <w:rPr>
                <w:rFonts w:hint="eastAsia" w:ascii="仿宋" w:hAnsi="仿宋" w:eastAsia="仿宋" w:cs="仿宋"/>
                <w:color w:val="auto"/>
                <w:kern w:val="0"/>
                <w:sz w:val="22"/>
                <w:szCs w:val="22"/>
                <w:highlight w:val="none"/>
              </w:rPr>
            </w:pPr>
          </w:p>
        </w:tc>
        <w:tc>
          <w:tcPr>
            <w:tcW w:w="2404" w:type="dxa"/>
            <w:tcBorders>
              <w:top w:val="nil"/>
              <w:left w:val="nil"/>
              <w:bottom w:val="nil"/>
              <w:right w:val="nil"/>
            </w:tcBorders>
            <w:noWrap/>
            <w:vAlign w:val="bottom"/>
          </w:tcPr>
          <w:p w14:paraId="16CC879C">
            <w:pPr>
              <w:widowControl/>
              <w:jc w:val="left"/>
              <w:rPr>
                <w:rFonts w:hint="eastAsia" w:ascii="仿宋" w:hAnsi="仿宋" w:eastAsia="仿宋" w:cs="仿宋"/>
                <w:color w:val="auto"/>
                <w:kern w:val="0"/>
                <w:sz w:val="22"/>
                <w:szCs w:val="22"/>
                <w:highlight w:val="none"/>
              </w:rPr>
            </w:pPr>
          </w:p>
        </w:tc>
        <w:tc>
          <w:tcPr>
            <w:tcW w:w="2273" w:type="dxa"/>
            <w:tcBorders>
              <w:top w:val="nil"/>
              <w:left w:val="nil"/>
              <w:bottom w:val="nil"/>
              <w:right w:val="nil"/>
            </w:tcBorders>
            <w:noWrap/>
            <w:vAlign w:val="bottom"/>
          </w:tcPr>
          <w:p w14:paraId="7D210FBB">
            <w:pPr>
              <w:widowControl/>
              <w:jc w:val="left"/>
              <w:rPr>
                <w:rFonts w:hint="eastAsia" w:ascii="仿宋" w:hAnsi="仿宋" w:eastAsia="仿宋" w:cs="仿宋"/>
                <w:color w:val="auto"/>
                <w:kern w:val="0"/>
                <w:sz w:val="22"/>
                <w:szCs w:val="22"/>
                <w:highlight w:val="none"/>
              </w:rPr>
            </w:pPr>
          </w:p>
        </w:tc>
      </w:tr>
    </w:tbl>
    <w:p w14:paraId="2F736514">
      <w:pPr>
        <w:jc w:val="left"/>
        <w:rPr>
          <w:rFonts w:hint="eastAsia" w:ascii="仿宋" w:hAnsi="仿宋" w:eastAsia="仿宋" w:cs="仿宋"/>
          <w:color w:val="auto"/>
          <w:highlight w:val="none"/>
        </w:rPr>
      </w:pPr>
    </w:p>
    <w:p w14:paraId="486AA575">
      <w:pPr>
        <w:jc w:val="left"/>
        <w:rPr>
          <w:rFonts w:hint="eastAsia" w:ascii="仿宋" w:hAnsi="仿宋" w:eastAsia="仿宋" w:cs="仿宋"/>
          <w:color w:val="auto"/>
          <w:highlight w:val="none"/>
        </w:rPr>
      </w:pPr>
      <w:r>
        <w:rPr>
          <w:rFonts w:hint="eastAsia" w:ascii="仿宋" w:hAnsi="仿宋" w:eastAsia="仿宋" w:cs="仿宋"/>
          <w:color w:val="auto"/>
          <w:highlight w:val="none"/>
        </w:rPr>
        <w:br w:type="page"/>
      </w:r>
    </w:p>
    <w:p w14:paraId="4197BC5D">
      <w:pPr>
        <w:pStyle w:val="4"/>
        <w:jc w:val="center"/>
        <w:rPr>
          <w:rFonts w:hint="eastAsia" w:ascii="仿宋" w:hAnsi="仿宋" w:eastAsia="仿宋" w:cs="仿宋"/>
          <w:color w:val="auto"/>
          <w:highlight w:val="none"/>
        </w:rPr>
      </w:pPr>
      <w:bookmarkStart w:id="922" w:name="_Toc106998221"/>
      <w:r>
        <w:rPr>
          <w:rFonts w:hint="eastAsia" w:ascii="仿宋" w:hAnsi="仿宋" w:eastAsia="仿宋" w:cs="仿宋"/>
          <w:color w:val="auto"/>
          <w:highlight w:val="none"/>
        </w:rPr>
        <w:t>六、实施方案</w:t>
      </w:r>
      <w:bookmarkEnd w:id="922"/>
    </w:p>
    <w:p w14:paraId="21F2EF9B">
      <w:pPr>
        <w:spacing w:line="360" w:lineRule="auto"/>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（一）概述</w:t>
      </w:r>
    </w:p>
    <w:p w14:paraId="301E0D40">
      <w:pPr>
        <w:ind w:firstLine="480" w:firstLineChars="200"/>
        <w:jc w:val="left"/>
        <w:rPr>
          <w:rFonts w:hint="eastAsia" w:ascii="仿宋" w:hAnsi="仿宋" w:eastAsia="仿宋" w:cs="仿宋"/>
          <w:color w:val="auto"/>
          <w:highlight w:val="none"/>
        </w:rPr>
      </w:pPr>
      <w:r>
        <w:rPr>
          <w:rFonts w:hint="eastAsia" w:ascii="仿宋" w:hAnsi="仿宋" w:eastAsia="仿宋" w:cs="仿宋"/>
          <w:color w:val="auto"/>
          <w:highlight w:val="none"/>
        </w:rPr>
        <w:t>1. 项目简要介绍。</w:t>
      </w:r>
    </w:p>
    <w:p w14:paraId="7636C93D">
      <w:pPr>
        <w:ind w:firstLine="480" w:firstLineChars="200"/>
        <w:jc w:val="left"/>
        <w:rPr>
          <w:rFonts w:hint="eastAsia" w:ascii="仿宋" w:hAnsi="仿宋" w:eastAsia="仿宋" w:cs="仿宋"/>
          <w:color w:val="auto"/>
          <w:highlight w:val="none"/>
        </w:rPr>
      </w:pPr>
      <w:r>
        <w:rPr>
          <w:rFonts w:hint="eastAsia" w:ascii="仿宋" w:hAnsi="仿宋" w:eastAsia="仿宋" w:cs="仿宋"/>
          <w:color w:val="auto"/>
          <w:highlight w:val="none"/>
        </w:rPr>
        <w:t>2. 项目范围。</w:t>
      </w:r>
    </w:p>
    <w:p w14:paraId="40393B90">
      <w:pPr>
        <w:ind w:firstLine="480" w:firstLineChars="200"/>
        <w:jc w:val="left"/>
        <w:rPr>
          <w:rFonts w:hint="eastAsia" w:ascii="仿宋" w:hAnsi="仿宋" w:eastAsia="仿宋" w:cs="仿宋"/>
          <w:color w:val="auto"/>
          <w:highlight w:val="none"/>
        </w:rPr>
      </w:pPr>
      <w:r>
        <w:rPr>
          <w:rFonts w:hint="eastAsia" w:ascii="仿宋" w:hAnsi="仿宋" w:eastAsia="仿宋" w:cs="仿宋"/>
          <w:color w:val="auto"/>
          <w:highlight w:val="none"/>
        </w:rPr>
        <w:t>3. 项目特点。</w:t>
      </w:r>
    </w:p>
    <w:p w14:paraId="72B58FF1">
      <w:pPr>
        <w:spacing w:line="360" w:lineRule="auto"/>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（二）总体实施方案</w:t>
      </w:r>
    </w:p>
    <w:p w14:paraId="38AFBC14">
      <w:pPr>
        <w:ind w:firstLine="480" w:firstLineChars="200"/>
        <w:jc w:val="left"/>
        <w:rPr>
          <w:rFonts w:hint="eastAsia" w:ascii="仿宋" w:hAnsi="仿宋" w:eastAsia="仿宋" w:cs="仿宋"/>
          <w:color w:val="auto"/>
          <w:highlight w:val="none"/>
        </w:rPr>
      </w:pPr>
      <w:r>
        <w:rPr>
          <w:rFonts w:hint="eastAsia" w:ascii="仿宋" w:hAnsi="仿宋" w:eastAsia="仿宋" w:cs="仿宋"/>
          <w:color w:val="auto"/>
          <w:highlight w:val="none"/>
        </w:rPr>
        <w:t>1. 项目目标（质量、工期、造价）。</w:t>
      </w:r>
    </w:p>
    <w:p w14:paraId="38D6C3E0">
      <w:pPr>
        <w:ind w:firstLine="480" w:firstLineChars="200"/>
        <w:jc w:val="left"/>
        <w:rPr>
          <w:rFonts w:hint="eastAsia" w:ascii="仿宋" w:hAnsi="仿宋" w:eastAsia="仿宋" w:cs="仿宋"/>
          <w:color w:val="auto"/>
          <w:highlight w:val="none"/>
        </w:rPr>
      </w:pPr>
      <w:r>
        <w:rPr>
          <w:rFonts w:hint="eastAsia" w:ascii="仿宋" w:hAnsi="仿宋" w:eastAsia="仿宋" w:cs="仿宋"/>
          <w:color w:val="auto"/>
          <w:highlight w:val="none"/>
        </w:rPr>
        <w:t>2. 项目实施组织形式。</w:t>
      </w:r>
    </w:p>
    <w:p w14:paraId="3DA4C73E">
      <w:pPr>
        <w:ind w:firstLine="480" w:firstLineChars="200"/>
        <w:jc w:val="left"/>
        <w:rPr>
          <w:rFonts w:hint="eastAsia" w:ascii="仿宋" w:hAnsi="仿宋" w:eastAsia="仿宋" w:cs="仿宋"/>
          <w:color w:val="auto"/>
          <w:highlight w:val="none"/>
        </w:rPr>
      </w:pPr>
      <w:r>
        <w:rPr>
          <w:rFonts w:hint="eastAsia" w:ascii="仿宋" w:hAnsi="仿宋" w:eastAsia="仿宋" w:cs="仿宋"/>
          <w:color w:val="auto"/>
          <w:highlight w:val="none"/>
        </w:rPr>
        <w:t>3. 项目阶段划分。</w:t>
      </w:r>
    </w:p>
    <w:p w14:paraId="097CD163">
      <w:pPr>
        <w:ind w:firstLine="480" w:firstLineChars="200"/>
        <w:jc w:val="left"/>
        <w:rPr>
          <w:rFonts w:hint="eastAsia" w:ascii="仿宋" w:hAnsi="仿宋" w:eastAsia="仿宋" w:cs="仿宋"/>
          <w:color w:val="auto"/>
          <w:highlight w:val="none"/>
        </w:rPr>
      </w:pPr>
      <w:r>
        <w:rPr>
          <w:rFonts w:hint="eastAsia" w:ascii="仿宋" w:hAnsi="仿宋" w:eastAsia="仿宋" w:cs="仿宋"/>
          <w:color w:val="auto"/>
          <w:highlight w:val="none"/>
        </w:rPr>
        <w:t>4. 项目工作分解结构。</w:t>
      </w:r>
    </w:p>
    <w:p w14:paraId="407D90B7">
      <w:pPr>
        <w:ind w:firstLine="480" w:firstLineChars="200"/>
        <w:jc w:val="left"/>
        <w:rPr>
          <w:rFonts w:hint="eastAsia" w:ascii="仿宋" w:hAnsi="仿宋" w:eastAsia="仿宋" w:cs="仿宋"/>
          <w:color w:val="auto"/>
          <w:highlight w:val="none"/>
        </w:rPr>
      </w:pPr>
      <w:r>
        <w:rPr>
          <w:rFonts w:hint="eastAsia" w:ascii="仿宋" w:hAnsi="仿宋" w:eastAsia="仿宋" w:cs="仿宋"/>
          <w:color w:val="auto"/>
          <w:highlight w:val="none"/>
        </w:rPr>
        <w:t>5. 对项目各阶段工作及文件的要求。</w:t>
      </w:r>
    </w:p>
    <w:p w14:paraId="15258249">
      <w:pPr>
        <w:ind w:firstLine="480" w:firstLineChars="200"/>
        <w:jc w:val="left"/>
        <w:rPr>
          <w:rFonts w:hint="eastAsia" w:ascii="仿宋" w:hAnsi="仿宋" w:eastAsia="仿宋" w:cs="仿宋"/>
          <w:color w:val="auto"/>
          <w:highlight w:val="none"/>
        </w:rPr>
      </w:pPr>
      <w:r>
        <w:rPr>
          <w:rFonts w:hint="eastAsia" w:ascii="仿宋" w:hAnsi="仿宋" w:eastAsia="仿宋" w:cs="仿宋"/>
          <w:color w:val="auto"/>
          <w:highlight w:val="none"/>
        </w:rPr>
        <w:t>6. 项目分包和采购计划。</w:t>
      </w:r>
    </w:p>
    <w:p w14:paraId="6F5E749C">
      <w:pPr>
        <w:ind w:firstLine="480" w:firstLineChars="200"/>
        <w:jc w:val="left"/>
        <w:rPr>
          <w:rFonts w:hint="eastAsia" w:ascii="仿宋" w:hAnsi="仿宋" w:eastAsia="仿宋" w:cs="仿宋"/>
          <w:color w:val="auto"/>
          <w:highlight w:val="none"/>
        </w:rPr>
      </w:pPr>
      <w:r>
        <w:rPr>
          <w:rFonts w:hint="eastAsia" w:ascii="仿宋" w:hAnsi="仿宋" w:eastAsia="仿宋" w:cs="仿宋"/>
          <w:color w:val="auto"/>
          <w:highlight w:val="none"/>
        </w:rPr>
        <w:t>7. 项目沟通与协调程序。</w:t>
      </w:r>
    </w:p>
    <w:p w14:paraId="63ED4839">
      <w:pPr>
        <w:spacing w:line="360" w:lineRule="auto"/>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（三）项目实施要点</w:t>
      </w:r>
    </w:p>
    <w:p w14:paraId="1E99B119">
      <w:pPr>
        <w:ind w:firstLine="480" w:firstLineChars="200"/>
        <w:jc w:val="left"/>
        <w:rPr>
          <w:rFonts w:hint="eastAsia" w:ascii="仿宋" w:hAnsi="仿宋" w:eastAsia="仿宋" w:cs="仿宋"/>
          <w:color w:val="auto"/>
          <w:highlight w:val="none"/>
        </w:rPr>
      </w:pPr>
      <w:r>
        <w:rPr>
          <w:rFonts w:hint="eastAsia" w:ascii="仿宋" w:hAnsi="仿宋" w:eastAsia="仿宋" w:cs="仿宋"/>
          <w:color w:val="auto"/>
          <w:highlight w:val="none"/>
        </w:rPr>
        <w:t>1. 设计实施要点。</w:t>
      </w:r>
    </w:p>
    <w:p w14:paraId="4D2B2BE7">
      <w:pPr>
        <w:ind w:firstLine="480" w:firstLineChars="200"/>
        <w:jc w:val="left"/>
        <w:rPr>
          <w:rFonts w:hint="eastAsia" w:ascii="仿宋" w:hAnsi="仿宋" w:eastAsia="仿宋" w:cs="仿宋"/>
          <w:color w:val="auto"/>
          <w:highlight w:val="none"/>
        </w:rPr>
      </w:pPr>
      <w:r>
        <w:rPr>
          <w:rFonts w:hint="eastAsia" w:ascii="仿宋" w:hAnsi="仿宋" w:eastAsia="仿宋" w:cs="仿宋"/>
          <w:color w:val="auto"/>
          <w:highlight w:val="none"/>
        </w:rPr>
        <w:t>2. 采购实施要点。</w:t>
      </w:r>
    </w:p>
    <w:p w14:paraId="478E4180">
      <w:pPr>
        <w:ind w:firstLine="480" w:firstLineChars="200"/>
        <w:jc w:val="left"/>
        <w:rPr>
          <w:rFonts w:hint="eastAsia" w:ascii="仿宋" w:hAnsi="仿宋" w:eastAsia="仿宋" w:cs="仿宋"/>
          <w:color w:val="auto"/>
          <w:highlight w:val="none"/>
        </w:rPr>
      </w:pPr>
      <w:r>
        <w:rPr>
          <w:rFonts w:hint="eastAsia" w:ascii="仿宋" w:hAnsi="仿宋" w:eastAsia="仿宋" w:cs="仿宋"/>
          <w:color w:val="auto"/>
          <w:highlight w:val="none"/>
        </w:rPr>
        <w:t>3. 施工实施要点。</w:t>
      </w:r>
    </w:p>
    <w:p w14:paraId="627DD1D3">
      <w:pPr>
        <w:ind w:firstLine="480" w:firstLineChars="200"/>
        <w:jc w:val="left"/>
        <w:rPr>
          <w:rFonts w:hint="eastAsia" w:ascii="仿宋" w:hAnsi="仿宋" w:eastAsia="仿宋" w:cs="仿宋"/>
          <w:color w:val="auto"/>
          <w:highlight w:val="none"/>
        </w:rPr>
      </w:pPr>
      <w:r>
        <w:rPr>
          <w:rFonts w:hint="eastAsia" w:ascii="仿宋" w:hAnsi="仿宋" w:eastAsia="仿宋" w:cs="仿宋"/>
          <w:color w:val="auto"/>
          <w:highlight w:val="none"/>
        </w:rPr>
        <w:t>4. 运行实施要点。</w:t>
      </w:r>
    </w:p>
    <w:p w14:paraId="43D3A9D4">
      <w:pPr>
        <w:spacing w:line="360" w:lineRule="auto"/>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（四）项目管理要点</w:t>
      </w:r>
    </w:p>
    <w:p w14:paraId="0EF522F7">
      <w:pPr>
        <w:ind w:firstLine="480" w:firstLineChars="200"/>
        <w:jc w:val="left"/>
        <w:rPr>
          <w:rFonts w:hint="eastAsia" w:ascii="仿宋" w:hAnsi="仿宋" w:eastAsia="仿宋" w:cs="仿宋"/>
          <w:color w:val="auto"/>
          <w:highlight w:val="none"/>
        </w:rPr>
      </w:pPr>
      <w:r>
        <w:rPr>
          <w:rFonts w:hint="eastAsia" w:ascii="仿宋" w:hAnsi="仿宋" w:eastAsia="仿宋" w:cs="仿宋"/>
          <w:color w:val="auto"/>
          <w:highlight w:val="none"/>
        </w:rPr>
        <w:t>1. 合同管理要点。</w:t>
      </w:r>
    </w:p>
    <w:p w14:paraId="783757DF">
      <w:pPr>
        <w:ind w:firstLine="480" w:firstLineChars="200"/>
        <w:jc w:val="left"/>
        <w:rPr>
          <w:rFonts w:hint="eastAsia" w:ascii="仿宋" w:hAnsi="仿宋" w:eastAsia="仿宋" w:cs="仿宋"/>
          <w:color w:val="auto"/>
          <w:highlight w:val="none"/>
        </w:rPr>
      </w:pPr>
      <w:r>
        <w:rPr>
          <w:rFonts w:hint="eastAsia" w:ascii="仿宋" w:hAnsi="仿宋" w:eastAsia="仿宋" w:cs="仿宋"/>
          <w:color w:val="auto"/>
          <w:highlight w:val="none"/>
        </w:rPr>
        <w:t>2. 资源管理要点。</w:t>
      </w:r>
    </w:p>
    <w:p w14:paraId="0338F6C6">
      <w:pPr>
        <w:ind w:firstLine="480" w:firstLineChars="200"/>
        <w:jc w:val="left"/>
        <w:rPr>
          <w:rFonts w:hint="eastAsia" w:ascii="仿宋" w:hAnsi="仿宋" w:eastAsia="仿宋" w:cs="仿宋"/>
          <w:color w:val="auto"/>
          <w:highlight w:val="none"/>
        </w:rPr>
      </w:pPr>
      <w:r>
        <w:rPr>
          <w:rFonts w:hint="eastAsia" w:ascii="仿宋" w:hAnsi="仿宋" w:eastAsia="仿宋" w:cs="仿宋"/>
          <w:color w:val="auto"/>
          <w:highlight w:val="none"/>
        </w:rPr>
        <w:t>3. 质量控制要点。</w:t>
      </w:r>
    </w:p>
    <w:p w14:paraId="1BECA7B6">
      <w:pPr>
        <w:ind w:firstLine="480" w:firstLineChars="200"/>
        <w:jc w:val="left"/>
        <w:rPr>
          <w:rFonts w:hint="eastAsia" w:ascii="仿宋" w:hAnsi="仿宋" w:eastAsia="仿宋" w:cs="仿宋"/>
          <w:color w:val="auto"/>
          <w:highlight w:val="none"/>
        </w:rPr>
      </w:pPr>
      <w:r>
        <w:rPr>
          <w:rFonts w:hint="eastAsia" w:ascii="仿宋" w:hAnsi="仿宋" w:eastAsia="仿宋" w:cs="仿宋"/>
          <w:color w:val="auto"/>
          <w:highlight w:val="none"/>
        </w:rPr>
        <w:t>4. 进度控制要点。</w:t>
      </w:r>
    </w:p>
    <w:p w14:paraId="4BF427CC">
      <w:pPr>
        <w:ind w:firstLine="480" w:firstLineChars="200"/>
        <w:jc w:val="left"/>
        <w:rPr>
          <w:rFonts w:hint="eastAsia" w:ascii="仿宋" w:hAnsi="仿宋" w:eastAsia="仿宋" w:cs="仿宋"/>
          <w:color w:val="auto"/>
          <w:highlight w:val="none"/>
        </w:rPr>
      </w:pPr>
      <w:r>
        <w:rPr>
          <w:rFonts w:hint="eastAsia" w:ascii="仿宋" w:hAnsi="仿宋" w:eastAsia="仿宋" w:cs="仿宋"/>
          <w:color w:val="auto"/>
          <w:highlight w:val="none"/>
        </w:rPr>
        <w:t>5. 费用估算及控制要点。</w:t>
      </w:r>
    </w:p>
    <w:p w14:paraId="51D3A6D0">
      <w:pPr>
        <w:ind w:firstLine="480" w:firstLineChars="200"/>
        <w:jc w:val="left"/>
        <w:rPr>
          <w:rFonts w:hint="eastAsia" w:ascii="仿宋" w:hAnsi="仿宋" w:eastAsia="仿宋" w:cs="仿宋"/>
          <w:color w:val="auto"/>
          <w:highlight w:val="none"/>
        </w:rPr>
      </w:pPr>
      <w:r>
        <w:rPr>
          <w:rFonts w:hint="eastAsia" w:ascii="仿宋" w:hAnsi="仿宋" w:eastAsia="仿宋" w:cs="仿宋"/>
          <w:color w:val="auto"/>
          <w:highlight w:val="none"/>
        </w:rPr>
        <w:t>6. 安全管理要点。</w:t>
      </w:r>
    </w:p>
    <w:p w14:paraId="6F7C8AE0">
      <w:pPr>
        <w:ind w:firstLine="480" w:firstLineChars="200"/>
        <w:jc w:val="left"/>
        <w:rPr>
          <w:rFonts w:hint="eastAsia" w:ascii="仿宋" w:hAnsi="仿宋" w:eastAsia="仿宋" w:cs="仿宋"/>
          <w:color w:val="auto"/>
          <w:highlight w:val="none"/>
        </w:rPr>
      </w:pPr>
      <w:r>
        <w:rPr>
          <w:rFonts w:hint="eastAsia" w:ascii="仿宋" w:hAnsi="仿宋" w:eastAsia="仿宋" w:cs="仿宋"/>
          <w:color w:val="auto"/>
          <w:highlight w:val="none"/>
        </w:rPr>
        <w:t>7. 职业健康管理要点。</w:t>
      </w:r>
    </w:p>
    <w:p w14:paraId="1B4CF3FE">
      <w:pPr>
        <w:ind w:firstLine="480" w:firstLineChars="200"/>
        <w:jc w:val="left"/>
        <w:rPr>
          <w:rFonts w:hint="eastAsia" w:ascii="仿宋" w:hAnsi="仿宋" w:eastAsia="仿宋" w:cs="仿宋"/>
          <w:color w:val="auto"/>
          <w:highlight w:val="none"/>
        </w:rPr>
      </w:pPr>
      <w:r>
        <w:rPr>
          <w:rFonts w:hint="eastAsia" w:ascii="仿宋" w:hAnsi="仿宋" w:eastAsia="仿宋" w:cs="仿宋"/>
          <w:color w:val="auto"/>
          <w:highlight w:val="none"/>
        </w:rPr>
        <w:t>8．环境管理要点。</w:t>
      </w:r>
    </w:p>
    <w:p w14:paraId="38F84CF4">
      <w:pPr>
        <w:ind w:firstLine="480" w:firstLineChars="200"/>
        <w:jc w:val="left"/>
        <w:rPr>
          <w:rFonts w:hint="eastAsia" w:ascii="仿宋" w:hAnsi="仿宋" w:eastAsia="仿宋" w:cs="仿宋"/>
          <w:color w:val="auto"/>
          <w:highlight w:val="none"/>
        </w:rPr>
      </w:pPr>
      <w:r>
        <w:rPr>
          <w:rFonts w:hint="eastAsia" w:ascii="仿宋" w:hAnsi="仿宋" w:eastAsia="仿宋" w:cs="仿宋"/>
          <w:color w:val="auto"/>
          <w:highlight w:val="none"/>
        </w:rPr>
        <w:t>9.  沟通和协调管理要点。</w:t>
      </w:r>
    </w:p>
    <w:p w14:paraId="14ED76D1">
      <w:pPr>
        <w:ind w:firstLine="480" w:firstLineChars="200"/>
        <w:jc w:val="left"/>
        <w:rPr>
          <w:rFonts w:hint="eastAsia" w:ascii="仿宋" w:hAnsi="仿宋" w:eastAsia="仿宋" w:cs="仿宋"/>
          <w:color w:val="auto"/>
          <w:highlight w:val="none"/>
        </w:rPr>
      </w:pPr>
      <w:r>
        <w:rPr>
          <w:rFonts w:hint="eastAsia" w:ascii="仿宋" w:hAnsi="仿宋" w:eastAsia="仿宋" w:cs="仿宋"/>
          <w:color w:val="auto"/>
          <w:highlight w:val="none"/>
        </w:rPr>
        <w:t>10. 财务管理要点。</w:t>
      </w:r>
    </w:p>
    <w:p w14:paraId="5C5CAEB9">
      <w:pPr>
        <w:ind w:firstLine="480" w:firstLineChars="200"/>
        <w:jc w:val="left"/>
        <w:rPr>
          <w:rFonts w:hint="eastAsia" w:ascii="仿宋" w:hAnsi="仿宋" w:eastAsia="仿宋" w:cs="仿宋"/>
          <w:color w:val="auto"/>
          <w:highlight w:val="none"/>
        </w:rPr>
      </w:pPr>
      <w:r>
        <w:rPr>
          <w:rFonts w:hint="eastAsia" w:ascii="仿宋" w:hAnsi="仿宋" w:eastAsia="仿宋" w:cs="仿宋"/>
          <w:color w:val="auto"/>
          <w:highlight w:val="none"/>
        </w:rPr>
        <w:t>11. 风险管理要点。</w:t>
      </w:r>
    </w:p>
    <w:p w14:paraId="077CB031">
      <w:pPr>
        <w:ind w:firstLine="480" w:firstLineChars="200"/>
        <w:jc w:val="left"/>
        <w:rPr>
          <w:rFonts w:hint="eastAsia" w:ascii="仿宋" w:hAnsi="仿宋" w:eastAsia="仿宋" w:cs="仿宋"/>
          <w:color w:val="auto"/>
          <w:highlight w:val="none"/>
        </w:rPr>
      </w:pPr>
      <w:r>
        <w:rPr>
          <w:rFonts w:hint="eastAsia" w:ascii="仿宋" w:hAnsi="仿宋" w:eastAsia="仿宋" w:cs="仿宋"/>
          <w:color w:val="auto"/>
          <w:highlight w:val="none"/>
        </w:rPr>
        <w:t>12. 文件及信息管理要点。</w:t>
      </w:r>
    </w:p>
    <w:p w14:paraId="7FB11C56">
      <w:pPr>
        <w:ind w:firstLine="480" w:firstLineChars="200"/>
        <w:jc w:val="left"/>
        <w:rPr>
          <w:rFonts w:hint="eastAsia" w:ascii="仿宋" w:hAnsi="仿宋" w:eastAsia="仿宋" w:cs="仿宋"/>
          <w:color w:val="auto"/>
          <w:highlight w:val="none"/>
        </w:rPr>
      </w:pPr>
      <w:r>
        <w:rPr>
          <w:rFonts w:hint="eastAsia" w:ascii="仿宋" w:hAnsi="仿宋" w:eastAsia="仿宋" w:cs="仿宋"/>
          <w:color w:val="auto"/>
          <w:highlight w:val="none"/>
        </w:rPr>
        <w:t>13. 报告制度。</w:t>
      </w:r>
    </w:p>
    <w:p w14:paraId="769E86B6">
      <w:pPr>
        <w:ind w:firstLine="480" w:firstLineChars="200"/>
        <w:jc w:val="left"/>
        <w:rPr>
          <w:rFonts w:hint="eastAsia" w:ascii="仿宋" w:hAnsi="仿宋" w:eastAsia="仿宋" w:cs="仿宋"/>
          <w:color w:val="auto"/>
          <w:szCs w:val="21"/>
          <w:highlight w:val="none"/>
        </w:rPr>
      </w:pPr>
      <w:r>
        <w:rPr>
          <w:rFonts w:hint="eastAsia" w:ascii="仿宋" w:hAnsi="仿宋" w:eastAsia="仿宋" w:cs="仿宋"/>
          <w:color w:val="auto"/>
          <w:highlight w:val="none"/>
        </w:rPr>
        <w:t>14.</w:t>
      </w:r>
      <w:r>
        <w:rPr>
          <w:rFonts w:hint="eastAsia" w:ascii="仿宋" w:hAnsi="仿宋" w:eastAsia="仿宋" w:cs="仿宋"/>
          <w:color w:val="auto"/>
          <w:szCs w:val="21"/>
          <w:highlight w:val="none"/>
        </w:rPr>
        <w:t xml:space="preserve"> 设计进度安排</w:t>
      </w:r>
    </w:p>
    <w:p w14:paraId="6335A446">
      <w:pPr>
        <w:ind w:firstLine="48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15. 设计质量、安全保证措施</w:t>
      </w:r>
    </w:p>
    <w:p w14:paraId="43614F44">
      <w:pPr>
        <w:ind w:firstLine="480" w:firstLineChars="200"/>
        <w:jc w:val="left"/>
        <w:rPr>
          <w:rFonts w:hint="eastAsia" w:ascii="仿宋" w:hAnsi="仿宋" w:eastAsia="仿宋" w:cs="仿宋"/>
          <w:color w:val="auto"/>
          <w:highlight w:val="none"/>
        </w:rPr>
      </w:pPr>
      <w:r>
        <w:rPr>
          <w:rFonts w:hint="eastAsia" w:ascii="仿宋" w:hAnsi="仿宋" w:eastAsia="仿宋" w:cs="仿宋"/>
          <w:color w:val="auto"/>
          <w:highlight w:val="none"/>
        </w:rPr>
        <w:t>说明：发包人认为上述内容应列入</w:t>
      </w:r>
      <w:r>
        <w:rPr>
          <w:rFonts w:hint="eastAsia" w:ascii="仿宋" w:hAnsi="仿宋" w:eastAsia="仿宋" w:cs="仿宋"/>
          <w:color w:val="auto"/>
          <w:szCs w:val="21"/>
          <w:highlight w:val="none"/>
        </w:rPr>
        <w:t>设计方案</w:t>
      </w:r>
      <w:r>
        <w:rPr>
          <w:rFonts w:hint="eastAsia" w:ascii="仿宋" w:hAnsi="仿宋" w:eastAsia="仿宋" w:cs="仿宋"/>
          <w:color w:val="auto"/>
          <w:highlight w:val="none"/>
        </w:rPr>
        <w:t>的，应在“投标文件格式”中“</w:t>
      </w:r>
      <w:r>
        <w:rPr>
          <w:rFonts w:hint="eastAsia" w:ascii="仿宋" w:hAnsi="仿宋" w:eastAsia="仿宋" w:cs="仿宋"/>
          <w:color w:val="auto"/>
          <w:szCs w:val="21"/>
          <w:highlight w:val="none"/>
        </w:rPr>
        <w:t>设计方案</w:t>
      </w:r>
      <w:r>
        <w:rPr>
          <w:rFonts w:hint="eastAsia" w:ascii="仿宋" w:hAnsi="仿宋" w:eastAsia="仿宋" w:cs="仿宋"/>
          <w:color w:val="auto"/>
          <w:highlight w:val="none"/>
        </w:rPr>
        <w:t>”中载明。</w:t>
      </w:r>
    </w:p>
    <w:p w14:paraId="0A7F13DB">
      <w:pPr>
        <w:jc w:val="left"/>
        <w:rPr>
          <w:rFonts w:hint="eastAsia" w:ascii="仿宋" w:hAnsi="仿宋" w:eastAsia="仿宋" w:cs="仿宋"/>
          <w:color w:val="auto"/>
          <w:highlight w:val="none"/>
        </w:rPr>
      </w:pPr>
    </w:p>
    <w:p w14:paraId="6B4D73A6">
      <w:pPr>
        <w:jc w:val="left"/>
        <w:rPr>
          <w:rFonts w:hint="eastAsia" w:ascii="仿宋" w:hAnsi="仿宋" w:eastAsia="仿宋" w:cs="仿宋"/>
          <w:color w:val="auto"/>
          <w:highlight w:val="none"/>
        </w:rPr>
      </w:pPr>
    </w:p>
    <w:p w14:paraId="788CBEA4">
      <w:pPr>
        <w:rPr>
          <w:rFonts w:hint="eastAsia" w:ascii="仿宋" w:hAnsi="仿宋" w:eastAsia="仿宋" w:cs="仿宋"/>
          <w:color w:val="auto"/>
          <w:highlight w:val="none"/>
        </w:rPr>
      </w:pPr>
      <w:bookmarkStart w:id="923" w:name="_Toc106998222"/>
      <w:r>
        <w:rPr>
          <w:rFonts w:hint="eastAsia" w:ascii="仿宋" w:hAnsi="仿宋" w:eastAsia="仿宋" w:cs="仿宋"/>
          <w:color w:val="auto"/>
          <w:highlight w:val="none"/>
        </w:rPr>
        <w:br w:type="page"/>
      </w:r>
    </w:p>
    <w:p w14:paraId="6DC4E7FC">
      <w:pPr>
        <w:pStyle w:val="4"/>
        <w:jc w:val="center"/>
        <w:rPr>
          <w:rFonts w:hint="eastAsia" w:ascii="仿宋" w:hAnsi="仿宋" w:eastAsia="仿宋" w:cs="仿宋"/>
          <w:color w:val="auto"/>
          <w:highlight w:val="none"/>
        </w:rPr>
      </w:pPr>
      <w:r>
        <w:rPr>
          <w:rFonts w:hint="eastAsia" w:ascii="仿宋" w:hAnsi="仿宋" w:eastAsia="仿宋" w:cs="仿宋"/>
          <w:color w:val="auto"/>
          <w:highlight w:val="none"/>
        </w:rPr>
        <w:t>七、建议书及相关方案</w:t>
      </w:r>
      <w:bookmarkEnd w:id="923"/>
    </w:p>
    <w:p w14:paraId="3463473C">
      <w:pPr>
        <w:spacing w:line="440" w:lineRule="exact"/>
        <w:jc w:val="left"/>
        <w:rPr>
          <w:rFonts w:hint="eastAsia" w:ascii="仿宋" w:hAnsi="仿宋" w:eastAsia="仿宋" w:cs="仿宋"/>
          <w:color w:val="auto"/>
          <w:sz w:val="27"/>
          <w:szCs w:val="27"/>
          <w:highlight w:val="none"/>
        </w:rPr>
      </w:pPr>
    </w:p>
    <w:bookmarkEnd w:id="908"/>
    <w:bookmarkEnd w:id="909"/>
    <w:bookmarkEnd w:id="910"/>
    <w:bookmarkEnd w:id="911"/>
    <w:bookmarkEnd w:id="912"/>
    <w:p w14:paraId="5B9B3813">
      <w:pPr>
        <w:spacing w:line="440" w:lineRule="exact"/>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（一）工程详细说明</w:t>
      </w:r>
    </w:p>
    <w:p w14:paraId="256FFE6E">
      <w:pPr>
        <w:spacing w:line="440" w:lineRule="exact"/>
        <w:ind w:firstLine="480" w:firstLineChars="200"/>
        <w:jc w:val="left"/>
        <w:rPr>
          <w:rFonts w:hint="eastAsia" w:ascii="仿宋" w:hAnsi="仿宋" w:eastAsia="仿宋" w:cs="仿宋"/>
          <w:color w:val="auto"/>
          <w:highlight w:val="none"/>
        </w:rPr>
      </w:pPr>
      <w:r>
        <w:rPr>
          <w:rFonts w:hint="eastAsia" w:ascii="仿宋" w:hAnsi="仿宋" w:eastAsia="仿宋" w:cs="仿宋"/>
          <w:color w:val="auto"/>
          <w:highlight w:val="none"/>
        </w:rPr>
        <w:t>详细说明工程实际情况、经济技术指标、理念、依据等。</w:t>
      </w:r>
    </w:p>
    <w:p w14:paraId="62513C26">
      <w:pPr>
        <w:spacing w:line="440" w:lineRule="exact"/>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（二）图纸（A3规格）</w:t>
      </w:r>
    </w:p>
    <w:p w14:paraId="10660972">
      <w:pPr>
        <w:spacing w:line="440" w:lineRule="exact"/>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（三）分包方案（如有）</w:t>
      </w:r>
    </w:p>
    <w:p w14:paraId="30CE8159">
      <w:pPr>
        <w:spacing w:line="440" w:lineRule="exact"/>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（四）对发包人要求错误的说明</w:t>
      </w:r>
    </w:p>
    <w:p w14:paraId="26E33B16">
      <w:pPr>
        <w:spacing w:line="440" w:lineRule="exact"/>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（五）其他</w:t>
      </w:r>
    </w:p>
    <w:p w14:paraId="741201EE">
      <w:pPr>
        <w:jc w:val="left"/>
        <w:rPr>
          <w:rFonts w:hint="eastAsia" w:ascii="仿宋" w:hAnsi="仿宋" w:eastAsia="仿宋" w:cs="仿宋"/>
          <w:color w:val="auto"/>
          <w:highlight w:val="none"/>
        </w:rPr>
      </w:pPr>
    </w:p>
    <w:p w14:paraId="3D1F3C65">
      <w:pPr>
        <w:spacing w:line="440" w:lineRule="exact"/>
        <w:jc w:val="left"/>
        <w:rPr>
          <w:rFonts w:hint="eastAsia" w:ascii="仿宋" w:hAnsi="仿宋" w:eastAsia="仿宋" w:cs="仿宋"/>
          <w:color w:val="auto"/>
          <w:highlight w:val="none"/>
        </w:rPr>
      </w:pPr>
      <w:r>
        <w:rPr>
          <w:rFonts w:hint="eastAsia" w:ascii="仿宋" w:hAnsi="仿宋" w:eastAsia="仿宋" w:cs="仿宋"/>
          <w:color w:val="auto"/>
          <w:highlight w:val="none"/>
        </w:rPr>
        <w:t>说明：1、须针对招标文件中的招标需求和技术协议详细应答。</w:t>
      </w:r>
    </w:p>
    <w:p w14:paraId="47120C26">
      <w:pPr>
        <w:jc w:val="left"/>
        <w:rPr>
          <w:rFonts w:hint="eastAsia" w:ascii="仿宋" w:hAnsi="仿宋" w:eastAsia="仿宋" w:cs="仿宋"/>
          <w:color w:val="auto"/>
          <w:highlight w:val="none"/>
        </w:rPr>
        <w:sectPr>
          <w:headerReference r:id="rId17" w:type="default"/>
          <w:footerReference r:id="rId18" w:type="default"/>
          <w:pgSz w:w="11906" w:h="16838"/>
          <w:pgMar w:top="1247" w:right="991" w:bottom="1020" w:left="1276" w:header="851" w:footer="992" w:gutter="0"/>
          <w:pgNumType w:fmt="decimal"/>
          <w:cols w:space="720" w:num="1"/>
          <w:docGrid w:type="lines" w:linePitch="312" w:charSpace="0"/>
        </w:sectPr>
      </w:pPr>
      <w:r>
        <w:rPr>
          <w:rFonts w:hint="eastAsia" w:ascii="仿宋" w:hAnsi="仿宋" w:eastAsia="仿宋" w:cs="仿宋"/>
          <w:color w:val="auto"/>
          <w:highlight w:val="none"/>
        </w:rPr>
        <w:t xml:space="preserve">      2、图纸在招标人提供的初设文本基础上进行，深度应基本达到施工图设计深度，并尽可能深化。</w:t>
      </w:r>
    </w:p>
    <w:p w14:paraId="3FD82478">
      <w:pPr>
        <w:pStyle w:val="4"/>
        <w:jc w:val="center"/>
        <w:rPr>
          <w:rFonts w:hint="eastAsia" w:ascii="仿宋" w:hAnsi="仿宋" w:eastAsia="仿宋" w:cs="仿宋"/>
          <w:color w:val="auto"/>
          <w:highlight w:val="none"/>
        </w:rPr>
      </w:pPr>
      <w:bookmarkStart w:id="924" w:name="_Toc106998223"/>
      <w:bookmarkStart w:id="925" w:name="_Toc7956836"/>
      <w:r>
        <w:rPr>
          <w:rFonts w:hint="eastAsia" w:ascii="仿宋" w:hAnsi="仿宋" w:eastAsia="仿宋" w:cs="仿宋"/>
          <w:color w:val="auto"/>
          <w:sz w:val="27"/>
          <w:szCs w:val="27"/>
          <w:highlight w:val="none"/>
        </w:rPr>
        <w:t>八、</w:t>
      </w:r>
      <w:bookmarkStart w:id="926" w:name="_Toc247514299"/>
      <w:bookmarkStart w:id="927" w:name="_Toc152045807"/>
      <w:bookmarkStart w:id="928" w:name="_Toc247527847"/>
      <w:bookmarkStart w:id="929" w:name="_Toc152042596"/>
      <w:bookmarkStart w:id="930" w:name="_Toc144974875"/>
      <w:r>
        <w:rPr>
          <w:rFonts w:hint="eastAsia" w:ascii="仿宋" w:hAnsi="仿宋" w:eastAsia="仿宋" w:cs="仿宋"/>
          <w:color w:val="auto"/>
          <w:highlight w:val="none"/>
        </w:rPr>
        <w:t>资格审查资料</w:t>
      </w:r>
      <w:bookmarkEnd w:id="924"/>
      <w:bookmarkEnd w:id="925"/>
      <w:bookmarkEnd w:id="926"/>
      <w:bookmarkEnd w:id="927"/>
      <w:bookmarkEnd w:id="928"/>
      <w:bookmarkEnd w:id="929"/>
      <w:bookmarkEnd w:id="930"/>
    </w:p>
    <w:p w14:paraId="4FA29874">
      <w:pPr>
        <w:pStyle w:val="5"/>
        <w:jc w:val="left"/>
        <w:rPr>
          <w:rFonts w:hint="eastAsia" w:ascii="仿宋" w:hAnsi="仿宋" w:eastAsia="仿宋" w:cs="仿宋"/>
          <w:color w:val="auto"/>
          <w:sz w:val="23"/>
          <w:szCs w:val="23"/>
          <w:highlight w:val="none"/>
        </w:rPr>
      </w:pPr>
      <w:bookmarkStart w:id="931" w:name="_Toc152045808"/>
      <w:bookmarkStart w:id="932" w:name="_Toc247514300"/>
      <w:bookmarkStart w:id="933" w:name="_Toc247527848"/>
      <w:bookmarkStart w:id="934" w:name="_Toc152042597"/>
      <w:bookmarkStart w:id="935" w:name="_Toc7956837"/>
      <w:bookmarkStart w:id="936" w:name="_Toc106998224"/>
      <w:bookmarkStart w:id="937" w:name="_Toc144974876"/>
      <w:r>
        <w:rPr>
          <w:rFonts w:hint="eastAsia" w:ascii="仿宋" w:hAnsi="仿宋" w:eastAsia="仿宋" w:cs="仿宋"/>
          <w:color w:val="auto"/>
          <w:highlight w:val="none"/>
        </w:rPr>
        <w:t>（一）投标人基本情况表</w:t>
      </w:r>
      <w:bookmarkEnd w:id="931"/>
      <w:bookmarkEnd w:id="932"/>
      <w:bookmarkEnd w:id="933"/>
      <w:bookmarkEnd w:id="934"/>
      <w:bookmarkEnd w:id="935"/>
      <w:bookmarkEnd w:id="936"/>
      <w:bookmarkEnd w:id="937"/>
    </w:p>
    <w:tbl>
      <w:tblPr>
        <w:tblStyle w:val="39"/>
        <w:tblW w:w="8568"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728"/>
        <w:gridCol w:w="898"/>
        <w:gridCol w:w="951"/>
        <w:gridCol w:w="840"/>
        <w:gridCol w:w="420"/>
        <w:gridCol w:w="311"/>
        <w:gridCol w:w="1078"/>
        <w:gridCol w:w="490"/>
        <w:gridCol w:w="860"/>
        <w:gridCol w:w="992"/>
      </w:tblGrid>
      <w:tr w14:paraId="03DC932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1" w:hRule="atLeast"/>
        </w:trPr>
        <w:tc>
          <w:tcPr>
            <w:tcW w:w="1728" w:type="dxa"/>
            <w:tcBorders>
              <w:top w:val="single" w:color="auto" w:sz="4" w:space="0"/>
              <w:bottom w:val="single" w:color="auto" w:sz="4" w:space="0"/>
              <w:right w:val="single" w:color="auto" w:sz="4" w:space="0"/>
            </w:tcBorders>
            <w:noWrap w:val="0"/>
            <w:vAlign w:val="center"/>
          </w:tcPr>
          <w:p w14:paraId="11E0D161">
            <w:pPr>
              <w:keepNext w:val="0"/>
              <w:keepLines w:val="0"/>
              <w:pageBreakBefore w:val="0"/>
              <w:widowControl/>
              <w:kinsoku/>
              <w:wordWrap/>
              <w:overflowPunct/>
              <w:topLinePunct/>
              <w:autoSpaceDE/>
              <w:autoSpaceDN/>
              <w:bidi w:val="0"/>
              <w:adjustRightInd/>
              <w:snapToGrid/>
              <w:spacing w:line="440" w:lineRule="exact"/>
              <w:ind w:firstLine="0" w:firstLineChars="0"/>
              <w:jc w:val="left"/>
              <w:textAlignment w:val="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投标人名称</w:t>
            </w:r>
          </w:p>
        </w:tc>
        <w:tc>
          <w:tcPr>
            <w:tcW w:w="6840" w:type="dxa"/>
            <w:gridSpan w:val="9"/>
            <w:tcBorders>
              <w:top w:val="single" w:color="auto" w:sz="4" w:space="0"/>
              <w:left w:val="single" w:color="auto" w:sz="4" w:space="0"/>
              <w:bottom w:val="single" w:color="auto" w:sz="4" w:space="0"/>
            </w:tcBorders>
            <w:noWrap w:val="0"/>
            <w:vAlign w:val="center"/>
          </w:tcPr>
          <w:p w14:paraId="44F1C22E">
            <w:pPr>
              <w:keepNext w:val="0"/>
              <w:keepLines w:val="0"/>
              <w:pageBreakBefore w:val="0"/>
              <w:widowControl/>
              <w:kinsoku/>
              <w:wordWrap/>
              <w:overflowPunct/>
              <w:topLinePunct/>
              <w:autoSpaceDE/>
              <w:autoSpaceDN/>
              <w:bidi w:val="0"/>
              <w:adjustRightInd/>
              <w:snapToGrid/>
              <w:spacing w:line="440" w:lineRule="exact"/>
              <w:ind w:firstLine="0" w:firstLineChars="0"/>
              <w:jc w:val="left"/>
              <w:textAlignment w:val="auto"/>
              <w:rPr>
                <w:rFonts w:hint="eastAsia" w:ascii="仿宋" w:hAnsi="仿宋" w:eastAsia="仿宋" w:cs="仿宋"/>
                <w:color w:val="auto"/>
                <w:szCs w:val="21"/>
                <w:highlight w:val="none"/>
              </w:rPr>
            </w:pPr>
          </w:p>
        </w:tc>
      </w:tr>
      <w:tr w14:paraId="1124162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11" w:hRule="atLeast"/>
        </w:trPr>
        <w:tc>
          <w:tcPr>
            <w:tcW w:w="1728" w:type="dxa"/>
            <w:tcBorders>
              <w:top w:val="single" w:color="auto" w:sz="4" w:space="0"/>
              <w:bottom w:val="single" w:color="auto" w:sz="4" w:space="0"/>
              <w:right w:val="single" w:color="auto" w:sz="4" w:space="0"/>
            </w:tcBorders>
            <w:noWrap w:val="0"/>
            <w:vAlign w:val="center"/>
          </w:tcPr>
          <w:p w14:paraId="7154ABCD">
            <w:pPr>
              <w:keepNext w:val="0"/>
              <w:keepLines w:val="0"/>
              <w:pageBreakBefore w:val="0"/>
              <w:widowControl/>
              <w:kinsoku/>
              <w:wordWrap/>
              <w:overflowPunct/>
              <w:topLinePunct/>
              <w:autoSpaceDE/>
              <w:autoSpaceDN/>
              <w:bidi w:val="0"/>
              <w:adjustRightInd/>
              <w:snapToGrid/>
              <w:spacing w:line="440" w:lineRule="exact"/>
              <w:ind w:firstLine="0" w:firstLineChars="0"/>
              <w:jc w:val="left"/>
              <w:textAlignment w:val="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注册地址</w:t>
            </w:r>
          </w:p>
        </w:tc>
        <w:tc>
          <w:tcPr>
            <w:tcW w:w="3420" w:type="dxa"/>
            <w:gridSpan w:val="5"/>
            <w:tcBorders>
              <w:top w:val="single" w:color="auto" w:sz="4" w:space="0"/>
              <w:left w:val="single" w:color="auto" w:sz="4" w:space="0"/>
              <w:bottom w:val="single" w:color="auto" w:sz="4" w:space="0"/>
              <w:right w:val="single" w:color="auto" w:sz="4" w:space="0"/>
            </w:tcBorders>
            <w:noWrap w:val="0"/>
            <w:vAlign w:val="center"/>
          </w:tcPr>
          <w:p w14:paraId="6E2D4B14">
            <w:pPr>
              <w:keepNext w:val="0"/>
              <w:keepLines w:val="0"/>
              <w:pageBreakBefore w:val="0"/>
              <w:widowControl/>
              <w:kinsoku/>
              <w:wordWrap/>
              <w:overflowPunct/>
              <w:topLinePunct/>
              <w:autoSpaceDE/>
              <w:autoSpaceDN/>
              <w:bidi w:val="0"/>
              <w:adjustRightInd/>
              <w:snapToGrid/>
              <w:spacing w:line="440" w:lineRule="exact"/>
              <w:ind w:firstLine="0" w:firstLineChars="0"/>
              <w:jc w:val="left"/>
              <w:textAlignment w:val="auto"/>
              <w:rPr>
                <w:rFonts w:hint="eastAsia" w:ascii="仿宋" w:hAnsi="仿宋" w:eastAsia="仿宋" w:cs="仿宋"/>
                <w:color w:val="auto"/>
                <w:szCs w:val="21"/>
                <w:highlight w:val="none"/>
              </w:rPr>
            </w:pPr>
          </w:p>
        </w:tc>
        <w:tc>
          <w:tcPr>
            <w:tcW w:w="1078" w:type="dxa"/>
            <w:tcBorders>
              <w:top w:val="single" w:color="auto" w:sz="4" w:space="0"/>
              <w:left w:val="single" w:color="auto" w:sz="4" w:space="0"/>
              <w:bottom w:val="single" w:color="auto" w:sz="4" w:space="0"/>
              <w:right w:val="single" w:color="auto" w:sz="4" w:space="0"/>
            </w:tcBorders>
            <w:noWrap w:val="0"/>
            <w:vAlign w:val="center"/>
          </w:tcPr>
          <w:p w14:paraId="7119B89D">
            <w:pPr>
              <w:keepNext w:val="0"/>
              <w:keepLines w:val="0"/>
              <w:pageBreakBefore w:val="0"/>
              <w:widowControl/>
              <w:kinsoku/>
              <w:wordWrap/>
              <w:overflowPunct/>
              <w:topLinePunct/>
              <w:autoSpaceDE/>
              <w:autoSpaceDN/>
              <w:bidi w:val="0"/>
              <w:adjustRightInd/>
              <w:snapToGrid/>
              <w:spacing w:line="440" w:lineRule="exact"/>
              <w:ind w:firstLine="0" w:firstLineChars="0"/>
              <w:jc w:val="left"/>
              <w:textAlignment w:val="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邮政编码</w:t>
            </w:r>
          </w:p>
        </w:tc>
        <w:tc>
          <w:tcPr>
            <w:tcW w:w="2342" w:type="dxa"/>
            <w:gridSpan w:val="3"/>
            <w:tcBorders>
              <w:top w:val="single" w:color="auto" w:sz="4" w:space="0"/>
              <w:left w:val="single" w:color="auto" w:sz="4" w:space="0"/>
              <w:bottom w:val="single" w:color="auto" w:sz="4" w:space="0"/>
            </w:tcBorders>
            <w:noWrap w:val="0"/>
            <w:vAlign w:val="center"/>
          </w:tcPr>
          <w:p w14:paraId="056A48F9">
            <w:pPr>
              <w:keepNext w:val="0"/>
              <w:keepLines w:val="0"/>
              <w:pageBreakBefore w:val="0"/>
              <w:widowControl/>
              <w:kinsoku/>
              <w:wordWrap/>
              <w:overflowPunct/>
              <w:topLinePunct/>
              <w:autoSpaceDE/>
              <w:autoSpaceDN/>
              <w:bidi w:val="0"/>
              <w:adjustRightInd/>
              <w:snapToGrid/>
              <w:spacing w:line="440" w:lineRule="exact"/>
              <w:ind w:firstLine="0" w:firstLineChars="0"/>
              <w:jc w:val="left"/>
              <w:textAlignment w:val="auto"/>
              <w:rPr>
                <w:rFonts w:hint="eastAsia" w:ascii="仿宋" w:hAnsi="仿宋" w:eastAsia="仿宋" w:cs="仿宋"/>
                <w:color w:val="auto"/>
                <w:szCs w:val="21"/>
                <w:highlight w:val="none"/>
              </w:rPr>
            </w:pPr>
          </w:p>
        </w:tc>
      </w:tr>
      <w:tr w14:paraId="23D3C46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605" w:hRule="atLeast"/>
        </w:trPr>
        <w:tc>
          <w:tcPr>
            <w:tcW w:w="1728" w:type="dxa"/>
            <w:vMerge w:val="restart"/>
            <w:tcBorders>
              <w:top w:val="single" w:color="auto" w:sz="4" w:space="0"/>
              <w:bottom w:val="single" w:color="auto" w:sz="4" w:space="0"/>
              <w:right w:val="single" w:color="auto" w:sz="4" w:space="0"/>
            </w:tcBorders>
            <w:noWrap w:val="0"/>
            <w:vAlign w:val="center"/>
          </w:tcPr>
          <w:p w14:paraId="366B372A">
            <w:pPr>
              <w:keepNext w:val="0"/>
              <w:keepLines w:val="0"/>
              <w:pageBreakBefore w:val="0"/>
              <w:widowControl/>
              <w:kinsoku/>
              <w:wordWrap/>
              <w:overflowPunct/>
              <w:topLinePunct/>
              <w:autoSpaceDE/>
              <w:autoSpaceDN/>
              <w:bidi w:val="0"/>
              <w:adjustRightInd/>
              <w:snapToGrid/>
              <w:spacing w:line="440" w:lineRule="exact"/>
              <w:ind w:firstLine="0" w:firstLineChars="0"/>
              <w:jc w:val="left"/>
              <w:textAlignment w:val="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联系方式</w:t>
            </w:r>
          </w:p>
        </w:tc>
        <w:tc>
          <w:tcPr>
            <w:tcW w:w="898" w:type="dxa"/>
            <w:tcBorders>
              <w:top w:val="single" w:color="auto" w:sz="4" w:space="0"/>
              <w:left w:val="single" w:color="auto" w:sz="4" w:space="0"/>
              <w:bottom w:val="single" w:color="auto" w:sz="4" w:space="0"/>
              <w:right w:val="single" w:color="auto" w:sz="4" w:space="0"/>
            </w:tcBorders>
            <w:noWrap w:val="0"/>
            <w:vAlign w:val="center"/>
          </w:tcPr>
          <w:p w14:paraId="27304B34">
            <w:pPr>
              <w:keepNext w:val="0"/>
              <w:keepLines w:val="0"/>
              <w:pageBreakBefore w:val="0"/>
              <w:widowControl/>
              <w:kinsoku/>
              <w:wordWrap/>
              <w:overflowPunct/>
              <w:topLinePunct/>
              <w:autoSpaceDE/>
              <w:autoSpaceDN/>
              <w:bidi w:val="0"/>
              <w:adjustRightInd/>
              <w:snapToGrid/>
              <w:spacing w:line="440" w:lineRule="exact"/>
              <w:ind w:firstLine="0" w:firstLineChars="0"/>
              <w:jc w:val="left"/>
              <w:textAlignment w:val="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联系人</w:t>
            </w:r>
          </w:p>
        </w:tc>
        <w:tc>
          <w:tcPr>
            <w:tcW w:w="2522" w:type="dxa"/>
            <w:gridSpan w:val="4"/>
            <w:tcBorders>
              <w:top w:val="single" w:color="auto" w:sz="4" w:space="0"/>
              <w:left w:val="single" w:color="auto" w:sz="4" w:space="0"/>
              <w:bottom w:val="single" w:color="auto" w:sz="4" w:space="0"/>
              <w:right w:val="single" w:color="auto" w:sz="4" w:space="0"/>
            </w:tcBorders>
            <w:noWrap w:val="0"/>
            <w:vAlign w:val="center"/>
          </w:tcPr>
          <w:p w14:paraId="5BCC8EF1">
            <w:pPr>
              <w:keepNext w:val="0"/>
              <w:keepLines w:val="0"/>
              <w:pageBreakBefore w:val="0"/>
              <w:widowControl/>
              <w:kinsoku/>
              <w:wordWrap/>
              <w:overflowPunct/>
              <w:topLinePunct/>
              <w:autoSpaceDE/>
              <w:autoSpaceDN/>
              <w:bidi w:val="0"/>
              <w:adjustRightInd/>
              <w:snapToGrid/>
              <w:spacing w:line="440" w:lineRule="exact"/>
              <w:ind w:firstLine="0" w:firstLineChars="0"/>
              <w:jc w:val="left"/>
              <w:textAlignment w:val="auto"/>
              <w:rPr>
                <w:rFonts w:hint="eastAsia" w:ascii="仿宋" w:hAnsi="仿宋" w:eastAsia="仿宋" w:cs="仿宋"/>
                <w:color w:val="auto"/>
                <w:szCs w:val="21"/>
                <w:highlight w:val="none"/>
              </w:rPr>
            </w:pPr>
          </w:p>
        </w:tc>
        <w:tc>
          <w:tcPr>
            <w:tcW w:w="1078" w:type="dxa"/>
            <w:tcBorders>
              <w:top w:val="single" w:color="auto" w:sz="4" w:space="0"/>
              <w:left w:val="single" w:color="auto" w:sz="4" w:space="0"/>
              <w:bottom w:val="single" w:color="auto" w:sz="4" w:space="0"/>
              <w:right w:val="single" w:color="auto" w:sz="4" w:space="0"/>
            </w:tcBorders>
            <w:noWrap w:val="0"/>
            <w:vAlign w:val="center"/>
          </w:tcPr>
          <w:p w14:paraId="59898C45">
            <w:pPr>
              <w:keepNext w:val="0"/>
              <w:keepLines w:val="0"/>
              <w:pageBreakBefore w:val="0"/>
              <w:widowControl/>
              <w:kinsoku/>
              <w:wordWrap/>
              <w:overflowPunct/>
              <w:topLinePunct/>
              <w:autoSpaceDE/>
              <w:autoSpaceDN/>
              <w:bidi w:val="0"/>
              <w:adjustRightInd/>
              <w:snapToGrid/>
              <w:spacing w:line="440" w:lineRule="exact"/>
              <w:ind w:firstLine="0" w:firstLineChars="0"/>
              <w:jc w:val="left"/>
              <w:textAlignment w:val="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电话</w:t>
            </w:r>
          </w:p>
        </w:tc>
        <w:tc>
          <w:tcPr>
            <w:tcW w:w="2342" w:type="dxa"/>
            <w:gridSpan w:val="3"/>
            <w:tcBorders>
              <w:top w:val="single" w:color="auto" w:sz="4" w:space="0"/>
              <w:left w:val="single" w:color="auto" w:sz="4" w:space="0"/>
              <w:bottom w:val="single" w:color="auto" w:sz="4" w:space="0"/>
            </w:tcBorders>
            <w:noWrap w:val="0"/>
            <w:vAlign w:val="center"/>
          </w:tcPr>
          <w:p w14:paraId="492F6A71">
            <w:pPr>
              <w:keepNext w:val="0"/>
              <w:keepLines w:val="0"/>
              <w:pageBreakBefore w:val="0"/>
              <w:widowControl/>
              <w:kinsoku/>
              <w:wordWrap/>
              <w:overflowPunct/>
              <w:topLinePunct/>
              <w:autoSpaceDE/>
              <w:autoSpaceDN/>
              <w:bidi w:val="0"/>
              <w:adjustRightInd/>
              <w:snapToGrid/>
              <w:spacing w:line="440" w:lineRule="exact"/>
              <w:ind w:firstLine="0" w:firstLineChars="0"/>
              <w:jc w:val="left"/>
              <w:textAlignment w:val="auto"/>
              <w:rPr>
                <w:rFonts w:hint="eastAsia" w:ascii="仿宋" w:hAnsi="仿宋" w:eastAsia="仿宋" w:cs="仿宋"/>
                <w:color w:val="auto"/>
                <w:szCs w:val="21"/>
                <w:highlight w:val="none"/>
              </w:rPr>
            </w:pPr>
          </w:p>
        </w:tc>
      </w:tr>
      <w:tr w14:paraId="2EF3279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613" w:hRule="atLeast"/>
        </w:trPr>
        <w:tc>
          <w:tcPr>
            <w:tcW w:w="1728" w:type="dxa"/>
            <w:vMerge w:val="continue"/>
            <w:tcBorders>
              <w:top w:val="single" w:color="auto" w:sz="4" w:space="0"/>
              <w:bottom w:val="single" w:color="auto" w:sz="4" w:space="0"/>
              <w:right w:val="single" w:color="auto" w:sz="4" w:space="0"/>
            </w:tcBorders>
            <w:noWrap w:val="0"/>
            <w:vAlign w:val="center"/>
          </w:tcPr>
          <w:p w14:paraId="283C7C21">
            <w:pPr>
              <w:keepNext w:val="0"/>
              <w:keepLines w:val="0"/>
              <w:pageBreakBefore w:val="0"/>
              <w:widowControl/>
              <w:kinsoku/>
              <w:wordWrap/>
              <w:overflowPunct/>
              <w:topLinePunct/>
              <w:autoSpaceDE/>
              <w:autoSpaceDN/>
              <w:bidi w:val="0"/>
              <w:adjustRightInd/>
              <w:snapToGrid/>
              <w:spacing w:line="440" w:lineRule="exact"/>
              <w:ind w:firstLine="0" w:firstLineChars="0"/>
              <w:jc w:val="left"/>
              <w:textAlignment w:val="auto"/>
              <w:rPr>
                <w:rFonts w:hint="eastAsia" w:ascii="仿宋" w:hAnsi="仿宋" w:eastAsia="仿宋" w:cs="仿宋"/>
                <w:color w:val="auto"/>
                <w:szCs w:val="21"/>
                <w:highlight w:val="none"/>
              </w:rPr>
            </w:pPr>
          </w:p>
        </w:tc>
        <w:tc>
          <w:tcPr>
            <w:tcW w:w="898" w:type="dxa"/>
            <w:tcBorders>
              <w:top w:val="single" w:color="auto" w:sz="4" w:space="0"/>
              <w:left w:val="single" w:color="auto" w:sz="4" w:space="0"/>
              <w:bottom w:val="single" w:color="auto" w:sz="4" w:space="0"/>
              <w:right w:val="single" w:color="auto" w:sz="4" w:space="0"/>
            </w:tcBorders>
            <w:noWrap w:val="0"/>
            <w:vAlign w:val="center"/>
          </w:tcPr>
          <w:p w14:paraId="5935C09F">
            <w:pPr>
              <w:keepNext w:val="0"/>
              <w:keepLines w:val="0"/>
              <w:pageBreakBefore w:val="0"/>
              <w:widowControl/>
              <w:kinsoku/>
              <w:wordWrap/>
              <w:overflowPunct/>
              <w:topLinePunct/>
              <w:autoSpaceDE/>
              <w:autoSpaceDN/>
              <w:bidi w:val="0"/>
              <w:adjustRightInd/>
              <w:snapToGrid/>
              <w:spacing w:line="440" w:lineRule="exact"/>
              <w:ind w:firstLine="0" w:firstLineChars="0"/>
              <w:jc w:val="left"/>
              <w:textAlignment w:val="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传真</w:t>
            </w:r>
          </w:p>
        </w:tc>
        <w:tc>
          <w:tcPr>
            <w:tcW w:w="2522" w:type="dxa"/>
            <w:gridSpan w:val="4"/>
            <w:tcBorders>
              <w:top w:val="single" w:color="auto" w:sz="4" w:space="0"/>
              <w:left w:val="single" w:color="auto" w:sz="4" w:space="0"/>
              <w:bottom w:val="single" w:color="auto" w:sz="4" w:space="0"/>
              <w:right w:val="single" w:color="auto" w:sz="4" w:space="0"/>
            </w:tcBorders>
            <w:noWrap w:val="0"/>
            <w:vAlign w:val="center"/>
          </w:tcPr>
          <w:p w14:paraId="1DF05709">
            <w:pPr>
              <w:keepNext w:val="0"/>
              <w:keepLines w:val="0"/>
              <w:pageBreakBefore w:val="0"/>
              <w:widowControl/>
              <w:kinsoku/>
              <w:wordWrap/>
              <w:overflowPunct/>
              <w:topLinePunct/>
              <w:autoSpaceDE/>
              <w:autoSpaceDN/>
              <w:bidi w:val="0"/>
              <w:adjustRightInd/>
              <w:snapToGrid/>
              <w:spacing w:line="440" w:lineRule="exact"/>
              <w:ind w:firstLine="0" w:firstLineChars="0"/>
              <w:jc w:val="left"/>
              <w:textAlignment w:val="auto"/>
              <w:rPr>
                <w:rFonts w:hint="eastAsia" w:ascii="仿宋" w:hAnsi="仿宋" w:eastAsia="仿宋" w:cs="仿宋"/>
                <w:color w:val="auto"/>
                <w:szCs w:val="21"/>
                <w:highlight w:val="none"/>
              </w:rPr>
            </w:pPr>
          </w:p>
        </w:tc>
        <w:tc>
          <w:tcPr>
            <w:tcW w:w="1078" w:type="dxa"/>
            <w:tcBorders>
              <w:top w:val="single" w:color="auto" w:sz="4" w:space="0"/>
              <w:left w:val="single" w:color="auto" w:sz="4" w:space="0"/>
              <w:bottom w:val="single" w:color="auto" w:sz="4" w:space="0"/>
              <w:right w:val="single" w:color="auto" w:sz="4" w:space="0"/>
            </w:tcBorders>
            <w:noWrap w:val="0"/>
            <w:vAlign w:val="center"/>
          </w:tcPr>
          <w:p w14:paraId="7D024CAD">
            <w:pPr>
              <w:keepNext w:val="0"/>
              <w:keepLines w:val="0"/>
              <w:pageBreakBefore w:val="0"/>
              <w:widowControl/>
              <w:kinsoku/>
              <w:wordWrap/>
              <w:overflowPunct/>
              <w:topLinePunct/>
              <w:autoSpaceDE/>
              <w:autoSpaceDN/>
              <w:bidi w:val="0"/>
              <w:adjustRightInd/>
              <w:snapToGrid/>
              <w:spacing w:line="440" w:lineRule="exact"/>
              <w:ind w:firstLine="0" w:firstLineChars="0"/>
              <w:jc w:val="left"/>
              <w:textAlignment w:val="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网址</w:t>
            </w:r>
          </w:p>
        </w:tc>
        <w:tc>
          <w:tcPr>
            <w:tcW w:w="2342" w:type="dxa"/>
            <w:gridSpan w:val="3"/>
            <w:tcBorders>
              <w:top w:val="single" w:color="auto" w:sz="4" w:space="0"/>
              <w:left w:val="single" w:color="auto" w:sz="4" w:space="0"/>
              <w:bottom w:val="single" w:color="auto" w:sz="4" w:space="0"/>
            </w:tcBorders>
            <w:noWrap w:val="0"/>
            <w:vAlign w:val="center"/>
          </w:tcPr>
          <w:p w14:paraId="5AAC8A5D">
            <w:pPr>
              <w:keepNext w:val="0"/>
              <w:keepLines w:val="0"/>
              <w:pageBreakBefore w:val="0"/>
              <w:widowControl/>
              <w:kinsoku/>
              <w:wordWrap/>
              <w:overflowPunct/>
              <w:topLinePunct/>
              <w:autoSpaceDE/>
              <w:autoSpaceDN/>
              <w:bidi w:val="0"/>
              <w:adjustRightInd/>
              <w:snapToGrid/>
              <w:spacing w:line="440" w:lineRule="exact"/>
              <w:ind w:firstLine="0" w:firstLineChars="0"/>
              <w:jc w:val="left"/>
              <w:textAlignment w:val="auto"/>
              <w:rPr>
                <w:rFonts w:hint="eastAsia" w:ascii="仿宋" w:hAnsi="仿宋" w:eastAsia="仿宋" w:cs="仿宋"/>
                <w:color w:val="auto"/>
                <w:szCs w:val="21"/>
                <w:highlight w:val="none"/>
              </w:rPr>
            </w:pPr>
          </w:p>
        </w:tc>
      </w:tr>
      <w:tr w14:paraId="3AC239E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14" w:hRule="atLeast"/>
        </w:trPr>
        <w:tc>
          <w:tcPr>
            <w:tcW w:w="1728" w:type="dxa"/>
            <w:tcBorders>
              <w:top w:val="single" w:color="auto" w:sz="4" w:space="0"/>
              <w:bottom w:val="single" w:color="auto" w:sz="4" w:space="0"/>
              <w:right w:val="single" w:color="auto" w:sz="4" w:space="0"/>
            </w:tcBorders>
            <w:noWrap w:val="0"/>
            <w:vAlign w:val="center"/>
          </w:tcPr>
          <w:p w14:paraId="350C8FBA">
            <w:pPr>
              <w:keepNext w:val="0"/>
              <w:keepLines w:val="0"/>
              <w:pageBreakBefore w:val="0"/>
              <w:widowControl/>
              <w:kinsoku/>
              <w:wordWrap/>
              <w:overflowPunct/>
              <w:topLinePunct/>
              <w:autoSpaceDE/>
              <w:autoSpaceDN/>
              <w:bidi w:val="0"/>
              <w:adjustRightInd/>
              <w:snapToGrid/>
              <w:spacing w:line="440" w:lineRule="exact"/>
              <w:ind w:firstLine="0" w:firstLineChars="0"/>
              <w:jc w:val="left"/>
              <w:textAlignment w:val="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组织结构</w:t>
            </w:r>
          </w:p>
        </w:tc>
        <w:tc>
          <w:tcPr>
            <w:tcW w:w="6840" w:type="dxa"/>
            <w:gridSpan w:val="9"/>
            <w:tcBorders>
              <w:top w:val="single" w:color="auto" w:sz="4" w:space="0"/>
              <w:left w:val="single" w:color="auto" w:sz="4" w:space="0"/>
              <w:bottom w:val="single" w:color="auto" w:sz="4" w:space="0"/>
            </w:tcBorders>
            <w:noWrap w:val="0"/>
            <w:vAlign w:val="center"/>
          </w:tcPr>
          <w:p w14:paraId="5EBC4706">
            <w:pPr>
              <w:keepNext w:val="0"/>
              <w:keepLines w:val="0"/>
              <w:pageBreakBefore w:val="0"/>
              <w:widowControl/>
              <w:kinsoku/>
              <w:wordWrap/>
              <w:overflowPunct/>
              <w:topLinePunct/>
              <w:autoSpaceDE/>
              <w:autoSpaceDN/>
              <w:bidi w:val="0"/>
              <w:adjustRightInd/>
              <w:snapToGrid/>
              <w:spacing w:line="440" w:lineRule="exact"/>
              <w:ind w:firstLine="0" w:firstLineChars="0"/>
              <w:jc w:val="left"/>
              <w:textAlignment w:val="auto"/>
              <w:rPr>
                <w:rFonts w:hint="eastAsia" w:ascii="仿宋" w:hAnsi="仿宋" w:eastAsia="仿宋" w:cs="仿宋"/>
                <w:color w:val="auto"/>
                <w:szCs w:val="21"/>
                <w:highlight w:val="none"/>
              </w:rPr>
            </w:pPr>
          </w:p>
        </w:tc>
      </w:tr>
      <w:tr w14:paraId="5413438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08" w:hRule="atLeast"/>
        </w:trPr>
        <w:tc>
          <w:tcPr>
            <w:tcW w:w="1728" w:type="dxa"/>
            <w:tcBorders>
              <w:top w:val="single" w:color="auto" w:sz="4" w:space="0"/>
              <w:bottom w:val="single" w:color="auto" w:sz="4" w:space="0"/>
              <w:right w:val="single" w:color="auto" w:sz="4" w:space="0"/>
            </w:tcBorders>
            <w:noWrap w:val="0"/>
            <w:vAlign w:val="center"/>
          </w:tcPr>
          <w:p w14:paraId="622E5B24">
            <w:pPr>
              <w:keepNext w:val="0"/>
              <w:keepLines w:val="0"/>
              <w:pageBreakBefore w:val="0"/>
              <w:widowControl/>
              <w:kinsoku/>
              <w:wordWrap/>
              <w:overflowPunct/>
              <w:topLinePunct/>
              <w:autoSpaceDE/>
              <w:autoSpaceDN/>
              <w:bidi w:val="0"/>
              <w:adjustRightInd/>
              <w:snapToGrid/>
              <w:spacing w:line="440" w:lineRule="exact"/>
              <w:ind w:firstLine="0" w:firstLineChars="0"/>
              <w:jc w:val="left"/>
              <w:textAlignment w:val="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法定代表人</w:t>
            </w:r>
          </w:p>
        </w:tc>
        <w:tc>
          <w:tcPr>
            <w:tcW w:w="898" w:type="dxa"/>
            <w:tcBorders>
              <w:top w:val="single" w:color="auto" w:sz="4" w:space="0"/>
              <w:left w:val="single" w:color="auto" w:sz="4" w:space="0"/>
              <w:bottom w:val="single" w:color="auto" w:sz="4" w:space="0"/>
              <w:right w:val="single" w:color="auto" w:sz="4" w:space="0"/>
            </w:tcBorders>
            <w:noWrap w:val="0"/>
            <w:vAlign w:val="center"/>
          </w:tcPr>
          <w:p w14:paraId="743CB32A">
            <w:pPr>
              <w:keepNext w:val="0"/>
              <w:keepLines w:val="0"/>
              <w:pageBreakBefore w:val="0"/>
              <w:widowControl/>
              <w:kinsoku/>
              <w:wordWrap/>
              <w:overflowPunct/>
              <w:topLinePunct/>
              <w:autoSpaceDE/>
              <w:autoSpaceDN/>
              <w:bidi w:val="0"/>
              <w:adjustRightInd/>
              <w:snapToGrid/>
              <w:spacing w:line="440" w:lineRule="exact"/>
              <w:ind w:firstLine="0" w:firstLineChars="0"/>
              <w:jc w:val="left"/>
              <w:textAlignment w:val="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姓名</w:t>
            </w:r>
          </w:p>
        </w:tc>
        <w:tc>
          <w:tcPr>
            <w:tcW w:w="951" w:type="dxa"/>
            <w:tcBorders>
              <w:top w:val="single" w:color="auto" w:sz="4" w:space="0"/>
              <w:left w:val="single" w:color="auto" w:sz="4" w:space="0"/>
              <w:bottom w:val="single" w:color="auto" w:sz="4" w:space="0"/>
              <w:right w:val="single" w:color="auto" w:sz="4" w:space="0"/>
            </w:tcBorders>
            <w:noWrap w:val="0"/>
            <w:vAlign w:val="center"/>
          </w:tcPr>
          <w:p w14:paraId="63F18FF4">
            <w:pPr>
              <w:keepNext w:val="0"/>
              <w:keepLines w:val="0"/>
              <w:pageBreakBefore w:val="0"/>
              <w:widowControl/>
              <w:kinsoku/>
              <w:wordWrap/>
              <w:overflowPunct/>
              <w:topLinePunct/>
              <w:autoSpaceDE/>
              <w:autoSpaceDN/>
              <w:bidi w:val="0"/>
              <w:adjustRightInd/>
              <w:snapToGrid/>
              <w:spacing w:line="440" w:lineRule="exact"/>
              <w:ind w:firstLine="0" w:firstLineChars="0"/>
              <w:jc w:val="left"/>
              <w:textAlignment w:val="auto"/>
              <w:rPr>
                <w:rFonts w:hint="eastAsia" w:ascii="仿宋" w:hAnsi="仿宋" w:eastAsia="仿宋" w:cs="仿宋"/>
                <w:color w:val="auto"/>
                <w:szCs w:val="21"/>
                <w:highlight w:val="none"/>
              </w:rPr>
            </w:pPr>
          </w:p>
        </w:tc>
        <w:tc>
          <w:tcPr>
            <w:tcW w:w="1260" w:type="dxa"/>
            <w:gridSpan w:val="2"/>
            <w:tcBorders>
              <w:top w:val="single" w:color="auto" w:sz="4" w:space="0"/>
              <w:left w:val="single" w:color="auto" w:sz="4" w:space="0"/>
              <w:bottom w:val="single" w:color="auto" w:sz="4" w:space="0"/>
              <w:right w:val="single" w:color="auto" w:sz="4" w:space="0"/>
            </w:tcBorders>
            <w:noWrap w:val="0"/>
            <w:vAlign w:val="center"/>
          </w:tcPr>
          <w:p w14:paraId="361A72B1">
            <w:pPr>
              <w:keepNext w:val="0"/>
              <w:keepLines w:val="0"/>
              <w:pageBreakBefore w:val="0"/>
              <w:widowControl/>
              <w:kinsoku/>
              <w:wordWrap/>
              <w:overflowPunct/>
              <w:topLinePunct/>
              <w:autoSpaceDE/>
              <w:autoSpaceDN/>
              <w:bidi w:val="0"/>
              <w:adjustRightInd/>
              <w:snapToGrid/>
              <w:spacing w:line="440" w:lineRule="exact"/>
              <w:ind w:firstLine="0" w:firstLineChars="0"/>
              <w:jc w:val="left"/>
              <w:textAlignment w:val="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技术职称</w:t>
            </w:r>
          </w:p>
        </w:tc>
        <w:tc>
          <w:tcPr>
            <w:tcW w:w="1879" w:type="dxa"/>
            <w:gridSpan w:val="3"/>
            <w:tcBorders>
              <w:top w:val="single" w:color="auto" w:sz="4" w:space="0"/>
              <w:left w:val="single" w:color="auto" w:sz="4" w:space="0"/>
              <w:bottom w:val="single" w:color="auto" w:sz="4" w:space="0"/>
              <w:right w:val="single" w:color="auto" w:sz="4" w:space="0"/>
            </w:tcBorders>
            <w:noWrap w:val="0"/>
            <w:vAlign w:val="center"/>
          </w:tcPr>
          <w:p w14:paraId="38598959">
            <w:pPr>
              <w:keepNext w:val="0"/>
              <w:keepLines w:val="0"/>
              <w:pageBreakBefore w:val="0"/>
              <w:widowControl/>
              <w:kinsoku/>
              <w:wordWrap/>
              <w:overflowPunct/>
              <w:topLinePunct/>
              <w:autoSpaceDE/>
              <w:autoSpaceDN/>
              <w:bidi w:val="0"/>
              <w:adjustRightInd/>
              <w:snapToGrid/>
              <w:spacing w:line="440" w:lineRule="exact"/>
              <w:ind w:firstLine="0" w:firstLineChars="0"/>
              <w:jc w:val="left"/>
              <w:textAlignment w:val="auto"/>
              <w:rPr>
                <w:rFonts w:hint="eastAsia" w:ascii="仿宋" w:hAnsi="仿宋" w:eastAsia="仿宋" w:cs="仿宋"/>
                <w:color w:val="auto"/>
                <w:szCs w:val="21"/>
                <w:highlight w:val="none"/>
              </w:rPr>
            </w:pPr>
          </w:p>
        </w:tc>
        <w:tc>
          <w:tcPr>
            <w:tcW w:w="860" w:type="dxa"/>
            <w:tcBorders>
              <w:top w:val="single" w:color="auto" w:sz="4" w:space="0"/>
              <w:left w:val="single" w:color="auto" w:sz="4" w:space="0"/>
              <w:bottom w:val="single" w:color="auto" w:sz="4" w:space="0"/>
              <w:right w:val="single" w:color="auto" w:sz="4" w:space="0"/>
            </w:tcBorders>
            <w:noWrap w:val="0"/>
            <w:vAlign w:val="center"/>
          </w:tcPr>
          <w:p w14:paraId="637DEC9E">
            <w:pPr>
              <w:keepNext w:val="0"/>
              <w:keepLines w:val="0"/>
              <w:pageBreakBefore w:val="0"/>
              <w:widowControl/>
              <w:kinsoku/>
              <w:wordWrap/>
              <w:overflowPunct/>
              <w:topLinePunct/>
              <w:autoSpaceDE/>
              <w:autoSpaceDN/>
              <w:bidi w:val="0"/>
              <w:adjustRightInd/>
              <w:snapToGrid/>
              <w:spacing w:line="440" w:lineRule="exact"/>
              <w:ind w:firstLine="0" w:firstLineChars="0"/>
              <w:jc w:val="left"/>
              <w:textAlignment w:val="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电话</w:t>
            </w:r>
          </w:p>
        </w:tc>
        <w:tc>
          <w:tcPr>
            <w:tcW w:w="992" w:type="dxa"/>
            <w:tcBorders>
              <w:top w:val="single" w:color="auto" w:sz="4" w:space="0"/>
              <w:left w:val="single" w:color="auto" w:sz="4" w:space="0"/>
              <w:bottom w:val="single" w:color="auto" w:sz="4" w:space="0"/>
            </w:tcBorders>
            <w:noWrap w:val="0"/>
            <w:vAlign w:val="center"/>
          </w:tcPr>
          <w:p w14:paraId="0CEE3247">
            <w:pPr>
              <w:keepNext w:val="0"/>
              <w:keepLines w:val="0"/>
              <w:pageBreakBefore w:val="0"/>
              <w:widowControl/>
              <w:kinsoku/>
              <w:wordWrap/>
              <w:overflowPunct/>
              <w:topLinePunct/>
              <w:autoSpaceDE/>
              <w:autoSpaceDN/>
              <w:bidi w:val="0"/>
              <w:adjustRightInd/>
              <w:snapToGrid/>
              <w:spacing w:line="440" w:lineRule="exact"/>
              <w:ind w:firstLine="0" w:firstLineChars="0"/>
              <w:jc w:val="left"/>
              <w:textAlignment w:val="auto"/>
              <w:rPr>
                <w:rFonts w:hint="eastAsia" w:ascii="仿宋" w:hAnsi="仿宋" w:eastAsia="仿宋" w:cs="仿宋"/>
                <w:color w:val="auto"/>
                <w:szCs w:val="21"/>
                <w:highlight w:val="none"/>
              </w:rPr>
            </w:pPr>
          </w:p>
        </w:tc>
      </w:tr>
      <w:tr w14:paraId="57A418A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02" w:hRule="atLeast"/>
        </w:trPr>
        <w:tc>
          <w:tcPr>
            <w:tcW w:w="1728" w:type="dxa"/>
            <w:tcBorders>
              <w:top w:val="single" w:color="auto" w:sz="4" w:space="0"/>
              <w:bottom w:val="single" w:color="auto" w:sz="4" w:space="0"/>
              <w:right w:val="single" w:color="auto" w:sz="4" w:space="0"/>
            </w:tcBorders>
            <w:noWrap w:val="0"/>
            <w:vAlign w:val="center"/>
          </w:tcPr>
          <w:p w14:paraId="341A0246">
            <w:pPr>
              <w:keepNext w:val="0"/>
              <w:keepLines w:val="0"/>
              <w:pageBreakBefore w:val="0"/>
              <w:widowControl/>
              <w:kinsoku/>
              <w:wordWrap/>
              <w:overflowPunct/>
              <w:topLinePunct/>
              <w:autoSpaceDE/>
              <w:autoSpaceDN/>
              <w:bidi w:val="0"/>
              <w:adjustRightInd/>
              <w:snapToGrid/>
              <w:spacing w:line="440" w:lineRule="exact"/>
              <w:ind w:firstLine="0" w:firstLineChars="0"/>
              <w:jc w:val="left"/>
              <w:textAlignment w:val="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技术负责人</w:t>
            </w:r>
          </w:p>
        </w:tc>
        <w:tc>
          <w:tcPr>
            <w:tcW w:w="898" w:type="dxa"/>
            <w:tcBorders>
              <w:top w:val="single" w:color="auto" w:sz="4" w:space="0"/>
              <w:left w:val="single" w:color="auto" w:sz="4" w:space="0"/>
              <w:bottom w:val="single" w:color="auto" w:sz="4" w:space="0"/>
              <w:right w:val="single" w:color="auto" w:sz="4" w:space="0"/>
            </w:tcBorders>
            <w:noWrap w:val="0"/>
            <w:vAlign w:val="center"/>
          </w:tcPr>
          <w:p w14:paraId="5FD69500">
            <w:pPr>
              <w:keepNext w:val="0"/>
              <w:keepLines w:val="0"/>
              <w:pageBreakBefore w:val="0"/>
              <w:widowControl/>
              <w:kinsoku/>
              <w:wordWrap/>
              <w:overflowPunct/>
              <w:topLinePunct/>
              <w:autoSpaceDE/>
              <w:autoSpaceDN/>
              <w:bidi w:val="0"/>
              <w:adjustRightInd/>
              <w:snapToGrid/>
              <w:spacing w:line="440" w:lineRule="exact"/>
              <w:ind w:firstLine="0" w:firstLineChars="0"/>
              <w:jc w:val="left"/>
              <w:textAlignment w:val="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姓名</w:t>
            </w:r>
          </w:p>
        </w:tc>
        <w:tc>
          <w:tcPr>
            <w:tcW w:w="951" w:type="dxa"/>
            <w:tcBorders>
              <w:top w:val="single" w:color="auto" w:sz="4" w:space="0"/>
              <w:left w:val="single" w:color="auto" w:sz="4" w:space="0"/>
              <w:bottom w:val="single" w:color="auto" w:sz="4" w:space="0"/>
              <w:right w:val="single" w:color="auto" w:sz="4" w:space="0"/>
            </w:tcBorders>
            <w:noWrap w:val="0"/>
            <w:vAlign w:val="center"/>
          </w:tcPr>
          <w:p w14:paraId="7D8C7F4A">
            <w:pPr>
              <w:keepNext w:val="0"/>
              <w:keepLines w:val="0"/>
              <w:pageBreakBefore w:val="0"/>
              <w:widowControl/>
              <w:kinsoku/>
              <w:wordWrap/>
              <w:overflowPunct/>
              <w:topLinePunct/>
              <w:autoSpaceDE/>
              <w:autoSpaceDN/>
              <w:bidi w:val="0"/>
              <w:adjustRightInd/>
              <w:snapToGrid/>
              <w:spacing w:line="440" w:lineRule="exact"/>
              <w:ind w:firstLine="0" w:firstLineChars="0"/>
              <w:jc w:val="left"/>
              <w:textAlignment w:val="auto"/>
              <w:rPr>
                <w:rFonts w:hint="eastAsia" w:ascii="仿宋" w:hAnsi="仿宋" w:eastAsia="仿宋" w:cs="仿宋"/>
                <w:color w:val="auto"/>
                <w:szCs w:val="21"/>
                <w:highlight w:val="none"/>
              </w:rPr>
            </w:pPr>
          </w:p>
        </w:tc>
        <w:tc>
          <w:tcPr>
            <w:tcW w:w="1260" w:type="dxa"/>
            <w:gridSpan w:val="2"/>
            <w:tcBorders>
              <w:top w:val="single" w:color="auto" w:sz="4" w:space="0"/>
              <w:left w:val="single" w:color="auto" w:sz="4" w:space="0"/>
              <w:bottom w:val="single" w:color="auto" w:sz="4" w:space="0"/>
              <w:right w:val="single" w:color="auto" w:sz="4" w:space="0"/>
            </w:tcBorders>
            <w:noWrap w:val="0"/>
            <w:vAlign w:val="center"/>
          </w:tcPr>
          <w:p w14:paraId="1F5F09CA">
            <w:pPr>
              <w:keepNext w:val="0"/>
              <w:keepLines w:val="0"/>
              <w:pageBreakBefore w:val="0"/>
              <w:widowControl/>
              <w:kinsoku/>
              <w:wordWrap/>
              <w:overflowPunct/>
              <w:topLinePunct/>
              <w:autoSpaceDE/>
              <w:autoSpaceDN/>
              <w:bidi w:val="0"/>
              <w:adjustRightInd/>
              <w:snapToGrid/>
              <w:spacing w:line="440" w:lineRule="exact"/>
              <w:ind w:firstLine="0" w:firstLineChars="0"/>
              <w:jc w:val="left"/>
              <w:textAlignment w:val="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技术职称</w:t>
            </w:r>
          </w:p>
        </w:tc>
        <w:tc>
          <w:tcPr>
            <w:tcW w:w="1879" w:type="dxa"/>
            <w:gridSpan w:val="3"/>
            <w:tcBorders>
              <w:top w:val="single" w:color="auto" w:sz="4" w:space="0"/>
              <w:left w:val="single" w:color="auto" w:sz="4" w:space="0"/>
              <w:bottom w:val="single" w:color="auto" w:sz="4" w:space="0"/>
              <w:right w:val="single" w:color="auto" w:sz="4" w:space="0"/>
            </w:tcBorders>
            <w:noWrap w:val="0"/>
            <w:vAlign w:val="center"/>
          </w:tcPr>
          <w:p w14:paraId="450FECF9">
            <w:pPr>
              <w:keepNext w:val="0"/>
              <w:keepLines w:val="0"/>
              <w:pageBreakBefore w:val="0"/>
              <w:widowControl/>
              <w:kinsoku/>
              <w:wordWrap/>
              <w:overflowPunct/>
              <w:topLinePunct/>
              <w:autoSpaceDE/>
              <w:autoSpaceDN/>
              <w:bidi w:val="0"/>
              <w:adjustRightInd/>
              <w:snapToGrid/>
              <w:spacing w:line="440" w:lineRule="exact"/>
              <w:ind w:firstLine="0" w:firstLineChars="0"/>
              <w:jc w:val="left"/>
              <w:textAlignment w:val="auto"/>
              <w:rPr>
                <w:rFonts w:hint="eastAsia" w:ascii="仿宋" w:hAnsi="仿宋" w:eastAsia="仿宋" w:cs="仿宋"/>
                <w:color w:val="auto"/>
                <w:szCs w:val="21"/>
                <w:highlight w:val="none"/>
              </w:rPr>
            </w:pPr>
          </w:p>
        </w:tc>
        <w:tc>
          <w:tcPr>
            <w:tcW w:w="860" w:type="dxa"/>
            <w:tcBorders>
              <w:top w:val="single" w:color="auto" w:sz="4" w:space="0"/>
              <w:left w:val="single" w:color="auto" w:sz="4" w:space="0"/>
              <w:bottom w:val="single" w:color="auto" w:sz="4" w:space="0"/>
              <w:right w:val="single" w:color="auto" w:sz="4" w:space="0"/>
            </w:tcBorders>
            <w:noWrap w:val="0"/>
            <w:vAlign w:val="center"/>
          </w:tcPr>
          <w:p w14:paraId="036C439C">
            <w:pPr>
              <w:keepNext w:val="0"/>
              <w:keepLines w:val="0"/>
              <w:pageBreakBefore w:val="0"/>
              <w:widowControl/>
              <w:kinsoku/>
              <w:wordWrap/>
              <w:overflowPunct/>
              <w:topLinePunct/>
              <w:autoSpaceDE/>
              <w:autoSpaceDN/>
              <w:bidi w:val="0"/>
              <w:adjustRightInd/>
              <w:snapToGrid/>
              <w:spacing w:line="440" w:lineRule="exact"/>
              <w:ind w:firstLine="0" w:firstLineChars="0"/>
              <w:jc w:val="left"/>
              <w:textAlignment w:val="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电话</w:t>
            </w:r>
          </w:p>
        </w:tc>
        <w:tc>
          <w:tcPr>
            <w:tcW w:w="992" w:type="dxa"/>
            <w:tcBorders>
              <w:top w:val="single" w:color="auto" w:sz="4" w:space="0"/>
              <w:left w:val="single" w:color="auto" w:sz="4" w:space="0"/>
              <w:bottom w:val="single" w:color="auto" w:sz="4" w:space="0"/>
            </w:tcBorders>
            <w:noWrap w:val="0"/>
            <w:vAlign w:val="center"/>
          </w:tcPr>
          <w:p w14:paraId="4B245721">
            <w:pPr>
              <w:keepNext w:val="0"/>
              <w:keepLines w:val="0"/>
              <w:pageBreakBefore w:val="0"/>
              <w:widowControl/>
              <w:kinsoku/>
              <w:wordWrap/>
              <w:overflowPunct/>
              <w:topLinePunct/>
              <w:autoSpaceDE/>
              <w:autoSpaceDN/>
              <w:bidi w:val="0"/>
              <w:adjustRightInd/>
              <w:snapToGrid/>
              <w:spacing w:line="440" w:lineRule="exact"/>
              <w:ind w:firstLine="0" w:firstLineChars="0"/>
              <w:jc w:val="left"/>
              <w:textAlignment w:val="auto"/>
              <w:rPr>
                <w:rFonts w:hint="eastAsia" w:ascii="仿宋" w:hAnsi="仿宋" w:eastAsia="仿宋" w:cs="仿宋"/>
                <w:color w:val="auto"/>
                <w:szCs w:val="21"/>
                <w:highlight w:val="none"/>
              </w:rPr>
            </w:pPr>
          </w:p>
        </w:tc>
      </w:tr>
      <w:tr w14:paraId="2863901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24" w:hRule="atLeast"/>
        </w:trPr>
        <w:tc>
          <w:tcPr>
            <w:tcW w:w="1728" w:type="dxa"/>
            <w:tcBorders>
              <w:top w:val="single" w:color="auto" w:sz="4" w:space="0"/>
              <w:bottom w:val="single" w:color="auto" w:sz="4" w:space="0"/>
              <w:right w:val="single" w:color="auto" w:sz="4" w:space="0"/>
            </w:tcBorders>
            <w:noWrap w:val="0"/>
            <w:vAlign w:val="center"/>
          </w:tcPr>
          <w:p w14:paraId="5DC33904">
            <w:pPr>
              <w:keepNext w:val="0"/>
              <w:keepLines w:val="0"/>
              <w:pageBreakBefore w:val="0"/>
              <w:widowControl/>
              <w:kinsoku/>
              <w:wordWrap/>
              <w:overflowPunct/>
              <w:topLinePunct/>
              <w:autoSpaceDE/>
              <w:autoSpaceDN/>
              <w:bidi w:val="0"/>
              <w:adjustRightInd/>
              <w:snapToGrid/>
              <w:spacing w:line="440" w:lineRule="exact"/>
              <w:ind w:firstLine="0" w:firstLineChars="0"/>
              <w:jc w:val="left"/>
              <w:textAlignment w:val="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成立时间</w:t>
            </w:r>
          </w:p>
        </w:tc>
        <w:tc>
          <w:tcPr>
            <w:tcW w:w="1849" w:type="dxa"/>
            <w:gridSpan w:val="2"/>
            <w:tcBorders>
              <w:top w:val="single" w:color="auto" w:sz="4" w:space="0"/>
              <w:left w:val="single" w:color="auto" w:sz="4" w:space="0"/>
              <w:bottom w:val="single" w:color="auto" w:sz="4" w:space="0"/>
              <w:right w:val="single" w:color="auto" w:sz="4" w:space="0"/>
            </w:tcBorders>
            <w:noWrap w:val="0"/>
            <w:vAlign w:val="center"/>
          </w:tcPr>
          <w:p w14:paraId="7F41EDA6">
            <w:pPr>
              <w:keepNext w:val="0"/>
              <w:keepLines w:val="0"/>
              <w:pageBreakBefore w:val="0"/>
              <w:widowControl/>
              <w:kinsoku/>
              <w:wordWrap/>
              <w:overflowPunct/>
              <w:topLinePunct/>
              <w:autoSpaceDE/>
              <w:autoSpaceDN/>
              <w:bidi w:val="0"/>
              <w:adjustRightInd/>
              <w:snapToGrid/>
              <w:spacing w:line="440" w:lineRule="exact"/>
              <w:ind w:firstLine="0" w:firstLineChars="0"/>
              <w:jc w:val="left"/>
              <w:textAlignment w:val="auto"/>
              <w:rPr>
                <w:rFonts w:hint="eastAsia" w:ascii="仿宋" w:hAnsi="仿宋" w:eastAsia="仿宋" w:cs="仿宋"/>
                <w:color w:val="auto"/>
                <w:szCs w:val="21"/>
                <w:highlight w:val="none"/>
              </w:rPr>
            </w:pPr>
          </w:p>
        </w:tc>
        <w:tc>
          <w:tcPr>
            <w:tcW w:w="4991" w:type="dxa"/>
            <w:gridSpan w:val="7"/>
            <w:tcBorders>
              <w:top w:val="single" w:color="auto" w:sz="4" w:space="0"/>
              <w:left w:val="single" w:color="auto" w:sz="4" w:space="0"/>
              <w:bottom w:val="single" w:color="auto" w:sz="4" w:space="0"/>
            </w:tcBorders>
            <w:noWrap w:val="0"/>
            <w:vAlign w:val="center"/>
          </w:tcPr>
          <w:p w14:paraId="041C91AC">
            <w:pPr>
              <w:keepNext w:val="0"/>
              <w:keepLines w:val="0"/>
              <w:pageBreakBefore w:val="0"/>
              <w:widowControl/>
              <w:kinsoku/>
              <w:wordWrap/>
              <w:overflowPunct/>
              <w:topLinePunct/>
              <w:autoSpaceDE/>
              <w:autoSpaceDN/>
              <w:bidi w:val="0"/>
              <w:adjustRightInd/>
              <w:snapToGrid/>
              <w:spacing w:line="440" w:lineRule="exact"/>
              <w:ind w:firstLine="0" w:firstLineChars="0"/>
              <w:jc w:val="left"/>
              <w:textAlignment w:val="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员工总人数：</w:t>
            </w:r>
          </w:p>
        </w:tc>
      </w:tr>
      <w:tr w14:paraId="73514CD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658" w:hRule="atLeast"/>
        </w:trPr>
        <w:tc>
          <w:tcPr>
            <w:tcW w:w="1728" w:type="dxa"/>
            <w:tcBorders>
              <w:top w:val="single" w:color="auto" w:sz="4" w:space="0"/>
              <w:bottom w:val="single" w:color="auto" w:sz="4" w:space="0"/>
              <w:right w:val="single" w:color="auto" w:sz="4" w:space="0"/>
            </w:tcBorders>
            <w:noWrap w:val="0"/>
            <w:vAlign w:val="center"/>
          </w:tcPr>
          <w:p w14:paraId="49C81CAE">
            <w:pPr>
              <w:keepNext w:val="0"/>
              <w:keepLines w:val="0"/>
              <w:pageBreakBefore w:val="0"/>
              <w:widowControl/>
              <w:kinsoku/>
              <w:wordWrap/>
              <w:overflowPunct/>
              <w:topLinePunct/>
              <w:autoSpaceDE/>
              <w:autoSpaceDN/>
              <w:bidi w:val="0"/>
              <w:adjustRightInd/>
              <w:snapToGrid/>
              <w:spacing w:line="440" w:lineRule="exact"/>
              <w:ind w:firstLine="0" w:firstLineChars="0"/>
              <w:jc w:val="left"/>
              <w:textAlignment w:val="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企业资质等级</w:t>
            </w:r>
          </w:p>
        </w:tc>
        <w:tc>
          <w:tcPr>
            <w:tcW w:w="1849" w:type="dxa"/>
            <w:gridSpan w:val="2"/>
            <w:tcBorders>
              <w:top w:val="single" w:color="auto" w:sz="4" w:space="0"/>
              <w:left w:val="single" w:color="auto" w:sz="4" w:space="0"/>
              <w:bottom w:val="single" w:color="auto" w:sz="4" w:space="0"/>
              <w:right w:val="single" w:color="auto" w:sz="4" w:space="0"/>
            </w:tcBorders>
            <w:noWrap w:val="0"/>
            <w:vAlign w:val="center"/>
          </w:tcPr>
          <w:p w14:paraId="7A107EA1">
            <w:pPr>
              <w:keepNext w:val="0"/>
              <w:keepLines w:val="0"/>
              <w:pageBreakBefore w:val="0"/>
              <w:widowControl/>
              <w:kinsoku/>
              <w:wordWrap/>
              <w:overflowPunct/>
              <w:topLinePunct/>
              <w:autoSpaceDE/>
              <w:autoSpaceDN/>
              <w:bidi w:val="0"/>
              <w:adjustRightInd/>
              <w:snapToGrid/>
              <w:spacing w:line="440" w:lineRule="exact"/>
              <w:ind w:firstLine="0" w:firstLineChars="0"/>
              <w:jc w:val="left"/>
              <w:textAlignment w:val="auto"/>
              <w:rPr>
                <w:rFonts w:hint="eastAsia" w:ascii="仿宋" w:hAnsi="仿宋" w:eastAsia="仿宋" w:cs="仿宋"/>
                <w:color w:val="auto"/>
                <w:szCs w:val="21"/>
                <w:highlight w:val="none"/>
              </w:rPr>
            </w:pPr>
          </w:p>
        </w:tc>
        <w:tc>
          <w:tcPr>
            <w:tcW w:w="840" w:type="dxa"/>
            <w:vMerge w:val="restart"/>
            <w:tcBorders>
              <w:top w:val="single" w:color="auto" w:sz="4" w:space="0"/>
              <w:left w:val="single" w:color="auto" w:sz="4" w:space="0"/>
              <w:bottom w:val="single" w:color="auto" w:sz="4" w:space="0"/>
              <w:right w:val="single" w:color="auto" w:sz="4" w:space="0"/>
            </w:tcBorders>
            <w:noWrap w:val="0"/>
            <w:vAlign w:val="center"/>
          </w:tcPr>
          <w:p w14:paraId="491B9461">
            <w:pPr>
              <w:keepNext w:val="0"/>
              <w:keepLines w:val="0"/>
              <w:pageBreakBefore w:val="0"/>
              <w:widowControl/>
              <w:kinsoku/>
              <w:wordWrap/>
              <w:overflowPunct/>
              <w:topLinePunct/>
              <w:autoSpaceDE/>
              <w:autoSpaceDN/>
              <w:bidi w:val="0"/>
              <w:adjustRightInd/>
              <w:snapToGrid/>
              <w:spacing w:line="440" w:lineRule="exact"/>
              <w:ind w:firstLine="0" w:firstLineChars="0"/>
              <w:jc w:val="left"/>
              <w:textAlignment w:val="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其中</w:t>
            </w:r>
          </w:p>
        </w:tc>
        <w:tc>
          <w:tcPr>
            <w:tcW w:w="2299" w:type="dxa"/>
            <w:gridSpan w:val="4"/>
            <w:tcBorders>
              <w:top w:val="single" w:color="auto" w:sz="4" w:space="0"/>
              <w:left w:val="single" w:color="auto" w:sz="4" w:space="0"/>
              <w:bottom w:val="single" w:color="auto" w:sz="4" w:space="0"/>
              <w:right w:val="single" w:color="auto" w:sz="4" w:space="0"/>
            </w:tcBorders>
            <w:noWrap w:val="0"/>
            <w:vAlign w:val="center"/>
          </w:tcPr>
          <w:p w14:paraId="2AA282B7">
            <w:pPr>
              <w:keepNext w:val="0"/>
              <w:keepLines w:val="0"/>
              <w:pageBreakBefore w:val="0"/>
              <w:widowControl/>
              <w:kinsoku/>
              <w:wordWrap/>
              <w:overflowPunct/>
              <w:topLinePunct/>
              <w:autoSpaceDE/>
              <w:autoSpaceDN/>
              <w:bidi w:val="0"/>
              <w:adjustRightInd/>
              <w:snapToGrid/>
              <w:spacing w:line="440" w:lineRule="exact"/>
              <w:ind w:firstLine="0" w:firstLineChars="0"/>
              <w:jc w:val="left"/>
              <w:textAlignment w:val="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项目经理</w:t>
            </w:r>
          </w:p>
        </w:tc>
        <w:tc>
          <w:tcPr>
            <w:tcW w:w="1852" w:type="dxa"/>
            <w:gridSpan w:val="2"/>
            <w:tcBorders>
              <w:top w:val="single" w:color="auto" w:sz="4" w:space="0"/>
              <w:left w:val="single" w:color="auto" w:sz="4" w:space="0"/>
              <w:bottom w:val="single" w:color="auto" w:sz="4" w:space="0"/>
            </w:tcBorders>
            <w:noWrap w:val="0"/>
            <w:vAlign w:val="center"/>
          </w:tcPr>
          <w:p w14:paraId="715373DD">
            <w:pPr>
              <w:keepNext w:val="0"/>
              <w:keepLines w:val="0"/>
              <w:pageBreakBefore w:val="0"/>
              <w:widowControl/>
              <w:kinsoku/>
              <w:wordWrap/>
              <w:overflowPunct/>
              <w:topLinePunct/>
              <w:autoSpaceDE/>
              <w:autoSpaceDN/>
              <w:bidi w:val="0"/>
              <w:adjustRightInd/>
              <w:snapToGrid/>
              <w:spacing w:line="440" w:lineRule="exact"/>
              <w:ind w:firstLine="0" w:firstLineChars="0"/>
              <w:jc w:val="left"/>
              <w:textAlignment w:val="auto"/>
              <w:rPr>
                <w:rFonts w:hint="eastAsia" w:ascii="仿宋" w:hAnsi="仿宋" w:eastAsia="仿宋" w:cs="仿宋"/>
                <w:color w:val="auto"/>
                <w:szCs w:val="21"/>
                <w:highlight w:val="none"/>
              </w:rPr>
            </w:pPr>
          </w:p>
        </w:tc>
      </w:tr>
      <w:tr w14:paraId="17DFA57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610" w:hRule="atLeast"/>
        </w:trPr>
        <w:tc>
          <w:tcPr>
            <w:tcW w:w="1728" w:type="dxa"/>
            <w:tcBorders>
              <w:top w:val="single" w:color="auto" w:sz="4" w:space="0"/>
              <w:bottom w:val="single" w:color="auto" w:sz="4" w:space="0"/>
              <w:right w:val="single" w:color="auto" w:sz="4" w:space="0"/>
            </w:tcBorders>
            <w:noWrap w:val="0"/>
            <w:vAlign w:val="center"/>
          </w:tcPr>
          <w:p w14:paraId="573F7933">
            <w:pPr>
              <w:keepNext w:val="0"/>
              <w:keepLines w:val="0"/>
              <w:pageBreakBefore w:val="0"/>
              <w:widowControl/>
              <w:kinsoku/>
              <w:wordWrap/>
              <w:overflowPunct/>
              <w:topLinePunct/>
              <w:autoSpaceDE/>
              <w:autoSpaceDN/>
              <w:bidi w:val="0"/>
              <w:adjustRightInd/>
              <w:snapToGrid/>
              <w:spacing w:line="440" w:lineRule="exact"/>
              <w:ind w:firstLine="0" w:firstLineChars="0"/>
              <w:jc w:val="left"/>
              <w:textAlignment w:val="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营业执照号</w:t>
            </w:r>
          </w:p>
        </w:tc>
        <w:tc>
          <w:tcPr>
            <w:tcW w:w="1849" w:type="dxa"/>
            <w:gridSpan w:val="2"/>
            <w:tcBorders>
              <w:top w:val="single" w:color="auto" w:sz="4" w:space="0"/>
              <w:left w:val="single" w:color="auto" w:sz="4" w:space="0"/>
              <w:bottom w:val="single" w:color="auto" w:sz="4" w:space="0"/>
              <w:right w:val="single" w:color="auto" w:sz="4" w:space="0"/>
            </w:tcBorders>
            <w:noWrap w:val="0"/>
            <w:vAlign w:val="center"/>
          </w:tcPr>
          <w:p w14:paraId="6EF4AF3D">
            <w:pPr>
              <w:keepNext w:val="0"/>
              <w:keepLines w:val="0"/>
              <w:pageBreakBefore w:val="0"/>
              <w:widowControl/>
              <w:kinsoku/>
              <w:wordWrap/>
              <w:overflowPunct/>
              <w:topLinePunct/>
              <w:autoSpaceDE/>
              <w:autoSpaceDN/>
              <w:bidi w:val="0"/>
              <w:adjustRightInd/>
              <w:snapToGrid/>
              <w:spacing w:line="440" w:lineRule="exact"/>
              <w:ind w:firstLine="0" w:firstLineChars="0"/>
              <w:jc w:val="left"/>
              <w:textAlignment w:val="auto"/>
              <w:rPr>
                <w:rFonts w:hint="eastAsia" w:ascii="仿宋" w:hAnsi="仿宋" w:eastAsia="仿宋" w:cs="仿宋"/>
                <w:color w:val="auto"/>
                <w:szCs w:val="21"/>
                <w:highlight w:val="none"/>
              </w:rPr>
            </w:pPr>
          </w:p>
        </w:tc>
        <w:tc>
          <w:tcPr>
            <w:tcW w:w="840" w:type="dxa"/>
            <w:vMerge w:val="continue"/>
            <w:tcBorders>
              <w:top w:val="single" w:color="auto" w:sz="4" w:space="0"/>
              <w:left w:val="single" w:color="auto" w:sz="4" w:space="0"/>
              <w:bottom w:val="single" w:color="auto" w:sz="4" w:space="0"/>
              <w:right w:val="single" w:color="auto" w:sz="4" w:space="0"/>
            </w:tcBorders>
            <w:noWrap w:val="0"/>
            <w:vAlign w:val="center"/>
          </w:tcPr>
          <w:p w14:paraId="661C64A3">
            <w:pPr>
              <w:keepNext w:val="0"/>
              <w:keepLines w:val="0"/>
              <w:pageBreakBefore w:val="0"/>
              <w:widowControl/>
              <w:kinsoku/>
              <w:wordWrap/>
              <w:overflowPunct/>
              <w:topLinePunct/>
              <w:autoSpaceDE/>
              <w:autoSpaceDN/>
              <w:bidi w:val="0"/>
              <w:adjustRightInd/>
              <w:snapToGrid/>
              <w:spacing w:line="440" w:lineRule="exact"/>
              <w:ind w:firstLine="0" w:firstLineChars="0"/>
              <w:jc w:val="left"/>
              <w:textAlignment w:val="auto"/>
              <w:rPr>
                <w:rFonts w:hint="eastAsia" w:ascii="仿宋" w:hAnsi="仿宋" w:eastAsia="仿宋" w:cs="仿宋"/>
                <w:color w:val="auto"/>
                <w:szCs w:val="21"/>
                <w:highlight w:val="none"/>
              </w:rPr>
            </w:pPr>
          </w:p>
        </w:tc>
        <w:tc>
          <w:tcPr>
            <w:tcW w:w="2299" w:type="dxa"/>
            <w:gridSpan w:val="4"/>
            <w:tcBorders>
              <w:top w:val="single" w:color="auto" w:sz="4" w:space="0"/>
              <w:left w:val="single" w:color="auto" w:sz="4" w:space="0"/>
              <w:bottom w:val="single" w:color="auto" w:sz="4" w:space="0"/>
              <w:right w:val="single" w:color="auto" w:sz="4" w:space="0"/>
            </w:tcBorders>
            <w:noWrap w:val="0"/>
            <w:vAlign w:val="center"/>
          </w:tcPr>
          <w:p w14:paraId="7E44AE6D">
            <w:pPr>
              <w:keepNext w:val="0"/>
              <w:keepLines w:val="0"/>
              <w:pageBreakBefore w:val="0"/>
              <w:widowControl/>
              <w:kinsoku/>
              <w:wordWrap/>
              <w:overflowPunct/>
              <w:topLinePunct/>
              <w:autoSpaceDE/>
              <w:autoSpaceDN/>
              <w:bidi w:val="0"/>
              <w:adjustRightInd/>
              <w:snapToGrid/>
              <w:spacing w:line="440" w:lineRule="exact"/>
              <w:ind w:firstLine="0" w:firstLineChars="0"/>
              <w:jc w:val="left"/>
              <w:textAlignment w:val="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高级职称人员</w:t>
            </w:r>
          </w:p>
        </w:tc>
        <w:tc>
          <w:tcPr>
            <w:tcW w:w="1852" w:type="dxa"/>
            <w:gridSpan w:val="2"/>
            <w:tcBorders>
              <w:top w:val="single" w:color="auto" w:sz="4" w:space="0"/>
              <w:left w:val="single" w:color="auto" w:sz="4" w:space="0"/>
              <w:bottom w:val="single" w:color="auto" w:sz="4" w:space="0"/>
            </w:tcBorders>
            <w:noWrap w:val="0"/>
            <w:vAlign w:val="center"/>
          </w:tcPr>
          <w:p w14:paraId="7FBE3AE4">
            <w:pPr>
              <w:keepNext w:val="0"/>
              <w:keepLines w:val="0"/>
              <w:pageBreakBefore w:val="0"/>
              <w:widowControl/>
              <w:kinsoku/>
              <w:wordWrap/>
              <w:overflowPunct/>
              <w:topLinePunct/>
              <w:autoSpaceDE/>
              <w:autoSpaceDN/>
              <w:bidi w:val="0"/>
              <w:adjustRightInd/>
              <w:snapToGrid/>
              <w:spacing w:line="440" w:lineRule="exact"/>
              <w:ind w:firstLine="0" w:firstLineChars="0"/>
              <w:jc w:val="left"/>
              <w:textAlignment w:val="auto"/>
              <w:rPr>
                <w:rFonts w:hint="eastAsia" w:ascii="仿宋" w:hAnsi="仿宋" w:eastAsia="仿宋" w:cs="仿宋"/>
                <w:color w:val="auto"/>
                <w:szCs w:val="21"/>
                <w:highlight w:val="none"/>
              </w:rPr>
            </w:pPr>
          </w:p>
        </w:tc>
      </w:tr>
      <w:tr w14:paraId="786AC22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604" w:hRule="atLeast"/>
        </w:trPr>
        <w:tc>
          <w:tcPr>
            <w:tcW w:w="1728" w:type="dxa"/>
            <w:tcBorders>
              <w:top w:val="single" w:color="auto" w:sz="4" w:space="0"/>
              <w:bottom w:val="single" w:color="auto" w:sz="4" w:space="0"/>
              <w:right w:val="single" w:color="auto" w:sz="4" w:space="0"/>
            </w:tcBorders>
            <w:noWrap w:val="0"/>
            <w:vAlign w:val="center"/>
          </w:tcPr>
          <w:p w14:paraId="206A29A5">
            <w:pPr>
              <w:keepNext w:val="0"/>
              <w:keepLines w:val="0"/>
              <w:pageBreakBefore w:val="0"/>
              <w:widowControl/>
              <w:kinsoku/>
              <w:wordWrap/>
              <w:overflowPunct/>
              <w:topLinePunct/>
              <w:autoSpaceDE/>
              <w:autoSpaceDN/>
              <w:bidi w:val="0"/>
              <w:adjustRightInd/>
              <w:snapToGrid/>
              <w:spacing w:line="440" w:lineRule="exact"/>
              <w:ind w:firstLine="0" w:firstLineChars="0"/>
              <w:jc w:val="left"/>
              <w:textAlignment w:val="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注册资金</w:t>
            </w:r>
          </w:p>
        </w:tc>
        <w:tc>
          <w:tcPr>
            <w:tcW w:w="1849" w:type="dxa"/>
            <w:gridSpan w:val="2"/>
            <w:tcBorders>
              <w:top w:val="single" w:color="auto" w:sz="4" w:space="0"/>
              <w:left w:val="single" w:color="auto" w:sz="4" w:space="0"/>
              <w:bottom w:val="single" w:color="auto" w:sz="4" w:space="0"/>
              <w:right w:val="single" w:color="auto" w:sz="4" w:space="0"/>
            </w:tcBorders>
            <w:noWrap w:val="0"/>
            <w:vAlign w:val="center"/>
          </w:tcPr>
          <w:p w14:paraId="02D22A2B">
            <w:pPr>
              <w:keepNext w:val="0"/>
              <w:keepLines w:val="0"/>
              <w:pageBreakBefore w:val="0"/>
              <w:widowControl/>
              <w:kinsoku/>
              <w:wordWrap/>
              <w:overflowPunct/>
              <w:topLinePunct/>
              <w:autoSpaceDE/>
              <w:autoSpaceDN/>
              <w:bidi w:val="0"/>
              <w:adjustRightInd/>
              <w:snapToGrid/>
              <w:spacing w:line="440" w:lineRule="exact"/>
              <w:ind w:firstLine="0" w:firstLineChars="0"/>
              <w:jc w:val="left"/>
              <w:textAlignment w:val="auto"/>
              <w:rPr>
                <w:rFonts w:hint="eastAsia" w:ascii="仿宋" w:hAnsi="仿宋" w:eastAsia="仿宋" w:cs="仿宋"/>
                <w:color w:val="auto"/>
                <w:szCs w:val="21"/>
                <w:highlight w:val="none"/>
              </w:rPr>
            </w:pPr>
          </w:p>
        </w:tc>
        <w:tc>
          <w:tcPr>
            <w:tcW w:w="840" w:type="dxa"/>
            <w:vMerge w:val="continue"/>
            <w:tcBorders>
              <w:top w:val="single" w:color="auto" w:sz="4" w:space="0"/>
              <w:left w:val="single" w:color="auto" w:sz="4" w:space="0"/>
              <w:bottom w:val="single" w:color="auto" w:sz="4" w:space="0"/>
              <w:right w:val="single" w:color="auto" w:sz="4" w:space="0"/>
            </w:tcBorders>
            <w:noWrap w:val="0"/>
            <w:vAlign w:val="center"/>
          </w:tcPr>
          <w:p w14:paraId="6F17A149">
            <w:pPr>
              <w:keepNext w:val="0"/>
              <w:keepLines w:val="0"/>
              <w:pageBreakBefore w:val="0"/>
              <w:widowControl/>
              <w:kinsoku/>
              <w:wordWrap/>
              <w:overflowPunct/>
              <w:topLinePunct/>
              <w:autoSpaceDE/>
              <w:autoSpaceDN/>
              <w:bidi w:val="0"/>
              <w:adjustRightInd/>
              <w:snapToGrid/>
              <w:spacing w:line="440" w:lineRule="exact"/>
              <w:ind w:firstLine="0" w:firstLineChars="0"/>
              <w:jc w:val="left"/>
              <w:textAlignment w:val="auto"/>
              <w:rPr>
                <w:rFonts w:hint="eastAsia" w:ascii="仿宋" w:hAnsi="仿宋" w:eastAsia="仿宋" w:cs="仿宋"/>
                <w:color w:val="auto"/>
                <w:szCs w:val="21"/>
                <w:highlight w:val="none"/>
              </w:rPr>
            </w:pPr>
          </w:p>
        </w:tc>
        <w:tc>
          <w:tcPr>
            <w:tcW w:w="2299" w:type="dxa"/>
            <w:gridSpan w:val="4"/>
            <w:tcBorders>
              <w:top w:val="single" w:color="auto" w:sz="4" w:space="0"/>
              <w:left w:val="single" w:color="auto" w:sz="4" w:space="0"/>
              <w:bottom w:val="single" w:color="auto" w:sz="4" w:space="0"/>
              <w:right w:val="single" w:color="auto" w:sz="4" w:space="0"/>
            </w:tcBorders>
            <w:noWrap w:val="0"/>
            <w:vAlign w:val="center"/>
          </w:tcPr>
          <w:p w14:paraId="579C558B">
            <w:pPr>
              <w:keepNext w:val="0"/>
              <w:keepLines w:val="0"/>
              <w:pageBreakBefore w:val="0"/>
              <w:widowControl/>
              <w:kinsoku/>
              <w:wordWrap/>
              <w:overflowPunct/>
              <w:topLinePunct/>
              <w:autoSpaceDE/>
              <w:autoSpaceDN/>
              <w:bidi w:val="0"/>
              <w:adjustRightInd/>
              <w:snapToGrid/>
              <w:spacing w:line="440" w:lineRule="exact"/>
              <w:ind w:firstLine="0" w:firstLineChars="0"/>
              <w:jc w:val="left"/>
              <w:textAlignment w:val="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中级职称人员</w:t>
            </w:r>
          </w:p>
        </w:tc>
        <w:tc>
          <w:tcPr>
            <w:tcW w:w="1852" w:type="dxa"/>
            <w:gridSpan w:val="2"/>
            <w:tcBorders>
              <w:top w:val="single" w:color="auto" w:sz="4" w:space="0"/>
              <w:left w:val="single" w:color="auto" w:sz="4" w:space="0"/>
              <w:bottom w:val="single" w:color="auto" w:sz="4" w:space="0"/>
            </w:tcBorders>
            <w:noWrap w:val="0"/>
            <w:vAlign w:val="center"/>
          </w:tcPr>
          <w:p w14:paraId="17B59D1C">
            <w:pPr>
              <w:keepNext w:val="0"/>
              <w:keepLines w:val="0"/>
              <w:pageBreakBefore w:val="0"/>
              <w:widowControl/>
              <w:kinsoku/>
              <w:wordWrap/>
              <w:overflowPunct/>
              <w:topLinePunct/>
              <w:autoSpaceDE/>
              <w:autoSpaceDN/>
              <w:bidi w:val="0"/>
              <w:adjustRightInd/>
              <w:snapToGrid/>
              <w:spacing w:line="440" w:lineRule="exact"/>
              <w:ind w:firstLine="0" w:firstLineChars="0"/>
              <w:jc w:val="left"/>
              <w:textAlignment w:val="auto"/>
              <w:rPr>
                <w:rFonts w:hint="eastAsia" w:ascii="仿宋" w:hAnsi="仿宋" w:eastAsia="仿宋" w:cs="仿宋"/>
                <w:color w:val="auto"/>
                <w:szCs w:val="21"/>
                <w:highlight w:val="none"/>
              </w:rPr>
            </w:pPr>
          </w:p>
        </w:tc>
      </w:tr>
      <w:tr w14:paraId="38F3A59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626" w:hRule="atLeast"/>
        </w:trPr>
        <w:tc>
          <w:tcPr>
            <w:tcW w:w="1728" w:type="dxa"/>
            <w:tcBorders>
              <w:top w:val="single" w:color="auto" w:sz="4" w:space="0"/>
              <w:bottom w:val="single" w:color="auto" w:sz="4" w:space="0"/>
              <w:right w:val="single" w:color="auto" w:sz="4" w:space="0"/>
            </w:tcBorders>
            <w:noWrap w:val="0"/>
            <w:vAlign w:val="center"/>
          </w:tcPr>
          <w:p w14:paraId="6C4B9F2D">
            <w:pPr>
              <w:keepNext w:val="0"/>
              <w:keepLines w:val="0"/>
              <w:pageBreakBefore w:val="0"/>
              <w:widowControl/>
              <w:kinsoku/>
              <w:wordWrap/>
              <w:overflowPunct/>
              <w:topLinePunct/>
              <w:autoSpaceDE/>
              <w:autoSpaceDN/>
              <w:bidi w:val="0"/>
              <w:adjustRightInd/>
              <w:snapToGrid/>
              <w:spacing w:line="440" w:lineRule="exact"/>
              <w:ind w:firstLine="0" w:firstLineChars="0"/>
              <w:jc w:val="left"/>
              <w:textAlignment w:val="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开户银行</w:t>
            </w:r>
          </w:p>
        </w:tc>
        <w:tc>
          <w:tcPr>
            <w:tcW w:w="1849" w:type="dxa"/>
            <w:gridSpan w:val="2"/>
            <w:tcBorders>
              <w:top w:val="single" w:color="auto" w:sz="4" w:space="0"/>
              <w:left w:val="single" w:color="auto" w:sz="4" w:space="0"/>
              <w:bottom w:val="single" w:color="auto" w:sz="4" w:space="0"/>
              <w:right w:val="single" w:color="auto" w:sz="4" w:space="0"/>
            </w:tcBorders>
            <w:noWrap w:val="0"/>
            <w:vAlign w:val="center"/>
          </w:tcPr>
          <w:p w14:paraId="6285B1C4">
            <w:pPr>
              <w:keepNext w:val="0"/>
              <w:keepLines w:val="0"/>
              <w:pageBreakBefore w:val="0"/>
              <w:widowControl/>
              <w:kinsoku/>
              <w:wordWrap/>
              <w:overflowPunct/>
              <w:topLinePunct/>
              <w:autoSpaceDE/>
              <w:autoSpaceDN/>
              <w:bidi w:val="0"/>
              <w:adjustRightInd/>
              <w:snapToGrid/>
              <w:spacing w:line="440" w:lineRule="exact"/>
              <w:ind w:firstLine="0" w:firstLineChars="0"/>
              <w:jc w:val="left"/>
              <w:textAlignment w:val="auto"/>
              <w:rPr>
                <w:rFonts w:hint="eastAsia" w:ascii="仿宋" w:hAnsi="仿宋" w:eastAsia="仿宋" w:cs="仿宋"/>
                <w:color w:val="auto"/>
                <w:szCs w:val="21"/>
                <w:highlight w:val="none"/>
              </w:rPr>
            </w:pPr>
          </w:p>
        </w:tc>
        <w:tc>
          <w:tcPr>
            <w:tcW w:w="840" w:type="dxa"/>
            <w:vMerge w:val="continue"/>
            <w:tcBorders>
              <w:top w:val="single" w:color="auto" w:sz="4" w:space="0"/>
              <w:left w:val="single" w:color="auto" w:sz="4" w:space="0"/>
              <w:bottom w:val="single" w:color="auto" w:sz="4" w:space="0"/>
              <w:right w:val="single" w:color="auto" w:sz="4" w:space="0"/>
            </w:tcBorders>
            <w:noWrap w:val="0"/>
            <w:vAlign w:val="center"/>
          </w:tcPr>
          <w:p w14:paraId="2710729C">
            <w:pPr>
              <w:keepNext w:val="0"/>
              <w:keepLines w:val="0"/>
              <w:pageBreakBefore w:val="0"/>
              <w:widowControl/>
              <w:kinsoku/>
              <w:wordWrap/>
              <w:overflowPunct/>
              <w:topLinePunct/>
              <w:autoSpaceDE/>
              <w:autoSpaceDN/>
              <w:bidi w:val="0"/>
              <w:adjustRightInd/>
              <w:snapToGrid/>
              <w:spacing w:line="440" w:lineRule="exact"/>
              <w:ind w:firstLine="0" w:firstLineChars="0"/>
              <w:jc w:val="left"/>
              <w:textAlignment w:val="auto"/>
              <w:rPr>
                <w:rFonts w:hint="eastAsia" w:ascii="仿宋" w:hAnsi="仿宋" w:eastAsia="仿宋" w:cs="仿宋"/>
                <w:color w:val="auto"/>
                <w:szCs w:val="21"/>
                <w:highlight w:val="none"/>
              </w:rPr>
            </w:pPr>
          </w:p>
        </w:tc>
        <w:tc>
          <w:tcPr>
            <w:tcW w:w="2299" w:type="dxa"/>
            <w:gridSpan w:val="4"/>
            <w:tcBorders>
              <w:top w:val="single" w:color="auto" w:sz="4" w:space="0"/>
              <w:left w:val="single" w:color="auto" w:sz="4" w:space="0"/>
              <w:bottom w:val="single" w:color="auto" w:sz="4" w:space="0"/>
              <w:right w:val="single" w:color="auto" w:sz="4" w:space="0"/>
            </w:tcBorders>
            <w:noWrap w:val="0"/>
            <w:vAlign w:val="center"/>
          </w:tcPr>
          <w:p w14:paraId="60D1DABE">
            <w:pPr>
              <w:keepNext w:val="0"/>
              <w:keepLines w:val="0"/>
              <w:pageBreakBefore w:val="0"/>
              <w:widowControl/>
              <w:kinsoku/>
              <w:wordWrap/>
              <w:overflowPunct/>
              <w:topLinePunct/>
              <w:autoSpaceDE/>
              <w:autoSpaceDN/>
              <w:bidi w:val="0"/>
              <w:adjustRightInd/>
              <w:snapToGrid/>
              <w:spacing w:line="440" w:lineRule="exact"/>
              <w:ind w:firstLine="0" w:firstLineChars="0"/>
              <w:jc w:val="left"/>
              <w:textAlignment w:val="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初级职称人员</w:t>
            </w:r>
          </w:p>
        </w:tc>
        <w:tc>
          <w:tcPr>
            <w:tcW w:w="1852" w:type="dxa"/>
            <w:gridSpan w:val="2"/>
            <w:tcBorders>
              <w:top w:val="single" w:color="auto" w:sz="4" w:space="0"/>
              <w:left w:val="single" w:color="auto" w:sz="4" w:space="0"/>
              <w:bottom w:val="single" w:color="auto" w:sz="4" w:space="0"/>
            </w:tcBorders>
            <w:noWrap w:val="0"/>
            <w:vAlign w:val="center"/>
          </w:tcPr>
          <w:p w14:paraId="7BF52E3F">
            <w:pPr>
              <w:keepNext w:val="0"/>
              <w:keepLines w:val="0"/>
              <w:pageBreakBefore w:val="0"/>
              <w:widowControl/>
              <w:kinsoku/>
              <w:wordWrap/>
              <w:overflowPunct/>
              <w:topLinePunct/>
              <w:autoSpaceDE/>
              <w:autoSpaceDN/>
              <w:bidi w:val="0"/>
              <w:adjustRightInd/>
              <w:snapToGrid/>
              <w:spacing w:line="440" w:lineRule="exact"/>
              <w:ind w:firstLine="0" w:firstLineChars="0"/>
              <w:jc w:val="left"/>
              <w:textAlignment w:val="auto"/>
              <w:rPr>
                <w:rFonts w:hint="eastAsia" w:ascii="仿宋" w:hAnsi="仿宋" w:eastAsia="仿宋" w:cs="仿宋"/>
                <w:color w:val="auto"/>
                <w:szCs w:val="21"/>
                <w:highlight w:val="none"/>
              </w:rPr>
            </w:pPr>
          </w:p>
        </w:tc>
      </w:tr>
      <w:tr w14:paraId="7036B56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606" w:hRule="atLeast"/>
        </w:trPr>
        <w:tc>
          <w:tcPr>
            <w:tcW w:w="1728" w:type="dxa"/>
            <w:tcBorders>
              <w:top w:val="single" w:color="auto" w:sz="4" w:space="0"/>
              <w:bottom w:val="single" w:color="auto" w:sz="4" w:space="0"/>
              <w:right w:val="single" w:color="auto" w:sz="4" w:space="0"/>
            </w:tcBorders>
            <w:noWrap w:val="0"/>
            <w:vAlign w:val="center"/>
          </w:tcPr>
          <w:p w14:paraId="2C9770A1">
            <w:pPr>
              <w:keepNext w:val="0"/>
              <w:keepLines w:val="0"/>
              <w:pageBreakBefore w:val="0"/>
              <w:widowControl/>
              <w:kinsoku/>
              <w:wordWrap/>
              <w:overflowPunct/>
              <w:topLinePunct/>
              <w:autoSpaceDE/>
              <w:autoSpaceDN/>
              <w:bidi w:val="0"/>
              <w:adjustRightInd/>
              <w:snapToGrid/>
              <w:spacing w:line="440" w:lineRule="exact"/>
              <w:ind w:firstLine="0" w:firstLineChars="0"/>
              <w:jc w:val="left"/>
              <w:textAlignment w:val="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账号</w:t>
            </w:r>
          </w:p>
        </w:tc>
        <w:tc>
          <w:tcPr>
            <w:tcW w:w="1849" w:type="dxa"/>
            <w:gridSpan w:val="2"/>
            <w:tcBorders>
              <w:top w:val="single" w:color="auto" w:sz="4" w:space="0"/>
              <w:left w:val="single" w:color="auto" w:sz="4" w:space="0"/>
              <w:bottom w:val="single" w:color="auto" w:sz="4" w:space="0"/>
              <w:right w:val="single" w:color="auto" w:sz="4" w:space="0"/>
            </w:tcBorders>
            <w:noWrap w:val="0"/>
            <w:vAlign w:val="center"/>
          </w:tcPr>
          <w:p w14:paraId="61BA2B6B">
            <w:pPr>
              <w:keepNext w:val="0"/>
              <w:keepLines w:val="0"/>
              <w:pageBreakBefore w:val="0"/>
              <w:widowControl/>
              <w:kinsoku/>
              <w:wordWrap/>
              <w:overflowPunct/>
              <w:topLinePunct/>
              <w:autoSpaceDE/>
              <w:autoSpaceDN/>
              <w:bidi w:val="0"/>
              <w:adjustRightInd/>
              <w:snapToGrid/>
              <w:spacing w:line="440" w:lineRule="exact"/>
              <w:ind w:firstLine="0" w:firstLineChars="0"/>
              <w:jc w:val="left"/>
              <w:textAlignment w:val="auto"/>
              <w:rPr>
                <w:rFonts w:hint="eastAsia" w:ascii="仿宋" w:hAnsi="仿宋" w:eastAsia="仿宋" w:cs="仿宋"/>
                <w:color w:val="auto"/>
                <w:szCs w:val="21"/>
                <w:highlight w:val="none"/>
              </w:rPr>
            </w:pPr>
          </w:p>
        </w:tc>
        <w:tc>
          <w:tcPr>
            <w:tcW w:w="840" w:type="dxa"/>
            <w:vMerge w:val="continue"/>
            <w:tcBorders>
              <w:top w:val="single" w:color="auto" w:sz="4" w:space="0"/>
              <w:left w:val="single" w:color="auto" w:sz="4" w:space="0"/>
              <w:bottom w:val="single" w:color="auto" w:sz="4" w:space="0"/>
              <w:right w:val="single" w:color="auto" w:sz="4" w:space="0"/>
            </w:tcBorders>
            <w:noWrap w:val="0"/>
            <w:vAlign w:val="center"/>
          </w:tcPr>
          <w:p w14:paraId="1EF60F70">
            <w:pPr>
              <w:keepNext w:val="0"/>
              <w:keepLines w:val="0"/>
              <w:pageBreakBefore w:val="0"/>
              <w:widowControl/>
              <w:kinsoku/>
              <w:wordWrap/>
              <w:overflowPunct/>
              <w:topLinePunct/>
              <w:autoSpaceDE/>
              <w:autoSpaceDN/>
              <w:bidi w:val="0"/>
              <w:adjustRightInd/>
              <w:snapToGrid/>
              <w:spacing w:line="440" w:lineRule="exact"/>
              <w:ind w:firstLine="0" w:firstLineChars="0"/>
              <w:jc w:val="left"/>
              <w:textAlignment w:val="auto"/>
              <w:rPr>
                <w:rFonts w:hint="eastAsia" w:ascii="仿宋" w:hAnsi="仿宋" w:eastAsia="仿宋" w:cs="仿宋"/>
                <w:color w:val="auto"/>
                <w:szCs w:val="21"/>
                <w:highlight w:val="none"/>
              </w:rPr>
            </w:pPr>
          </w:p>
        </w:tc>
        <w:tc>
          <w:tcPr>
            <w:tcW w:w="2299" w:type="dxa"/>
            <w:gridSpan w:val="4"/>
            <w:tcBorders>
              <w:top w:val="single" w:color="auto" w:sz="4" w:space="0"/>
              <w:left w:val="single" w:color="auto" w:sz="4" w:space="0"/>
              <w:bottom w:val="single" w:color="auto" w:sz="4" w:space="0"/>
              <w:right w:val="single" w:color="auto" w:sz="4" w:space="0"/>
            </w:tcBorders>
            <w:noWrap w:val="0"/>
            <w:vAlign w:val="center"/>
          </w:tcPr>
          <w:p w14:paraId="4E2F11B5">
            <w:pPr>
              <w:keepNext w:val="0"/>
              <w:keepLines w:val="0"/>
              <w:pageBreakBefore w:val="0"/>
              <w:widowControl/>
              <w:kinsoku/>
              <w:wordWrap/>
              <w:overflowPunct/>
              <w:topLinePunct/>
              <w:autoSpaceDE/>
              <w:autoSpaceDN/>
              <w:bidi w:val="0"/>
              <w:adjustRightInd/>
              <w:snapToGrid/>
              <w:spacing w:line="440" w:lineRule="exact"/>
              <w:ind w:firstLine="0" w:firstLineChars="0"/>
              <w:jc w:val="left"/>
              <w:textAlignment w:val="auto"/>
              <w:rPr>
                <w:rFonts w:hint="eastAsia" w:ascii="仿宋" w:hAnsi="仿宋" w:eastAsia="仿宋" w:cs="仿宋"/>
                <w:color w:val="auto"/>
                <w:highlight w:val="none"/>
              </w:rPr>
            </w:pPr>
            <w:r>
              <w:rPr>
                <w:rFonts w:hint="eastAsia" w:ascii="仿宋" w:hAnsi="仿宋" w:eastAsia="仿宋" w:cs="仿宋"/>
                <w:color w:val="auto"/>
                <w:szCs w:val="21"/>
                <w:highlight w:val="none"/>
              </w:rPr>
              <w:t>技工</w:t>
            </w:r>
          </w:p>
        </w:tc>
        <w:tc>
          <w:tcPr>
            <w:tcW w:w="1852" w:type="dxa"/>
            <w:gridSpan w:val="2"/>
            <w:tcBorders>
              <w:top w:val="single" w:color="auto" w:sz="4" w:space="0"/>
              <w:left w:val="single" w:color="auto" w:sz="4" w:space="0"/>
              <w:bottom w:val="single" w:color="auto" w:sz="4" w:space="0"/>
            </w:tcBorders>
            <w:noWrap w:val="0"/>
            <w:vAlign w:val="center"/>
          </w:tcPr>
          <w:p w14:paraId="59974BA4">
            <w:pPr>
              <w:keepNext w:val="0"/>
              <w:keepLines w:val="0"/>
              <w:pageBreakBefore w:val="0"/>
              <w:widowControl/>
              <w:kinsoku/>
              <w:wordWrap/>
              <w:overflowPunct/>
              <w:topLinePunct/>
              <w:autoSpaceDE/>
              <w:autoSpaceDN/>
              <w:bidi w:val="0"/>
              <w:adjustRightInd/>
              <w:snapToGrid/>
              <w:spacing w:line="440" w:lineRule="exact"/>
              <w:ind w:firstLine="0" w:firstLineChars="0"/>
              <w:jc w:val="left"/>
              <w:textAlignment w:val="auto"/>
              <w:rPr>
                <w:rFonts w:hint="eastAsia" w:ascii="仿宋" w:hAnsi="仿宋" w:eastAsia="仿宋" w:cs="仿宋"/>
                <w:color w:val="auto"/>
                <w:szCs w:val="21"/>
                <w:highlight w:val="none"/>
              </w:rPr>
            </w:pPr>
          </w:p>
        </w:tc>
      </w:tr>
      <w:tr w14:paraId="68C6A02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543" w:hRule="atLeast"/>
        </w:trPr>
        <w:tc>
          <w:tcPr>
            <w:tcW w:w="1728" w:type="dxa"/>
            <w:tcBorders>
              <w:top w:val="single" w:color="auto" w:sz="4" w:space="0"/>
              <w:right w:val="single" w:color="auto" w:sz="4" w:space="0"/>
            </w:tcBorders>
            <w:noWrap w:val="0"/>
            <w:vAlign w:val="center"/>
          </w:tcPr>
          <w:p w14:paraId="772F118F">
            <w:pPr>
              <w:keepNext w:val="0"/>
              <w:keepLines w:val="0"/>
              <w:pageBreakBefore w:val="0"/>
              <w:widowControl/>
              <w:kinsoku/>
              <w:wordWrap/>
              <w:overflowPunct/>
              <w:topLinePunct/>
              <w:autoSpaceDE/>
              <w:autoSpaceDN/>
              <w:bidi w:val="0"/>
              <w:adjustRightInd/>
              <w:snapToGrid/>
              <w:spacing w:line="440" w:lineRule="exact"/>
              <w:ind w:firstLine="0" w:firstLineChars="0"/>
              <w:jc w:val="left"/>
              <w:textAlignment w:val="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经营范围</w:t>
            </w:r>
          </w:p>
        </w:tc>
        <w:tc>
          <w:tcPr>
            <w:tcW w:w="6840" w:type="dxa"/>
            <w:gridSpan w:val="9"/>
            <w:tcBorders>
              <w:top w:val="single" w:color="auto" w:sz="4" w:space="0"/>
              <w:left w:val="single" w:color="auto" w:sz="4" w:space="0"/>
            </w:tcBorders>
            <w:noWrap w:val="0"/>
            <w:vAlign w:val="center"/>
          </w:tcPr>
          <w:p w14:paraId="2B802834">
            <w:pPr>
              <w:keepNext w:val="0"/>
              <w:keepLines w:val="0"/>
              <w:pageBreakBefore w:val="0"/>
              <w:widowControl/>
              <w:kinsoku/>
              <w:wordWrap/>
              <w:overflowPunct/>
              <w:topLinePunct/>
              <w:autoSpaceDE/>
              <w:autoSpaceDN/>
              <w:bidi w:val="0"/>
              <w:adjustRightInd/>
              <w:snapToGrid/>
              <w:spacing w:line="440" w:lineRule="exact"/>
              <w:ind w:firstLine="0" w:firstLineChars="0"/>
              <w:jc w:val="left"/>
              <w:textAlignment w:val="auto"/>
              <w:rPr>
                <w:rFonts w:hint="eastAsia" w:ascii="仿宋" w:hAnsi="仿宋" w:eastAsia="仿宋" w:cs="仿宋"/>
                <w:color w:val="auto"/>
                <w:szCs w:val="21"/>
                <w:highlight w:val="none"/>
              </w:rPr>
            </w:pPr>
          </w:p>
        </w:tc>
      </w:tr>
      <w:tr w14:paraId="733B465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15" w:hRule="atLeast"/>
        </w:trPr>
        <w:tc>
          <w:tcPr>
            <w:tcW w:w="1728" w:type="dxa"/>
            <w:tcBorders>
              <w:top w:val="single" w:color="auto" w:sz="4" w:space="0"/>
              <w:bottom w:val="single" w:color="auto" w:sz="4" w:space="0"/>
              <w:right w:val="single" w:color="auto" w:sz="4" w:space="0"/>
            </w:tcBorders>
            <w:noWrap w:val="0"/>
            <w:vAlign w:val="center"/>
          </w:tcPr>
          <w:p w14:paraId="0915D703">
            <w:pPr>
              <w:keepNext w:val="0"/>
              <w:keepLines w:val="0"/>
              <w:pageBreakBefore w:val="0"/>
              <w:widowControl/>
              <w:kinsoku/>
              <w:wordWrap/>
              <w:overflowPunct/>
              <w:topLinePunct/>
              <w:autoSpaceDE/>
              <w:autoSpaceDN/>
              <w:bidi w:val="0"/>
              <w:adjustRightInd/>
              <w:snapToGrid/>
              <w:spacing w:line="440" w:lineRule="exact"/>
              <w:ind w:firstLine="0" w:firstLineChars="0"/>
              <w:jc w:val="left"/>
              <w:textAlignment w:val="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备注</w:t>
            </w:r>
          </w:p>
        </w:tc>
        <w:tc>
          <w:tcPr>
            <w:tcW w:w="6840" w:type="dxa"/>
            <w:gridSpan w:val="9"/>
            <w:tcBorders>
              <w:top w:val="single" w:color="auto" w:sz="4" w:space="0"/>
              <w:left w:val="single" w:color="auto" w:sz="4" w:space="0"/>
              <w:bottom w:val="single" w:color="auto" w:sz="4" w:space="0"/>
            </w:tcBorders>
            <w:noWrap w:val="0"/>
            <w:vAlign w:val="center"/>
          </w:tcPr>
          <w:p w14:paraId="485C176A">
            <w:pPr>
              <w:keepNext w:val="0"/>
              <w:keepLines w:val="0"/>
              <w:pageBreakBefore w:val="0"/>
              <w:widowControl/>
              <w:kinsoku/>
              <w:wordWrap/>
              <w:overflowPunct/>
              <w:topLinePunct/>
              <w:autoSpaceDE/>
              <w:autoSpaceDN/>
              <w:bidi w:val="0"/>
              <w:adjustRightInd/>
              <w:snapToGrid/>
              <w:spacing w:line="440" w:lineRule="exact"/>
              <w:ind w:firstLine="0" w:firstLineChars="0"/>
              <w:jc w:val="left"/>
              <w:textAlignment w:val="auto"/>
              <w:rPr>
                <w:rFonts w:hint="eastAsia" w:ascii="仿宋" w:hAnsi="仿宋" w:eastAsia="仿宋" w:cs="仿宋"/>
                <w:color w:val="auto"/>
                <w:szCs w:val="21"/>
                <w:highlight w:val="none"/>
              </w:rPr>
            </w:pPr>
          </w:p>
        </w:tc>
      </w:tr>
    </w:tbl>
    <w:p w14:paraId="6563257D">
      <w:pPr>
        <w:topLinePunct/>
        <w:spacing w:line="440" w:lineRule="exact"/>
        <w:jc w:val="left"/>
        <w:rPr>
          <w:rFonts w:hint="eastAsia" w:ascii="仿宋" w:hAnsi="仿宋" w:eastAsia="仿宋" w:cs="仿宋"/>
          <w:color w:val="auto"/>
          <w:sz w:val="20"/>
          <w:highlight w:val="none"/>
        </w:rPr>
      </w:pPr>
      <w:r>
        <w:rPr>
          <w:rFonts w:hint="eastAsia" w:ascii="仿宋" w:hAnsi="仿宋" w:eastAsia="仿宋" w:cs="仿宋"/>
          <w:color w:val="auto"/>
          <w:sz w:val="20"/>
          <w:highlight w:val="none"/>
        </w:rPr>
        <w:br w:type="page"/>
      </w:r>
    </w:p>
    <w:p w14:paraId="0093E988">
      <w:pPr>
        <w:pStyle w:val="5"/>
        <w:jc w:val="center"/>
        <w:rPr>
          <w:rFonts w:hint="eastAsia" w:ascii="仿宋" w:hAnsi="仿宋" w:eastAsia="仿宋" w:cs="仿宋"/>
          <w:color w:val="auto"/>
          <w:highlight w:val="none"/>
        </w:rPr>
      </w:pPr>
      <w:bookmarkStart w:id="938" w:name="_Toc247527849"/>
      <w:bookmarkStart w:id="939" w:name="_Toc152042598"/>
      <w:bookmarkStart w:id="940" w:name="_Toc152045809"/>
      <w:bookmarkStart w:id="941" w:name="_Toc144974877"/>
      <w:bookmarkStart w:id="942" w:name="_Toc247514301"/>
      <w:bookmarkStart w:id="943" w:name="_Toc7956838"/>
      <w:bookmarkStart w:id="944" w:name="_Toc106998225"/>
      <w:r>
        <w:rPr>
          <w:rFonts w:hint="eastAsia" w:ascii="仿宋" w:hAnsi="仿宋" w:eastAsia="仿宋" w:cs="仿宋"/>
          <w:color w:val="auto"/>
          <w:highlight w:val="none"/>
        </w:rPr>
        <w:t>（二）近年财务状况表</w:t>
      </w:r>
      <w:bookmarkEnd w:id="938"/>
      <w:bookmarkEnd w:id="939"/>
      <w:bookmarkEnd w:id="940"/>
      <w:bookmarkEnd w:id="941"/>
      <w:bookmarkEnd w:id="942"/>
      <w:bookmarkEnd w:id="943"/>
      <w:bookmarkEnd w:id="944"/>
    </w:p>
    <w:p w14:paraId="14AC9EBB">
      <w:pPr>
        <w:topLinePunct/>
        <w:spacing w:line="440" w:lineRule="exact"/>
        <w:jc w:val="left"/>
        <w:rPr>
          <w:rFonts w:hint="eastAsia" w:ascii="仿宋" w:hAnsi="仿宋" w:eastAsia="仿宋" w:cs="仿宋"/>
          <w:color w:val="auto"/>
          <w:sz w:val="20"/>
          <w:szCs w:val="20"/>
          <w:highlight w:val="none"/>
        </w:rPr>
      </w:pPr>
    </w:p>
    <w:p w14:paraId="5285A970">
      <w:pPr>
        <w:spacing w:line="440" w:lineRule="exact"/>
        <w:jc w:val="left"/>
        <w:rPr>
          <w:rFonts w:hint="eastAsia" w:ascii="仿宋" w:hAnsi="仿宋" w:eastAsia="仿宋" w:cs="仿宋"/>
          <w:color w:val="auto"/>
          <w:sz w:val="23"/>
          <w:szCs w:val="23"/>
          <w:highlight w:val="none"/>
        </w:rPr>
      </w:pPr>
      <w:r>
        <w:rPr>
          <w:rFonts w:hint="eastAsia" w:ascii="仿宋" w:hAnsi="仿宋" w:eastAsia="仿宋" w:cs="仿宋"/>
          <w:color w:val="auto"/>
          <w:sz w:val="20"/>
          <w:szCs w:val="20"/>
          <w:highlight w:val="none"/>
        </w:rPr>
        <w:br w:type="page"/>
      </w:r>
    </w:p>
    <w:p w14:paraId="50DC2D06">
      <w:pPr>
        <w:pStyle w:val="5"/>
        <w:jc w:val="center"/>
        <w:rPr>
          <w:rFonts w:hint="eastAsia" w:ascii="仿宋" w:hAnsi="仿宋" w:eastAsia="仿宋" w:cs="仿宋"/>
          <w:color w:val="auto"/>
          <w:highlight w:val="none"/>
        </w:rPr>
      </w:pPr>
      <w:bookmarkStart w:id="945" w:name="_Toc247527850"/>
      <w:bookmarkStart w:id="946" w:name="_Toc106998226"/>
      <w:bookmarkStart w:id="947" w:name="_Toc247514302"/>
      <w:bookmarkStart w:id="948" w:name="_Toc152045810"/>
      <w:bookmarkStart w:id="949" w:name="_Toc7956839"/>
      <w:bookmarkStart w:id="950" w:name="_Toc152042599"/>
      <w:bookmarkStart w:id="951" w:name="_Toc144974878"/>
      <w:r>
        <w:rPr>
          <w:rFonts w:hint="eastAsia" w:ascii="仿宋" w:hAnsi="仿宋" w:eastAsia="仿宋" w:cs="仿宋"/>
          <w:color w:val="auto"/>
          <w:highlight w:val="none"/>
        </w:rPr>
        <w:t>（三）近年完成的类似项目情况表</w:t>
      </w:r>
      <w:bookmarkEnd w:id="945"/>
      <w:bookmarkEnd w:id="946"/>
      <w:bookmarkEnd w:id="947"/>
      <w:bookmarkEnd w:id="948"/>
      <w:bookmarkEnd w:id="949"/>
      <w:bookmarkEnd w:id="950"/>
      <w:bookmarkEnd w:id="951"/>
    </w:p>
    <w:p w14:paraId="292B3689">
      <w:pPr>
        <w:spacing w:line="440" w:lineRule="exact"/>
        <w:jc w:val="left"/>
        <w:rPr>
          <w:rFonts w:hint="eastAsia" w:ascii="仿宋" w:hAnsi="仿宋" w:eastAsia="仿宋" w:cs="仿宋"/>
          <w:color w:val="auto"/>
          <w:sz w:val="23"/>
          <w:szCs w:val="23"/>
          <w:highlight w:val="none"/>
        </w:rPr>
      </w:pPr>
    </w:p>
    <w:tbl>
      <w:tblPr>
        <w:tblStyle w:val="39"/>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69"/>
        <w:gridCol w:w="6253"/>
      </w:tblGrid>
      <w:tr w14:paraId="22B85A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trPr>
        <w:tc>
          <w:tcPr>
            <w:tcW w:w="2269" w:type="dxa"/>
            <w:noWrap w:val="0"/>
            <w:vAlign w:val="center"/>
          </w:tcPr>
          <w:p w14:paraId="507866B7">
            <w:pPr>
              <w:topLinePunct/>
              <w:spacing w:line="440" w:lineRule="exact"/>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项目名称</w:t>
            </w:r>
          </w:p>
        </w:tc>
        <w:tc>
          <w:tcPr>
            <w:tcW w:w="6253" w:type="dxa"/>
            <w:noWrap w:val="0"/>
            <w:vAlign w:val="top"/>
          </w:tcPr>
          <w:p w14:paraId="54B920EE">
            <w:pPr>
              <w:topLinePunct/>
              <w:spacing w:line="440" w:lineRule="exact"/>
              <w:jc w:val="left"/>
              <w:rPr>
                <w:rFonts w:hint="eastAsia" w:ascii="仿宋" w:hAnsi="仿宋" w:eastAsia="仿宋" w:cs="仿宋"/>
                <w:color w:val="auto"/>
                <w:szCs w:val="21"/>
                <w:highlight w:val="none"/>
              </w:rPr>
            </w:pPr>
          </w:p>
        </w:tc>
      </w:tr>
      <w:tr w14:paraId="2403DF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trPr>
        <w:tc>
          <w:tcPr>
            <w:tcW w:w="2269" w:type="dxa"/>
            <w:noWrap w:val="0"/>
            <w:vAlign w:val="center"/>
          </w:tcPr>
          <w:p w14:paraId="5315BE3A">
            <w:pPr>
              <w:topLinePunct/>
              <w:spacing w:line="440" w:lineRule="exact"/>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项目所在地</w:t>
            </w:r>
          </w:p>
        </w:tc>
        <w:tc>
          <w:tcPr>
            <w:tcW w:w="6253" w:type="dxa"/>
            <w:noWrap w:val="0"/>
            <w:vAlign w:val="top"/>
          </w:tcPr>
          <w:p w14:paraId="3904A429">
            <w:pPr>
              <w:topLinePunct/>
              <w:spacing w:line="440" w:lineRule="exact"/>
              <w:jc w:val="left"/>
              <w:rPr>
                <w:rFonts w:hint="eastAsia" w:ascii="仿宋" w:hAnsi="仿宋" w:eastAsia="仿宋" w:cs="仿宋"/>
                <w:color w:val="auto"/>
                <w:szCs w:val="21"/>
                <w:highlight w:val="none"/>
              </w:rPr>
            </w:pPr>
          </w:p>
        </w:tc>
      </w:tr>
      <w:tr w14:paraId="46E07C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trPr>
        <w:tc>
          <w:tcPr>
            <w:tcW w:w="2269" w:type="dxa"/>
            <w:noWrap w:val="0"/>
            <w:vAlign w:val="center"/>
          </w:tcPr>
          <w:p w14:paraId="730928D7">
            <w:pPr>
              <w:topLinePunct/>
              <w:spacing w:line="440" w:lineRule="exact"/>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发包人名称</w:t>
            </w:r>
          </w:p>
        </w:tc>
        <w:tc>
          <w:tcPr>
            <w:tcW w:w="6253" w:type="dxa"/>
            <w:noWrap w:val="0"/>
            <w:vAlign w:val="top"/>
          </w:tcPr>
          <w:p w14:paraId="263DDD6E">
            <w:pPr>
              <w:topLinePunct/>
              <w:spacing w:line="440" w:lineRule="exact"/>
              <w:jc w:val="left"/>
              <w:rPr>
                <w:rFonts w:hint="eastAsia" w:ascii="仿宋" w:hAnsi="仿宋" w:eastAsia="仿宋" w:cs="仿宋"/>
                <w:color w:val="auto"/>
                <w:szCs w:val="21"/>
                <w:highlight w:val="none"/>
              </w:rPr>
            </w:pPr>
          </w:p>
        </w:tc>
      </w:tr>
      <w:tr w14:paraId="515382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8" w:hRule="atLeast"/>
        </w:trPr>
        <w:tc>
          <w:tcPr>
            <w:tcW w:w="2269" w:type="dxa"/>
            <w:noWrap w:val="0"/>
            <w:vAlign w:val="center"/>
          </w:tcPr>
          <w:p w14:paraId="72DF658A">
            <w:pPr>
              <w:topLinePunct/>
              <w:spacing w:line="440" w:lineRule="exact"/>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发包人地址</w:t>
            </w:r>
          </w:p>
        </w:tc>
        <w:tc>
          <w:tcPr>
            <w:tcW w:w="6253" w:type="dxa"/>
            <w:noWrap w:val="0"/>
            <w:vAlign w:val="top"/>
          </w:tcPr>
          <w:p w14:paraId="26DF9233">
            <w:pPr>
              <w:topLinePunct/>
              <w:spacing w:line="440" w:lineRule="exact"/>
              <w:jc w:val="left"/>
              <w:rPr>
                <w:rFonts w:hint="eastAsia" w:ascii="仿宋" w:hAnsi="仿宋" w:eastAsia="仿宋" w:cs="仿宋"/>
                <w:color w:val="auto"/>
                <w:szCs w:val="21"/>
                <w:highlight w:val="none"/>
              </w:rPr>
            </w:pPr>
          </w:p>
        </w:tc>
      </w:tr>
      <w:tr w14:paraId="0A6FF6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2269" w:type="dxa"/>
            <w:noWrap w:val="0"/>
            <w:vAlign w:val="center"/>
          </w:tcPr>
          <w:p w14:paraId="7B4360D2">
            <w:pPr>
              <w:topLinePunct/>
              <w:spacing w:line="440" w:lineRule="exact"/>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发包人电话</w:t>
            </w:r>
          </w:p>
        </w:tc>
        <w:tc>
          <w:tcPr>
            <w:tcW w:w="6253" w:type="dxa"/>
            <w:noWrap w:val="0"/>
            <w:vAlign w:val="top"/>
          </w:tcPr>
          <w:p w14:paraId="65231B0E">
            <w:pPr>
              <w:topLinePunct/>
              <w:spacing w:line="440" w:lineRule="exact"/>
              <w:jc w:val="left"/>
              <w:rPr>
                <w:rFonts w:hint="eastAsia" w:ascii="仿宋" w:hAnsi="仿宋" w:eastAsia="仿宋" w:cs="仿宋"/>
                <w:color w:val="auto"/>
                <w:szCs w:val="21"/>
                <w:highlight w:val="none"/>
              </w:rPr>
            </w:pPr>
          </w:p>
        </w:tc>
      </w:tr>
      <w:tr w14:paraId="38639E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trPr>
        <w:tc>
          <w:tcPr>
            <w:tcW w:w="2269" w:type="dxa"/>
            <w:noWrap w:val="0"/>
            <w:vAlign w:val="center"/>
          </w:tcPr>
          <w:p w14:paraId="346B94EA">
            <w:pPr>
              <w:topLinePunct/>
              <w:spacing w:line="440" w:lineRule="exact"/>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合同价格</w:t>
            </w:r>
          </w:p>
        </w:tc>
        <w:tc>
          <w:tcPr>
            <w:tcW w:w="6253" w:type="dxa"/>
            <w:noWrap w:val="0"/>
            <w:vAlign w:val="top"/>
          </w:tcPr>
          <w:p w14:paraId="2E23F9DE">
            <w:pPr>
              <w:topLinePunct/>
              <w:spacing w:line="440" w:lineRule="exact"/>
              <w:jc w:val="left"/>
              <w:rPr>
                <w:rFonts w:hint="eastAsia" w:ascii="仿宋" w:hAnsi="仿宋" w:eastAsia="仿宋" w:cs="仿宋"/>
                <w:color w:val="auto"/>
                <w:szCs w:val="21"/>
                <w:highlight w:val="none"/>
              </w:rPr>
            </w:pPr>
          </w:p>
        </w:tc>
      </w:tr>
      <w:tr w14:paraId="6BB113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trPr>
        <w:tc>
          <w:tcPr>
            <w:tcW w:w="2269" w:type="dxa"/>
            <w:noWrap w:val="0"/>
            <w:vAlign w:val="center"/>
          </w:tcPr>
          <w:p w14:paraId="5581AF1F">
            <w:pPr>
              <w:topLinePunct/>
              <w:spacing w:line="440" w:lineRule="exact"/>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开工日期</w:t>
            </w:r>
          </w:p>
        </w:tc>
        <w:tc>
          <w:tcPr>
            <w:tcW w:w="6253" w:type="dxa"/>
            <w:noWrap w:val="0"/>
            <w:vAlign w:val="top"/>
          </w:tcPr>
          <w:p w14:paraId="18F149C4">
            <w:pPr>
              <w:topLinePunct/>
              <w:spacing w:line="440" w:lineRule="exact"/>
              <w:jc w:val="left"/>
              <w:rPr>
                <w:rFonts w:hint="eastAsia" w:ascii="仿宋" w:hAnsi="仿宋" w:eastAsia="仿宋" w:cs="仿宋"/>
                <w:color w:val="auto"/>
                <w:szCs w:val="21"/>
                <w:highlight w:val="none"/>
              </w:rPr>
            </w:pPr>
          </w:p>
        </w:tc>
      </w:tr>
      <w:tr w14:paraId="20A550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trPr>
        <w:tc>
          <w:tcPr>
            <w:tcW w:w="2269" w:type="dxa"/>
            <w:noWrap w:val="0"/>
            <w:vAlign w:val="center"/>
          </w:tcPr>
          <w:p w14:paraId="0989BCD3">
            <w:pPr>
              <w:topLinePunct/>
              <w:spacing w:line="440" w:lineRule="exact"/>
              <w:jc w:val="left"/>
              <w:rPr>
                <w:rFonts w:hint="eastAsia" w:ascii="仿宋" w:hAnsi="仿宋" w:eastAsia="仿宋" w:cs="仿宋"/>
                <w:color w:val="auto"/>
                <w:szCs w:val="21"/>
                <w:highlight w:val="none"/>
              </w:rPr>
            </w:pPr>
            <w:r>
              <w:rPr>
                <w:rFonts w:hint="eastAsia" w:ascii="仿宋" w:hAnsi="仿宋" w:eastAsia="仿宋" w:cs="仿宋"/>
                <w:color w:val="auto"/>
                <w:highlight w:val="none"/>
              </w:rPr>
              <w:t>竣工</w:t>
            </w:r>
            <w:r>
              <w:rPr>
                <w:rFonts w:hint="eastAsia" w:ascii="仿宋" w:hAnsi="仿宋" w:eastAsia="仿宋" w:cs="仿宋"/>
                <w:color w:val="auto"/>
                <w:szCs w:val="21"/>
                <w:highlight w:val="none"/>
              </w:rPr>
              <w:t>日期</w:t>
            </w:r>
          </w:p>
        </w:tc>
        <w:tc>
          <w:tcPr>
            <w:tcW w:w="6253" w:type="dxa"/>
            <w:noWrap w:val="0"/>
            <w:vAlign w:val="top"/>
          </w:tcPr>
          <w:p w14:paraId="7D5DFF60">
            <w:pPr>
              <w:topLinePunct/>
              <w:spacing w:line="440" w:lineRule="exact"/>
              <w:jc w:val="left"/>
              <w:rPr>
                <w:rFonts w:hint="eastAsia" w:ascii="仿宋" w:hAnsi="仿宋" w:eastAsia="仿宋" w:cs="仿宋"/>
                <w:color w:val="auto"/>
                <w:szCs w:val="21"/>
                <w:highlight w:val="none"/>
              </w:rPr>
            </w:pPr>
          </w:p>
        </w:tc>
      </w:tr>
      <w:tr w14:paraId="64157F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7" w:hRule="atLeast"/>
        </w:trPr>
        <w:tc>
          <w:tcPr>
            <w:tcW w:w="2269" w:type="dxa"/>
            <w:noWrap w:val="0"/>
            <w:vAlign w:val="center"/>
          </w:tcPr>
          <w:p w14:paraId="456895B6">
            <w:pPr>
              <w:topLinePunct/>
              <w:spacing w:line="440" w:lineRule="exact"/>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承担的工作</w:t>
            </w:r>
          </w:p>
        </w:tc>
        <w:tc>
          <w:tcPr>
            <w:tcW w:w="6253" w:type="dxa"/>
            <w:noWrap w:val="0"/>
            <w:vAlign w:val="top"/>
          </w:tcPr>
          <w:p w14:paraId="146390FD">
            <w:pPr>
              <w:topLinePunct/>
              <w:spacing w:line="440" w:lineRule="exact"/>
              <w:jc w:val="left"/>
              <w:rPr>
                <w:rFonts w:hint="eastAsia" w:ascii="仿宋" w:hAnsi="仿宋" w:eastAsia="仿宋" w:cs="仿宋"/>
                <w:color w:val="auto"/>
                <w:szCs w:val="21"/>
                <w:highlight w:val="none"/>
              </w:rPr>
            </w:pPr>
          </w:p>
        </w:tc>
      </w:tr>
      <w:tr w14:paraId="15CF1A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2269" w:type="dxa"/>
            <w:noWrap w:val="0"/>
            <w:vAlign w:val="center"/>
          </w:tcPr>
          <w:p w14:paraId="7B9FFCF8">
            <w:pPr>
              <w:topLinePunct/>
              <w:spacing w:line="440" w:lineRule="exact"/>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工程质量</w:t>
            </w:r>
          </w:p>
        </w:tc>
        <w:tc>
          <w:tcPr>
            <w:tcW w:w="6253" w:type="dxa"/>
            <w:noWrap w:val="0"/>
            <w:vAlign w:val="top"/>
          </w:tcPr>
          <w:p w14:paraId="451A2624">
            <w:pPr>
              <w:topLinePunct/>
              <w:spacing w:line="440" w:lineRule="exact"/>
              <w:jc w:val="left"/>
              <w:rPr>
                <w:rFonts w:hint="eastAsia" w:ascii="仿宋" w:hAnsi="仿宋" w:eastAsia="仿宋" w:cs="仿宋"/>
                <w:color w:val="auto"/>
                <w:szCs w:val="21"/>
                <w:highlight w:val="none"/>
              </w:rPr>
            </w:pPr>
          </w:p>
        </w:tc>
      </w:tr>
      <w:tr w14:paraId="3122C2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2269" w:type="dxa"/>
            <w:noWrap w:val="0"/>
            <w:vAlign w:val="center"/>
          </w:tcPr>
          <w:p w14:paraId="12D373EF">
            <w:pPr>
              <w:topLinePunct/>
              <w:spacing w:line="440" w:lineRule="exact"/>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项目经理</w:t>
            </w:r>
          </w:p>
        </w:tc>
        <w:tc>
          <w:tcPr>
            <w:tcW w:w="6253" w:type="dxa"/>
            <w:noWrap w:val="0"/>
            <w:vAlign w:val="top"/>
          </w:tcPr>
          <w:p w14:paraId="317DB760">
            <w:pPr>
              <w:topLinePunct/>
              <w:spacing w:line="440" w:lineRule="exact"/>
              <w:jc w:val="left"/>
              <w:rPr>
                <w:rFonts w:hint="eastAsia" w:ascii="仿宋" w:hAnsi="仿宋" w:eastAsia="仿宋" w:cs="仿宋"/>
                <w:color w:val="auto"/>
                <w:szCs w:val="21"/>
                <w:highlight w:val="none"/>
              </w:rPr>
            </w:pPr>
          </w:p>
        </w:tc>
      </w:tr>
      <w:tr w14:paraId="6C8AB1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trPr>
        <w:tc>
          <w:tcPr>
            <w:tcW w:w="2269" w:type="dxa"/>
            <w:noWrap w:val="0"/>
            <w:vAlign w:val="center"/>
          </w:tcPr>
          <w:p w14:paraId="4D1D329B">
            <w:pPr>
              <w:topLinePunct/>
              <w:spacing w:line="440" w:lineRule="exact"/>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技术负责人</w:t>
            </w:r>
          </w:p>
        </w:tc>
        <w:tc>
          <w:tcPr>
            <w:tcW w:w="6253" w:type="dxa"/>
            <w:noWrap w:val="0"/>
            <w:vAlign w:val="top"/>
          </w:tcPr>
          <w:p w14:paraId="2739672C">
            <w:pPr>
              <w:topLinePunct/>
              <w:spacing w:line="440" w:lineRule="exact"/>
              <w:jc w:val="left"/>
              <w:rPr>
                <w:rFonts w:hint="eastAsia" w:ascii="仿宋" w:hAnsi="仿宋" w:eastAsia="仿宋" w:cs="仿宋"/>
                <w:color w:val="auto"/>
                <w:szCs w:val="21"/>
                <w:highlight w:val="none"/>
              </w:rPr>
            </w:pPr>
          </w:p>
        </w:tc>
      </w:tr>
      <w:tr w14:paraId="76CD59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trPr>
        <w:tc>
          <w:tcPr>
            <w:tcW w:w="2269" w:type="dxa"/>
            <w:noWrap w:val="0"/>
            <w:vAlign w:val="center"/>
          </w:tcPr>
          <w:p w14:paraId="76CC5190">
            <w:pPr>
              <w:topLinePunct/>
              <w:spacing w:line="440" w:lineRule="exact"/>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项目描述</w:t>
            </w:r>
          </w:p>
        </w:tc>
        <w:tc>
          <w:tcPr>
            <w:tcW w:w="6253" w:type="dxa"/>
            <w:noWrap w:val="0"/>
            <w:vAlign w:val="top"/>
          </w:tcPr>
          <w:p w14:paraId="75E4E6B5">
            <w:pPr>
              <w:topLinePunct/>
              <w:spacing w:line="440" w:lineRule="exact"/>
              <w:jc w:val="left"/>
              <w:rPr>
                <w:rFonts w:hint="eastAsia" w:ascii="仿宋" w:hAnsi="仿宋" w:eastAsia="仿宋" w:cs="仿宋"/>
                <w:color w:val="auto"/>
                <w:szCs w:val="21"/>
                <w:highlight w:val="none"/>
              </w:rPr>
            </w:pPr>
          </w:p>
          <w:p w14:paraId="0D54D905">
            <w:pPr>
              <w:topLinePunct/>
              <w:spacing w:line="440" w:lineRule="exact"/>
              <w:jc w:val="left"/>
              <w:rPr>
                <w:rFonts w:hint="eastAsia" w:ascii="仿宋" w:hAnsi="仿宋" w:eastAsia="仿宋" w:cs="仿宋"/>
                <w:color w:val="auto"/>
                <w:szCs w:val="21"/>
                <w:highlight w:val="none"/>
              </w:rPr>
            </w:pPr>
          </w:p>
          <w:p w14:paraId="2DD10B43">
            <w:pPr>
              <w:topLinePunct/>
              <w:spacing w:line="440" w:lineRule="exact"/>
              <w:jc w:val="left"/>
              <w:rPr>
                <w:rFonts w:hint="eastAsia" w:ascii="仿宋" w:hAnsi="仿宋" w:eastAsia="仿宋" w:cs="仿宋"/>
                <w:color w:val="auto"/>
                <w:szCs w:val="21"/>
                <w:highlight w:val="none"/>
              </w:rPr>
            </w:pPr>
          </w:p>
          <w:p w14:paraId="35102D38">
            <w:pPr>
              <w:topLinePunct/>
              <w:spacing w:line="440" w:lineRule="exact"/>
              <w:jc w:val="left"/>
              <w:rPr>
                <w:rFonts w:hint="eastAsia" w:ascii="仿宋" w:hAnsi="仿宋" w:eastAsia="仿宋" w:cs="仿宋"/>
                <w:color w:val="auto"/>
                <w:szCs w:val="21"/>
                <w:highlight w:val="none"/>
              </w:rPr>
            </w:pPr>
          </w:p>
          <w:p w14:paraId="737C847F">
            <w:pPr>
              <w:topLinePunct/>
              <w:spacing w:line="440" w:lineRule="exact"/>
              <w:jc w:val="left"/>
              <w:rPr>
                <w:rFonts w:hint="eastAsia" w:ascii="仿宋" w:hAnsi="仿宋" w:eastAsia="仿宋" w:cs="仿宋"/>
                <w:color w:val="auto"/>
                <w:szCs w:val="21"/>
                <w:highlight w:val="none"/>
              </w:rPr>
            </w:pPr>
          </w:p>
          <w:p w14:paraId="029F50D3">
            <w:pPr>
              <w:topLinePunct/>
              <w:spacing w:line="440" w:lineRule="exact"/>
              <w:jc w:val="left"/>
              <w:rPr>
                <w:rFonts w:hint="eastAsia" w:ascii="仿宋" w:hAnsi="仿宋" w:eastAsia="仿宋" w:cs="仿宋"/>
                <w:color w:val="auto"/>
                <w:szCs w:val="21"/>
                <w:highlight w:val="none"/>
              </w:rPr>
            </w:pPr>
          </w:p>
          <w:p w14:paraId="12D719D1">
            <w:pPr>
              <w:topLinePunct/>
              <w:spacing w:line="440" w:lineRule="exact"/>
              <w:jc w:val="left"/>
              <w:rPr>
                <w:rFonts w:hint="eastAsia" w:ascii="仿宋" w:hAnsi="仿宋" w:eastAsia="仿宋" w:cs="仿宋"/>
                <w:color w:val="auto"/>
                <w:szCs w:val="21"/>
                <w:highlight w:val="none"/>
              </w:rPr>
            </w:pPr>
          </w:p>
        </w:tc>
      </w:tr>
      <w:tr w14:paraId="0D75A8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trPr>
        <w:tc>
          <w:tcPr>
            <w:tcW w:w="2269" w:type="dxa"/>
            <w:noWrap w:val="0"/>
            <w:vAlign w:val="center"/>
          </w:tcPr>
          <w:p w14:paraId="6A07F25F">
            <w:pPr>
              <w:topLinePunct/>
              <w:spacing w:line="440" w:lineRule="exact"/>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备注</w:t>
            </w:r>
          </w:p>
        </w:tc>
        <w:tc>
          <w:tcPr>
            <w:tcW w:w="6253" w:type="dxa"/>
            <w:noWrap w:val="0"/>
            <w:vAlign w:val="top"/>
          </w:tcPr>
          <w:p w14:paraId="0F5D203D">
            <w:pPr>
              <w:topLinePunct/>
              <w:spacing w:line="440" w:lineRule="exact"/>
              <w:jc w:val="left"/>
              <w:rPr>
                <w:rFonts w:hint="eastAsia" w:ascii="仿宋" w:hAnsi="仿宋" w:eastAsia="仿宋" w:cs="仿宋"/>
                <w:color w:val="auto"/>
                <w:szCs w:val="21"/>
                <w:highlight w:val="none"/>
              </w:rPr>
            </w:pPr>
          </w:p>
        </w:tc>
      </w:tr>
    </w:tbl>
    <w:p w14:paraId="2567D1F6">
      <w:pPr>
        <w:spacing w:line="440" w:lineRule="exact"/>
        <w:jc w:val="left"/>
        <w:rPr>
          <w:rFonts w:hint="eastAsia" w:ascii="仿宋" w:hAnsi="仿宋" w:eastAsia="仿宋" w:cs="仿宋"/>
          <w:color w:val="auto"/>
          <w:highlight w:val="none"/>
        </w:rPr>
      </w:pPr>
      <w:bookmarkStart w:id="952" w:name="_Toc152045811"/>
      <w:bookmarkStart w:id="953" w:name="_Toc152042600"/>
      <w:bookmarkStart w:id="954" w:name="_Toc247527851"/>
      <w:bookmarkStart w:id="955" w:name="_Toc144974879"/>
      <w:bookmarkStart w:id="956" w:name="_Toc247514303"/>
    </w:p>
    <w:p w14:paraId="5C86D8E5">
      <w:pPr>
        <w:spacing w:line="440" w:lineRule="exact"/>
        <w:jc w:val="left"/>
        <w:rPr>
          <w:rFonts w:hint="eastAsia" w:ascii="仿宋" w:hAnsi="仿宋" w:eastAsia="仿宋" w:cs="仿宋"/>
          <w:color w:val="auto"/>
          <w:highlight w:val="none"/>
        </w:rPr>
      </w:pPr>
    </w:p>
    <w:p w14:paraId="62E9F3E0">
      <w:pPr>
        <w:jc w:val="center"/>
        <w:rPr>
          <w:rFonts w:hint="eastAsia" w:ascii="仿宋" w:hAnsi="仿宋" w:eastAsia="仿宋" w:cs="仿宋"/>
          <w:color w:val="auto"/>
          <w:highlight w:val="none"/>
        </w:rPr>
      </w:pPr>
      <w:bookmarkStart w:id="957" w:name="_Toc7956840"/>
      <w:bookmarkStart w:id="958" w:name="_Toc106998227"/>
      <w:r>
        <w:rPr>
          <w:rFonts w:hint="eastAsia" w:ascii="仿宋" w:hAnsi="仿宋" w:eastAsia="仿宋" w:cs="仿宋"/>
          <w:color w:val="auto"/>
          <w:highlight w:val="none"/>
        </w:rPr>
        <w:br w:type="page"/>
      </w:r>
    </w:p>
    <w:p w14:paraId="5835BF72">
      <w:pPr>
        <w:pStyle w:val="5"/>
        <w:jc w:val="center"/>
        <w:rPr>
          <w:rFonts w:hint="eastAsia" w:ascii="仿宋" w:hAnsi="仿宋" w:eastAsia="仿宋" w:cs="仿宋"/>
          <w:color w:val="auto"/>
          <w:highlight w:val="none"/>
        </w:rPr>
      </w:pPr>
      <w:r>
        <w:rPr>
          <w:rFonts w:hint="eastAsia" w:ascii="仿宋" w:hAnsi="仿宋" w:eastAsia="仿宋" w:cs="仿宋"/>
          <w:color w:val="auto"/>
          <w:highlight w:val="none"/>
        </w:rPr>
        <w:t>（四）正在实施的和新承接的项目情况表</w:t>
      </w:r>
      <w:bookmarkEnd w:id="952"/>
      <w:bookmarkEnd w:id="953"/>
      <w:bookmarkEnd w:id="954"/>
      <w:bookmarkEnd w:id="955"/>
      <w:bookmarkEnd w:id="956"/>
      <w:bookmarkEnd w:id="957"/>
      <w:bookmarkEnd w:id="958"/>
    </w:p>
    <w:p w14:paraId="21E3C4D3">
      <w:pPr>
        <w:spacing w:line="440" w:lineRule="exact"/>
        <w:jc w:val="left"/>
        <w:rPr>
          <w:rFonts w:hint="eastAsia" w:ascii="仿宋" w:hAnsi="仿宋" w:eastAsia="仿宋" w:cs="仿宋"/>
          <w:color w:val="auto"/>
          <w:sz w:val="20"/>
          <w:szCs w:val="20"/>
          <w:highlight w:val="none"/>
        </w:rPr>
      </w:pPr>
    </w:p>
    <w:tbl>
      <w:tblPr>
        <w:tblStyle w:val="39"/>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19"/>
        <w:gridCol w:w="6403"/>
      </w:tblGrid>
      <w:tr w14:paraId="3A21B6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trPr>
        <w:tc>
          <w:tcPr>
            <w:tcW w:w="2119" w:type="dxa"/>
            <w:noWrap w:val="0"/>
            <w:vAlign w:val="center"/>
          </w:tcPr>
          <w:p w14:paraId="3E79B03A">
            <w:pPr>
              <w:keepNext w:val="0"/>
              <w:keepLines w:val="0"/>
              <w:pageBreakBefore w:val="0"/>
              <w:widowControl/>
              <w:kinsoku/>
              <w:wordWrap/>
              <w:overflowPunct/>
              <w:topLinePunct/>
              <w:autoSpaceDE/>
              <w:autoSpaceDN/>
              <w:bidi w:val="0"/>
              <w:adjustRightInd/>
              <w:snapToGrid/>
              <w:spacing w:line="440" w:lineRule="exact"/>
              <w:ind w:firstLine="0" w:firstLineChars="0"/>
              <w:jc w:val="left"/>
              <w:textAlignment w:val="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项目名称</w:t>
            </w:r>
          </w:p>
        </w:tc>
        <w:tc>
          <w:tcPr>
            <w:tcW w:w="6403" w:type="dxa"/>
            <w:noWrap w:val="0"/>
            <w:vAlign w:val="top"/>
          </w:tcPr>
          <w:p w14:paraId="1DBB433E">
            <w:pPr>
              <w:keepNext w:val="0"/>
              <w:keepLines w:val="0"/>
              <w:pageBreakBefore w:val="0"/>
              <w:widowControl/>
              <w:kinsoku/>
              <w:wordWrap/>
              <w:overflowPunct/>
              <w:topLinePunct/>
              <w:autoSpaceDE/>
              <w:autoSpaceDN/>
              <w:bidi w:val="0"/>
              <w:adjustRightInd/>
              <w:snapToGrid/>
              <w:spacing w:line="440" w:lineRule="exact"/>
              <w:ind w:firstLine="0" w:firstLineChars="0"/>
              <w:jc w:val="left"/>
              <w:textAlignment w:val="auto"/>
              <w:rPr>
                <w:rFonts w:hint="eastAsia" w:ascii="仿宋" w:hAnsi="仿宋" w:eastAsia="仿宋" w:cs="仿宋"/>
                <w:color w:val="auto"/>
                <w:szCs w:val="21"/>
                <w:highlight w:val="none"/>
              </w:rPr>
            </w:pPr>
          </w:p>
        </w:tc>
      </w:tr>
      <w:tr w14:paraId="29BC03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trPr>
        <w:tc>
          <w:tcPr>
            <w:tcW w:w="2119" w:type="dxa"/>
            <w:noWrap w:val="0"/>
            <w:vAlign w:val="center"/>
          </w:tcPr>
          <w:p w14:paraId="746D7844">
            <w:pPr>
              <w:keepNext w:val="0"/>
              <w:keepLines w:val="0"/>
              <w:pageBreakBefore w:val="0"/>
              <w:widowControl/>
              <w:kinsoku/>
              <w:wordWrap/>
              <w:overflowPunct/>
              <w:topLinePunct/>
              <w:autoSpaceDE/>
              <w:autoSpaceDN/>
              <w:bidi w:val="0"/>
              <w:adjustRightInd/>
              <w:snapToGrid/>
              <w:spacing w:line="440" w:lineRule="exact"/>
              <w:ind w:firstLine="0" w:firstLineChars="0"/>
              <w:jc w:val="left"/>
              <w:textAlignment w:val="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项目所在地</w:t>
            </w:r>
          </w:p>
        </w:tc>
        <w:tc>
          <w:tcPr>
            <w:tcW w:w="6403" w:type="dxa"/>
            <w:noWrap w:val="0"/>
            <w:vAlign w:val="top"/>
          </w:tcPr>
          <w:p w14:paraId="344E837E">
            <w:pPr>
              <w:keepNext w:val="0"/>
              <w:keepLines w:val="0"/>
              <w:pageBreakBefore w:val="0"/>
              <w:widowControl/>
              <w:kinsoku/>
              <w:wordWrap/>
              <w:overflowPunct/>
              <w:topLinePunct/>
              <w:autoSpaceDE/>
              <w:autoSpaceDN/>
              <w:bidi w:val="0"/>
              <w:adjustRightInd/>
              <w:snapToGrid/>
              <w:spacing w:line="440" w:lineRule="exact"/>
              <w:ind w:firstLine="0" w:firstLineChars="0"/>
              <w:jc w:val="left"/>
              <w:textAlignment w:val="auto"/>
              <w:rPr>
                <w:rFonts w:hint="eastAsia" w:ascii="仿宋" w:hAnsi="仿宋" w:eastAsia="仿宋" w:cs="仿宋"/>
                <w:color w:val="auto"/>
                <w:szCs w:val="21"/>
                <w:highlight w:val="none"/>
              </w:rPr>
            </w:pPr>
          </w:p>
        </w:tc>
      </w:tr>
      <w:tr w14:paraId="243589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trPr>
        <w:tc>
          <w:tcPr>
            <w:tcW w:w="2119" w:type="dxa"/>
            <w:noWrap w:val="0"/>
            <w:vAlign w:val="center"/>
          </w:tcPr>
          <w:p w14:paraId="01FA0A86">
            <w:pPr>
              <w:keepNext w:val="0"/>
              <w:keepLines w:val="0"/>
              <w:pageBreakBefore w:val="0"/>
              <w:widowControl/>
              <w:kinsoku/>
              <w:wordWrap/>
              <w:overflowPunct/>
              <w:topLinePunct/>
              <w:autoSpaceDE/>
              <w:autoSpaceDN/>
              <w:bidi w:val="0"/>
              <w:adjustRightInd/>
              <w:snapToGrid/>
              <w:spacing w:line="440" w:lineRule="exact"/>
              <w:ind w:firstLine="0" w:firstLineChars="0"/>
              <w:jc w:val="left"/>
              <w:textAlignment w:val="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发包人名称</w:t>
            </w:r>
          </w:p>
        </w:tc>
        <w:tc>
          <w:tcPr>
            <w:tcW w:w="6403" w:type="dxa"/>
            <w:noWrap w:val="0"/>
            <w:vAlign w:val="top"/>
          </w:tcPr>
          <w:p w14:paraId="20CE6914">
            <w:pPr>
              <w:keepNext w:val="0"/>
              <w:keepLines w:val="0"/>
              <w:pageBreakBefore w:val="0"/>
              <w:widowControl/>
              <w:kinsoku/>
              <w:wordWrap/>
              <w:overflowPunct/>
              <w:topLinePunct/>
              <w:autoSpaceDE/>
              <w:autoSpaceDN/>
              <w:bidi w:val="0"/>
              <w:adjustRightInd/>
              <w:snapToGrid/>
              <w:spacing w:line="440" w:lineRule="exact"/>
              <w:ind w:firstLine="0" w:firstLineChars="0"/>
              <w:jc w:val="left"/>
              <w:textAlignment w:val="auto"/>
              <w:rPr>
                <w:rFonts w:hint="eastAsia" w:ascii="仿宋" w:hAnsi="仿宋" w:eastAsia="仿宋" w:cs="仿宋"/>
                <w:color w:val="auto"/>
                <w:szCs w:val="21"/>
                <w:highlight w:val="none"/>
              </w:rPr>
            </w:pPr>
          </w:p>
        </w:tc>
      </w:tr>
      <w:tr w14:paraId="3BB01C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8" w:hRule="atLeast"/>
        </w:trPr>
        <w:tc>
          <w:tcPr>
            <w:tcW w:w="2119" w:type="dxa"/>
            <w:noWrap w:val="0"/>
            <w:vAlign w:val="center"/>
          </w:tcPr>
          <w:p w14:paraId="6399F106">
            <w:pPr>
              <w:keepNext w:val="0"/>
              <w:keepLines w:val="0"/>
              <w:pageBreakBefore w:val="0"/>
              <w:widowControl/>
              <w:kinsoku/>
              <w:wordWrap/>
              <w:overflowPunct/>
              <w:topLinePunct/>
              <w:autoSpaceDE/>
              <w:autoSpaceDN/>
              <w:bidi w:val="0"/>
              <w:adjustRightInd/>
              <w:snapToGrid/>
              <w:spacing w:line="440" w:lineRule="exact"/>
              <w:ind w:firstLine="0" w:firstLineChars="0"/>
              <w:jc w:val="left"/>
              <w:textAlignment w:val="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发包人地址</w:t>
            </w:r>
          </w:p>
        </w:tc>
        <w:tc>
          <w:tcPr>
            <w:tcW w:w="6403" w:type="dxa"/>
            <w:noWrap w:val="0"/>
            <w:vAlign w:val="top"/>
          </w:tcPr>
          <w:p w14:paraId="79F02417">
            <w:pPr>
              <w:keepNext w:val="0"/>
              <w:keepLines w:val="0"/>
              <w:pageBreakBefore w:val="0"/>
              <w:widowControl/>
              <w:kinsoku/>
              <w:wordWrap/>
              <w:overflowPunct/>
              <w:topLinePunct/>
              <w:autoSpaceDE/>
              <w:autoSpaceDN/>
              <w:bidi w:val="0"/>
              <w:adjustRightInd/>
              <w:snapToGrid/>
              <w:spacing w:line="440" w:lineRule="exact"/>
              <w:ind w:firstLine="0" w:firstLineChars="0"/>
              <w:jc w:val="left"/>
              <w:textAlignment w:val="auto"/>
              <w:rPr>
                <w:rFonts w:hint="eastAsia" w:ascii="仿宋" w:hAnsi="仿宋" w:eastAsia="仿宋" w:cs="仿宋"/>
                <w:color w:val="auto"/>
                <w:szCs w:val="21"/>
                <w:highlight w:val="none"/>
              </w:rPr>
            </w:pPr>
          </w:p>
        </w:tc>
      </w:tr>
      <w:tr w14:paraId="6993AC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2119" w:type="dxa"/>
            <w:noWrap w:val="0"/>
            <w:vAlign w:val="center"/>
          </w:tcPr>
          <w:p w14:paraId="23EE3619">
            <w:pPr>
              <w:keepNext w:val="0"/>
              <w:keepLines w:val="0"/>
              <w:pageBreakBefore w:val="0"/>
              <w:widowControl/>
              <w:kinsoku/>
              <w:wordWrap/>
              <w:overflowPunct/>
              <w:topLinePunct/>
              <w:autoSpaceDE/>
              <w:autoSpaceDN/>
              <w:bidi w:val="0"/>
              <w:adjustRightInd/>
              <w:snapToGrid/>
              <w:spacing w:line="440" w:lineRule="exact"/>
              <w:ind w:firstLine="0" w:firstLineChars="0"/>
              <w:jc w:val="left"/>
              <w:textAlignment w:val="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发包人电话</w:t>
            </w:r>
          </w:p>
        </w:tc>
        <w:tc>
          <w:tcPr>
            <w:tcW w:w="6403" w:type="dxa"/>
            <w:noWrap w:val="0"/>
            <w:vAlign w:val="top"/>
          </w:tcPr>
          <w:p w14:paraId="4E51C1FA">
            <w:pPr>
              <w:keepNext w:val="0"/>
              <w:keepLines w:val="0"/>
              <w:pageBreakBefore w:val="0"/>
              <w:widowControl/>
              <w:kinsoku/>
              <w:wordWrap/>
              <w:overflowPunct/>
              <w:topLinePunct/>
              <w:autoSpaceDE/>
              <w:autoSpaceDN/>
              <w:bidi w:val="0"/>
              <w:adjustRightInd/>
              <w:snapToGrid/>
              <w:spacing w:line="440" w:lineRule="exact"/>
              <w:ind w:firstLine="0" w:firstLineChars="0"/>
              <w:jc w:val="left"/>
              <w:textAlignment w:val="auto"/>
              <w:rPr>
                <w:rFonts w:hint="eastAsia" w:ascii="仿宋" w:hAnsi="仿宋" w:eastAsia="仿宋" w:cs="仿宋"/>
                <w:color w:val="auto"/>
                <w:szCs w:val="21"/>
                <w:highlight w:val="none"/>
              </w:rPr>
            </w:pPr>
          </w:p>
        </w:tc>
      </w:tr>
      <w:tr w14:paraId="05F65F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trPr>
        <w:tc>
          <w:tcPr>
            <w:tcW w:w="2119" w:type="dxa"/>
            <w:noWrap w:val="0"/>
            <w:vAlign w:val="center"/>
          </w:tcPr>
          <w:p w14:paraId="1A23F0DB">
            <w:pPr>
              <w:keepNext w:val="0"/>
              <w:keepLines w:val="0"/>
              <w:pageBreakBefore w:val="0"/>
              <w:widowControl/>
              <w:kinsoku/>
              <w:wordWrap/>
              <w:overflowPunct/>
              <w:topLinePunct/>
              <w:autoSpaceDE/>
              <w:autoSpaceDN/>
              <w:bidi w:val="0"/>
              <w:adjustRightInd/>
              <w:snapToGrid/>
              <w:spacing w:line="440" w:lineRule="exact"/>
              <w:ind w:firstLine="0" w:firstLineChars="0"/>
              <w:jc w:val="left"/>
              <w:textAlignment w:val="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签约合同价</w:t>
            </w:r>
          </w:p>
        </w:tc>
        <w:tc>
          <w:tcPr>
            <w:tcW w:w="6403" w:type="dxa"/>
            <w:noWrap w:val="0"/>
            <w:vAlign w:val="top"/>
          </w:tcPr>
          <w:p w14:paraId="57AA052A">
            <w:pPr>
              <w:keepNext w:val="0"/>
              <w:keepLines w:val="0"/>
              <w:pageBreakBefore w:val="0"/>
              <w:widowControl/>
              <w:kinsoku/>
              <w:wordWrap/>
              <w:overflowPunct/>
              <w:topLinePunct/>
              <w:autoSpaceDE/>
              <w:autoSpaceDN/>
              <w:bidi w:val="0"/>
              <w:adjustRightInd/>
              <w:snapToGrid/>
              <w:spacing w:line="440" w:lineRule="exact"/>
              <w:ind w:firstLine="0" w:firstLineChars="0"/>
              <w:jc w:val="left"/>
              <w:textAlignment w:val="auto"/>
              <w:rPr>
                <w:rFonts w:hint="eastAsia" w:ascii="仿宋" w:hAnsi="仿宋" w:eastAsia="仿宋" w:cs="仿宋"/>
                <w:color w:val="auto"/>
                <w:szCs w:val="21"/>
                <w:highlight w:val="none"/>
              </w:rPr>
            </w:pPr>
          </w:p>
        </w:tc>
      </w:tr>
      <w:tr w14:paraId="16811A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trPr>
        <w:tc>
          <w:tcPr>
            <w:tcW w:w="2119" w:type="dxa"/>
            <w:noWrap w:val="0"/>
            <w:vAlign w:val="center"/>
          </w:tcPr>
          <w:p w14:paraId="5CD5F2AA">
            <w:pPr>
              <w:keepNext w:val="0"/>
              <w:keepLines w:val="0"/>
              <w:pageBreakBefore w:val="0"/>
              <w:widowControl/>
              <w:kinsoku/>
              <w:wordWrap/>
              <w:overflowPunct/>
              <w:topLinePunct/>
              <w:autoSpaceDE/>
              <w:autoSpaceDN/>
              <w:bidi w:val="0"/>
              <w:adjustRightInd/>
              <w:snapToGrid/>
              <w:spacing w:line="440" w:lineRule="exact"/>
              <w:ind w:firstLine="0" w:firstLineChars="0"/>
              <w:jc w:val="left"/>
              <w:textAlignment w:val="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开工日期</w:t>
            </w:r>
          </w:p>
        </w:tc>
        <w:tc>
          <w:tcPr>
            <w:tcW w:w="6403" w:type="dxa"/>
            <w:noWrap w:val="0"/>
            <w:vAlign w:val="top"/>
          </w:tcPr>
          <w:p w14:paraId="26B2A9F4">
            <w:pPr>
              <w:keepNext w:val="0"/>
              <w:keepLines w:val="0"/>
              <w:pageBreakBefore w:val="0"/>
              <w:widowControl/>
              <w:kinsoku/>
              <w:wordWrap/>
              <w:overflowPunct/>
              <w:topLinePunct/>
              <w:autoSpaceDE/>
              <w:autoSpaceDN/>
              <w:bidi w:val="0"/>
              <w:adjustRightInd/>
              <w:snapToGrid/>
              <w:spacing w:line="440" w:lineRule="exact"/>
              <w:ind w:firstLine="0" w:firstLineChars="0"/>
              <w:jc w:val="left"/>
              <w:textAlignment w:val="auto"/>
              <w:rPr>
                <w:rFonts w:hint="eastAsia" w:ascii="仿宋" w:hAnsi="仿宋" w:eastAsia="仿宋" w:cs="仿宋"/>
                <w:color w:val="auto"/>
                <w:szCs w:val="21"/>
                <w:highlight w:val="none"/>
              </w:rPr>
            </w:pPr>
          </w:p>
        </w:tc>
      </w:tr>
      <w:tr w14:paraId="6AFAEA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trPr>
        <w:tc>
          <w:tcPr>
            <w:tcW w:w="2119" w:type="dxa"/>
            <w:noWrap w:val="0"/>
            <w:vAlign w:val="center"/>
          </w:tcPr>
          <w:p w14:paraId="2337277E">
            <w:pPr>
              <w:keepNext w:val="0"/>
              <w:keepLines w:val="0"/>
              <w:pageBreakBefore w:val="0"/>
              <w:widowControl/>
              <w:kinsoku/>
              <w:wordWrap/>
              <w:overflowPunct/>
              <w:topLinePunct/>
              <w:autoSpaceDE/>
              <w:autoSpaceDN/>
              <w:bidi w:val="0"/>
              <w:adjustRightInd/>
              <w:snapToGrid/>
              <w:spacing w:line="440" w:lineRule="exact"/>
              <w:ind w:firstLine="0" w:firstLineChars="0"/>
              <w:jc w:val="left"/>
              <w:textAlignment w:val="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计划</w:t>
            </w:r>
            <w:r>
              <w:rPr>
                <w:rFonts w:hint="eastAsia" w:ascii="仿宋" w:hAnsi="仿宋" w:eastAsia="仿宋" w:cs="仿宋"/>
                <w:color w:val="auto"/>
                <w:highlight w:val="none"/>
              </w:rPr>
              <w:t>竣工</w:t>
            </w:r>
            <w:r>
              <w:rPr>
                <w:rFonts w:hint="eastAsia" w:ascii="仿宋" w:hAnsi="仿宋" w:eastAsia="仿宋" w:cs="仿宋"/>
                <w:color w:val="auto"/>
                <w:szCs w:val="21"/>
                <w:highlight w:val="none"/>
              </w:rPr>
              <w:t>日期</w:t>
            </w:r>
          </w:p>
        </w:tc>
        <w:tc>
          <w:tcPr>
            <w:tcW w:w="6403" w:type="dxa"/>
            <w:noWrap w:val="0"/>
            <w:vAlign w:val="top"/>
          </w:tcPr>
          <w:p w14:paraId="54FA82BC">
            <w:pPr>
              <w:keepNext w:val="0"/>
              <w:keepLines w:val="0"/>
              <w:pageBreakBefore w:val="0"/>
              <w:widowControl/>
              <w:kinsoku/>
              <w:wordWrap/>
              <w:overflowPunct/>
              <w:topLinePunct/>
              <w:autoSpaceDE/>
              <w:autoSpaceDN/>
              <w:bidi w:val="0"/>
              <w:adjustRightInd/>
              <w:snapToGrid/>
              <w:spacing w:line="440" w:lineRule="exact"/>
              <w:ind w:firstLine="0" w:firstLineChars="0"/>
              <w:jc w:val="left"/>
              <w:textAlignment w:val="auto"/>
              <w:rPr>
                <w:rFonts w:hint="eastAsia" w:ascii="仿宋" w:hAnsi="仿宋" w:eastAsia="仿宋" w:cs="仿宋"/>
                <w:color w:val="auto"/>
                <w:szCs w:val="21"/>
                <w:highlight w:val="none"/>
              </w:rPr>
            </w:pPr>
          </w:p>
        </w:tc>
      </w:tr>
      <w:tr w14:paraId="0637B9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7" w:hRule="atLeast"/>
        </w:trPr>
        <w:tc>
          <w:tcPr>
            <w:tcW w:w="2119" w:type="dxa"/>
            <w:noWrap w:val="0"/>
            <w:vAlign w:val="center"/>
          </w:tcPr>
          <w:p w14:paraId="18AC4BE3">
            <w:pPr>
              <w:keepNext w:val="0"/>
              <w:keepLines w:val="0"/>
              <w:pageBreakBefore w:val="0"/>
              <w:widowControl/>
              <w:kinsoku/>
              <w:wordWrap/>
              <w:overflowPunct/>
              <w:topLinePunct/>
              <w:autoSpaceDE/>
              <w:autoSpaceDN/>
              <w:bidi w:val="0"/>
              <w:adjustRightInd/>
              <w:snapToGrid/>
              <w:spacing w:line="440" w:lineRule="exact"/>
              <w:ind w:firstLine="0" w:firstLineChars="0"/>
              <w:jc w:val="left"/>
              <w:textAlignment w:val="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承担的工作</w:t>
            </w:r>
          </w:p>
        </w:tc>
        <w:tc>
          <w:tcPr>
            <w:tcW w:w="6403" w:type="dxa"/>
            <w:noWrap w:val="0"/>
            <w:vAlign w:val="top"/>
          </w:tcPr>
          <w:p w14:paraId="1D67A611">
            <w:pPr>
              <w:keepNext w:val="0"/>
              <w:keepLines w:val="0"/>
              <w:pageBreakBefore w:val="0"/>
              <w:widowControl/>
              <w:kinsoku/>
              <w:wordWrap/>
              <w:overflowPunct/>
              <w:topLinePunct/>
              <w:autoSpaceDE/>
              <w:autoSpaceDN/>
              <w:bidi w:val="0"/>
              <w:adjustRightInd/>
              <w:snapToGrid/>
              <w:spacing w:line="440" w:lineRule="exact"/>
              <w:ind w:firstLine="0" w:firstLineChars="0"/>
              <w:jc w:val="left"/>
              <w:textAlignment w:val="auto"/>
              <w:rPr>
                <w:rFonts w:hint="eastAsia" w:ascii="仿宋" w:hAnsi="仿宋" w:eastAsia="仿宋" w:cs="仿宋"/>
                <w:color w:val="auto"/>
                <w:szCs w:val="21"/>
                <w:highlight w:val="none"/>
              </w:rPr>
            </w:pPr>
          </w:p>
        </w:tc>
      </w:tr>
      <w:tr w14:paraId="7718D2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2119" w:type="dxa"/>
            <w:noWrap w:val="0"/>
            <w:vAlign w:val="center"/>
          </w:tcPr>
          <w:p w14:paraId="5CDF24F3">
            <w:pPr>
              <w:keepNext w:val="0"/>
              <w:keepLines w:val="0"/>
              <w:pageBreakBefore w:val="0"/>
              <w:widowControl/>
              <w:kinsoku/>
              <w:wordWrap/>
              <w:overflowPunct/>
              <w:topLinePunct/>
              <w:autoSpaceDE/>
              <w:autoSpaceDN/>
              <w:bidi w:val="0"/>
              <w:adjustRightInd/>
              <w:snapToGrid/>
              <w:spacing w:line="440" w:lineRule="exact"/>
              <w:ind w:firstLine="0" w:firstLineChars="0"/>
              <w:jc w:val="left"/>
              <w:textAlignment w:val="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工程质量</w:t>
            </w:r>
          </w:p>
        </w:tc>
        <w:tc>
          <w:tcPr>
            <w:tcW w:w="6403" w:type="dxa"/>
            <w:noWrap w:val="0"/>
            <w:vAlign w:val="top"/>
          </w:tcPr>
          <w:p w14:paraId="06786544">
            <w:pPr>
              <w:keepNext w:val="0"/>
              <w:keepLines w:val="0"/>
              <w:pageBreakBefore w:val="0"/>
              <w:widowControl/>
              <w:kinsoku/>
              <w:wordWrap/>
              <w:overflowPunct/>
              <w:topLinePunct/>
              <w:autoSpaceDE/>
              <w:autoSpaceDN/>
              <w:bidi w:val="0"/>
              <w:adjustRightInd/>
              <w:snapToGrid/>
              <w:spacing w:line="440" w:lineRule="exact"/>
              <w:ind w:firstLine="0" w:firstLineChars="0"/>
              <w:jc w:val="left"/>
              <w:textAlignment w:val="auto"/>
              <w:rPr>
                <w:rFonts w:hint="eastAsia" w:ascii="仿宋" w:hAnsi="仿宋" w:eastAsia="仿宋" w:cs="仿宋"/>
                <w:color w:val="auto"/>
                <w:szCs w:val="21"/>
                <w:highlight w:val="none"/>
              </w:rPr>
            </w:pPr>
          </w:p>
        </w:tc>
      </w:tr>
      <w:tr w14:paraId="3F1A97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2119" w:type="dxa"/>
            <w:noWrap w:val="0"/>
            <w:vAlign w:val="center"/>
          </w:tcPr>
          <w:p w14:paraId="32D79FE4">
            <w:pPr>
              <w:keepNext w:val="0"/>
              <w:keepLines w:val="0"/>
              <w:pageBreakBefore w:val="0"/>
              <w:widowControl/>
              <w:kinsoku/>
              <w:wordWrap/>
              <w:overflowPunct/>
              <w:topLinePunct/>
              <w:autoSpaceDE/>
              <w:autoSpaceDN/>
              <w:bidi w:val="0"/>
              <w:adjustRightInd/>
              <w:snapToGrid/>
              <w:spacing w:line="440" w:lineRule="exact"/>
              <w:ind w:firstLine="0" w:firstLineChars="0"/>
              <w:jc w:val="left"/>
              <w:textAlignment w:val="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项目经理</w:t>
            </w:r>
          </w:p>
        </w:tc>
        <w:tc>
          <w:tcPr>
            <w:tcW w:w="6403" w:type="dxa"/>
            <w:noWrap w:val="0"/>
            <w:vAlign w:val="top"/>
          </w:tcPr>
          <w:p w14:paraId="4826F8FD">
            <w:pPr>
              <w:keepNext w:val="0"/>
              <w:keepLines w:val="0"/>
              <w:pageBreakBefore w:val="0"/>
              <w:widowControl/>
              <w:kinsoku/>
              <w:wordWrap/>
              <w:overflowPunct/>
              <w:topLinePunct/>
              <w:autoSpaceDE/>
              <w:autoSpaceDN/>
              <w:bidi w:val="0"/>
              <w:adjustRightInd/>
              <w:snapToGrid/>
              <w:spacing w:line="440" w:lineRule="exact"/>
              <w:ind w:firstLine="0" w:firstLineChars="0"/>
              <w:jc w:val="left"/>
              <w:textAlignment w:val="auto"/>
              <w:rPr>
                <w:rFonts w:hint="eastAsia" w:ascii="仿宋" w:hAnsi="仿宋" w:eastAsia="仿宋" w:cs="仿宋"/>
                <w:color w:val="auto"/>
                <w:szCs w:val="21"/>
                <w:highlight w:val="none"/>
              </w:rPr>
            </w:pPr>
          </w:p>
        </w:tc>
      </w:tr>
      <w:tr w14:paraId="4E2E17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trPr>
        <w:tc>
          <w:tcPr>
            <w:tcW w:w="2119" w:type="dxa"/>
            <w:noWrap w:val="0"/>
            <w:vAlign w:val="center"/>
          </w:tcPr>
          <w:p w14:paraId="6B4BCC37">
            <w:pPr>
              <w:keepNext w:val="0"/>
              <w:keepLines w:val="0"/>
              <w:pageBreakBefore w:val="0"/>
              <w:widowControl/>
              <w:kinsoku/>
              <w:wordWrap/>
              <w:overflowPunct/>
              <w:topLinePunct/>
              <w:autoSpaceDE/>
              <w:autoSpaceDN/>
              <w:bidi w:val="0"/>
              <w:adjustRightInd/>
              <w:snapToGrid/>
              <w:spacing w:line="440" w:lineRule="exact"/>
              <w:ind w:firstLine="0" w:firstLineChars="0"/>
              <w:jc w:val="left"/>
              <w:textAlignment w:val="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技术负责人</w:t>
            </w:r>
          </w:p>
        </w:tc>
        <w:tc>
          <w:tcPr>
            <w:tcW w:w="6403" w:type="dxa"/>
            <w:noWrap w:val="0"/>
            <w:vAlign w:val="top"/>
          </w:tcPr>
          <w:p w14:paraId="33970657">
            <w:pPr>
              <w:keepNext w:val="0"/>
              <w:keepLines w:val="0"/>
              <w:pageBreakBefore w:val="0"/>
              <w:widowControl/>
              <w:kinsoku/>
              <w:wordWrap/>
              <w:overflowPunct/>
              <w:topLinePunct/>
              <w:autoSpaceDE/>
              <w:autoSpaceDN/>
              <w:bidi w:val="0"/>
              <w:adjustRightInd/>
              <w:snapToGrid/>
              <w:spacing w:line="440" w:lineRule="exact"/>
              <w:ind w:firstLine="0" w:firstLineChars="0"/>
              <w:jc w:val="left"/>
              <w:textAlignment w:val="auto"/>
              <w:rPr>
                <w:rFonts w:hint="eastAsia" w:ascii="仿宋" w:hAnsi="仿宋" w:eastAsia="仿宋" w:cs="仿宋"/>
                <w:color w:val="auto"/>
                <w:szCs w:val="21"/>
                <w:highlight w:val="none"/>
              </w:rPr>
            </w:pPr>
          </w:p>
        </w:tc>
      </w:tr>
      <w:tr w14:paraId="1CC687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trPr>
        <w:tc>
          <w:tcPr>
            <w:tcW w:w="2119" w:type="dxa"/>
            <w:noWrap w:val="0"/>
            <w:vAlign w:val="center"/>
          </w:tcPr>
          <w:p w14:paraId="48E1CE4D">
            <w:pPr>
              <w:keepNext w:val="0"/>
              <w:keepLines w:val="0"/>
              <w:pageBreakBefore w:val="0"/>
              <w:widowControl/>
              <w:kinsoku/>
              <w:wordWrap/>
              <w:overflowPunct/>
              <w:topLinePunct/>
              <w:autoSpaceDE/>
              <w:autoSpaceDN/>
              <w:bidi w:val="0"/>
              <w:adjustRightInd/>
              <w:snapToGrid/>
              <w:spacing w:line="440" w:lineRule="exact"/>
              <w:ind w:firstLine="0" w:firstLineChars="0"/>
              <w:jc w:val="left"/>
              <w:textAlignment w:val="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项目描述</w:t>
            </w:r>
          </w:p>
        </w:tc>
        <w:tc>
          <w:tcPr>
            <w:tcW w:w="6403" w:type="dxa"/>
            <w:noWrap w:val="0"/>
            <w:vAlign w:val="top"/>
          </w:tcPr>
          <w:p w14:paraId="4195AEBC">
            <w:pPr>
              <w:keepNext w:val="0"/>
              <w:keepLines w:val="0"/>
              <w:pageBreakBefore w:val="0"/>
              <w:widowControl/>
              <w:kinsoku/>
              <w:wordWrap/>
              <w:overflowPunct/>
              <w:topLinePunct/>
              <w:autoSpaceDE/>
              <w:autoSpaceDN/>
              <w:bidi w:val="0"/>
              <w:adjustRightInd/>
              <w:snapToGrid/>
              <w:spacing w:line="440" w:lineRule="exact"/>
              <w:ind w:firstLine="0" w:firstLineChars="0"/>
              <w:jc w:val="left"/>
              <w:textAlignment w:val="auto"/>
              <w:rPr>
                <w:rFonts w:hint="eastAsia" w:ascii="仿宋" w:hAnsi="仿宋" w:eastAsia="仿宋" w:cs="仿宋"/>
                <w:color w:val="auto"/>
                <w:szCs w:val="21"/>
                <w:highlight w:val="none"/>
              </w:rPr>
            </w:pPr>
          </w:p>
          <w:p w14:paraId="75F9CC29">
            <w:pPr>
              <w:keepNext w:val="0"/>
              <w:keepLines w:val="0"/>
              <w:pageBreakBefore w:val="0"/>
              <w:widowControl/>
              <w:kinsoku/>
              <w:wordWrap/>
              <w:overflowPunct/>
              <w:topLinePunct/>
              <w:autoSpaceDE/>
              <w:autoSpaceDN/>
              <w:bidi w:val="0"/>
              <w:adjustRightInd/>
              <w:snapToGrid/>
              <w:spacing w:line="440" w:lineRule="exact"/>
              <w:ind w:firstLine="0" w:firstLineChars="0"/>
              <w:jc w:val="left"/>
              <w:textAlignment w:val="auto"/>
              <w:rPr>
                <w:rFonts w:hint="eastAsia" w:ascii="仿宋" w:hAnsi="仿宋" w:eastAsia="仿宋" w:cs="仿宋"/>
                <w:color w:val="auto"/>
                <w:szCs w:val="21"/>
                <w:highlight w:val="none"/>
              </w:rPr>
            </w:pPr>
          </w:p>
          <w:p w14:paraId="7D5303AE">
            <w:pPr>
              <w:keepNext w:val="0"/>
              <w:keepLines w:val="0"/>
              <w:pageBreakBefore w:val="0"/>
              <w:widowControl/>
              <w:kinsoku/>
              <w:wordWrap/>
              <w:overflowPunct/>
              <w:topLinePunct/>
              <w:autoSpaceDE/>
              <w:autoSpaceDN/>
              <w:bidi w:val="0"/>
              <w:adjustRightInd/>
              <w:snapToGrid/>
              <w:spacing w:line="440" w:lineRule="exact"/>
              <w:ind w:firstLine="0" w:firstLineChars="0"/>
              <w:jc w:val="left"/>
              <w:textAlignment w:val="auto"/>
              <w:rPr>
                <w:rFonts w:hint="eastAsia" w:ascii="仿宋" w:hAnsi="仿宋" w:eastAsia="仿宋" w:cs="仿宋"/>
                <w:color w:val="auto"/>
                <w:szCs w:val="21"/>
                <w:highlight w:val="none"/>
              </w:rPr>
            </w:pPr>
          </w:p>
          <w:p w14:paraId="40B05974">
            <w:pPr>
              <w:keepNext w:val="0"/>
              <w:keepLines w:val="0"/>
              <w:pageBreakBefore w:val="0"/>
              <w:widowControl/>
              <w:kinsoku/>
              <w:wordWrap/>
              <w:overflowPunct/>
              <w:topLinePunct/>
              <w:autoSpaceDE/>
              <w:autoSpaceDN/>
              <w:bidi w:val="0"/>
              <w:adjustRightInd/>
              <w:snapToGrid/>
              <w:spacing w:line="440" w:lineRule="exact"/>
              <w:ind w:firstLine="0" w:firstLineChars="0"/>
              <w:jc w:val="left"/>
              <w:textAlignment w:val="auto"/>
              <w:rPr>
                <w:rFonts w:hint="eastAsia" w:ascii="仿宋" w:hAnsi="仿宋" w:eastAsia="仿宋" w:cs="仿宋"/>
                <w:color w:val="auto"/>
                <w:szCs w:val="21"/>
                <w:highlight w:val="none"/>
              </w:rPr>
            </w:pPr>
          </w:p>
          <w:p w14:paraId="112D6685">
            <w:pPr>
              <w:keepNext w:val="0"/>
              <w:keepLines w:val="0"/>
              <w:pageBreakBefore w:val="0"/>
              <w:widowControl/>
              <w:kinsoku/>
              <w:wordWrap/>
              <w:overflowPunct/>
              <w:topLinePunct/>
              <w:autoSpaceDE/>
              <w:autoSpaceDN/>
              <w:bidi w:val="0"/>
              <w:adjustRightInd/>
              <w:snapToGrid/>
              <w:spacing w:line="440" w:lineRule="exact"/>
              <w:ind w:firstLine="0" w:firstLineChars="0"/>
              <w:jc w:val="left"/>
              <w:textAlignment w:val="auto"/>
              <w:rPr>
                <w:rFonts w:hint="eastAsia" w:ascii="仿宋" w:hAnsi="仿宋" w:eastAsia="仿宋" w:cs="仿宋"/>
                <w:color w:val="auto"/>
                <w:szCs w:val="21"/>
                <w:highlight w:val="none"/>
              </w:rPr>
            </w:pPr>
          </w:p>
          <w:p w14:paraId="32210659">
            <w:pPr>
              <w:keepNext w:val="0"/>
              <w:keepLines w:val="0"/>
              <w:pageBreakBefore w:val="0"/>
              <w:widowControl/>
              <w:kinsoku/>
              <w:wordWrap/>
              <w:overflowPunct/>
              <w:topLinePunct/>
              <w:autoSpaceDE/>
              <w:autoSpaceDN/>
              <w:bidi w:val="0"/>
              <w:adjustRightInd/>
              <w:snapToGrid/>
              <w:spacing w:line="440" w:lineRule="exact"/>
              <w:ind w:firstLine="0" w:firstLineChars="0"/>
              <w:jc w:val="left"/>
              <w:textAlignment w:val="auto"/>
              <w:rPr>
                <w:rFonts w:hint="eastAsia" w:ascii="仿宋" w:hAnsi="仿宋" w:eastAsia="仿宋" w:cs="仿宋"/>
                <w:color w:val="auto"/>
                <w:szCs w:val="21"/>
                <w:highlight w:val="none"/>
              </w:rPr>
            </w:pPr>
          </w:p>
          <w:p w14:paraId="594FA468">
            <w:pPr>
              <w:keepNext w:val="0"/>
              <w:keepLines w:val="0"/>
              <w:pageBreakBefore w:val="0"/>
              <w:widowControl/>
              <w:kinsoku/>
              <w:wordWrap/>
              <w:overflowPunct/>
              <w:topLinePunct/>
              <w:autoSpaceDE/>
              <w:autoSpaceDN/>
              <w:bidi w:val="0"/>
              <w:adjustRightInd/>
              <w:snapToGrid/>
              <w:spacing w:line="440" w:lineRule="exact"/>
              <w:ind w:firstLine="0" w:firstLineChars="0"/>
              <w:jc w:val="left"/>
              <w:textAlignment w:val="auto"/>
              <w:rPr>
                <w:rFonts w:hint="eastAsia" w:ascii="仿宋" w:hAnsi="仿宋" w:eastAsia="仿宋" w:cs="仿宋"/>
                <w:color w:val="auto"/>
                <w:szCs w:val="21"/>
                <w:highlight w:val="none"/>
              </w:rPr>
            </w:pPr>
          </w:p>
        </w:tc>
      </w:tr>
      <w:tr w14:paraId="376566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trPr>
        <w:tc>
          <w:tcPr>
            <w:tcW w:w="2119" w:type="dxa"/>
            <w:noWrap w:val="0"/>
            <w:vAlign w:val="center"/>
          </w:tcPr>
          <w:p w14:paraId="25898F0F">
            <w:pPr>
              <w:keepNext w:val="0"/>
              <w:keepLines w:val="0"/>
              <w:pageBreakBefore w:val="0"/>
              <w:widowControl/>
              <w:kinsoku/>
              <w:wordWrap/>
              <w:overflowPunct/>
              <w:topLinePunct/>
              <w:autoSpaceDE/>
              <w:autoSpaceDN/>
              <w:bidi w:val="0"/>
              <w:adjustRightInd/>
              <w:snapToGrid/>
              <w:spacing w:line="440" w:lineRule="exact"/>
              <w:ind w:firstLine="0" w:firstLineChars="0"/>
              <w:jc w:val="left"/>
              <w:textAlignment w:val="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备注</w:t>
            </w:r>
          </w:p>
        </w:tc>
        <w:tc>
          <w:tcPr>
            <w:tcW w:w="6403" w:type="dxa"/>
            <w:noWrap w:val="0"/>
            <w:vAlign w:val="top"/>
          </w:tcPr>
          <w:p w14:paraId="5B1C95C8">
            <w:pPr>
              <w:keepNext w:val="0"/>
              <w:keepLines w:val="0"/>
              <w:pageBreakBefore w:val="0"/>
              <w:widowControl/>
              <w:kinsoku/>
              <w:wordWrap/>
              <w:overflowPunct/>
              <w:topLinePunct/>
              <w:autoSpaceDE/>
              <w:autoSpaceDN/>
              <w:bidi w:val="0"/>
              <w:adjustRightInd/>
              <w:snapToGrid/>
              <w:spacing w:line="440" w:lineRule="exact"/>
              <w:ind w:firstLine="0" w:firstLineChars="0"/>
              <w:jc w:val="left"/>
              <w:textAlignment w:val="auto"/>
              <w:rPr>
                <w:rFonts w:hint="eastAsia" w:ascii="仿宋" w:hAnsi="仿宋" w:eastAsia="仿宋" w:cs="仿宋"/>
                <w:color w:val="auto"/>
                <w:szCs w:val="21"/>
                <w:highlight w:val="none"/>
              </w:rPr>
            </w:pPr>
          </w:p>
        </w:tc>
      </w:tr>
    </w:tbl>
    <w:p w14:paraId="1D9EA21A">
      <w:pPr>
        <w:spacing w:line="440" w:lineRule="exact"/>
        <w:jc w:val="left"/>
        <w:rPr>
          <w:rFonts w:hint="eastAsia" w:ascii="仿宋" w:hAnsi="仿宋" w:eastAsia="仿宋" w:cs="仿宋"/>
          <w:color w:val="auto"/>
          <w:highlight w:val="none"/>
        </w:rPr>
      </w:pPr>
      <w:bookmarkStart w:id="959" w:name="_Toc152045812"/>
      <w:bookmarkStart w:id="960" w:name="_Toc247527852"/>
      <w:bookmarkStart w:id="961" w:name="_Toc144974880"/>
      <w:bookmarkStart w:id="962" w:name="_Toc152042601"/>
      <w:bookmarkStart w:id="963" w:name="_Toc247514304"/>
    </w:p>
    <w:p w14:paraId="2F6778B7">
      <w:pPr>
        <w:spacing w:line="440" w:lineRule="exact"/>
        <w:jc w:val="left"/>
        <w:rPr>
          <w:rFonts w:hint="eastAsia" w:ascii="仿宋" w:hAnsi="仿宋" w:eastAsia="仿宋" w:cs="仿宋"/>
          <w:color w:val="auto"/>
          <w:highlight w:val="none"/>
        </w:rPr>
      </w:pPr>
    </w:p>
    <w:p w14:paraId="48E60A6E">
      <w:pPr>
        <w:rPr>
          <w:rFonts w:hint="eastAsia" w:ascii="仿宋" w:hAnsi="仿宋" w:eastAsia="仿宋" w:cs="仿宋"/>
          <w:color w:val="auto"/>
          <w:highlight w:val="none"/>
        </w:rPr>
      </w:pPr>
      <w:bookmarkStart w:id="964" w:name="_Toc7956841"/>
      <w:bookmarkStart w:id="965" w:name="_Toc106998228"/>
      <w:r>
        <w:rPr>
          <w:rFonts w:hint="eastAsia" w:ascii="仿宋" w:hAnsi="仿宋" w:eastAsia="仿宋" w:cs="仿宋"/>
          <w:color w:val="auto"/>
          <w:highlight w:val="none"/>
        </w:rPr>
        <w:br w:type="page"/>
      </w:r>
    </w:p>
    <w:p w14:paraId="509EB071">
      <w:pPr>
        <w:pStyle w:val="5"/>
        <w:jc w:val="center"/>
        <w:rPr>
          <w:rFonts w:hint="eastAsia" w:ascii="仿宋" w:hAnsi="仿宋" w:eastAsia="仿宋" w:cs="仿宋"/>
          <w:color w:val="auto"/>
          <w:highlight w:val="none"/>
        </w:rPr>
      </w:pPr>
      <w:r>
        <w:rPr>
          <w:rFonts w:hint="eastAsia" w:ascii="仿宋" w:hAnsi="仿宋" w:eastAsia="仿宋" w:cs="仿宋"/>
          <w:color w:val="auto"/>
          <w:highlight w:val="none"/>
        </w:rPr>
        <w:t>（五）近年发生的重大诉讼及仲裁情况</w:t>
      </w:r>
      <w:bookmarkEnd w:id="959"/>
      <w:bookmarkEnd w:id="960"/>
      <w:bookmarkEnd w:id="961"/>
      <w:bookmarkEnd w:id="962"/>
      <w:bookmarkEnd w:id="963"/>
      <w:bookmarkEnd w:id="964"/>
      <w:bookmarkEnd w:id="965"/>
    </w:p>
    <w:p w14:paraId="4CA1BDD9">
      <w:pPr>
        <w:spacing w:line="440" w:lineRule="exact"/>
        <w:jc w:val="left"/>
        <w:rPr>
          <w:rFonts w:hint="eastAsia" w:ascii="仿宋" w:hAnsi="仿宋" w:eastAsia="仿宋" w:cs="仿宋"/>
          <w:color w:val="auto"/>
          <w:highlight w:val="none"/>
        </w:rPr>
      </w:pPr>
      <w:r>
        <w:rPr>
          <w:rFonts w:hint="eastAsia" w:ascii="仿宋" w:hAnsi="仿宋" w:eastAsia="仿宋" w:cs="仿宋"/>
          <w:color w:val="auto"/>
          <w:highlight w:val="none"/>
        </w:rPr>
        <w:br w:type="page"/>
      </w:r>
      <w:bookmarkStart w:id="966" w:name="_Toc152045813"/>
      <w:bookmarkStart w:id="967" w:name="_Toc144974881"/>
      <w:bookmarkStart w:id="968" w:name="_Toc152042602"/>
      <w:bookmarkStart w:id="969" w:name="_Toc247530162"/>
      <w:bookmarkStart w:id="970" w:name="_Toc247527853"/>
      <w:bookmarkStart w:id="971" w:name="_Toc247514305"/>
    </w:p>
    <w:p w14:paraId="6BD1F60A">
      <w:pPr>
        <w:pStyle w:val="5"/>
        <w:jc w:val="center"/>
        <w:rPr>
          <w:rFonts w:hint="eastAsia" w:ascii="仿宋" w:hAnsi="仿宋" w:eastAsia="仿宋" w:cs="仿宋"/>
          <w:color w:val="auto"/>
          <w:highlight w:val="none"/>
        </w:rPr>
      </w:pPr>
      <w:bookmarkStart w:id="972" w:name="_Toc7956842"/>
      <w:bookmarkStart w:id="973" w:name="_Toc106998229"/>
      <w:r>
        <w:rPr>
          <w:rFonts w:hint="eastAsia" w:ascii="仿宋" w:hAnsi="仿宋" w:eastAsia="仿宋" w:cs="仿宋"/>
          <w:color w:val="auto"/>
          <w:highlight w:val="none"/>
        </w:rPr>
        <w:t>（六）拟投入本项目的主要施工设备表</w:t>
      </w:r>
      <w:bookmarkEnd w:id="972"/>
      <w:bookmarkEnd w:id="973"/>
    </w:p>
    <w:p w14:paraId="765ECCB3">
      <w:pPr>
        <w:spacing w:line="440" w:lineRule="exact"/>
        <w:jc w:val="left"/>
        <w:rPr>
          <w:rFonts w:hint="eastAsia" w:ascii="仿宋" w:hAnsi="仿宋" w:eastAsia="仿宋" w:cs="仿宋"/>
          <w:color w:val="auto"/>
          <w:sz w:val="20"/>
          <w:szCs w:val="20"/>
          <w:highlight w:val="none"/>
        </w:rPr>
      </w:pPr>
    </w:p>
    <w:tbl>
      <w:tblPr>
        <w:tblStyle w:val="39"/>
        <w:tblW w:w="8744"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5"/>
        <w:gridCol w:w="1086"/>
        <w:gridCol w:w="761"/>
        <w:gridCol w:w="990"/>
        <w:gridCol w:w="672"/>
        <w:gridCol w:w="738"/>
        <w:gridCol w:w="1212"/>
        <w:gridCol w:w="874"/>
        <w:gridCol w:w="1055"/>
        <w:gridCol w:w="691"/>
      </w:tblGrid>
      <w:tr w14:paraId="25880F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5" w:type="dxa"/>
            <w:noWrap w:val="0"/>
            <w:vAlign w:val="center"/>
          </w:tcPr>
          <w:p w14:paraId="4703C6C7">
            <w:pPr>
              <w:spacing w:line="440" w:lineRule="exact"/>
              <w:ind w:firstLine="0" w:firstLineChars="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序号</w:t>
            </w:r>
          </w:p>
        </w:tc>
        <w:tc>
          <w:tcPr>
            <w:tcW w:w="1086" w:type="dxa"/>
            <w:noWrap w:val="0"/>
            <w:vAlign w:val="center"/>
          </w:tcPr>
          <w:p w14:paraId="29BDD71F">
            <w:pPr>
              <w:spacing w:line="440" w:lineRule="exact"/>
              <w:ind w:firstLine="0" w:firstLineChars="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设备名称</w:t>
            </w:r>
          </w:p>
        </w:tc>
        <w:tc>
          <w:tcPr>
            <w:tcW w:w="761" w:type="dxa"/>
            <w:noWrap w:val="0"/>
            <w:vAlign w:val="center"/>
          </w:tcPr>
          <w:p w14:paraId="7A3289DD">
            <w:pPr>
              <w:spacing w:line="440" w:lineRule="exact"/>
              <w:ind w:firstLine="0" w:firstLineChars="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型号</w:t>
            </w:r>
          </w:p>
          <w:p w14:paraId="6CFE2697">
            <w:pPr>
              <w:spacing w:line="440" w:lineRule="exact"/>
              <w:ind w:firstLine="0" w:firstLineChars="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规格</w:t>
            </w:r>
          </w:p>
        </w:tc>
        <w:tc>
          <w:tcPr>
            <w:tcW w:w="990" w:type="dxa"/>
            <w:noWrap w:val="0"/>
            <w:vAlign w:val="center"/>
          </w:tcPr>
          <w:p w14:paraId="4DF93C9B">
            <w:pPr>
              <w:spacing w:line="440" w:lineRule="exact"/>
              <w:ind w:firstLine="0" w:firstLineChars="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数量</w:t>
            </w:r>
          </w:p>
        </w:tc>
        <w:tc>
          <w:tcPr>
            <w:tcW w:w="672" w:type="dxa"/>
            <w:noWrap w:val="0"/>
            <w:vAlign w:val="center"/>
          </w:tcPr>
          <w:p w14:paraId="5F013B55">
            <w:pPr>
              <w:spacing w:line="440" w:lineRule="exact"/>
              <w:ind w:firstLine="0" w:firstLineChars="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国别</w:t>
            </w:r>
          </w:p>
          <w:p w14:paraId="55290368">
            <w:pPr>
              <w:spacing w:line="440" w:lineRule="exact"/>
              <w:ind w:firstLine="0" w:firstLineChars="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产地</w:t>
            </w:r>
          </w:p>
        </w:tc>
        <w:tc>
          <w:tcPr>
            <w:tcW w:w="738" w:type="dxa"/>
            <w:noWrap w:val="0"/>
            <w:vAlign w:val="center"/>
          </w:tcPr>
          <w:p w14:paraId="06086C89">
            <w:pPr>
              <w:spacing w:line="440" w:lineRule="exact"/>
              <w:ind w:firstLine="0" w:firstLineChars="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制造</w:t>
            </w:r>
          </w:p>
          <w:p w14:paraId="08DB38A6">
            <w:pPr>
              <w:spacing w:line="440" w:lineRule="exact"/>
              <w:ind w:firstLine="0" w:firstLineChars="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年份</w:t>
            </w:r>
          </w:p>
        </w:tc>
        <w:tc>
          <w:tcPr>
            <w:tcW w:w="1212" w:type="dxa"/>
            <w:noWrap w:val="0"/>
            <w:vAlign w:val="center"/>
          </w:tcPr>
          <w:p w14:paraId="6A2CC0E0">
            <w:pPr>
              <w:spacing w:line="440" w:lineRule="exact"/>
              <w:ind w:firstLine="0" w:firstLineChars="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额定功率（kW）</w:t>
            </w:r>
          </w:p>
        </w:tc>
        <w:tc>
          <w:tcPr>
            <w:tcW w:w="874" w:type="dxa"/>
            <w:noWrap w:val="0"/>
            <w:vAlign w:val="center"/>
          </w:tcPr>
          <w:p w14:paraId="650ECA03">
            <w:pPr>
              <w:spacing w:line="440" w:lineRule="exact"/>
              <w:ind w:firstLine="0" w:firstLineChars="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生产</w:t>
            </w:r>
          </w:p>
          <w:p w14:paraId="4B6DCC2F">
            <w:pPr>
              <w:spacing w:line="440" w:lineRule="exact"/>
              <w:ind w:firstLine="0" w:firstLineChars="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能力</w:t>
            </w:r>
          </w:p>
        </w:tc>
        <w:tc>
          <w:tcPr>
            <w:tcW w:w="1055" w:type="dxa"/>
            <w:noWrap w:val="0"/>
            <w:vAlign w:val="center"/>
          </w:tcPr>
          <w:p w14:paraId="207199F0">
            <w:pPr>
              <w:spacing w:line="440" w:lineRule="exact"/>
              <w:ind w:firstLine="0" w:firstLineChars="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用于施工部位</w:t>
            </w:r>
          </w:p>
        </w:tc>
        <w:tc>
          <w:tcPr>
            <w:tcW w:w="691" w:type="dxa"/>
            <w:noWrap w:val="0"/>
            <w:vAlign w:val="center"/>
          </w:tcPr>
          <w:p w14:paraId="041A7858">
            <w:pPr>
              <w:spacing w:line="440" w:lineRule="exact"/>
              <w:ind w:firstLine="0" w:firstLineChars="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备注</w:t>
            </w:r>
          </w:p>
        </w:tc>
      </w:tr>
      <w:tr w14:paraId="2F5203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5" w:type="dxa"/>
            <w:noWrap w:val="0"/>
            <w:vAlign w:val="center"/>
          </w:tcPr>
          <w:p w14:paraId="54A85F14">
            <w:pPr>
              <w:spacing w:line="440" w:lineRule="exact"/>
              <w:jc w:val="left"/>
              <w:rPr>
                <w:rFonts w:hint="eastAsia" w:ascii="仿宋" w:hAnsi="仿宋" w:eastAsia="仿宋" w:cs="仿宋"/>
                <w:color w:val="auto"/>
                <w:szCs w:val="21"/>
                <w:highlight w:val="none"/>
              </w:rPr>
            </w:pPr>
          </w:p>
        </w:tc>
        <w:tc>
          <w:tcPr>
            <w:tcW w:w="1086" w:type="dxa"/>
            <w:noWrap w:val="0"/>
            <w:vAlign w:val="center"/>
          </w:tcPr>
          <w:p w14:paraId="3936ECB0">
            <w:pPr>
              <w:spacing w:line="440" w:lineRule="exact"/>
              <w:jc w:val="left"/>
              <w:rPr>
                <w:rFonts w:hint="eastAsia" w:ascii="仿宋" w:hAnsi="仿宋" w:eastAsia="仿宋" w:cs="仿宋"/>
                <w:color w:val="auto"/>
                <w:szCs w:val="21"/>
                <w:highlight w:val="none"/>
              </w:rPr>
            </w:pPr>
          </w:p>
        </w:tc>
        <w:tc>
          <w:tcPr>
            <w:tcW w:w="761" w:type="dxa"/>
            <w:noWrap w:val="0"/>
            <w:vAlign w:val="center"/>
          </w:tcPr>
          <w:p w14:paraId="6A72E27D">
            <w:pPr>
              <w:spacing w:line="440" w:lineRule="exact"/>
              <w:jc w:val="left"/>
              <w:rPr>
                <w:rFonts w:hint="eastAsia" w:ascii="仿宋" w:hAnsi="仿宋" w:eastAsia="仿宋" w:cs="仿宋"/>
                <w:color w:val="auto"/>
                <w:szCs w:val="21"/>
                <w:highlight w:val="none"/>
              </w:rPr>
            </w:pPr>
          </w:p>
        </w:tc>
        <w:tc>
          <w:tcPr>
            <w:tcW w:w="990" w:type="dxa"/>
            <w:noWrap w:val="0"/>
            <w:vAlign w:val="center"/>
          </w:tcPr>
          <w:p w14:paraId="1377F96A">
            <w:pPr>
              <w:spacing w:line="440" w:lineRule="exact"/>
              <w:jc w:val="left"/>
              <w:rPr>
                <w:rFonts w:hint="eastAsia" w:ascii="仿宋" w:hAnsi="仿宋" w:eastAsia="仿宋" w:cs="仿宋"/>
                <w:color w:val="auto"/>
                <w:szCs w:val="21"/>
                <w:highlight w:val="none"/>
              </w:rPr>
            </w:pPr>
          </w:p>
        </w:tc>
        <w:tc>
          <w:tcPr>
            <w:tcW w:w="672" w:type="dxa"/>
            <w:noWrap w:val="0"/>
            <w:vAlign w:val="center"/>
          </w:tcPr>
          <w:p w14:paraId="012CD48C">
            <w:pPr>
              <w:spacing w:line="440" w:lineRule="exact"/>
              <w:jc w:val="left"/>
              <w:rPr>
                <w:rFonts w:hint="eastAsia" w:ascii="仿宋" w:hAnsi="仿宋" w:eastAsia="仿宋" w:cs="仿宋"/>
                <w:color w:val="auto"/>
                <w:szCs w:val="21"/>
                <w:highlight w:val="none"/>
              </w:rPr>
            </w:pPr>
          </w:p>
        </w:tc>
        <w:tc>
          <w:tcPr>
            <w:tcW w:w="738" w:type="dxa"/>
            <w:noWrap w:val="0"/>
            <w:vAlign w:val="center"/>
          </w:tcPr>
          <w:p w14:paraId="04452995">
            <w:pPr>
              <w:spacing w:line="440" w:lineRule="exact"/>
              <w:jc w:val="left"/>
              <w:rPr>
                <w:rFonts w:hint="eastAsia" w:ascii="仿宋" w:hAnsi="仿宋" w:eastAsia="仿宋" w:cs="仿宋"/>
                <w:color w:val="auto"/>
                <w:szCs w:val="21"/>
                <w:highlight w:val="none"/>
              </w:rPr>
            </w:pPr>
          </w:p>
        </w:tc>
        <w:tc>
          <w:tcPr>
            <w:tcW w:w="1212" w:type="dxa"/>
            <w:noWrap w:val="0"/>
            <w:vAlign w:val="center"/>
          </w:tcPr>
          <w:p w14:paraId="7192A398">
            <w:pPr>
              <w:spacing w:line="440" w:lineRule="exact"/>
              <w:jc w:val="left"/>
              <w:rPr>
                <w:rFonts w:hint="eastAsia" w:ascii="仿宋" w:hAnsi="仿宋" w:eastAsia="仿宋" w:cs="仿宋"/>
                <w:color w:val="auto"/>
                <w:szCs w:val="21"/>
                <w:highlight w:val="none"/>
              </w:rPr>
            </w:pPr>
          </w:p>
        </w:tc>
        <w:tc>
          <w:tcPr>
            <w:tcW w:w="874" w:type="dxa"/>
            <w:noWrap w:val="0"/>
            <w:vAlign w:val="center"/>
          </w:tcPr>
          <w:p w14:paraId="766DB7C6">
            <w:pPr>
              <w:spacing w:line="440" w:lineRule="exact"/>
              <w:jc w:val="left"/>
              <w:rPr>
                <w:rFonts w:hint="eastAsia" w:ascii="仿宋" w:hAnsi="仿宋" w:eastAsia="仿宋" w:cs="仿宋"/>
                <w:color w:val="auto"/>
                <w:szCs w:val="21"/>
                <w:highlight w:val="none"/>
              </w:rPr>
            </w:pPr>
          </w:p>
        </w:tc>
        <w:tc>
          <w:tcPr>
            <w:tcW w:w="1055" w:type="dxa"/>
            <w:noWrap w:val="0"/>
            <w:vAlign w:val="center"/>
          </w:tcPr>
          <w:p w14:paraId="4B55CE76">
            <w:pPr>
              <w:spacing w:line="440" w:lineRule="exact"/>
              <w:jc w:val="left"/>
              <w:rPr>
                <w:rFonts w:hint="eastAsia" w:ascii="仿宋" w:hAnsi="仿宋" w:eastAsia="仿宋" w:cs="仿宋"/>
                <w:color w:val="auto"/>
                <w:szCs w:val="21"/>
                <w:highlight w:val="none"/>
              </w:rPr>
            </w:pPr>
          </w:p>
        </w:tc>
        <w:tc>
          <w:tcPr>
            <w:tcW w:w="691" w:type="dxa"/>
            <w:noWrap w:val="0"/>
            <w:vAlign w:val="center"/>
          </w:tcPr>
          <w:p w14:paraId="7C6A8619">
            <w:pPr>
              <w:spacing w:line="440" w:lineRule="exact"/>
              <w:jc w:val="left"/>
              <w:rPr>
                <w:rFonts w:hint="eastAsia" w:ascii="仿宋" w:hAnsi="仿宋" w:eastAsia="仿宋" w:cs="仿宋"/>
                <w:color w:val="auto"/>
                <w:szCs w:val="21"/>
                <w:highlight w:val="none"/>
              </w:rPr>
            </w:pPr>
          </w:p>
        </w:tc>
      </w:tr>
      <w:tr w14:paraId="763BC9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5" w:type="dxa"/>
            <w:noWrap w:val="0"/>
            <w:vAlign w:val="center"/>
          </w:tcPr>
          <w:p w14:paraId="36670065">
            <w:pPr>
              <w:spacing w:line="440" w:lineRule="exact"/>
              <w:jc w:val="left"/>
              <w:rPr>
                <w:rFonts w:hint="eastAsia" w:ascii="仿宋" w:hAnsi="仿宋" w:eastAsia="仿宋" w:cs="仿宋"/>
                <w:color w:val="auto"/>
                <w:szCs w:val="21"/>
                <w:highlight w:val="none"/>
              </w:rPr>
            </w:pPr>
          </w:p>
        </w:tc>
        <w:tc>
          <w:tcPr>
            <w:tcW w:w="1086" w:type="dxa"/>
            <w:noWrap w:val="0"/>
            <w:vAlign w:val="center"/>
          </w:tcPr>
          <w:p w14:paraId="1D6E40F7">
            <w:pPr>
              <w:spacing w:line="440" w:lineRule="exact"/>
              <w:jc w:val="left"/>
              <w:rPr>
                <w:rFonts w:hint="eastAsia" w:ascii="仿宋" w:hAnsi="仿宋" w:eastAsia="仿宋" w:cs="仿宋"/>
                <w:color w:val="auto"/>
                <w:szCs w:val="21"/>
                <w:highlight w:val="none"/>
              </w:rPr>
            </w:pPr>
          </w:p>
        </w:tc>
        <w:tc>
          <w:tcPr>
            <w:tcW w:w="761" w:type="dxa"/>
            <w:noWrap w:val="0"/>
            <w:vAlign w:val="center"/>
          </w:tcPr>
          <w:p w14:paraId="7CCE9FA5">
            <w:pPr>
              <w:spacing w:line="440" w:lineRule="exact"/>
              <w:jc w:val="left"/>
              <w:rPr>
                <w:rFonts w:hint="eastAsia" w:ascii="仿宋" w:hAnsi="仿宋" w:eastAsia="仿宋" w:cs="仿宋"/>
                <w:color w:val="auto"/>
                <w:szCs w:val="21"/>
                <w:highlight w:val="none"/>
              </w:rPr>
            </w:pPr>
          </w:p>
        </w:tc>
        <w:tc>
          <w:tcPr>
            <w:tcW w:w="990" w:type="dxa"/>
            <w:noWrap w:val="0"/>
            <w:vAlign w:val="center"/>
          </w:tcPr>
          <w:p w14:paraId="525D14DA">
            <w:pPr>
              <w:spacing w:line="440" w:lineRule="exact"/>
              <w:jc w:val="left"/>
              <w:rPr>
                <w:rFonts w:hint="eastAsia" w:ascii="仿宋" w:hAnsi="仿宋" w:eastAsia="仿宋" w:cs="仿宋"/>
                <w:color w:val="auto"/>
                <w:szCs w:val="21"/>
                <w:highlight w:val="none"/>
              </w:rPr>
            </w:pPr>
          </w:p>
        </w:tc>
        <w:tc>
          <w:tcPr>
            <w:tcW w:w="672" w:type="dxa"/>
            <w:noWrap w:val="0"/>
            <w:vAlign w:val="center"/>
          </w:tcPr>
          <w:p w14:paraId="788B607C">
            <w:pPr>
              <w:spacing w:line="440" w:lineRule="exact"/>
              <w:jc w:val="left"/>
              <w:rPr>
                <w:rFonts w:hint="eastAsia" w:ascii="仿宋" w:hAnsi="仿宋" w:eastAsia="仿宋" w:cs="仿宋"/>
                <w:color w:val="auto"/>
                <w:szCs w:val="21"/>
                <w:highlight w:val="none"/>
              </w:rPr>
            </w:pPr>
          </w:p>
        </w:tc>
        <w:tc>
          <w:tcPr>
            <w:tcW w:w="738" w:type="dxa"/>
            <w:noWrap w:val="0"/>
            <w:vAlign w:val="center"/>
          </w:tcPr>
          <w:p w14:paraId="65F6D4FF">
            <w:pPr>
              <w:spacing w:line="440" w:lineRule="exact"/>
              <w:jc w:val="left"/>
              <w:rPr>
                <w:rFonts w:hint="eastAsia" w:ascii="仿宋" w:hAnsi="仿宋" w:eastAsia="仿宋" w:cs="仿宋"/>
                <w:color w:val="auto"/>
                <w:szCs w:val="21"/>
                <w:highlight w:val="none"/>
              </w:rPr>
            </w:pPr>
          </w:p>
        </w:tc>
        <w:tc>
          <w:tcPr>
            <w:tcW w:w="1212" w:type="dxa"/>
            <w:noWrap w:val="0"/>
            <w:vAlign w:val="center"/>
          </w:tcPr>
          <w:p w14:paraId="5B92E708">
            <w:pPr>
              <w:spacing w:line="440" w:lineRule="exact"/>
              <w:jc w:val="left"/>
              <w:rPr>
                <w:rFonts w:hint="eastAsia" w:ascii="仿宋" w:hAnsi="仿宋" w:eastAsia="仿宋" w:cs="仿宋"/>
                <w:color w:val="auto"/>
                <w:szCs w:val="21"/>
                <w:highlight w:val="none"/>
              </w:rPr>
            </w:pPr>
          </w:p>
        </w:tc>
        <w:tc>
          <w:tcPr>
            <w:tcW w:w="874" w:type="dxa"/>
            <w:noWrap w:val="0"/>
            <w:vAlign w:val="center"/>
          </w:tcPr>
          <w:p w14:paraId="3539620B">
            <w:pPr>
              <w:spacing w:line="440" w:lineRule="exact"/>
              <w:jc w:val="left"/>
              <w:rPr>
                <w:rFonts w:hint="eastAsia" w:ascii="仿宋" w:hAnsi="仿宋" w:eastAsia="仿宋" w:cs="仿宋"/>
                <w:color w:val="auto"/>
                <w:szCs w:val="21"/>
                <w:highlight w:val="none"/>
              </w:rPr>
            </w:pPr>
          </w:p>
        </w:tc>
        <w:tc>
          <w:tcPr>
            <w:tcW w:w="1055" w:type="dxa"/>
            <w:noWrap w:val="0"/>
            <w:vAlign w:val="center"/>
          </w:tcPr>
          <w:p w14:paraId="119272C9">
            <w:pPr>
              <w:spacing w:line="440" w:lineRule="exact"/>
              <w:jc w:val="left"/>
              <w:rPr>
                <w:rFonts w:hint="eastAsia" w:ascii="仿宋" w:hAnsi="仿宋" w:eastAsia="仿宋" w:cs="仿宋"/>
                <w:color w:val="auto"/>
                <w:szCs w:val="21"/>
                <w:highlight w:val="none"/>
              </w:rPr>
            </w:pPr>
          </w:p>
        </w:tc>
        <w:tc>
          <w:tcPr>
            <w:tcW w:w="691" w:type="dxa"/>
            <w:noWrap w:val="0"/>
            <w:vAlign w:val="center"/>
          </w:tcPr>
          <w:p w14:paraId="0CCBD31A">
            <w:pPr>
              <w:spacing w:line="440" w:lineRule="exact"/>
              <w:jc w:val="left"/>
              <w:rPr>
                <w:rFonts w:hint="eastAsia" w:ascii="仿宋" w:hAnsi="仿宋" w:eastAsia="仿宋" w:cs="仿宋"/>
                <w:color w:val="auto"/>
                <w:szCs w:val="21"/>
                <w:highlight w:val="none"/>
              </w:rPr>
            </w:pPr>
          </w:p>
        </w:tc>
      </w:tr>
      <w:tr w14:paraId="1F1F73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5" w:type="dxa"/>
            <w:noWrap w:val="0"/>
            <w:vAlign w:val="top"/>
          </w:tcPr>
          <w:p w14:paraId="54597530">
            <w:pPr>
              <w:spacing w:line="440" w:lineRule="exact"/>
              <w:jc w:val="left"/>
              <w:rPr>
                <w:rFonts w:hint="eastAsia" w:ascii="仿宋" w:hAnsi="仿宋" w:eastAsia="仿宋" w:cs="仿宋"/>
                <w:color w:val="auto"/>
                <w:szCs w:val="21"/>
                <w:highlight w:val="none"/>
              </w:rPr>
            </w:pPr>
          </w:p>
        </w:tc>
        <w:tc>
          <w:tcPr>
            <w:tcW w:w="1086" w:type="dxa"/>
            <w:noWrap w:val="0"/>
            <w:vAlign w:val="top"/>
          </w:tcPr>
          <w:p w14:paraId="05E2F88A">
            <w:pPr>
              <w:spacing w:line="440" w:lineRule="exact"/>
              <w:jc w:val="left"/>
              <w:rPr>
                <w:rFonts w:hint="eastAsia" w:ascii="仿宋" w:hAnsi="仿宋" w:eastAsia="仿宋" w:cs="仿宋"/>
                <w:color w:val="auto"/>
                <w:szCs w:val="21"/>
                <w:highlight w:val="none"/>
              </w:rPr>
            </w:pPr>
          </w:p>
        </w:tc>
        <w:tc>
          <w:tcPr>
            <w:tcW w:w="761" w:type="dxa"/>
            <w:noWrap w:val="0"/>
            <w:vAlign w:val="top"/>
          </w:tcPr>
          <w:p w14:paraId="4090F560">
            <w:pPr>
              <w:spacing w:line="440" w:lineRule="exact"/>
              <w:jc w:val="left"/>
              <w:rPr>
                <w:rFonts w:hint="eastAsia" w:ascii="仿宋" w:hAnsi="仿宋" w:eastAsia="仿宋" w:cs="仿宋"/>
                <w:color w:val="auto"/>
                <w:szCs w:val="21"/>
                <w:highlight w:val="none"/>
              </w:rPr>
            </w:pPr>
          </w:p>
        </w:tc>
        <w:tc>
          <w:tcPr>
            <w:tcW w:w="990" w:type="dxa"/>
            <w:noWrap w:val="0"/>
            <w:vAlign w:val="top"/>
          </w:tcPr>
          <w:p w14:paraId="2A3009CF">
            <w:pPr>
              <w:spacing w:line="440" w:lineRule="exact"/>
              <w:jc w:val="left"/>
              <w:rPr>
                <w:rFonts w:hint="eastAsia" w:ascii="仿宋" w:hAnsi="仿宋" w:eastAsia="仿宋" w:cs="仿宋"/>
                <w:color w:val="auto"/>
                <w:szCs w:val="21"/>
                <w:highlight w:val="none"/>
              </w:rPr>
            </w:pPr>
          </w:p>
        </w:tc>
        <w:tc>
          <w:tcPr>
            <w:tcW w:w="672" w:type="dxa"/>
            <w:noWrap w:val="0"/>
            <w:vAlign w:val="top"/>
          </w:tcPr>
          <w:p w14:paraId="5A588863">
            <w:pPr>
              <w:spacing w:line="440" w:lineRule="exact"/>
              <w:jc w:val="left"/>
              <w:rPr>
                <w:rFonts w:hint="eastAsia" w:ascii="仿宋" w:hAnsi="仿宋" w:eastAsia="仿宋" w:cs="仿宋"/>
                <w:color w:val="auto"/>
                <w:szCs w:val="21"/>
                <w:highlight w:val="none"/>
              </w:rPr>
            </w:pPr>
          </w:p>
        </w:tc>
        <w:tc>
          <w:tcPr>
            <w:tcW w:w="738" w:type="dxa"/>
            <w:noWrap w:val="0"/>
            <w:vAlign w:val="top"/>
          </w:tcPr>
          <w:p w14:paraId="5A3F6BB7">
            <w:pPr>
              <w:spacing w:line="440" w:lineRule="exact"/>
              <w:jc w:val="left"/>
              <w:rPr>
                <w:rFonts w:hint="eastAsia" w:ascii="仿宋" w:hAnsi="仿宋" w:eastAsia="仿宋" w:cs="仿宋"/>
                <w:color w:val="auto"/>
                <w:szCs w:val="21"/>
                <w:highlight w:val="none"/>
              </w:rPr>
            </w:pPr>
          </w:p>
        </w:tc>
        <w:tc>
          <w:tcPr>
            <w:tcW w:w="1212" w:type="dxa"/>
            <w:noWrap w:val="0"/>
            <w:vAlign w:val="top"/>
          </w:tcPr>
          <w:p w14:paraId="6FC57A90">
            <w:pPr>
              <w:spacing w:line="440" w:lineRule="exact"/>
              <w:jc w:val="left"/>
              <w:rPr>
                <w:rFonts w:hint="eastAsia" w:ascii="仿宋" w:hAnsi="仿宋" w:eastAsia="仿宋" w:cs="仿宋"/>
                <w:color w:val="auto"/>
                <w:szCs w:val="21"/>
                <w:highlight w:val="none"/>
              </w:rPr>
            </w:pPr>
          </w:p>
        </w:tc>
        <w:tc>
          <w:tcPr>
            <w:tcW w:w="874" w:type="dxa"/>
            <w:noWrap w:val="0"/>
            <w:vAlign w:val="top"/>
          </w:tcPr>
          <w:p w14:paraId="06D7900A">
            <w:pPr>
              <w:spacing w:line="440" w:lineRule="exact"/>
              <w:jc w:val="left"/>
              <w:rPr>
                <w:rFonts w:hint="eastAsia" w:ascii="仿宋" w:hAnsi="仿宋" w:eastAsia="仿宋" w:cs="仿宋"/>
                <w:color w:val="auto"/>
                <w:szCs w:val="21"/>
                <w:highlight w:val="none"/>
              </w:rPr>
            </w:pPr>
          </w:p>
        </w:tc>
        <w:tc>
          <w:tcPr>
            <w:tcW w:w="1055" w:type="dxa"/>
            <w:noWrap w:val="0"/>
            <w:vAlign w:val="top"/>
          </w:tcPr>
          <w:p w14:paraId="3D9B2006">
            <w:pPr>
              <w:spacing w:line="440" w:lineRule="exact"/>
              <w:jc w:val="left"/>
              <w:rPr>
                <w:rFonts w:hint="eastAsia" w:ascii="仿宋" w:hAnsi="仿宋" w:eastAsia="仿宋" w:cs="仿宋"/>
                <w:color w:val="auto"/>
                <w:szCs w:val="21"/>
                <w:highlight w:val="none"/>
              </w:rPr>
            </w:pPr>
          </w:p>
        </w:tc>
        <w:tc>
          <w:tcPr>
            <w:tcW w:w="691" w:type="dxa"/>
            <w:noWrap w:val="0"/>
            <w:vAlign w:val="top"/>
          </w:tcPr>
          <w:p w14:paraId="490EB5C5">
            <w:pPr>
              <w:spacing w:line="440" w:lineRule="exact"/>
              <w:jc w:val="left"/>
              <w:rPr>
                <w:rFonts w:hint="eastAsia" w:ascii="仿宋" w:hAnsi="仿宋" w:eastAsia="仿宋" w:cs="仿宋"/>
                <w:color w:val="auto"/>
                <w:szCs w:val="21"/>
                <w:highlight w:val="none"/>
              </w:rPr>
            </w:pPr>
          </w:p>
        </w:tc>
      </w:tr>
      <w:tr w14:paraId="6FB0C1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5" w:type="dxa"/>
            <w:noWrap w:val="0"/>
            <w:vAlign w:val="top"/>
          </w:tcPr>
          <w:p w14:paraId="17CAD6AD">
            <w:pPr>
              <w:spacing w:line="440" w:lineRule="exact"/>
              <w:jc w:val="left"/>
              <w:rPr>
                <w:rFonts w:hint="eastAsia" w:ascii="仿宋" w:hAnsi="仿宋" w:eastAsia="仿宋" w:cs="仿宋"/>
                <w:color w:val="auto"/>
                <w:szCs w:val="21"/>
                <w:highlight w:val="none"/>
              </w:rPr>
            </w:pPr>
          </w:p>
        </w:tc>
        <w:tc>
          <w:tcPr>
            <w:tcW w:w="1086" w:type="dxa"/>
            <w:noWrap w:val="0"/>
            <w:vAlign w:val="top"/>
          </w:tcPr>
          <w:p w14:paraId="1A8A4133">
            <w:pPr>
              <w:spacing w:line="440" w:lineRule="exact"/>
              <w:jc w:val="left"/>
              <w:rPr>
                <w:rFonts w:hint="eastAsia" w:ascii="仿宋" w:hAnsi="仿宋" w:eastAsia="仿宋" w:cs="仿宋"/>
                <w:color w:val="auto"/>
                <w:szCs w:val="21"/>
                <w:highlight w:val="none"/>
              </w:rPr>
            </w:pPr>
          </w:p>
        </w:tc>
        <w:tc>
          <w:tcPr>
            <w:tcW w:w="761" w:type="dxa"/>
            <w:noWrap w:val="0"/>
            <w:vAlign w:val="top"/>
          </w:tcPr>
          <w:p w14:paraId="78C3A657">
            <w:pPr>
              <w:spacing w:line="440" w:lineRule="exact"/>
              <w:jc w:val="left"/>
              <w:rPr>
                <w:rFonts w:hint="eastAsia" w:ascii="仿宋" w:hAnsi="仿宋" w:eastAsia="仿宋" w:cs="仿宋"/>
                <w:color w:val="auto"/>
                <w:szCs w:val="21"/>
                <w:highlight w:val="none"/>
              </w:rPr>
            </w:pPr>
          </w:p>
        </w:tc>
        <w:tc>
          <w:tcPr>
            <w:tcW w:w="990" w:type="dxa"/>
            <w:noWrap w:val="0"/>
            <w:vAlign w:val="top"/>
          </w:tcPr>
          <w:p w14:paraId="49F72FC3">
            <w:pPr>
              <w:spacing w:line="440" w:lineRule="exact"/>
              <w:jc w:val="left"/>
              <w:rPr>
                <w:rFonts w:hint="eastAsia" w:ascii="仿宋" w:hAnsi="仿宋" w:eastAsia="仿宋" w:cs="仿宋"/>
                <w:color w:val="auto"/>
                <w:szCs w:val="21"/>
                <w:highlight w:val="none"/>
              </w:rPr>
            </w:pPr>
          </w:p>
        </w:tc>
        <w:tc>
          <w:tcPr>
            <w:tcW w:w="672" w:type="dxa"/>
            <w:noWrap w:val="0"/>
            <w:vAlign w:val="top"/>
          </w:tcPr>
          <w:p w14:paraId="78A2D28B">
            <w:pPr>
              <w:spacing w:line="440" w:lineRule="exact"/>
              <w:jc w:val="left"/>
              <w:rPr>
                <w:rFonts w:hint="eastAsia" w:ascii="仿宋" w:hAnsi="仿宋" w:eastAsia="仿宋" w:cs="仿宋"/>
                <w:color w:val="auto"/>
                <w:szCs w:val="21"/>
                <w:highlight w:val="none"/>
              </w:rPr>
            </w:pPr>
          </w:p>
        </w:tc>
        <w:tc>
          <w:tcPr>
            <w:tcW w:w="738" w:type="dxa"/>
            <w:noWrap w:val="0"/>
            <w:vAlign w:val="top"/>
          </w:tcPr>
          <w:p w14:paraId="63DDC7A8">
            <w:pPr>
              <w:spacing w:line="440" w:lineRule="exact"/>
              <w:jc w:val="left"/>
              <w:rPr>
                <w:rFonts w:hint="eastAsia" w:ascii="仿宋" w:hAnsi="仿宋" w:eastAsia="仿宋" w:cs="仿宋"/>
                <w:color w:val="auto"/>
                <w:szCs w:val="21"/>
                <w:highlight w:val="none"/>
              </w:rPr>
            </w:pPr>
          </w:p>
        </w:tc>
        <w:tc>
          <w:tcPr>
            <w:tcW w:w="1212" w:type="dxa"/>
            <w:noWrap w:val="0"/>
            <w:vAlign w:val="top"/>
          </w:tcPr>
          <w:p w14:paraId="36B65650">
            <w:pPr>
              <w:spacing w:line="440" w:lineRule="exact"/>
              <w:jc w:val="left"/>
              <w:rPr>
                <w:rFonts w:hint="eastAsia" w:ascii="仿宋" w:hAnsi="仿宋" w:eastAsia="仿宋" w:cs="仿宋"/>
                <w:color w:val="auto"/>
                <w:szCs w:val="21"/>
                <w:highlight w:val="none"/>
              </w:rPr>
            </w:pPr>
          </w:p>
        </w:tc>
        <w:tc>
          <w:tcPr>
            <w:tcW w:w="874" w:type="dxa"/>
            <w:noWrap w:val="0"/>
            <w:vAlign w:val="top"/>
          </w:tcPr>
          <w:p w14:paraId="50AA196B">
            <w:pPr>
              <w:spacing w:line="440" w:lineRule="exact"/>
              <w:jc w:val="left"/>
              <w:rPr>
                <w:rFonts w:hint="eastAsia" w:ascii="仿宋" w:hAnsi="仿宋" w:eastAsia="仿宋" w:cs="仿宋"/>
                <w:color w:val="auto"/>
                <w:szCs w:val="21"/>
                <w:highlight w:val="none"/>
              </w:rPr>
            </w:pPr>
          </w:p>
        </w:tc>
        <w:tc>
          <w:tcPr>
            <w:tcW w:w="1055" w:type="dxa"/>
            <w:noWrap w:val="0"/>
            <w:vAlign w:val="top"/>
          </w:tcPr>
          <w:p w14:paraId="2E99FAE2">
            <w:pPr>
              <w:spacing w:line="440" w:lineRule="exact"/>
              <w:jc w:val="left"/>
              <w:rPr>
                <w:rFonts w:hint="eastAsia" w:ascii="仿宋" w:hAnsi="仿宋" w:eastAsia="仿宋" w:cs="仿宋"/>
                <w:color w:val="auto"/>
                <w:szCs w:val="21"/>
                <w:highlight w:val="none"/>
              </w:rPr>
            </w:pPr>
          </w:p>
        </w:tc>
        <w:tc>
          <w:tcPr>
            <w:tcW w:w="691" w:type="dxa"/>
            <w:noWrap w:val="0"/>
            <w:vAlign w:val="top"/>
          </w:tcPr>
          <w:p w14:paraId="3945CFF4">
            <w:pPr>
              <w:spacing w:line="440" w:lineRule="exact"/>
              <w:jc w:val="left"/>
              <w:rPr>
                <w:rFonts w:hint="eastAsia" w:ascii="仿宋" w:hAnsi="仿宋" w:eastAsia="仿宋" w:cs="仿宋"/>
                <w:color w:val="auto"/>
                <w:szCs w:val="21"/>
                <w:highlight w:val="none"/>
              </w:rPr>
            </w:pPr>
          </w:p>
        </w:tc>
      </w:tr>
      <w:tr w14:paraId="291CAA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5" w:type="dxa"/>
            <w:noWrap w:val="0"/>
            <w:vAlign w:val="top"/>
          </w:tcPr>
          <w:p w14:paraId="48E28203">
            <w:pPr>
              <w:spacing w:line="440" w:lineRule="exact"/>
              <w:jc w:val="left"/>
              <w:rPr>
                <w:rFonts w:hint="eastAsia" w:ascii="仿宋" w:hAnsi="仿宋" w:eastAsia="仿宋" w:cs="仿宋"/>
                <w:color w:val="auto"/>
                <w:szCs w:val="21"/>
                <w:highlight w:val="none"/>
              </w:rPr>
            </w:pPr>
          </w:p>
        </w:tc>
        <w:tc>
          <w:tcPr>
            <w:tcW w:w="1086" w:type="dxa"/>
            <w:noWrap w:val="0"/>
            <w:vAlign w:val="top"/>
          </w:tcPr>
          <w:p w14:paraId="5177EC46">
            <w:pPr>
              <w:spacing w:line="440" w:lineRule="exact"/>
              <w:jc w:val="left"/>
              <w:rPr>
                <w:rFonts w:hint="eastAsia" w:ascii="仿宋" w:hAnsi="仿宋" w:eastAsia="仿宋" w:cs="仿宋"/>
                <w:color w:val="auto"/>
                <w:szCs w:val="21"/>
                <w:highlight w:val="none"/>
              </w:rPr>
            </w:pPr>
          </w:p>
        </w:tc>
        <w:tc>
          <w:tcPr>
            <w:tcW w:w="761" w:type="dxa"/>
            <w:noWrap w:val="0"/>
            <w:vAlign w:val="top"/>
          </w:tcPr>
          <w:p w14:paraId="210CA13A">
            <w:pPr>
              <w:spacing w:line="440" w:lineRule="exact"/>
              <w:jc w:val="left"/>
              <w:rPr>
                <w:rFonts w:hint="eastAsia" w:ascii="仿宋" w:hAnsi="仿宋" w:eastAsia="仿宋" w:cs="仿宋"/>
                <w:color w:val="auto"/>
                <w:szCs w:val="21"/>
                <w:highlight w:val="none"/>
              </w:rPr>
            </w:pPr>
          </w:p>
        </w:tc>
        <w:tc>
          <w:tcPr>
            <w:tcW w:w="990" w:type="dxa"/>
            <w:noWrap w:val="0"/>
            <w:vAlign w:val="top"/>
          </w:tcPr>
          <w:p w14:paraId="1F59E8E5">
            <w:pPr>
              <w:spacing w:line="440" w:lineRule="exact"/>
              <w:jc w:val="left"/>
              <w:rPr>
                <w:rFonts w:hint="eastAsia" w:ascii="仿宋" w:hAnsi="仿宋" w:eastAsia="仿宋" w:cs="仿宋"/>
                <w:color w:val="auto"/>
                <w:szCs w:val="21"/>
                <w:highlight w:val="none"/>
              </w:rPr>
            </w:pPr>
          </w:p>
        </w:tc>
        <w:tc>
          <w:tcPr>
            <w:tcW w:w="672" w:type="dxa"/>
            <w:noWrap w:val="0"/>
            <w:vAlign w:val="top"/>
          </w:tcPr>
          <w:p w14:paraId="2754EB27">
            <w:pPr>
              <w:spacing w:line="440" w:lineRule="exact"/>
              <w:jc w:val="left"/>
              <w:rPr>
                <w:rFonts w:hint="eastAsia" w:ascii="仿宋" w:hAnsi="仿宋" w:eastAsia="仿宋" w:cs="仿宋"/>
                <w:color w:val="auto"/>
                <w:szCs w:val="21"/>
                <w:highlight w:val="none"/>
              </w:rPr>
            </w:pPr>
          </w:p>
        </w:tc>
        <w:tc>
          <w:tcPr>
            <w:tcW w:w="738" w:type="dxa"/>
            <w:noWrap w:val="0"/>
            <w:vAlign w:val="top"/>
          </w:tcPr>
          <w:p w14:paraId="2E9CFF70">
            <w:pPr>
              <w:spacing w:line="440" w:lineRule="exact"/>
              <w:jc w:val="left"/>
              <w:rPr>
                <w:rFonts w:hint="eastAsia" w:ascii="仿宋" w:hAnsi="仿宋" w:eastAsia="仿宋" w:cs="仿宋"/>
                <w:color w:val="auto"/>
                <w:szCs w:val="21"/>
                <w:highlight w:val="none"/>
              </w:rPr>
            </w:pPr>
          </w:p>
        </w:tc>
        <w:tc>
          <w:tcPr>
            <w:tcW w:w="1212" w:type="dxa"/>
            <w:noWrap w:val="0"/>
            <w:vAlign w:val="top"/>
          </w:tcPr>
          <w:p w14:paraId="5EA1E1F3">
            <w:pPr>
              <w:spacing w:line="440" w:lineRule="exact"/>
              <w:jc w:val="left"/>
              <w:rPr>
                <w:rFonts w:hint="eastAsia" w:ascii="仿宋" w:hAnsi="仿宋" w:eastAsia="仿宋" w:cs="仿宋"/>
                <w:color w:val="auto"/>
                <w:szCs w:val="21"/>
                <w:highlight w:val="none"/>
              </w:rPr>
            </w:pPr>
          </w:p>
        </w:tc>
        <w:tc>
          <w:tcPr>
            <w:tcW w:w="874" w:type="dxa"/>
            <w:noWrap w:val="0"/>
            <w:vAlign w:val="top"/>
          </w:tcPr>
          <w:p w14:paraId="73AE9D9B">
            <w:pPr>
              <w:spacing w:line="440" w:lineRule="exact"/>
              <w:jc w:val="left"/>
              <w:rPr>
                <w:rFonts w:hint="eastAsia" w:ascii="仿宋" w:hAnsi="仿宋" w:eastAsia="仿宋" w:cs="仿宋"/>
                <w:color w:val="auto"/>
                <w:szCs w:val="21"/>
                <w:highlight w:val="none"/>
              </w:rPr>
            </w:pPr>
          </w:p>
        </w:tc>
        <w:tc>
          <w:tcPr>
            <w:tcW w:w="1055" w:type="dxa"/>
            <w:noWrap w:val="0"/>
            <w:vAlign w:val="top"/>
          </w:tcPr>
          <w:p w14:paraId="7648055F">
            <w:pPr>
              <w:spacing w:line="440" w:lineRule="exact"/>
              <w:jc w:val="left"/>
              <w:rPr>
                <w:rFonts w:hint="eastAsia" w:ascii="仿宋" w:hAnsi="仿宋" w:eastAsia="仿宋" w:cs="仿宋"/>
                <w:color w:val="auto"/>
                <w:szCs w:val="21"/>
                <w:highlight w:val="none"/>
              </w:rPr>
            </w:pPr>
          </w:p>
        </w:tc>
        <w:tc>
          <w:tcPr>
            <w:tcW w:w="691" w:type="dxa"/>
            <w:noWrap w:val="0"/>
            <w:vAlign w:val="top"/>
          </w:tcPr>
          <w:p w14:paraId="678A49DA">
            <w:pPr>
              <w:spacing w:line="440" w:lineRule="exact"/>
              <w:jc w:val="left"/>
              <w:rPr>
                <w:rFonts w:hint="eastAsia" w:ascii="仿宋" w:hAnsi="仿宋" w:eastAsia="仿宋" w:cs="仿宋"/>
                <w:color w:val="auto"/>
                <w:szCs w:val="21"/>
                <w:highlight w:val="none"/>
              </w:rPr>
            </w:pPr>
          </w:p>
        </w:tc>
      </w:tr>
      <w:tr w14:paraId="6ACFAA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5" w:type="dxa"/>
            <w:noWrap w:val="0"/>
            <w:vAlign w:val="top"/>
          </w:tcPr>
          <w:p w14:paraId="3C499A12">
            <w:pPr>
              <w:spacing w:line="440" w:lineRule="exact"/>
              <w:jc w:val="left"/>
              <w:rPr>
                <w:rFonts w:hint="eastAsia" w:ascii="仿宋" w:hAnsi="仿宋" w:eastAsia="仿宋" w:cs="仿宋"/>
                <w:color w:val="auto"/>
                <w:szCs w:val="21"/>
                <w:highlight w:val="none"/>
              </w:rPr>
            </w:pPr>
          </w:p>
        </w:tc>
        <w:tc>
          <w:tcPr>
            <w:tcW w:w="1086" w:type="dxa"/>
            <w:noWrap w:val="0"/>
            <w:vAlign w:val="top"/>
          </w:tcPr>
          <w:p w14:paraId="71A53B24">
            <w:pPr>
              <w:spacing w:line="440" w:lineRule="exact"/>
              <w:jc w:val="left"/>
              <w:rPr>
                <w:rFonts w:hint="eastAsia" w:ascii="仿宋" w:hAnsi="仿宋" w:eastAsia="仿宋" w:cs="仿宋"/>
                <w:color w:val="auto"/>
                <w:szCs w:val="21"/>
                <w:highlight w:val="none"/>
              </w:rPr>
            </w:pPr>
          </w:p>
        </w:tc>
        <w:tc>
          <w:tcPr>
            <w:tcW w:w="761" w:type="dxa"/>
            <w:noWrap w:val="0"/>
            <w:vAlign w:val="top"/>
          </w:tcPr>
          <w:p w14:paraId="711985E2">
            <w:pPr>
              <w:spacing w:line="440" w:lineRule="exact"/>
              <w:jc w:val="left"/>
              <w:rPr>
                <w:rFonts w:hint="eastAsia" w:ascii="仿宋" w:hAnsi="仿宋" w:eastAsia="仿宋" w:cs="仿宋"/>
                <w:color w:val="auto"/>
                <w:szCs w:val="21"/>
                <w:highlight w:val="none"/>
              </w:rPr>
            </w:pPr>
          </w:p>
        </w:tc>
        <w:tc>
          <w:tcPr>
            <w:tcW w:w="990" w:type="dxa"/>
            <w:noWrap w:val="0"/>
            <w:vAlign w:val="top"/>
          </w:tcPr>
          <w:p w14:paraId="073A660E">
            <w:pPr>
              <w:spacing w:line="440" w:lineRule="exact"/>
              <w:jc w:val="left"/>
              <w:rPr>
                <w:rFonts w:hint="eastAsia" w:ascii="仿宋" w:hAnsi="仿宋" w:eastAsia="仿宋" w:cs="仿宋"/>
                <w:color w:val="auto"/>
                <w:szCs w:val="21"/>
                <w:highlight w:val="none"/>
              </w:rPr>
            </w:pPr>
          </w:p>
        </w:tc>
        <w:tc>
          <w:tcPr>
            <w:tcW w:w="672" w:type="dxa"/>
            <w:noWrap w:val="0"/>
            <w:vAlign w:val="top"/>
          </w:tcPr>
          <w:p w14:paraId="67518FBD">
            <w:pPr>
              <w:spacing w:line="440" w:lineRule="exact"/>
              <w:jc w:val="left"/>
              <w:rPr>
                <w:rFonts w:hint="eastAsia" w:ascii="仿宋" w:hAnsi="仿宋" w:eastAsia="仿宋" w:cs="仿宋"/>
                <w:color w:val="auto"/>
                <w:szCs w:val="21"/>
                <w:highlight w:val="none"/>
              </w:rPr>
            </w:pPr>
          </w:p>
        </w:tc>
        <w:tc>
          <w:tcPr>
            <w:tcW w:w="738" w:type="dxa"/>
            <w:noWrap w:val="0"/>
            <w:vAlign w:val="top"/>
          </w:tcPr>
          <w:p w14:paraId="673F5222">
            <w:pPr>
              <w:spacing w:line="440" w:lineRule="exact"/>
              <w:jc w:val="left"/>
              <w:rPr>
                <w:rFonts w:hint="eastAsia" w:ascii="仿宋" w:hAnsi="仿宋" w:eastAsia="仿宋" w:cs="仿宋"/>
                <w:color w:val="auto"/>
                <w:szCs w:val="21"/>
                <w:highlight w:val="none"/>
              </w:rPr>
            </w:pPr>
          </w:p>
        </w:tc>
        <w:tc>
          <w:tcPr>
            <w:tcW w:w="1212" w:type="dxa"/>
            <w:noWrap w:val="0"/>
            <w:vAlign w:val="top"/>
          </w:tcPr>
          <w:p w14:paraId="58AF422A">
            <w:pPr>
              <w:spacing w:line="440" w:lineRule="exact"/>
              <w:jc w:val="left"/>
              <w:rPr>
                <w:rFonts w:hint="eastAsia" w:ascii="仿宋" w:hAnsi="仿宋" w:eastAsia="仿宋" w:cs="仿宋"/>
                <w:color w:val="auto"/>
                <w:szCs w:val="21"/>
                <w:highlight w:val="none"/>
              </w:rPr>
            </w:pPr>
          </w:p>
        </w:tc>
        <w:tc>
          <w:tcPr>
            <w:tcW w:w="874" w:type="dxa"/>
            <w:noWrap w:val="0"/>
            <w:vAlign w:val="top"/>
          </w:tcPr>
          <w:p w14:paraId="54B5FCE6">
            <w:pPr>
              <w:spacing w:line="440" w:lineRule="exact"/>
              <w:jc w:val="left"/>
              <w:rPr>
                <w:rFonts w:hint="eastAsia" w:ascii="仿宋" w:hAnsi="仿宋" w:eastAsia="仿宋" w:cs="仿宋"/>
                <w:color w:val="auto"/>
                <w:szCs w:val="21"/>
                <w:highlight w:val="none"/>
              </w:rPr>
            </w:pPr>
          </w:p>
        </w:tc>
        <w:tc>
          <w:tcPr>
            <w:tcW w:w="1055" w:type="dxa"/>
            <w:noWrap w:val="0"/>
            <w:vAlign w:val="top"/>
          </w:tcPr>
          <w:p w14:paraId="27FAF3ED">
            <w:pPr>
              <w:spacing w:line="440" w:lineRule="exact"/>
              <w:jc w:val="left"/>
              <w:rPr>
                <w:rFonts w:hint="eastAsia" w:ascii="仿宋" w:hAnsi="仿宋" w:eastAsia="仿宋" w:cs="仿宋"/>
                <w:color w:val="auto"/>
                <w:szCs w:val="21"/>
                <w:highlight w:val="none"/>
              </w:rPr>
            </w:pPr>
          </w:p>
        </w:tc>
        <w:tc>
          <w:tcPr>
            <w:tcW w:w="691" w:type="dxa"/>
            <w:noWrap w:val="0"/>
            <w:vAlign w:val="top"/>
          </w:tcPr>
          <w:p w14:paraId="25DC5FAC">
            <w:pPr>
              <w:spacing w:line="440" w:lineRule="exact"/>
              <w:jc w:val="left"/>
              <w:rPr>
                <w:rFonts w:hint="eastAsia" w:ascii="仿宋" w:hAnsi="仿宋" w:eastAsia="仿宋" w:cs="仿宋"/>
                <w:color w:val="auto"/>
                <w:szCs w:val="21"/>
                <w:highlight w:val="none"/>
              </w:rPr>
            </w:pPr>
          </w:p>
        </w:tc>
      </w:tr>
      <w:tr w14:paraId="6F30AE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5" w:type="dxa"/>
            <w:noWrap w:val="0"/>
            <w:vAlign w:val="top"/>
          </w:tcPr>
          <w:p w14:paraId="1B752A36">
            <w:pPr>
              <w:spacing w:line="440" w:lineRule="exact"/>
              <w:jc w:val="left"/>
              <w:rPr>
                <w:rFonts w:hint="eastAsia" w:ascii="仿宋" w:hAnsi="仿宋" w:eastAsia="仿宋" w:cs="仿宋"/>
                <w:color w:val="auto"/>
                <w:szCs w:val="21"/>
                <w:highlight w:val="none"/>
              </w:rPr>
            </w:pPr>
          </w:p>
        </w:tc>
        <w:tc>
          <w:tcPr>
            <w:tcW w:w="1086" w:type="dxa"/>
            <w:noWrap w:val="0"/>
            <w:vAlign w:val="top"/>
          </w:tcPr>
          <w:p w14:paraId="309EC8BC">
            <w:pPr>
              <w:spacing w:line="440" w:lineRule="exact"/>
              <w:jc w:val="left"/>
              <w:rPr>
                <w:rFonts w:hint="eastAsia" w:ascii="仿宋" w:hAnsi="仿宋" w:eastAsia="仿宋" w:cs="仿宋"/>
                <w:color w:val="auto"/>
                <w:szCs w:val="21"/>
                <w:highlight w:val="none"/>
              </w:rPr>
            </w:pPr>
          </w:p>
        </w:tc>
        <w:tc>
          <w:tcPr>
            <w:tcW w:w="761" w:type="dxa"/>
            <w:noWrap w:val="0"/>
            <w:vAlign w:val="top"/>
          </w:tcPr>
          <w:p w14:paraId="7FE6B488">
            <w:pPr>
              <w:spacing w:line="440" w:lineRule="exact"/>
              <w:jc w:val="left"/>
              <w:rPr>
                <w:rFonts w:hint="eastAsia" w:ascii="仿宋" w:hAnsi="仿宋" w:eastAsia="仿宋" w:cs="仿宋"/>
                <w:color w:val="auto"/>
                <w:szCs w:val="21"/>
                <w:highlight w:val="none"/>
              </w:rPr>
            </w:pPr>
          </w:p>
        </w:tc>
        <w:tc>
          <w:tcPr>
            <w:tcW w:w="990" w:type="dxa"/>
            <w:noWrap w:val="0"/>
            <w:vAlign w:val="top"/>
          </w:tcPr>
          <w:p w14:paraId="3EB03B98">
            <w:pPr>
              <w:spacing w:line="440" w:lineRule="exact"/>
              <w:jc w:val="left"/>
              <w:rPr>
                <w:rFonts w:hint="eastAsia" w:ascii="仿宋" w:hAnsi="仿宋" w:eastAsia="仿宋" w:cs="仿宋"/>
                <w:color w:val="auto"/>
                <w:szCs w:val="21"/>
                <w:highlight w:val="none"/>
              </w:rPr>
            </w:pPr>
          </w:p>
        </w:tc>
        <w:tc>
          <w:tcPr>
            <w:tcW w:w="672" w:type="dxa"/>
            <w:noWrap w:val="0"/>
            <w:vAlign w:val="top"/>
          </w:tcPr>
          <w:p w14:paraId="4E3BA602">
            <w:pPr>
              <w:spacing w:line="440" w:lineRule="exact"/>
              <w:jc w:val="left"/>
              <w:rPr>
                <w:rFonts w:hint="eastAsia" w:ascii="仿宋" w:hAnsi="仿宋" w:eastAsia="仿宋" w:cs="仿宋"/>
                <w:color w:val="auto"/>
                <w:szCs w:val="21"/>
                <w:highlight w:val="none"/>
              </w:rPr>
            </w:pPr>
          </w:p>
        </w:tc>
        <w:tc>
          <w:tcPr>
            <w:tcW w:w="738" w:type="dxa"/>
            <w:noWrap w:val="0"/>
            <w:vAlign w:val="top"/>
          </w:tcPr>
          <w:p w14:paraId="27905DF6">
            <w:pPr>
              <w:spacing w:line="440" w:lineRule="exact"/>
              <w:jc w:val="left"/>
              <w:rPr>
                <w:rFonts w:hint="eastAsia" w:ascii="仿宋" w:hAnsi="仿宋" w:eastAsia="仿宋" w:cs="仿宋"/>
                <w:color w:val="auto"/>
                <w:szCs w:val="21"/>
                <w:highlight w:val="none"/>
              </w:rPr>
            </w:pPr>
          </w:p>
        </w:tc>
        <w:tc>
          <w:tcPr>
            <w:tcW w:w="1212" w:type="dxa"/>
            <w:noWrap w:val="0"/>
            <w:vAlign w:val="top"/>
          </w:tcPr>
          <w:p w14:paraId="260951C7">
            <w:pPr>
              <w:spacing w:line="440" w:lineRule="exact"/>
              <w:jc w:val="left"/>
              <w:rPr>
                <w:rFonts w:hint="eastAsia" w:ascii="仿宋" w:hAnsi="仿宋" w:eastAsia="仿宋" w:cs="仿宋"/>
                <w:color w:val="auto"/>
                <w:szCs w:val="21"/>
                <w:highlight w:val="none"/>
              </w:rPr>
            </w:pPr>
          </w:p>
        </w:tc>
        <w:tc>
          <w:tcPr>
            <w:tcW w:w="874" w:type="dxa"/>
            <w:noWrap w:val="0"/>
            <w:vAlign w:val="top"/>
          </w:tcPr>
          <w:p w14:paraId="7ED30F93">
            <w:pPr>
              <w:spacing w:line="440" w:lineRule="exact"/>
              <w:jc w:val="left"/>
              <w:rPr>
                <w:rFonts w:hint="eastAsia" w:ascii="仿宋" w:hAnsi="仿宋" w:eastAsia="仿宋" w:cs="仿宋"/>
                <w:color w:val="auto"/>
                <w:szCs w:val="21"/>
                <w:highlight w:val="none"/>
              </w:rPr>
            </w:pPr>
          </w:p>
        </w:tc>
        <w:tc>
          <w:tcPr>
            <w:tcW w:w="1055" w:type="dxa"/>
            <w:noWrap w:val="0"/>
            <w:vAlign w:val="top"/>
          </w:tcPr>
          <w:p w14:paraId="27E66466">
            <w:pPr>
              <w:spacing w:line="440" w:lineRule="exact"/>
              <w:jc w:val="left"/>
              <w:rPr>
                <w:rFonts w:hint="eastAsia" w:ascii="仿宋" w:hAnsi="仿宋" w:eastAsia="仿宋" w:cs="仿宋"/>
                <w:color w:val="auto"/>
                <w:szCs w:val="21"/>
                <w:highlight w:val="none"/>
              </w:rPr>
            </w:pPr>
          </w:p>
        </w:tc>
        <w:tc>
          <w:tcPr>
            <w:tcW w:w="691" w:type="dxa"/>
            <w:noWrap w:val="0"/>
            <w:vAlign w:val="top"/>
          </w:tcPr>
          <w:p w14:paraId="3D1E6F58">
            <w:pPr>
              <w:spacing w:line="440" w:lineRule="exact"/>
              <w:jc w:val="left"/>
              <w:rPr>
                <w:rFonts w:hint="eastAsia" w:ascii="仿宋" w:hAnsi="仿宋" w:eastAsia="仿宋" w:cs="仿宋"/>
                <w:color w:val="auto"/>
                <w:szCs w:val="21"/>
                <w:highlight w:val="none"/>
              </w:rPr>
            </w:pPr>
          </w:p>
        </w:tc>
      </w:tr>
      <w:tr w14:paraId="23F084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5" w:type="dxa"/>
            <w:noWrap w:val="0"/>
            <w:vAlign w:val="top"/>
          </w:tcPr>
          <w:p w14:paraId="71E7CE7C">
            <w:pPr>
              <w:spacing w:line="440" w:lineRule="exact"/>
              <w:jc w:val="left"/>
              <w:rPr>
                <w:rFonts w:hint="eastAsia" w:ascii="仿宋" w:hAnsi="仿宋" w:eastAsia="仿宋" w:cs="仿宋"/>
                <w:color w:val="auto"/>
                <w:szCs w:val="21"/>
                <w:highlight w:val="none"/>
              </w:rPr>
            </w:pPr>
          </w:p>
        </w:tc>
        <w:tc>
          <w:tcPr>
            <w:tcW w:w="1086" w:type="dxa"/>
            <w:noWrap w:val="0"/>
            <w:vAlign w:val="top"/>
          </w:tcPr>
          <w:p w14:paraId="0969A881">
            <w:pPr>
              <w:spacing w:line="440" w:lineRule="exact"/>
              <w:jc w:val="left"/>
              <w:rPr>
                <w:rFonts w:hint="eastAsia" w:ascii="仿宋" w:hAnsi="仿宋" w:eastAsia="仿宋" w:cs="仿宋"/>
                <w:color w:val="auto"/>
                <w:szCs w:val="21"/>
                <w:highlight w:val="none"/>
              </w:rPr>
            </w:pPr>
          </w:p>
        </w:tc>
        <w:tc>
          <w:tcPr>
            <w:tcW w:w="761" w:type="dxa"/>
            <w:noWrap w:val="0"/>
            <w:vAlign w:val="top"/>
          </w:tcPr>
          <w:p w14:paraId="4A9EF53F">
            <w:pPr>
              <w:spacing w:line="440" w:lineRule="exact"/>
              <w:jc w:val="left"/>
              <w:rPr>
                <w:rFonts w:hint="eastAsia" w:ascii="仿宋" w:hAnsi="仿宋" w:eastAsia="仿宋" w:cs="仿宋"/>
                <w:color w:val="auto"/>
                <w:szCs w:val="21"/>
                <w:highlight w:val="none"/>
              </w:rPr>
            </w:pPr>
          </w:p>
        </w:tc>
        <w:tc>
          <w:tcPr>
            <w:tcW w:w="990" w:type="dxa"/>
            <w:noWrap w:val="0"/>
            <w:vAlign w:val="top"/>
          </w:tcPr>
          <w:p w14:paraId="60D507A8">
            <w:pPr>
              <w:spacing w:line="440" w:lineRule="exact"/>
              <w:jc w:val="left"/>
              <w:rPr>
                <w:rFonts w:hint="eastAsia" w:ascii="仿宋" w:hAnsi="仿宋" w:eastAsia="仿宋" w:cs="仿宋"/>
                <w:color w:val="auto"/>
                <w:szCs w:val="21"/>
                <w:highlight w:val="none"/>
              </w:rPr>
            </w:pPr>
          </w:p>
        </w:tc>
        <w:tc>
          <w:tcPr>
            <w:tcW w:w="672" w:type="dxa"/>
            <w:noWrap w:val="0"/>
            <w:vAlign w:val="top"/>
          </w:tcPr>
          <w:p w14:paraId="78C6D0EC">
            <w:pPr>
              <w:spacing w:line="440" w:lineRule="exact"/>
              <w:jc w:val="left"/>
              <w:rPr>
                <w:rFonts w:hint="eastAsia" w:ascii="仿宋" w:hAnsi="仿宋" w:eastAsia="仿宋" w:cs="仿宋"/>
                <w:color w:val="auto"/>
                <w:szCs w:val="21"/>
                <w:highlight w:val="none"/>
              </w:rPr>
            </w:pPr>
          </w:p>
        </w:tc>
        <w:tc>
          <w:tcPr>
            <w:tcW w:w="738" w:type="dxa"/>
            <w:noWrap w:val="0"/>
            <w:vAlign w:val="top"/>
          </w:tcPr>
          <w:p w14:paraId="4FBA641B">
            <w:pPr>
              <w:spacing w:line="440" w:lineRule="exact"/>
              <w:jc w:val="left"/>
              <w:rPr>
                <w:rFonts w:hint="eastAsia" w:ascii="仿宋" w:hAnsi="仿宋" w:eastAsia="仿宋" w:cs="仿宋"/>
                <w:color w:val="auto"/>
                <w:szCs w:val="21"/>
                <w:highlight w:val="none"/>
              </w:rPr>
            </w:pPr>
          </w:p>
        </w:tc>
        <w:tc>
          <w:tcPr>
            <w:tcW w:w="1212" w:type="dxa"/>
            <w:noWrap w:val="0"/>
            <w:vAlign w:val="top"/>
          </w:tcPr>
          <w:p w14:paraId="3F53A6F7">
            <w:pPr>
              <w:spacing w:line="440" w:lineRule="exact"/>
              <w:jc w:val="left"/>
              <w:rPr>
                <w:rFonts w:hint="eastAsia" w:ascii="仿宋" w:hAnsi="仿宋" w:eastAsia="仿宋" w:cs="仿宋"/>
                <w:color w:val="auto"/>
                <w:szCs w:val="21"/>
                <w:highlight w:val="none"/>
              </w:rPr>
            </w:pPr>
          </w:p>
        </w:tc>
        <w:tc>
          <w:tcPr>
            <w:tcW w:w="874" w:type="dxa"/>
            <w:noWrap w:val="0"/>
            <w:vAlign w:val="top"/>
          </w:tcPr>
          <w:p w14:paraId="443F2BBB">
            <w:pPr>
              <w:spacing w:line="440" w:lineRule="exact"/>
              <w:jc w:val="left"/>
              <w:rPr>
                <w:rFonts w:hint="eastAsia" w:ascii="仿宋" w:hAnsi="仿宋" w:eastAsia="仿宋" w:cs="仿宋"/>
                <w:color w:val="auto"/>
                <w:szCs w:val="21"/>
                <w:highlight w:val="none"/>
              </w:rPr>
            </w:pPr>
          </w:p>
        </w:tc>
        <w:tc>
          <w:tcPr>
            <w:tcW w:w="1055" w:type="dxa"/>
            <w:noWrap w:val="0"/>
            <w:vAlign w:val="top"/>
          </w:tcPr>
          <w:p w14:paraId="32BF47A8">
            <w:pPr>
              <w:spacing w:line="440" w:lineRule="exact"/>
              <w:jc w:val="left"/>
              <w:rPr>
                <w:rFonts w:hint="eastAsia" w:ascii="仿宋" w:hAnsi="仿宋" w:eastAsia="仿宋" w:cs="仿宋"/>
                <w:color w:val="auto"/>
                <w:szCs w:val="21"/>
                <w:highlight w:val="none"/>
              </w:rPr>
            </w:pPr>
          </w:p>
        </w:tc>
        <w:tc>
          <w:tcPr>
            <w:tcW w:w="691" w:type="dxa"/>
            <w:noWrap w:val="0"/>
            <w:vAlign w:val="top"/>
          </w:tcPr>
          <w:p w14:paraId="55E430EC">
            <w:pPr>
              <w:spacing w:line="440" w:lineRule="exact"/>
              <w:jc w:val="left"/>
              <w:rPr>
                <w:rFonts w:hint="eastAsia" w:ascii="仿宋" w:hAnsi="仿宋" w:eastAsia="仿宋" w:cs="仿宋"/>
                <w:color w:val="auto"/>
                <w:szCs w:val="21"/>
                <w:highlight w:val="none"/>
              </w:rPr>
            </w:pPr>
          </w:p>
        </w:tc>
      </w:tr>
      <w:tr w14:paraId="2244EF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5" w:type="dxa"/>
            <w:noWrap w:val="0"/>
            <w:vAlign w:val="top"/>
          </w:tcPr>
          <w:p w14:paraId="0CEF1A57">
            <w:pPr>
              <w:spacing w:line="440" w:lineRule="exact"/>
              <w:jc w:val="left"/>
              <w:rPr>
                <w:rFonts w:hint="eastAsia" w:ascii="仿宋" w:hAnsi="仿宋" w:eastAsia="仿宋" w:cs="仿宋"/>
                <w:color w:val="auto"/>
                <w:szCs w:val="21"/>
                <w:highlight w:val="none"/>
              </w:rPr>
            </w:pPr>
          </w:p>
        </w:tc>
        <w:tc>
          <w:tcPr>
            <w:tcW w:w="1086" w:type="dxa"/>
            <w:noWrap w:val="0"/>
            <w:vAlign w:val="top"/>
          </w:tcPr>
          <w:p w14:paraId="41F9AED7">
            <w:pPr>
              <w:spacing w:line="440" w:lineRule="exact"/>
              <w:jc w:val="left"/>
              <w:rPr>
                <w:rFonts w:hint="eastAsia" w:ascii="仿宋" w:hAnsi="仿宋" w:eastAsia="仿宋" w:cs="仿宋"/>
                <w:color w:val="auto"/>
                <w:szCs w:val="21"/>
                <w:highlight w:val="none"/>
              </w:rPr>
            </w:pPr>
          </w:p>
        </w:tc>
        <w:tc>
          <w:tcPr>
            <w:tcW w:w="761" w:type="dxa"/>
            <w:noWrap w:val="0"/>
            <w:vAlign w:val="top"/>
          </w:tcPr>
          <w:p w14:paraId="05D7BDF3">
            <w:pPr>
              <w:spacing w:line="440" w:lineRule="exact"/>
              <w:jc w:val="left"/>
              <w:rPr>
                <w:rFonts w:hint="eastAsia" w:ascii="仿宋" w:hAnsi="仿宋" w:eastAsia="仿宋" w:cs="仿宋"/>
                <w:color w:val="auto"/>
                <w:szCs w:val="21"/>
                <w:highlight w:val="none"/>
              </w:rPr>
            </w:pPr>
          </w:p>
        </w:tc>
        <w:tc>
          <w:tcPr>
            <w:tcW w:w="990" w:type="dxa"/>
            <w:noWrap w:val="0"/>
            <w:vAlign w:val="top"/>
          </w:tcPr>
          <w:p w14:paraId="353E10AF">
            <w:pPr>
              <w:spacing w:line="440" w:lineRule="exact"/>
              <w:jc w:val="left"/>
              <w:rPr>
                <w:rFonts w:hint="eastAsia" w:ascii="仿宋" w:hAnsi="仿宋" w:eastAsia="仿宋" w:cs="仿宋"/>
                <w:color w:val="auto"/>
                <w:szCs w:val="21"/>
                <w:highlight w:val="none"/>
              </w:rPr>
            </w:pPr>
          </w:p>
        </w:tc>
        <w:tc>
          <w:tcPr>
            <w:tcW w:w="672" w:type="dxa"/>
            <w:noWrap w:val="0"/>
            <w:vAlign w:val="top"/>
          </w:tcPr>
          <w:p w14:paraId="6A27BE30">
            <w:pPr>
              <w:spacing w:line="440" w:lineRule="exact"/>
              <w:jc w:val="left"/>
              <w:rPr>
                <w:rFonts w:hint="eastAsia" w:ascii="仿宋" w:hAnsi="仿宋" w:eastAsia="仿宋" w:cs="仿宋"/>
                <w:color w:val="auto"/>
                <w:szCs w:val="21"/>
                <w:highlight w:val="none"/>
              </w:rPr>
            </w:pPr>
          </w:p>
        </w:tc>
        <w:tc>
          <w:tcPr>
            <w:tcW w:w="738" w:type="dxa"/>
            <w:noWrap w:val="0"/>
            <w:vAlign w:val="top"/>
          </w:tcPr>
          <w:p w14:paraId="09667909">
            <w:pPr>
              <w:spacing w:line="440" w:lineRule="exact"/>
              <w:jc w:val="left"/>
              <w:rPr>
                <w:rFonts w:hint="eastAsia" w:ascii="仿宋" w:hAnsi="仿宋" w:eastAsia="仿宋" w:cs="仿宋"/>
                <w:color w:val="auto"/>
                <w:szCs w:val="21"/>
                <w:highlight w:val="none"/>
              </w:rPr>
            </w:pPr>
          </w:p>
        </w:tc>
        <w:tc>
          <w:tcPr>
            <w:tcW w:w="1212" w:type="dxa"/>
            <w:noWrap w:val="0"/>
            <w:vAlign w:val="top"/>
          </w:tcPr>
          <w:p w14:paraId="4D4F5000">
            <w:pPr>
              <w:spacing w:line="440" w:lineRule="exact"/>
              <w:jc w:val="left"/>
              <w:rPr>
                <w:rFonts w:hint="eastAsia" w:ascii="仿宋" w:hAnsi="仿宋" w:eastAsia="仿宋" w:cs="仿宋"/>
                <w:color w:val="auto"/>
                <w:szCs w:val="21"/>
                <w:highlight w:val="none"/>
              </w:rPr>
            </w:pPr>
          </w:p>
        </w:tc>
        <w:tc>
          <w:tcPr>
            <w:tcW w:w="874" w:type="dxa"/>
            <w:noWrap w:val="0"/>
            <w:vAlign w:val="top"/>
          </w:tcPr>
          <w:p w14:paraId="7B2844AD">
            <w:pPr>
              <w:spacing w:line="440" w:lineRule="exact"/>
              <w:jc w:val="left"/>
              <w:rPr>
                <w:rFonts w:hint="eastAsia" w:ascii="仿宋" w:hAnsi="仿宋" w:eastAsia="仿宋" w:cs="仿宋"/>
                <w:color w:val="auto"/>
                <w:szCs w:val="21"/>
                <w:highlight w:val="none"/>
              </w:rPr>
            </w:pPr>
          </w:p>
        </w:tc>
        <w:tc>
          <w:tcPr>
            <w:tcW w:w="1055" w:type="dxa"/>
            <w:noWrap w:val="0"/>
            <w:vAlign w:val="top"/>
          </w:tcPr>
          <w:p w14:paraId="6933C5FE">
            <w:pPr>
              <w:spacing w:line="440" w:lineRule="exact"/>
              <w:jc w:val="left"/>
              <w:rPr>
                <w:rFonts w:hint="eastAsia" w:ascii="仿宋" w:hAnsi="仿宋" w:eastAsia="仿宋" w:cs="仿宋"/>
                <w:color w:val="auto"/>
                <w:szCs w:val="21"/>
                <w:highlight w:val="none"/>
              </w:rPr>
            </w:pPr>
          </w:p>
        </w:tc>
        <w:tc>
          <w:tcPr>
            <w:tcW w:w="691" w:type="dxa"/>
            <w:noWrap w:val="0"/>
            <w:vAlign w:val="top"/>
          </w:tcPr>
          <w:p w14:paraId="3A301F25">
            <w:pPr>
              <w:spacing w:line="440" w:lineRule="exact"/>
              <w:jc w:val="left"/>
              <w:rPr>
                <w:rFonts w:hint="eastAsia" w:ascii="仿宋" w:hAnsi="仿宋" w:eastAsia="仿宋" w:cs="仿宋"/>
                <w:color w:val="auto"/>
                <w:szCs w:val="21"/>
                <w:highlight w:val="none"/>
              </w:rPr>
            </w:pPr>
          </w:p>
        </w:tc>
      </w:tr>
      <w:tr w14:paraId="41A8F0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5" w:type="dxa"/>
            <w:noWrap w:val="0"/>
            <w:vAlign w:val="top"/>
          </w:tcPr>
          <w:p w14:paraId="1F78738E">
            <w:pPr>
              <w:spacing w:line="440" w:lineRule="exact"/>
              <w:jc w:val="left"/>
              <w:rPr>
                <w:rFonts w:hint="eastAsia" w:ascii="仿宋" w:hAnsi="仿宋" w:eastAsia="仿宋" w:cs="仿宋"/>
                <w:color w:val="auto"/>
                <w:szCs w:val="21"/>
                <w:highlight w:val="none"/>
              </w:rPr>
            </w:pPr>
          </w:p>
        </w:tc>
        <w:tc>
          <w:tcPr>
            <w:tcW w:w="1086" w:type="dxa"/>
            <w:noWrap w:val="0"/>
            <w:vAlign w:val="top"/>
          </w:tcPr>
          <w:p w14:paraId="0AECA97B">
            <w:pPr>
              <w:spacing w:line="440" w:lineRule="exact"/>
              <w:jc w:val="left"/>
              <w:rPr>
                <w:rFonts w:hint="eastAsia" w:ascii="仿宋" w:hAnsi="仿宋" w:eastAsia="仿宋" w:cs="仿宋"/>
                <w:color w:val="auto"/>
                <w:szCs w:val="21"/>
                <w:highlight w:val="none"/>
              </w:rPr>
            </w:pPr>
          </w:p>
        </w:tc>
        <w:tc>
          <w:tcPr>
            <w:tcW w:w="761" w:type="dxa"/>
            <w:noWrap w:val="0"/>
            <w:vAlign w:val="top"/>
          </w:tcPr>
          <w:p w14:paraId="4A8B4D00">
            <w:pPr>
              <w:spacing w:line="440" w:lineRule="exact"/>
              <w:jc w:val="left"/>
              <w:rPr>
                <w:rFonts w:hint="eastAsia" w:ascii="仿宋" w:hAnsi="仿宋" w:eastAsia="仿宋" w:cs="仿宋"/>
                <w:color w:val="auto"/>
                <w:szCs w:val="21"/>
                <w:highlight w:val="none"/>
              </w:rPr>
            </w:pPr>
          </w:p>
        </w:tc>
        <w:tc>
          <w:tcPr>
            <w:tcW w:w="990" w:type="dxa"/>
            <w:noWrap w:val="0"/>
            <w:vAlign w:val="top"/>
          </w:tcPr>
          <w:p w14:paraId="36A950AF">
            <w:pPr>
              <w:spacing w:line="440" w:lineRule="exact"/>
              <w:jc w:val="left"/>
              <w:rPr>
                <w:rFonts w:hint="eastAsia" w:ascii="仿宋" w:hAnsi="仿宋" w:eastAsia="仿宋" w:cs="仿宋"/>
                <w:color w:val="auto"/>
                <w:szCs w:val="21"/>
                <w:highlight w:val="none"/>
              </w:rPr>
            </w:pPr>
          </w:p>
        </w:tc>
        <w:tc>
          <w:tcPr>
            <w:tcW w:w="672" w:type="dxa"/>
            <w:noWrap w:val="0"/>
            <w:vAlign w:val="top"/>
          </w:tcPr>
          <w:p w14:paraId="15836FC1">
            <w:pPr>
              <w:spacing w:line="440" w:lineRule="exact"/>
              <w:jc w:val="left"/>
              <w:rPr>
                <w:rFonts w:hint="eastAsia" w:ascii="仿宋" w:hAnsi="仿宋" w:eastAsia="仿宋" w:cs="仿宋"/>
                <w:color w:val="auto"/>
                <w:szCs w:val="21"/>
                <w:highlight w:val="none"/>
              </w:rPr>
            </w:pPr>
          </w:p>
        </w:tc>
        <w:tc>
          <w:tcPr>
            <w:tcW w:w="738" w:type="dxa"/>
            <w:noWrap w:val="0"/>
            <w:vAlign w:val="top"/>
          </w:tcPr>
          <w:p w14:paraId="0A8CBB92">
            <w:pPr>
              <w:spacing w:line="440" w:lineRule="exact"/>
              <w:jc w:val="left"/>
              <w:rPr>
                <w:rFonts w:hint="eastAsia" w:ascii="仿宋" w:hAnsi="仿宋" w:eastAsia="仿宋" w:cs="仿宋"/>
                <w:color w:val="auto"/>
                <w:szCs w:val="21"/>
                <w:highlight w:val="none"/>
              </w:rPr>
            </w:pPr>
          </w:p>
        </w:tc>
        <w:tc>
          <w:tcPr>
            <w:tcW w:w="1212" w:type="dxa"/>
            <w:noWrap w:val="0"/>
            <w:vAlign w:val="top"/>
          </w:tcPr>
          <w:p w14:paraId="7E0234FC">
            <w:pPr>
              <w:spacing w:line="440" w:lineRule="exact"/>
              <w:jc w:val="left"/>
              <w:rPr>
                <w:rFonts w:hint="eastAsia" w:ascii="仿宋" w:hAnsi="仿宋" w:eastAsia="仿宋" w:cs="仿宋"/>
                <w:color w:val="auto"/>
                <w:szCs w:val="21"/>
                <w:highlight w:val="none"/>
              </w:rPr>
            </w:pPr>
          </w:p>
        </w:tc>
        <w:tc>
          <w:tcPr>
            <w:tcW w:w="874" w:type="dxa"/>
            <w:noWrap w:val="0"/>
            <w:vAlign w:val="top"/>
          </w:tcPr>
          <w:p w14:paraId="78D988B3">
            <w:pPr>
              <w:spacing w:line="440" w:lineRule="exact"/>
              <w:jc w:val="left"/>
              <w:rPr>
                <w:rFonts w:hint="eastAsia" w:ascii="仿宋" w:hAnsi="仿宋" w:eastAsia="仿宋" w:cs="仿宋"/>
                <w:color w:val="auto"/>
                <w:szCs w:val="21"/>
                <w:highlight w:val="none"/>
              </w:rPr>
            </w:pPr>
          </w:p>
        </w:tc>
        <w:tc>
          <w:tcPr>
            <w:tcW w:w="1055" w:type="dxa"/>
            <w:noWrap w:val="0"/>
            <w:vAlign w:val="top"/>
          </w:tcPr>
          <w:p w14:paraId="55F2A652">
            <w:pPr>
              <w:spacing w:line="440" w:lineRule="exact"/>
              <w:jc w:val="left"/>
              <w:rPr>
                <w:rFonts w:hint="eastAsia" w:ascii="仿宋" w:hAnsi="仿宋" w:eastAsia="仿宋" w:cs="仿宋"/>
                <w:color w:val="auto"/>
                <w:szCs w:val="21"/>
                <w:highlight w:val="none"/>
              </w:rPr>
            </w:pPr>
          </w:p>
        </w:tc>
        <w:tc>
          <w:tcPr>
            <w:tcW w:w="691" w:type="dxa"/>
            <w:noWrap w:val="0"/>
            <w:vAlign w:val="top"/>
          </w:tcPr>
          <w:p w14:paraId="0F802DF0">
            <w:pPr>
              <w:spacing w:line="440" w:lineRule="exact"/>
              <w:jc w:val="left"/>
              <w:rPr>
                <w:rFonts w:hint="eastAsia" w:ascii="仿宋" w:hAnsi="仿宋" w:eastAsia="仿宋" w:cs="仿宋"/>
                <w:color w:val="auto"/>
                <w:szCs w:val="21"/>
                <w:highlight w:val="none"/>
              </w:rPr>
            </w:pPr>
          </w:p>
        </w:tc>
      </w:tr>
      <w:tr w14:paraId="661698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5" w:type="dxa"/>
            <w:noWrap w:val="0"/>
            <w:vAlign w:val="top"/>
          </w:tcPr>
          <w:p w14:paraId="2A5ACF44">
            <w:pPr>
              <w:spacing w:line="440" w:lineRule="exact"/>
              <w:jc w:val="left"/>
              <w:rPr>
                <w:rFonts w:hint="eastAsia" w:ascii="仿宋" w:hAnsi="仿宋" w:eastAsia="仿宋" w:cs="仿宋"/>
                <w:color w:val="auto"/>
                <w:szCs w:val="21"/>
                <w:highlight w:val="none"/>
              </w:rPr>
            </w:pPr>
          </w:p>
        </w:tc>
        <w:tc>
          <w:tcPr>
            <w:tcW w:w="1086" w:type="dxa"/>
            <w:noWrap w:val="0"/>
            <w:vAlign w:val="top"/>
          </w:tcPr>
          <w:p w14:paraId="53E4BD59">
            <w:pPr>
              <w:spacing w:line="440" w:lineRule="exact"/>
              <w:jc w:val="left"/>
              <w:rPr>
                <w:rFonts w:hint="eastAsia" w:ascii="仿宋" w:hAnsi="仿宋" w:eastAsia="仿宋" w:cs="仿宋"/>
                <w:color w:val="auto"/>
                <w:szCs w:val="21"/>
                <w:highlight w:val="none"/>
              </w:rPr>
            </w:pPr>
          </w:p>
        </w:tc>
        <w:tc>
          <w:tcPr>
            <w:tcW w:w="761" w:type="dxa"/>
            <w:noWrap w:val="0"/>
            <w:vAlign w:val="top"/>
          </w:tcPr>
          <w:p w14:paraId="338B366F">
            <w:pPr>
              <w:spacing w:line="440" w:lineRule="exact"/>
              <w:jc w:val="left"/>
              <w:rPr>
                <w:rFonts w:hint="eastAsia" w:ascii="仿宋" w:hAnsi="仿宋" w:eastAsia="仿宋" w:cs="仿宋"/>
                <w:color w:val="auto"/>
                <w:szCs w:val="21"/>
                <w:highlight w:val="none"/>
              </w:rPr>
            </w:pPr>
          </w:p>
        </w:tc>
        <w:tc>
          <w:tcPr>
            <w:tcW w:w="990" w:type="dxa"/>
            <w:noWrap w:val="0"/>
            <w:vAlign w:val="top"/>
          </w:tcPr>
          <w:p w14:paraId="5AF9281D">
            <w:pPr>
              <w:spacing w:line="440" w:lineRule="exact"/>
              <w:jc w:val="left"/>
              <w:rPr>
                <w:rFonts w:hint="eastAsia" w:ascii="仿宋" w:hAnsi="仿宋" w:eastAsia="仿宋" w:cs="仿宋"/>
                <w:color w:val="auto"/>
                <w:szCs w:val="21"/>
                <w:highlight w:val="none"/>
              </w:rPr>
            </w:pPr>
          </w:p>
        </w:tc>
        <w:tc>
          <w:tcPr>
            <w:tcW w:w="672" w:type="dxa"/>
            <w:noWrap w:val="0"/>
            <w:vAlign w:val="top"/>
          </w:tcPr>
          <w:p w14:paraId="7B51812A">
            <w:pPr>
              <w:spacing w:line="440" w:lineRule="exact"/>
              <w:jc w:val="left"/>
              <w:rPr>
                <w:rFonts w:hint="eastAsia" w:ascii="仿宋" w:hAnsi="仿宋" w:eastAsia="仿宋" w:cs="仿宋"/>
                <w:color w:val="auto"/>
                <w:szCs w:val="21"/>
                <w:highlight w:val="none"/>
              </w:rPr>
            </w:pPr>
          </w:p>
        </w:tc>
        <w:tc>
          <w:tcPr>
            <w:tcW w:w="738" w:type="dxa"/>
            <w:noWrap w:val="0"/>
            <w:vAlign w:val="top"/>
          </w:tcPr>
          <w:p w14:paraId="41129880">
            <w:pPr>
              <w:spacing w:line="440" w:lineRule="exact"/>
              <w:jc w:val="left"/>
              <w:rPr>
                <w:rFonts w:hint="eastAsia" w:ascii="仿宋" w:hAnsi="仿宋" w:eastAsia="仿宋" w:cs="仿宋"/>
                <w:color w:val="auto"/>
                <w:szCs w:val="21"/>
                <w:highlight w:val="none"/>
              </w:rPr>
            </w:pPr>
          </w:p>
        </w:tc>
        <w:tc>
          <w:tcPr>
            <w:tcW w:w="1212" w:type="dxa"/>
            <w:noWrap w:val="0"/>
            <w:vAlign w:val="top"/>
          </w:tcPr>
          <w:p w14:paraId="0CC53D8B">
            <w:pPr>
              <w:spacing w:line="440" w:lineRule="exact"/>
              <w:jc w:val="left"/>
              <w:rPr>
                <w:rFonts w:hint="eastAsia" w:ascii="仿宋" w:hAnsi="仿宋" w:eastAsia="仿宋" w:cs="仿宋"/>
                <w:color w:val="auto"/>
                <w:szCs w:val="21"/>
                <w:highlight w:val="none"/>
              </w:rPr>
            </w:pPr>
          </w:p>
        </w:tc>
        <w:tc>
          <w:tcPr>
            <w:tcW w:w="874" w:type="dxa"/>
            <w:noWrap w:val="0"/>
            <w:vAlign w:val="top"/>
          </w:tcPr>
          <w:p w14:paraId="29D65116">
            <w:pPr>
              <w:spacing w:line="440" w:lineRule="exact"/>
              <w:jc w:val="left"/>
              <w:rPr>
                <w:rFonts w:hint="eastAsia" w:ascii="仿宋" w:hAnsi="仿宋" w:eastAsia="仿宋" w:cs="仿宋"/>
                <w:color w:val="auto"/>
                <w:szCs w:val="21"/>
                <w:highlight w:val="none"/>
              </w:rPr>
            </w:pPr>
          </w:p>
        </w:tc>
        <w:tc>
          <w:tcPr>
            <w:tcW w:w="1055" w:type="dxa"/>
            <w:noWrap w:val="0"/>
            <w:vAlign w:val="top"/>
          </w:tcPr>
          <w:p w14:paraId="360C8653">
            <w:pPr>
              <w:spacing w:line="440" w:lineRule="exact"/>
              <w:jc w:val="left"/>
              <w:rPr>
                <w:rFonts w:hint="eastAsia" w:ascii="仿宋" w:hAnsi="仿宋" w:eastAsia="仿宋" w:cs="仿宋"/>
                <w:color w:val="auto"/>
                <w:szCs w:val="21"/>
                <w:highlight w:val="none"/>
              </w:rPr>
            </w:pPr>
          </w:p>
        </w:tc>
        <w:tc>
          <w:tcPr>
            <w:tcW w:w="691" w:type="dxa"/>
            <w:noWrap w:val="0"/>
            <w:vAlign w:val="top"/>
          </w:tcPr>
          <w:p w14:paraId="5CC00EE0">
            <w:pPr>
              <w:spacing w:line="440" w:lineRule="exact"/>
              <w:jc w:val="left"/>
              <w:rPr>
                <w:rFonts w:hint="eastAsia" w:ascii="仿宋" w:hAnsi="仿宋" w:eastAsia="仿宋" w:cs="仿宋"/>
                <w:color w:val="auto"/>
                <w:szCs w:val="21"/>
                <w:highlight w:val="none"/>
              </w:rPr>
            </w:pPr>
          </w:p>
        </w:tc>
      </w:tr>
      <w:tr w14:paraId="51439A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5" w:type="dxa"/>
            <w:noWrap w:val="0"/>
            <w:vAlign w:val="top"/>
          </w:tcPr>
          <w:p w14:paraId="7C33A378">
            <w:pPr>
              <w:spacing w:line="440" w:lineRule="exact"/>
              <w:jc w:val="left"/>
              <w:rPr>
                <w:rFonts w:hint="eastAsia" w:ascii="仿宋" w:hAnsi="仿宋" w:eastAsia="仿宋" w:cs="仿宋"/>
                <w:color w:val="auto"/>
                <w:szCs w:val="21"/>
                <w:highlight w:val="none"/>
              </w:rPr>
            </w:pPr>
          </w:p>
        </w:tc>
        <w:tc>
          <w:tcPr>
            <w:tcW w:w="1086" w:type="dxa"/>
            <w:noWrap w:val="0"/>
            <w:vAlign w:val="top"/>
          </w:tcPr>
          <w:p w14:paraId="72B87E66">
            <w:pPr>
              <w:spacing w:line="440" w:lineRule="exact"/>
              <w:jc w:val="left"/>
              <w:rPr>
                <w:rFonts w:hint="eastAsia" w:ascii="仿宋" w:hAnsi="仿宋" w:eastAsia="仿宋" w:cs="仿宋"/>
                <w:color w:val="auto"/>
                <w:szCs w:val="21"/>
                <w:highlight w:val="none"/>
              </w:rPr>
            </w:pPr>
          </w:p>
        </w:tc>
        <w:tc>
          <w:tcPr>
            <w:tcW w:w="761" w:type="dxa"/>
            <w:noWrap w:val="0"/>
            <w:vAlign w:val="top"/>
          </w:tcPr>
          <w:p w14:paraId="3E783834">
            <w:pPr>
              <w:spacing w:line="440" w:lineRule="exact"/>
              <w:jc w:val="left"/>
              <w:rPr>
                <w:rFonts w:hint="eastAsia" w:ascii="仿宋" w:hAnsi="仿宋" w:eastAsia="仿宋" w:cs="仿宋"/>
                <w:color w:val="auto"/>
                <w:szCs w:val="21"/>
                <w:highlight w:val="none"/>
              </w:rPr>
            </w:pPr>
          </w:p>
        </w:tc>
        <w:tc>
          <w:tcPr>
            <w:tcW w:w="990" w:type="dxa"/>
            <w:noWrap w:val="0"/>
            <w:vAlign w:val="top"/>
          </w:tcPr>
          <w:p w14:paraId="16CCB174">
            <w:pPr>
              <w:spacing w:line="440" w:lineRule="exact"/>
              <w:jc w:val="left"/>
              <w:rPr>
                <w:rFonts w:hint="eastAsia" w:ascii="仿宋" w:hAnsi="仿宋" w:eastAsia="仿宋" w:cs="仿宋"/>
                <w:color w:val="auto"/>
                <w:szCs w:val="21"/>
                <w:highlight w:val="none"/>
              </w:rPr>
            </w:pPr>
          </w:p>
        </w:tc>
        <w:tc>
          <w:tcPr>
            <w:tcW w:w="672" w:type="dxa"/>
            <w:noWrap w:val="0"/>
            <w:vAlign w:val="top"/>
          </w:tcPr>
          <w:p w14:paraId="23782F36">
            <w:pPr>
              <w:spacing w:line="440" w:lineRule="exact"/>
              <w:jc w:val="left"/>
              <w:rPr>
                <w:rFonts w:hint="eastAsia" w:ascii="仿宋" w:hAnsi="仿宋" w:eastAsia="仿宋" w:cs="仿宋"/>
                <w:color w:val="auto"/>
                <w:szCs w:val="21"/>
                <w:highlight w:val="none"/>
              </w:rPr>
            </w:pPr>
          </w:p>
        </w:tc>
        <w:tc>
          <w:tcPr>
            <w:tcW w:w="738" w:type="dxa"/>
            <w:noWrap w:val="0"/>
            <w:vAlign w:val="top"/>
          </w:tcPr>
          <w:p w14:paraId="79098516">
            <w:pPr>
              <w:spacing w:line="440" w:lineRule="exact"/>
              <w:jc w:val="left"/>
              <w:rPr>
                <w:rFonts w:hint="eastAsia" w:ascii="仿宋" w:hAnsi="仿宋" w:eastAsia="仿宋" w:cs="仿宋"/>
                <w:color w:val="auto"/>
                <w:szCs w:val="21"/>
                <w:highlight w:val="none"/>
              </w:rPr>
            </w:pPr>
          </w:p>
        </w:tc>
        <w:tc>
          <w:tcPr>
            <w:tcW w:w="1212" w:type="dxa"/>
            <w:noWrap w:val="0"/>
            <w:vAlign w:val="top"/>
          </w:tcPr>
          <w:p w14:paraId="3A8B7B50">
            <w:pPr>
              <w:spacing w:line="440" w:lineRule="exact"/>
              <w:jc w:val="left"/>
              <w:rPr>
                <w:rFonts w:hint="eastAsia" w:ascii="仿宋" w:hAnsi="仿宋" w:eastAsia="仿宋" w:cs="仿宋"/>
                <w:color w:val="auto"/>
                <w:szCs w:val="21"/>
                <w:highlight w:val="none"/>
              </w:rPr>
            </w:pPr>
          </w:p>
        </w:tc>
        <w:tc>
          <w:tcPr>
            <w:tcW w:w="874" w:type="dxa"/>
            <w:noWrap w:val="0"/>
            <w:vAlign w:val="top"/>
          </w:tcPr>
          <w:p w14:paraId="7819D544">
            <w:pPr>
              <w:spacing w:line="440" w:lineRule="exact"/>
              <w:jc w:val="left"/>
              <w:rPr>
                <w:rFonts w:hint="eastAsia" w:ascii="仿宋" w:hAnsi="仿宋" w:eastAsia="仿宋" w:cs="仿宋"/>
                <w:color w:val="auto"/>
                <w:szCs w:val="21"/>
                <w:highlight w:val="none"/>
              </w:rPr>
            </w:pPr>
          </w:p>
        </w:tc>
        <w:tc>
          <w:tcPr>
            <w:tcW w:w="1055" w:type="dxa"/>
            <w:noWrap w:val="0"/>
            <w:vAlign w:val="top"/>
          </w:tcPr>
          <w:p w14:paraId="3F412860">
            <w:pPr>
              <w:spacing w:line="440" w:lineRule="exact"/>
              <w:jc w:val="left"/>
              <w:rPr>
                <w:rFonts w:hint="eastAsia" w:ascii="仿宋" w:hAnsi="仿宋" w:eastAsia="仿宋" w:cs="仿宋"/>
                <w:color w:val="auto"/>
                <w:szCs w:val="21"/>
                <w:highlight w:val="none"/>
              </w:rPr>
            </w:pPr>
          </w:p>
        </w:tc>
        <w:tc>
          <w:tcPr>
            <w:tcW w:w="691" w:type="dxa"/>
            <w:noWrap w:val="0"/>
            <w:vAlign w:val="top"/>
          </w:tcPr>
          <w:p w14:paraId="415BE1C0">
            <w:pPr>
              <w:spacing w:line="440" w:lineRule="exact"/>
              <w:jc w:val="left"/>
              <w:rPr>
                <w:rFonts w:hint="eastAsia" w:ascii="仿宋" w:hAnsi="仿宋" w:eastAsia="仿宋" w:cs="仿宋"/>
                <w:color w:val="auto"/>
                <w:szCs w:val="21"/>
                <w:highlight w:val="none"/>
              </w:rPr>
            </w:pPr>
          </w:p>
        </w:tc>
      </w:tr>
      <w:tr w14:paraId="141622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5" w:type="dxa"/>
            <w:noWrap w:val="0"/>
            <w:vAlign w:val="top"/>
          </w:tcPr>
          <w:p w14:paraId="216648EF">
            <w:pPr>
              <w:spacing w:line="440" w:lineRule="exact"/>
              <w:jc w:val="left"/>
              <w:rPr>
                <w:rFonts w:hint="eastAsia" w:ascii="仿宋" w:hAnsi="仿宋" w:eastAsia="仿宋" w:cs="仿宋"/>
                <w:color w:val="auto"/>
                <w:szCs w:val="21"/>
                <w:highlight w:val="none"/>
              </w:rPr>
            </w:pPr>
          </w:p>
        </w:tc>
        <w:tc>
          <w:tcPr>
            <w:tcW w:w="1086" w:type="dxa"/>
            <w:noWrap w:val="0"/>
            <w:vAlign w:val="top"/>
          </w:tcPr>
          <w:p w14:paraId="6FB55ACA">
            <w:pPr>
              <w:spacing w:line="440" w:lineRule="exact"/>
              <w:jc w:val="left"/>
              <w:rPr>
                <w:rFonts w:hint="eastAsia" w:ascii="仿宋" w:hAnsi="仿宋" w:eastAsia="仿宋" w:cs="仿宋"/>
                <w:color w:val="auto"/>
                <w:szCs w:val="21"/>
                <w:highlight w:val="none"/>
              </w:rPr>
            </w:pPr>
          </w:p>
        </w:tc>
        <w:tc>
          <w:tcPr>
            <w:tcW w:w="761" w:type="dxa"/>
            <w:noWrap w:val="0"/>
            <w:vAlign w:val="top"/>
          </w:tcPr>
          <w:p w14:paraId="454B4677">
            <w:pPr>
              <w:spacing w:line="440" w:lineRule="exact"/>
              <w:jc w:val="left"/>
              <w:rPr>
                <w:rFonts w:hint="eastAsia" w:ascii="仿宋" w:hAnsi="仿宋" w:eastAsia="仿宋" w:cs="仿宋"/>
                <w:color w:val="auto"/>
                <w:szCs w:val="21"/>
                <w:highlight w:val="none"/>
              </w:rPr>
            </w:pPr>
          </w:p>
        </w:tc>
        <w:tc>
          <w:tcPr>
            <w:tcW w:w="990" w:type="dxa"/>
            <w:noWrap w:val="0"/>
            <w:vAlign w:val="top"/>
          </w:tcPr>
          <w:p w14:paraId="66CD7DC4">
            <w:pPr>
              <w:spacing w:line="440" w:lineRule="exact"/>
              <w:jc w:val="left"/>
              <w:rPr>
                <w:rFonts w:hint="eastAsia" w:ascii="仿宋" w:hAnsi="仿宋" w:eastAsia="仿宋" w:cs="仿宋"/>
                <w:color w:val="auto"/>
                <w:szCs w:val="21"/>
                <w:highlight w:val="none"/>
              </w:rPr>
            </w:pPr>
          </w:p>
        </w:tc>
        <w:tc>
          <w:tcPr>
            <w:tcW w:w="672" w:type="dxa"/>
            <w:noWrap w:val="0"/>
            <w:vAlign w:val="top"/>
          </w:tcPr>
          <w:p w14:paraId="5F9DFAB6">
            <w:pPr>
              <w:spacing w:line="440" w:lineRule="exact"/>
              <w:jc w:val="left"/>
              <w:rPr>
                <w:rFonts w:hint="eastAsia" w:ascii="仿宋" w:hAnsi="仿宋" w:eastAsia="仿宋" w:cs="仿宋"/>
                <w:color w:val="auto"/>
                <w:szCs w:val="21"/>
                <w:highlight w:val="none"/>
              </w:rPr>
            </w:pPr>
          </w:p>
        </w:tc>
        <w:tc>
          <w:tcPr>
            <w:tcW w:w="738" w:type="dxa"/>
            <w:noWrap w:val="0"/>
            <w:vAlign w:val="top"/>
          </w:tcPr>
          <w:p w14:paraId="03F051AD">
            <w:pPr>
              <w:spacing w:line="440" w:lineRule="exact"/>
              <w:jc w:val="left"/>
              <w:rPr>
                <w:rFonts w:hint="eastAsia" w:ascii="仿宋" w:hAnsi="仿宋" w:eastAsia="仿宋" w:cs="仿宋"/>
                <w:color w:val="auto"/>
                <w:szCs w:val="21"/>
                <w:highlight w:val="none"/>
              </w:rPr>
            </w:pPr>
          </w:p>
        </w:tc>
        <w:tc>
          <w:tcPr>
            <w:tcW w:w="1212" w:type="dxa"/>
            <w:noWrap w:val="0"/>
            <w:vAlign w:val="top"/>
          </w:tcPr>
          <w:p w14:paraId="6FA011F6">
            <w:pPr>
              <w:spacing w:line="440" w:lineRule="exact"/>
              <w:jc w:val="left"/>
              <w:rPr>
                <w:rFonts w:hint="eastAsia" w:ascii="仿宋" w:hAnsi="仿宋" w:eastAsia="仿宋" w:cs="仿宋"/>
                <w:color w:val="auto"/>
                <w:szCs w:val="21"/>
                <w:highlight w:val="none"/>
              </w:rPr>
            </w:pPr>
          </w:p>
        </w:tc>
        <w:tc>
          <w:tcPr>
            <w:tcW w:w="874" w:type="dxa"/>
            <w:noWrap w:val="0"/>
            <w:vAlign w:val="top"/>
          </w:tcPr>
          <w:p w14:paraId="3F3DFD35">
            <w:pPr>
              <w:spacing w:line="440" w:lineRule="exact"/>
              <w:jc w:val="left"/>
              <w:rPr>
                <w:rFonts w:hint="eastAsia" w:ascii="仿宋" w:hAnsi="仿宋" w:eastAsia="仿宋" w:cs="仿宋"/>
                <w:color w:val="auto"/>
                <w:szCs w:val="21"/>
                <w:highlight w:val="none"/>
              </w:rPr>
            </w:pPr>
          </w:p>
        </w:tc>
        <w:tc>
          <w:tcPr>
            <w:tcW w:w="1055" w:type="dxa"/>
            <w:noWrap w:val="0"/>
            <w:vAlign w:val="top"/>
          </w:tcPr>
          <w:p w14:paraId="3D92ED42">
            <w:pPr>
              <w:spacing w:line="440" w:lineRule="exact"/>
              <w:jc w:val="left"/>
              <w:rPr>
                <w:rFonts w:hint="eastAsia" w:ascii="仿宋" w:hAnsi="仿宋" w:eastAsia="仿宋" w:cs="仿宋"/>
                <w:color w:val="auto"/>
                <w:szCs w:val="21"/>
                <w:highlight w:val="none"/>
              </w:rPr>
            </w:pPr>
          </w:p>
        </w:tc>
        <w:tc>
          <w:tcPr>
            <w:tcW w:w="691" w:type="dxa"/>
            <w:noWrap w:val="0"/>
            <w:vAlign w:val="top"/>
          </w:tcPr>
          <w:p w14:paraId="75A49F4B">
            <w:pPr>
              <w:spacing w:line="440" w:lineRule="exact"/>
              <w:jc w:val="left"/>
              <w:rPr>
                <w:rFonts w:hint="eastAsia" w:ascii="仿宋" w:hAnsi="仿宋" w:eastAsia="仿宋" w:cs="仿宋"/>
                <w:color w:val="auto"/>
                <w:szCs w:val="21"/>
                <w:highlight w:val="none"/>
              </w:rPr>
            </w:pPr>
          </w:p>
        </w:tc>
      </w:tr>
      <w:tr w14:paraId="76E13A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5" w:type="dxa"/>
            <w:noWrap w:val="0"/>
            <w:vAlign w:val="top"/>
          </w:tcPr>
          <w:p w14:paraId="3B05FD97">
            <w:pPr>
              <w:spacing w:line="440" w:lineRule="exact"/>
              <w:jc w:val="left"/>
              <w:rPr>
                <w:rFonts w:hint="eastAsia" w:ascii="仿宋" w:hAnsi="仿宋" w:eastAsia="仿宋" w:cs="仿宋"/>
                <w:color w:val="auto"/>
                <w:szCs w:val="21"/>
                <w:highlight w:val="none"/>
              </w:rPr>
            </w:pPr>
          </w:p>
        </w:tc>
        <w:tc>
          <w:tcPr>
            <w:tcW w:w="1086" w:type="dxa"/>
            <w:noWrap w:val="0"/>
            <w:vAlign w:val="top"/>
          </w:tcPr>
          <w:p w14:paraId="5FEACBC8">
            <w:pPr>
              <w:spacing w:line="440" w:lineRule="exact"/>
              <w:jc w:val="left"/>
              <w:rPr>
                <w:rFonts w:hint="eastAsia" w:ascii="仿宋" w:hAnsi="仿宋" w:eastAsia="仿宋" w:cs="仿宋"/>
                <w:color w:val="auto"/>
                <w:szCs w:val="21"/>
                <w:highlight w:val="none"/>
              </w:rPr>
            </w:pPr>
          </w:p>
        </w:tc>
        <w:tc>
          <w:tcPr>
            <w:tcW w:w="761" w:type="dxa"/>
            <w:noWrap w:val="0"/>
            <w:vAlign w:val="top"/>
          </w:tcPr>
          <w:p w14:paraId="065A964C">
            <w:pPr>
              <w:spacing w:line="440" w:lineRule="exact"/>
              <w:jc w:val="left"/>
              <w:rPr>
                <w:rFonts w:hint="eastAsia" w:ascii="仿宋" w:hAnsi="仿宋" w:eastAsia="仿宋" w:cs="仿宋"/>
                <w:color w:val="auto"/>
                <w:szCs w:val="21"/>
                <w:highlight w:val="none"/>
              </w:rPr>
            </w:pPr>
          </w:p>
        </w:tc>
        <w:tc>
          <w:tcPr>
            <w:tcW w:w="990" w:type="dxa"/>
            <w:noWrap w:val="0"/>
            <w:vAlign w:val="top"/>
          </w:tcPr>
          <w:p w14:paraId="049A6D39">
            <w:pPr>
              <w:spacing w:line="440" w:lineRule="exact"/>
              <w:jc w:val="left"/>
              <w:rPr>
                <w:rFonts w:hint="eastAsia" w:ascii="仿宋" w:hAnsi="仿宋" w:eastAsia="仿宋" w:cs="仿宋"/>
                <w:color w:val="auto"/>
                <w:szCs w:val="21"/>
                <w:highlight w:val="none"/>
              </w:rPr>
            </w:pPr>
          </w:p>
        </w:tc>
        <w:tc>
          <w:tcPr>
            <w:tcW w:w="672" w:type="dxa"/>
            <w:noWrap w:val="0"/>
            <w:vAlign w:val="top"/>
          </w:tcPr>
          <w:p w14:paraId="0AA1B4D9">
            <w:pPr>
              <w:spacing w:line="440" w:lineRule="exact"/>
              <w:jc w:val="left"/>
              <w:rPr>
                <w:rFonts w:hint="eastAsia" w:ascii="仿宋" w:hAnsi="仿宋" w:eastAsia="仿宋" w:cs="仿宋"/>
                <w:color w:val="auto"/>
                <w:szCs w:val="21"/>
                <w:highlight w:val="none"/>
              </w:rPr>
            </w:pPr>
          </w:p>
        </w:tc>
        <w:tc>
          <w:tcPr>
            <w:tcW w:w="738" w:type="dxa"/>
            <w:noWrap w:val="0"/>
            <w:vAlign w:val="top"/>
          </w:tcPr>
          <w:p w14:paraId="6A75310C">
            <w:pPr>
              <w:spacing w:line="440" w:lineRule="exact"/>
              <w:jc w:val="left"/>
              <w:rPr>
                <w:rFonts w:hint="eastAsia" w:ascii="仿宋" w:hAnsi="仿宋" w:eastAsia="仿宋" w:cs="仿宋"/>
                <w:color w:val="auto"/>
                <w:szCs w:val="21"/>
                <w:highlight w:val="none"/>
              </w:rPr>
            </w:pPr>
          </w:p>
        </w:tc>
        <w:tc>
          <w:tcPr>
            <w:tcW w:w="1212" w:type="dxa"/>
            <w:noWrap w:val="0"/>
            <w:vAlign w:val="top"/>
          </w:tcPr>
          <w:p w14:paraId="25A55357">
            <w:pPr>
              <w:spacing w:line="440" w:lineRule="exact"/>
              <w:jc w:val="left"/>
              <w:rPr>
                <w:rFonts w:hint="eastAsia" w:ascii="仿宋" w:hAnsi="仿宋" w:eastAsia="仿宋" w:cs="仿宋"/>
                <w:color w:val="auto"/>
                <w:szCs w:val="21"/>
                <w:highlight w:val="none"/>
              </w:rPr>
            </w:pPr>
          </w:p>
        </w:tc>
        <w:tc>
          <w:tcPr>
            <w:tcW w:w="874" w:type="dxa"/>
            <w:noWrap w:val="0"/>
            <w:vAlign w:val="top"/>
          </w:tcPr>
          <w:p w14:paraId="4620D6E1">
            <w:pPr>
              <w:spacing w:line="440" w:lineRule="exact"/>
              <w:jc w:val="left"/>
              <w:rPr>
                <w:rFonts w:hint="eastAsia" w:ascii="仿宋" w:hAnsi="仿宋" w:eastAsia="仿宋" w:cs="仿宋"/>
                <w:color w:val="auto"/>
                <w:szCs w:val="21"/>
                <w:highlight w:val="none"/>
              </w:rPr>
            </w:pPr>
          </w:p>
        </w:tc>
        <w:tc>
          <w:tcPr>
            <w:tcW w:w="1055" w:type="dxa"/>
            <w:noWrap w:val="0"/>
            <w:vAlign w:val="top"/>
          </w:tcPr>
          <w:p w14:paraId="437C96DC">
            <w:pPr>
              <w:spacing w:line="440" w:lineRule="exact"/>
              <w:jc w:val="left"/>
              <w:rPr>
                <w:rFonts w:hint="eastAsia" w:ascii="仿宋" w:hAnsi="仿宋" w:eastAsia="仿宋" w:cs="仿宋"/>
                <w:color w:val="auto"/>
                <w:szCs w:val="21"/>
                <w:highlight w:val="none"/>
              </w:rPr>
            </w:pPr>
          </w:p>
        </w:tc>
        <w:tc>
          <w:tcPr>
            <w:tcW w:w="691" w:type="dxa"/>
            <w:noWrap w:val="0"/>
            <w:vAlign w:val="top"/>
          </w:tcPr>
          <w:p w14:paraId="023DF48A">
            <w:pPr>
              <w:spacing w:line="440" w:lineRule="exact"/>
              <w:jc w:val="left"/>
              <w:rPr>
                <w:rFonts w:hint="eastAsia" w:ascii="仿宋" w:hAnsi="仿宋" w:eastAsia="仿宋" w:cs="仿宋"/>
                <w:color w:val="auto"/>
                <w:szCs w:val="21"/>
                <w:highlight w:val="none"/>
              </w:rPr>
            </w:pPr>
          </w:p>
        </w:tc>
      </w:tr>
      <w:tr w14:paraId="22E94C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5" w:type="dxa"/>
            <w:noWrap w:val="0"/>
            <w:vAlign w:val="top"/>
          </w:tcPr>
          <w:p w14:paraId="27F9173B">
            <w:pPr>
              <w:spacing w:line="440" w:lineRule="exact"/>
              <w:jc w:val="left"/>
              <w:rPr>
                <w:rFonts w:hint="eastAsia" w:ascii="仿宋" w:hAnsi="仿宋" w:eastAsia="仿宋" w:cs="仿宋"/>
                <w:color w:val="auto"/>
                <w:szCs w:val="21"/>
                <w:highlight w:val="none"/>
              </w:rPr>
            </w:pPr>
          </w:p>
        </w:tc>
        <w:tc>
          <w:tcPr>
            <w:tcW w:w="1086" w:type="dxa"/>
            <w:noWrap w:val="0"/>
            <w:vAlign w:val="top"/>
          </w:tcPr>
          <w:p w14:paraId="4D2806CB">
            <w:pPr>
              <w:spacing w:line="440" w:lineRule="exact"/>
              <w:jc w:val="left"/>
              <w:rPr>
                <w:rFonts w:hint="eastAsia" w:ascii="仿宋" w:hAnsi="仿宋" w:eastAsia="仿宋" w:cs="仿宋"/>
                <w:color w:val="auto"/>
                <w:szCs w:val="21"/>
                <w:highlight w:val="none"/>
              </w:rPr>
            </w:pPr>
          </w:p>
        </w:tc>
        <w:tc>
          <w:tcPr>
            <w:tcW w:w="761" w:type="dxa"/>
            <w:noWrap w:val="0"/>
            <w:vAlign w:val="top"/>
          </w:tcPr>
          <w:p w14:paraId="7D612DA5">
            <w:pPr>
              <w:spacing w:line="440" w:lineRule="exact"/>
              <w:jc w:val="left"/>
              <w:rPr>
                <w:rFonts w:hint="eastAsia" w:ascii="仿宋" w:hAnsi="仿宋" w:eastAsia="仿宋" w:cs="仿宋"/>
                <w:color w:val="auto"/>
                <w:szCs w:val="21"/>
                <w:highlight w:val="none"/>
              </w:rPr>
            </w:pPr>
          </w:p>
        </w:tc>
        <w:tc>
          <w:tcPr>
            <w:tcW w:w="990" w:type="dxa"/>
            <w:noWrap w:val="0"/>
            <w:vAlign w:val="top"/>
          </w:tcPr>
          <w:p w14:paraId="026C8112">
            <w:pPr>
              <w:spacing w:line="440" w:lineRule="exact"/>
              <w:jc w:val="left"/>
              <w:rPr>
                <w:rFonts w:hint="eastAsia" w:ascii="仿宋" w:hAnsi="仿宋" w:eastAsia="仿宋" w:cs="仿宋"/>
                <w:color w:val="auto"/>
                <w:szCs w:val="21"/>
                <w:highlight w:val="none"/>
              </w:rPr>
            </w:pPr>
          </w:p>
        </w:tc>
        <w:tc>
          <w:tcPr>
            <w:tcW w:w="672" w:type="dxa"/>
            <w:noWrap w:val="0"/>
            <w:vAlign w:val="top"/>
          </w:tcPr>
          <w:p w14:paraId="06BB97DE">
            <w:pPr>
              <w:spacing w:line="440" w:lineRule="exact"/>
              <w:jc w:val="left"/>
              <w:rPr>
                <w:rFonts w:hint="eastAsia" w:ascii="仿宋" w:hAnsi="仿宋" w:eastAsia="仿宋" w:cs="仿宋"/>
                <w:color w:val="auto"/>
                <w:szCs w:val="21"/>
                <w:highlight w:val="none"/>
              </w:rPr>
            </w:pPr>
          </w:p>
        </w:tc>
        <w:tc>
          <w:tcPr>
            <w:tcW w:w="738" w:type="dxa"/>
            <w:noWrap w:val="0"/>
            <w:vAlign w:val="top"/>
          </w:tcPr>
          <w:p w14:paraId="30B552E7">
            <w:pPr>
              <w:spacing w:line="440" w:lineRule="exact"/>
              <w:jc w:val="left"/>
              <w:rPr>
                <w:rFonts w:hint="eastAsia" w:ascii="仿宋" w:hAnsi="仿宋" w:eastAsia="仿宋" w:cs="仿宋"/>
                <w:color w:val="auto"/>
                <w:szCs w:val="21"/>
                <w:highlight w:val="none"/>
              </w:rPr>
            </w:pPr>
          </w:p>
        </w:tc>
        <w:tc>
          <w:tcPr>
            <w:tcW w:w="1212" w:type="dxa"/>
            <w:noWrap w:val="0"/>
            <w:vAlign w:val="top"/>
          </w:tcPr>
          <w:p w14:paraId="2ED67793">
            <w:pPr>
              <w:spacing w:line="440" w:lineRule="exact"/>
              <w:jc w:val="left"/>
              <w:rPr>
                <w:rFonts w:hint="eastAsia" w:ascii="仿宋" w:hAnsi="仿宋" w:eastAsia="仿宋" w:cs="仿宋"/>
                <w:color w:val="auto"/>
                <w:szCs w:val="21"/>
                <w:highlight w:val="none"/>
              </w:rPr>
            </w:pPr>
          </w:p>
        </w:tc>
        <w:tc>
          <w:tcPr>
            <w:tcW w:w="874" w:type="dxa"/>
            <w:noWrap w:val="0"/>
            <w:vAlign w:val="top"/>
          </w:tcPr>
          <w:p w14:paraId="24AC3E22">
            <w:pPr>
              <w:spacing w:line="440" w:lineRule="exact"/>
              <w:jc w:val="left"/>
              <w:rPr>
                <w:rFonts w:hint="eastAsia" w:ascii="仿宋" w:hAnsi="仿宋" w:eastAsia="仿宋" w:cs="仿宋"/>
                <w:color w:val="auto"/>
                <w:szCs w:val="21"/>
                <w:highlight w:val="none"/>
              </w:rPr>
            </w:pPr>
          </w:p>
        </w:tc>
        <w:tc>
          <w:tcPr>
            <w:tcW w:w="1055" w:type="dxa"/>
            <w:noWrap w:val="0"/>
            <w:vAlign w:val="top"/>
          </w:tcPr>
          <w:p w14:paraId="2C272D5C">
            <w:pPr>
              <w:spacing w:line="440" w:lineRule="exact"/>
              <w:jc w:val="left"/>
              <w:rPr>
                <w:rFonts w:hint="eastAsia" w:ascii="仿宋" w:hAnsi="仿宋" w:eastAsia="仿宋" w:cs="仿宋"/>
                <w:color w:val="auto"/>
                <w:szCs w:val="21"/>
                <w:highlight w:val="none"/>
              </w:rPr>
            </w:pPr>
          </w:p>
        </w:tc>
        <w:tc>
          <w:tcPr>
            <w:tcW w:w="691" w:type="dxa"/>
            <w:noWrap w:val="0"/>
            <w:vAlign w:val="top"/>
          </w:tcPr>
          <w:p w14:paraId="1E61D707">
            <w:pPr>
              <w:spacing w:line="440" w:lineRule="exact"/>
              <w:jc w:val="left"/>
              <w:rPr>
                <w:rFonts w:hint="eastAsia" w:ascii="仿宋" w:hAnsi="仿宋" w:eastAsia="仿宋" w:cs="仿宋"/>
                <w:color w:val="auto"/>
                <w:szCs w:val="21"/>
                <w:highlight w:val="none"/>
              </w:rPr>
            </w:pPr>
          </w:p>
        </w:tc>
      </w:tr>
      <w:tr w14:paraId="06EBBF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5" w:type="dxa"/>
            <w:noWrap w:val="0"/>
            <w:vAlign w:val="top"/>
          </w:tcPr>
          <w:p w14:paraId="30BCA0D8">
            <w:pPr>
              <w:spacing w:line="440" w:lineRule="exact"/>
              <w:jc w:val="left"/>
              <w:rPr>
                <w:rFonts w:hint="eastAsia" w:ascii="仿宋" w:hAnsi="仿宋" w:eastAsia="仿宋" w:cs="仿宋"/>
                <w:color w:val="auto"/>
                <w:szCs w:val="21"/>
                <w:highlight w:val="none"/>
              </w:rPr>
            </w:pPr>
          </w:p>
        </w:tc>
        <w:tc>
          <w:tcPr>
            <w:tcW w:w="1086" w:type="dxa"/>
            <w:noWrap w:val="0"/>
            <w:vAlign w:val="top"/>
          </w:tcPr>
          <w:p w14:paraId="1BDBB3BC">
            <w:pPr>
              <w:spacing w:line="440" w:lineRule="exact"/>
              <w:jc w:val="left"/>
              <w:rPr>
                <w:rFonts w:hint="eastAsia" w:ascii="仿宋" w:hAnsi="仿宋" w:eastAsia="仿宋" w:cs="仿宋"/>
                <w:color w:val="auto"/>
                <w:szCs w:val="21"/>
                <w:highlight w:val="none"/>
              </w:rPr>
            </w:pPr>
          </w:p>
        </w:tc>
        <w:tc>
          <w:tcPr>
            <w:tcW w:w="761" w:type="dxa"/>
            <w:noWrap w:val="0"/>
            <w:vAlign w:val="top"/>
          </w:tcPr>
          <w:p w14:paraId="097E6FCA">
            <w:pPr>
              <w:spacing w:line="440" w:lineRule="exact"/>
              <w:jc w:val="left"/>
              <w:rPr>
                <w:rFonts w:hint="eastAsia" w:ascii="仿宋" w:hAnsi="仿宋" w:eastAsia="仿宋" w:cs="仿宋"/>
                <w:color w:val="auto"/>
                <w:szCs w:val="21"/>
                <w:highlight w:val="none"/>
              </w:rPr>
            </w:pPr>
          </w:p>
        </w:tc>
        <w:tc>
          <w:tcPr>
            <w:tcW w:w="990" w:type="dxa"/>
            <w:noWrap w:val="0"/>
            <w:vAlign w:val="top"/>
          </w:tcPr>
          <w:p w14:paraId="03357B41">
            <w:pPr>
              <w:spacing w:line="440" w:lineRule="exact"/>
              <w:jc w:val="left"/>
              <w:rPr>
                <w:rFonts w:hint="eastAsia" w:ascii="仿宋" w:hAnsi="仿宋" w:eastAsia="仿宋" w:cs="仿宋"/>
                <w:color w:val="auto"/>
                <w:szCs w:val="21"/>
                <w:highlight w:val="none"/>
              </w:rPr>
            </w:pPr>
          </w:p>
        </w:tc>
        <w:tc>
          <w:tcPr>
            <w:tcW w:w="672" w:type="dxa"/>
            <w:noWrap w:val="0"/>
            <w:vAlign w:val="top"/>
          </w:tcPr>
          <w:p w14:paraId="0B8A4499">
            <w:pPr>
              <w:spacing w:line="440" w:lineRule="exact"/>
              <w:jc w:val="left"/>
              <w:rPr>
                <w:rFonts w:hint="eastAsia" w:ascii="仿宋" w:hAnsi="仿宋" w:eastAsia="仿宋" w:cs="仿宋"/>
                <w:color w:val="auto"/>
                <w:szCs w:val="21"/>
                <w:highlight w:val="none"/>
              </w:rPr>
            </w:pPr>
          </w:p>
        </w:tc>
        <w:tc>
          <w:tcPr>
            <w:tcW w:w="738" w:type="dxa"/>
            <w:noWrap w:val="0"/>
            <w:vAlign w:val="top"/>
          </w:tcPr>
          <w:p w14:paraId="3AA765C5">
            <w:pPr>
              <w:spacing w:line="440" w:lineRule="exact"/>
              <w:jc w:val="left"/>
              <w:rPr>
                <w:rFonts w:hint="eastAsia" w:ascii="仿宋" w:hAnsi="仿宋" w:eastAsia="仿宋" w:cs="仿宋"/>
                <w:color w:val="auto"/>
                <w:szCs w:val="21"/>
                <w:highlight w:val="none"/>
              </w:rPr>
            </w:pPr>
          </w:p>
        </w:tc>
        <w:tc>
          <w:tcPr>
            <w:tcW w:w="1212" w:type="dxa"/>
            <w:noWrap w:val="0"/>
            <w:vAlign w:val="top"/>
          </w:tcPr>
          <w:p w14:paraId="16442C18">
            <w:pPr>
              <w:spacing w:line="440" w:lineRule="exact"/>
              <w:jc w:val="left"/>
              <w:rPr>
                <w:rFonts w:hint="eastAsia" w:ascii="仿宋" w:hAnsi="仿宋" w:eastAsia="仿宋" w:cs="仿宋"/>
                <w:color w:val="auto"/>
                <w:szCs w:val="21"/>
                <w:highlight w:val="none"/>
              </w:rPr>
            </w:pPr>
          </w:p>
        </w:tc>
        <w:tc>
          <w:tcPr>
            <w:tcW w:w="874" w:type="dxa"/>
            <w:noWrap w:val="0"/>
            <w:vAlign w:val="top"/>
          </w:tcPr>
          <w:p w14:paraId="0FEA463C">
            <w:pPr>
              <w:spacing w:line="440" w:lineRule="exact"/>
              <w:jc w:val="left"/>
              <w:rPr>
                <w:rFonts w:hint="eastAsia" w:ascii="仿宋" w:hAnsi="仿宋" w:eastAsia="仿宋" w:cs="仿宋"/>
                <w:color w:val="auto"/>
                <w:szCs w:val="21"/>
                <w:highlight w:val="none"/>
              </w:rPr>
            </w:pPr>
          </w:p>
        </w:tc>
        <w:tc>
          <w:tcPr>
            <w:tcW w:w="1055" w:type="dxa"/>
            <w:noWrap w:val="0"/>
            <w:vAlign w:val="top"/>
          </w:tcPr>
          <w:p w14:paraId="071C4346">
            <w:pPr>
              <w:spacing w:line="440" w:lineRule="exact"/>
              <w:jc w:val="left"/>
              <w:rPr>
                <w:rFonts w:hint="eastAsia" w:ascii="仿宋" w:hAnsi="仿宋" w:eastAsia="仿宋" w:cs="仿宋"/>
                <w:color w:val="auto"/>
                <w:szCs w:val="21"/>
                <w:highlight w:val="none"/>
              </w:rPr>
            </w:pPr>
          </w:p>
        </w:tc>
        <w:tc>
          <w:tcPr>
            <w:tcW w:w="691" w:type="dxa"/>
            <w:noWrap w:val="0"/>
            <w:vAlign w:val="top"/>
          </w:tcPr>
          <w:p w14:paraId="052CF6B0">
            <w:pPr>
              <w:spacing w:line="440" w:lineRule="exact"/>
              <w:jc w:val="left"/>
              <w:rPr>
                <w:rFonts w:hint="eastAsia" w:ascii="仿宋" w:hAnsi="仿宋" w:eastAsia="仿宋" w:cs="仿宋"/>
                <w:color w:val="auto"/>
                <w:szCs w:val="21"/>
                <w:highlight w:val="none"/>
              </w:rPr>
            </w:pPr>
          </w:p>
        </w:tc>
      </w:tr>
      <w:tr w14:paraId="47384C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5" w:type="dxa"/>
            <w:noWrap w:val="0"/>
            <w:vAlign w:val="top"/>
          </w:tcPr>
          <w:p w14:paraId="4291BF88">
            <w:pPr>
              <w:spacing w:line="440" w:lineRule="exact"/>
              <w:jc w:val="left"/>
              <w:rPr>
                <w:rFonts w:hint="eastAsia" w:ascii="仿宋" w:hAnsi="仿宋" w:eastAsia="仿宋" w:cs="仿宋"/>
                <w:color w:val="auto"/>
                <w:szCs w:val="21"/>
                <w:highlight w:val="none"/>
              </w:rPr>
            </w:pPr>
          </w:p>
        </w:tc>
        <w:tc>
          <w:tcPr>
            <w:tcW w:w="1086" w:type="dxa"/>
            <w:noWrap w:val="0"/>
            <w:vAlign w:val="top"/>
          </w:tcPr>
          <w:p w14:paraId="0EFE692A">
            <w:pPr>
              <w:spacing w:line="440" w:lineRule="exact"/>
              <w:jc w:val="left"/>
              <w:rPr>
                <w:rFonts w:hint="eastAsia" w:ascii="仿宋" w:hAnsi="仿宋" w:eastAsia="仿宋" w:cs="仿宋"/>
                <w:color w:val="auto"/>
                <w:szCs w:val="21"/>
                <w:highlight w:val="none"/>
              </w:rPr>
            </w:pPr>
          </w:p>
        </w:tc>
        <w:tc>
          <w:tcPr>
            <w:tcW w:w="761" w:type="dxa"/>
            <w:noWrap w:val="0"/>
            <w:vAlign w:val="top"/>
          </w:tcPr>
          <w:p w14:paraId="33CA0D55">
            <w:pPr>
              <w:spacing w:line="440" w:lineRule="exact"/>
              <w:jc w:val="left"/>
              <w:rPr>
                <w:rFonts w:hint="eastAsia" w:ascii="仿宋" w:hAnsi="仿宋" w:eastAsia="仿宋" w:cs="仿宋"/>
                <w:color w:val="auto"/>
                <w:szCs w:val="21"/>
                <w:highlight w:val="none"/>
              </w:rPr>
            </w:pPr>
          </w:p>
        </w:tc>
        <w:tc>
          <w:tcPr>
            <w:tcW w:w="990" w:type="dxa"/>
            <w:noWrap w:val="0"/>
            <w:vAlign w:val="top"/>
          </w:tcPr>
          <w:p w14:paraId="5FFD511B">
            <w:pPr>
              <w:spacing w:line="440" w:lineRule="exact"/>
              <w:jc w:val="left"/>
              <w:rPr>
                <w:rFonts w:hint="eastAsia" w:ascii="仿宋" w:hAnsi="仿宋" w:eastAsia="仿宋" w:cs="仿宋"/>
                <w:color w:val="auto"/>
                <w:szCs w:val="21"/>
                <w:highlight w:val="none"/>
              </w:rPr>
            </w:pPr>
          </w:p>
        </w:tc>
        <w:tc>
          <w:tcPr>
            <w:tcW w:w="672" w:type="dxa"/>
            <w:noWrap w:val="0"/>
            <w:vAlign w:val="top"/>
          </w:tcPr>
          <w:p w14:paraId="0A60452C">
            <w:pPr>
              <w:spacing w:line="440" w:lineRule="exact"/>
              <w:jc w:val="left"/>
              <w:rPr>
                <w:rFonts w:hint="eastAsia" w:ascii="仿宋" w:hAnsi="仿宋" w:eastAsia="仿宋" w:cs="仿宋"/>
                <w:color w:val="auto"/>
                <w:szCs w:val="21"/>
                <w:highlight w:val="none"/>
              </w:rPr>
            </w:pPr>
          </w:p>
        </w:tc>
        <w:tc>
          <w:tcPr>
            <w:tcW w:w="738" w:type="dxa"/>
            <w:noWrap w:val="0"/>
            <w:vAlign w:val="top"/>
          </w:tcPr>
          <w:p w14:paraId="7833BDE8">
            <w:pPr>
              <w:spacing w:line="440" w:lineRule="exact"/>
              <w:jc w:val="left"/>
              <w:rPr>
                <w:rFonts w:hint="eastAsia" w:ascii="仿宋" w:hAnsi="仿宋" w:eastAsia="仿宋" w:cs="仿宋"/>
                <w:color w:val="auto"/>
                <w:szCs w:val="21"/>
                <w:highlight w:val="none"/>
              </w:rPr>
            </w:pPr>
          </w:p>
        </w:tc>
        <w:tc>
          <w:tcPr>
            <w:tcW w:w="1212" w:type="dxa"/>
            <w:noWrap w:val="0"/>
            <w:vAlign w:val="top"/>
          </w:tcPr>
          <w:p w14:paraId="0EF852B2">
            <w:pPr>
              <w:spacing w:line="440" w:lineRule="exact"/>
              <w:jc w:val="left"/>
              <w:rPr>
                <w:rFonts w:hint="eastAsia" w:ascii="仿宋" w:hAnsi="仿宋" w:eastAsia="仿宋" w:cs="仿宋"/>
                <w:color w:val="auto"/>
                <w:szCs w:val="21"/>
                <w:highlight w:val="none"/>
              </w:rPr>
            </w:pPr>
          </w:p>
        </w:tc>
        <w:tc>
          <w:tcPr>
            <w:tcW w:w="874" w:type="dxa"/>
            <w:noWrap w:val="0"/>
            <w:vAlign w:val="top"/>
          </w:tcPr>
          <w:p w14:paraId="56E352B0">
            <w:pPr>
              <w:spacing w:line="440" w:lineRule="exact"/>
              <w:jc w:val="left"/>
              <w:rPr>
                <w:rFonts w:hint="eastAsia" w:ascii="仿宋" w:hAnsi="仿宋" w:eastAsia="仿宋" w:cs="仿宋"/>
                <w:color w:val="auto"/>
                <w:szCs w:val="21"/>
                <w:highlight w:val="none"/>
              </w:rPr>
            </w:pPr>
          </w:p>
        </w:tc>
        <w:tc>
          <w:tcPr>
            <w:tcW w:w="1055" w:type="dxa"/>
            <w:noWrap w:val="0"/>
            <w:vAlign w:val="top"/>
          </w:tcPr>
          <w:p w14:paraId="2495070D">
            <w:pPr>
              <w:spacing w:line="440" w:lineRule="exact"/>
              <w:jc w:val="left"/>
              <w:rPr>
                <w:rFonts w:hint="eastAsia" w:ascii="仿宋" w:hAnsi="仿宋" w:eastAsia="仿宋" w:cs="仿宋"/>
                <w:color w:val="auto"/>
                <w:szCs w:val="21"/>
                <w:highlight w:val="none"/>
              </w:rPr>
            </w:pPr>
          </w:p>
        </w:tc>
        <w:tc>
          <w:tcPr>
            <w:tcW w:w="691" w:type="dxa"/>
            <w:noWrap w:val="0"/>
            <w:vAlign w:val="top"/>
          </w:tcPr>
          <w:p w14:paraId="534D5DC0">
            <w:pPr>
              <w:spacing w:line="440" w:lineRule="exact"/>
              <w:jc w:val="left"/>
              <w:rPr>
                <w:rFonts w:hint="eastAsia" w:ascii="仿宋" w:hAnsi="仿宋" w:eastAsia="仿宋" w:cs="仿宋"/>
                <w:color w:val="auto"/>
                <w:szCs w:val="21"/>
                <w:highlight w:val="none"/>
              </w:rPr>
            </w:pPr>
          </w:p>
        </w:tc>
      </w:tr>
      <w:tr w14:paraId="0AC1DB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5" w:type="dxa"/>
            <w:noWrap w:val="0"/>
            <w:vAlign w:val="top"/>
          </w:tcPr>
          <w:p w14:paraId="6CBDA862">
            <w:pPr>
              <w:spacing w:line="440" w:lineRule="exact"/>
              <w:jc w:val="left"/>
              <w:rPr>
                <w:rFonts w:hint="eastAsia" w:ascii="仿宋" w:hAnsi="仿宋" w:eastAsia="仿宋" w:cs="仿宋"/>
                <w:color w:val="auto"/>
                <w:szCs w:val="21"/>
                <w:highlight w:val="none"/>
              </w:rPr>
            </w:pPr>
          </w:p>
        </w:tc>
        <w:tc>
          <w:tcPr>
            <w:tcW w:w="1086" w:type="dxa"/>
            <w:noWrap w:val="0"/>
            <w:vAlign w:val="top"/>
          </w:tcPr>
          <w:p w14:paraId="058A8BAF">
            <w:pPr>
              <w:spacing w:line="440" w:lineRule="exact"/>
              <w:jc w:val="left"/>
              <w:rPr>
                <w:rFonts w:hint="eastAsia" w:ascii="仿宋" w:hAnsi="仿宋" w:eastAsia="仿宋" w:cs="仿宋"/>
                <w:color w:val="auto"/>
                <w:szCs w:val="21"/>
                <w:highlight w:val="none"/>
              </w:rPr>
            </w:pPr>
          </w:p>
        </w:tc>
        <w:tc>
          <w:tcPr>
            <w:tcW w:w="761" w:type="dxa"/>
            <w:noWrap w:val="0"/>
            <w:vAlign w:val="top"/>
          </w:tcPr>
          <w:p w14:paraId="69EA0C25">
            <w:pPr>
              <w:spacing w:line="440" w:lineRule="exact"/>
              <w:jc w:val="left"/>
              <w:rPr>
                <w:rFonts w:hint="eastAsia" w:ascii="仿宋" w:hAnsi="仿宋" w:eastAsia="仿宋" w:cs="仿宋"/>
                <w:color w:val="auto"/>
                <w:szCs w:val="21"/>
                <w:highlight w:val="none"/>
              </w:rPr>
            </w:pPr>
          </w:p>
        </w:tc>
        <w:tc>
          <w:tcPr>
            <w:tcW w:w="990" w:type="dxa"/>
            <w:noWrap w:val="0"/>
            <w:vAlign w:val="top"/>
          </w:tcPr>
          <w:p w14:paraId="225DB66F">
            <w:pPr>
              <w:spacing w:line="440" w:lineRule="exact"/>
              <w:jc w:val="left"/>
              <w:rPr>
                <w:rFonts w:hint="eastAsia" w:ascii="仿宋" w:hAnsi="仿宋" w:eastAsia="仿宋" w:cs="仿宋"/>
                <w:color w:val="auto"/>
                <w:szCs w:val="21"/>
                <w:highlight w:val="none"/>
              </w:rPr>
            </w:pPr>
          </w:p>
        </w:tc>
        <w:tc>
          <w:tcPr>
            <w:tcW w:w="672" w:type="dxa"/>
            <w:noWrap w:val="0"/>
            <w:vAlign w:val="top"/>
          </w:tcPr>
          <w:p w14:paraId="7EB9879C">
            <w:pPr>
              <w:spacing w:line="440" w:lineRule="exact"/>
              <w:jc w:val="left"/>
              <w:rPr>
                <w:rFonts w:hint="eastAsia" w:ascii="仿宋" w:hAnsi="仿宋" w:eastAsia="仿宋" w:cs="仿宋"/>
                <w:color w:val="auto"/>
                <w:szCs w:val="21"/>
                <w:highlight w:val="none"/>
              </w:rPr>
            </w:pPr>
          </w:p>
        </w:tc>
        <w:tc>
          <w:tcPr>
            <w:tcW w:w="738" w:type="dxa"/>
            <w:noWrap w:val="0"/>
            <w:vAlign w:val="top"/>
          </w:tcPr>
          <w:p w14:paraId="1EA989EA">
            <w:pPr>
              <w:spacing w:line="440" w:lineRule="exact"/>
              <w:jc w:val="left"/>
              <w:rPr>
                <w:rFonts w:hint="eastAsia" w:ascii="仿宋" w:hAnsi="仿宋" w:eastAsia="仿宋" w:cs="仿宋"/>
                <w:color w:val="auto"/>
                <w:szCs w:val="21"/>
                <w:highlight w:val="none"/>
              </w:rPr>
            </w:pPr>
          </w:p>
        </w:tc>
        <w:tc>
          <w:tcPr>
            <w:tcW w:w="1212" w:type="dxa"/>
            <w:noWrap w:val="0"/>
            <w:vAlign w:val="top"/>
          </w:tcPr>
          <w:p w14:paraId="2A021DFF">
            <w:pPr>
              <w:spacing w:line="440" w:lineRule="exact"/>
              <w:jc w:val="left"/>
              <w:rPr>
                <w:rFonts w:hint="eastAsia" w:ascii="仿宋" w:hAnsi="仿宋" w:eastAsia="仿宋" w:cs="仿宋"/>
                <w:color w:val="auto"/>
                <w:szCs w:val="21"/>
                <w:highlight w:val="none"/>
              </w:rPr>
            </w:pPr>
          </w:p>
        </w:tc>
        <w:tc>
          <w:tcPr>
            <w:tcW w:w="874" w:type="dxa"/>
            <w:noWrap w:val="0"/>
            <w:vAlign w:val="top"/>
          </w:tcPr>
          <w:p w14:paraId="5FEBCE6D">
            <w:pPr>
              <w:spacing w:line="440" w:lineRule="exact"/>
              <w:jc w:val="left"/>
              <w:rPr>
                <w:rFonts w:hint="eastAsia" w:ascii="仿宋" w:hAnsi="仿宋" w:eastAsia="仿宋" w:cs="仿宋"/>
                <w:color w:val="auto"/>
                <w:szCs w:val="21"/>
                <w:highlight w:val="none"/>
              </w:rPr>
            </w:pPr>
          </w:p>
        </w:tc>
        <w:tc>
          <w:tcPr>
            <w:tcW w:w="1055" w:type="dxa"/>
            <w:noWrap w:val="0"/>
            <w:vAlign w:val="top"/>
          </w:tcPr>
          <w:p w14:paraId="62268192">
            <w:pPr>
              <w:spacing w:line="440" w:lineRule="exact"/>
              <w:jc w:val="left"/>
              <w:rPr>
                <w:rFonts w:hint="eastAsia" w:ascii="仿宋" w:hAnsi="仿宋" w:eastAsia="仿宋" w:cs="仿宋"/>
                <w:color w:val="auto"/>
                <w:szCs w:val="21"/>
                <w:highlight w:val="none"/>
              </w:rPr>
            </w:pPr>
          </w:p>
        </w:tc>
        <w:tc>
          <w:tcPr>
            <w:tcW w:w="691" w:type="dxa"/>
            <w:noWrap w:val="0"/>
            <w:vAlign w:val="top"/>
          </w:tcPr>
          <w:p w14:paraId="2ACFB213">
            <w:pPr>
              <w:spacing w:line="440" w:lineRule="exact"/>
              <w:jc w:val="left"/>
              <w:rPr>
                <w:rFonts w:hint="eastAsia" w:ascii="仿宋" w:hAnsi="仿宋" w:eastAsia="仿宋" w:cs="仿宋"/>
                <w:color w:val="auto"/>
                <w:szCs w:val="21"/>
                <w:highlight w:val="none"/>
              </w:rPr>
            </w:pPr>
          </w:p>
        </w:tc>
      </w:tr>
      <w:tr w14:paraId="5A8C9D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5" w:type="dxa"/>
            <w:noWrap w:val="0"/>
            <w:vAlign w:val="top"/>
          </w:tcPr>
          <w:p w14:paraId="012BA4F3">
            <w:pPr>
              <w:spacing w:line="440" w:lineRule="exact"/>
              <w:jc w:val="left"/>
              <w:rPr>
                <w:rFonts w:hint="eastAsia" w:ascii="仿宋" w:hAnsi="仿宋" w:eastAsia="仿宋" w:cs="仿宋"/>
                <w:color w:val="auto"/>
                <w:szCs w:val="21"/>
                <w:highlight w:val="none"/>
              </w:rPr>
            </w:pPr>
          </w:p>
        </w:tc>
        <w:tc>
          <w:tcPr>
            <w:tcW w:w="1086" w:type="dxa"/>
            <w:noWrap w:val="0"/>
            <w:vAlign w:val="top"/>
          </w:tcPr>
          <w:p w14:paraId="2A77D21D">
            <w:pPr>
              <w:spacing w:line="440" w:lineRule="exact"/>
              <w:jc w:val="left"/>
              <w:rPr>
                <w:rFonts w:hint="eastAsia" w:ascii="仿宋" w:hAnsi="仿宋" w:eastAsia="仿宋" w:cs="仿宋"/>
                <w:color w:val="auto"/>
                <w:szCs w:val="21"/>
                <w:highlight w:val="none"/>
              </w:rPr>
            </w:pPr>
          </w:p>
        </w:tc>
        <w:tc>
          <w:tcPr>
            <w:tcW w:w="761" w:type="dxa"/>
            <w:noWrap w:val="0"/>
            <w:vAlign w:val="top"/>
          </w:tcPr>
          <w:p w14:paraId="119B1BC4">
            <w:pPr>
              <w:spacing w:line="440" w:lineRule="exact"/>
              <w:jc w:val="left"/>
              <w:rPr>
                <w:rFonts w:hint="eastAsia" w:ascii="仿宋" w:hAnsi="仿宋" w:eastAsia="仿宋" w:cs="仿宋"/>
                <w:color w:val="auto"/>
                <w:szCs w:val="21"/>
                <w:highlight w:val="none"/>
              </w:rPr>
            </w:pPr>
          </w:p>
        </w:tc>
        <w:tc>
          <w:tcPr>
            <w:tcW w:w="990" w:type="dxa"/>
            <w:noWrap w:val="0"/>
            <w:vAlign w:val="top"/>
          </w:tcPr>
          <w:p w14:paraId="63989881">
            <w:pPr>
              <w:spacing w:line="440" w:lineRule="exact"/>
              <w:jc w:val="left"/>
              <w:rPr>
                <w:rFonts w:hint="eastAsia" w:ascii="仿宋" w:hAnsi="仿宋" w:eastAsia="仿宋" w:cs="仿宋"/>
                <w:color w:val="auto"/>
                <w:szCs w:val="21"/>
                <w:highlight w:val="none"/>
              </w:rPr>
            </w:pPr>
          </w:p>
        </w:tc>
        <w:tc>
          <w:tcPr>
            <w:tcW w:w="672" w:type="dxa"/>
            <w:noWrap w:val="0"/>
            <w:vAlign w:val="top"/>
          </w:tcPr>
          <w:p w14:paraId="4DAFE839">
            <w:pPr>
              <w:spacing w:line="440" w:lineRule="exact"/>
              <w:jc w:val="left"/>
              <w:rPr>
                <w:rFonts w:hint="eastAsia" w:ascii="仿宋" w:hAnsi="仿宋" w:eastAsia="仿宋" w:cs="仿宋"/>
                <w:color w:val="auto"/>
                <w:szCs w:val="21"/>
                <w:highlight w:val="none"/>
              </w:rPr>
            </w:pPr>
          </w:p>
        </w:tc>
        <w:tc>
          <w:tcPr>
            <w:tcW w:w="738" w:type="dxa"/>
            <w:noWrap w:val="0"/>
            <w:vAlign w:val="top"/>
          </w:tcPr>
          <w:p w14:paraId="659D9726">
            <w:pPr>
              <w:spacing w:line="440" w:lineRule="exact"/>
              <w:jc w:val="left"/>
              <w:rPr>
                <w:rFonts w:hint="eastAsia" w:ascii="仿宋" w:hAnsi="仿宋" w:eastAsia="仿宋" w:cs="仿宋"/>
                <w:color w:val="auto"/>
                <w:szCs w:val="21"/>
                <w:highlight w:val="none"/>
              </w:rPr>
            </w:pPr>
          </w:p>
        </w:tc>
        <w:tc>
          <w:tcPr>
            <w:tcW w:w="1212" w:type="dxa"/>
            <w:noWrap w:val="0"/>
            <w:vAlign w:val="top"/>
          </w:tcPr>
          <w:p w14:paraId="7349262B">
            <w:pPr>
              <w:spacing w:line="440" w:lineRule="exact"/>
              <w:jc w:val="left"/>
              <w:rPr>
                <w:rFonts w:hint="eastAsia" w:ascii="仿宋" w:hAnsi="仿宋" w:eastAsia="仿宋" w:cs="仿宋"/>
                <w:color w:val="auto"/>
                <w:szCs w:val="21"/>
                <w:highlight w:val="none"/>
              </w:rPr>
            </w:pPr>
          </w:p>
        </w:tc>
        <w:tc>
          <w:tcPr>
            <w:tcW w:w="874" w:type="dxa"/>
            <w:noWrap w:val="0"/>
            <w:vAlign w:val="top"/>
          </w:tcPr>
          <w:p w14:paraId="7F726CE8">
            <w:pPr>
              <w:spacing w:line="440" w:lineRule="exact"/>
              <w:jc w:val="left"/>
              <w:rPr>
                <w:rFonts w:hint="eastAsia" w:ascii="仿宋" w:hAnsi="仿宋" w:eastAsia="仿宋" w:cs="仿宋"/>
                <w:color w:val="auto"/>
                <w:szCs w:val="21"/>
                <w:highlight w:val="none"/>
              </w:rPr>
            </w:pPr>
          </w:p>
        </w:tc>
        <w:tc>
          <w:tcPr>
            <w:tcW w:w="1055" w:type="dxa"/>
            <w:noWrap w:val="0"/>
            <w:vAlign w:val="top"/>
          </w:tcPr>
          <w:p w14:paraId="51980B6D">
            <w:pPr>
              <w:spacing w:line="440" w:lineRule="exact"/>
              <w:jc w:val="left"/>
              <w:rPr>
                <w:rFonts w:hint="eastAsia" w:ascii="仿宋" w:hAnsi="仿宋" w:eastAsia="仿宋" w:cs="仿宋"/>
                <w:color w:val="auto"/>
                <w:szCs w:val="21"/>
                <w:highlight w:val="none"/>
              </w:rPr>
            </w:pPr>
          </w:p>
        </w:tc>
        <w:tc>
          <w:tcPr>
            <w:tcW w:w="691" w:type="dxa"/>
            <w:noWrap w:val="0"/>
            <w:vAlign w:val="top"/>
          </w:tcPr>
          <w:p w14:paraId="43BD10D5">
            <w:pPr>
              <w:spacing w:line="440" w:lineRule="exact"/>
              <w:jc w:val="left"/>
              <w:rPr>
                <w:rFonts w:hint="eastAsia" w:ascii="仿宋" w:hAnsi="仿宋" w:eastAsia="仿宋" w:cs="仿宋"/>
                <w:color w:val="auto"/>
                <w:szCs w:val="21"/>
                <w:highlight w:val="none"/>
              </w:rPr>
            </w:pPr>
          </w:p>
        </w:tc>
      </w:tr>
      <w:tr w14:paraId="2CECC5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5" w:type="dxa"/>
            <w:noWrap w:val="0"/>
            <w:vAlign w:val="top"/>
          </w:tcPr>
          <w:p w14:paraId="60D97906">
            <w:pPr>
              <w:spacing w:line="440" w:lineRule="exact"/>
              <w:jc w:val="left"/>
              <w:rPr>
                <w:rFonts w:hint="eastAsia" w:ascii="仿宋" w:hAnsi="仿宋" w:eastAsia="仿宋" w:cs="仿宋"/>
                <w:color w:val="auto"/>
                <w:szCs w:val="21"/>
                <w:highlight w:val="none"/>
              </w:rPr>
            </w:pPr>
          </w:p>
        </w:tc>
        <w:tc>
          <w:tcPr>
            <w:tcW w:w="1086" w:type="dxa"/>
            <w:noWrap w:val="0"/>
            <w:vAlign w:val="top"/>
          </w:tcPr>
          <w:p w14:paraId="3419B427">
            <w:pPr>
              <w:spacing w:line="440" w:lineRule="exact"/>
              <w:jc w:val="left"/>
              <w:rPr>
                <w:rFonts w:hint="eastAsia" w:ascii="仿宋" w:hAnsi="仿宋" w:eastAsia="仿宋" w:cs="仿宋"/>
                <w:color w:val="auto"/>
                <w:szCs w:val="21"/>
                <w:highlight w:val="none"/>
              </w:rPr>
            </w:pPr>
          </w:p>
        </w:tc>
        <w:tc>
          <w:tcPr>
            <w:tcW w:w="761" w:type="dxa"/>
            <w:noWrap w:val="0"/>
            <w:vAlign w:val="top"/>
          </w:tcPr>
          <w:p w14:paraId="0147B629">
            <w:pPr>
              <w:spacing w:line="440" w:lineRule="exact"/>
              <w:jc w:val="left"/>
              <w:rPr>
                <w:rFonts w:hint="eastAsia" w:ascii="仿宋" w:hAnsi="仿宋" w:eastAsia="仿宋" w:cs="仿宋"/>
                <w:color w:val="auto"/>
                <w:szCs w:val="21"/>
                <w:highlight w:val="none"/>
              </w:rPr>
            </w:pPr>
          </w:p>
        </w:tc>
        <w:tc>
          <w:tcPr>
            <w:tcW w:w="990" w:type="dxa"/>
            <w:noWrap w:val="0"/>
            <w:vAlign w:val="top"/>
          </w:tcPr>
          <w:p w14:paraId="7CFA28C2">
            <w:pPr>
              <w:spacing w:line="440" w:lineRule="exact"/>
              <w:jc w:val="left"/>
              <w:rPr>
                <w:rFonts w:hint="eastAsia" w:ascii="仿宋" w:hAnsi="仿宋" w:eastAsia="仿宋" w:cs="仿宋"/>
                <w:color w:val="auto"/>
                <w:szCs w:val="21"/>
                <w:highlight w:val="none"/>
              </w:rPr>
            </w:pPr>
          </w:p>
        </w:tc>
        <w:tc>
          <w:tcPr>
            <w:tcW w:w="672" w:type="dxa"/>
            <w:noWrap w:val="0"/>
            <w:vAlign w:val="top"/>
          </w:tcPr>
          <w:p w14:paraId="141504DE">
            <w:pPr>
              <w:spacing w:line="440" w:lineRule="exact"/>
              <w:jc w:val="left"/>
              <w:rPr>
                <w:rFonts w:hint="eastAsia" w:ascii="仿宋" w:hAnsi="仿宋" w:eastAsia="仿宋" w:cs="仿宋"/>
                <w:color w:val="auto"/>
                <w:szCs w:val="21"/>
                <w:highlight w:val="none"/>
              </w:rPr>
            </w:pPr>
          </w:p>
        </w:tc>
        <w:tc>
          <w:tcPr>
            <w:tcW w:w="738" w:type="dxa"/>
            <w:noWrap w:val="0"/>
            <w:vAlign w:val="top"/>
          </w:tcPr>
          <w:p w14:paraId="23A78022">
            <w:pPr>
              <w:spacing w:line="440" w:lineRule="exact"/>
              <w:jc w:val="left"/>
              <w:rPr>
                <w:rFonts w:hint="eastAsia" w:ascii="仿宋" w:hAnsi="仿宋" w:eastAsia="仿宋" w:cs="仿宋"/>
                <w:color w:val="auto"/>
                <w:szCs w:val="21"/>
                <w:highlight w:val="none"/>
              </w:rPr>
            </w:pPr>
          </w:p>
        </w:tc>
        <w:tc>
          <w:tcPr>
            <w:tcW w:w="1212" w:type="dxa"/>
            <w:noWrap w:val="0"/>
            <w:vAlign w:val="top"/>
          </w:tcPr>
          <w:p w14:paraId="2A2E407D">
            <w:pPr>
              <w:spacing w:line="440" w:lineRule="exact"/>
              <w:jc w:val="left"/>
              <w:rPr>
                <w:rFonts w:hint="eastAsia" w:ascii="仿宋" w:hAnsi="仿宋" w:eastAsia="仿宋" w:cs="仿宋"/>
                <w:color w:val="auto"/>
                <w:szCs w:val="21"/>
                <w:highlight w:val="none"/>
              </w:rPr>
            </w:pPr>
          </w:p>
        </w:tc>
        <w:tc>
          <w:tcPr>
            <w:tcW w:w="874" w:type="dxa"/>
            <w:noWrap w:val="0"/>
            <w:vAlign w:val="top"/>
          </w:tcPr>
          <w:p w14:paraId="2D549E58">
            <w:pPr>
              <w:spacing w:line="440" w:lineRule="exact"/>
              <w:jc w:val="left"/>
              <w:rPr>
                <w:rFonts w:hint="eastAsia" w:ascii="仿宋" w:hAnsi="仿宋" w:eastAsia="仿宋" w:cs="仿宋"/>
                <w:color w:val="auto"/>
                <w:szCs w:val="21"/>
                <w:highlight w:val="none"/>
              </w:rPr>
            </w:pPr>
          </w:p>
        </w:tc>
        <w:tc>
          <w:tcPr>
            <w:tcW w:w="1055" w:type="dxa"/>
            <w:noWrap w:val="0"/>
            <w:vAlign w:val="top"/>
          </w:tcPr>
          <w:p w14:paraId="30F3450E">
            <w:pPr>
              <w:spacing w:line="440" w:lineRule="exact"/>
              <w:jc w:val="left"/>
              <w:rPr>
                <w:rFonts w:hint="eastAsia" w:ascii="仿宋" w:hAnsi="仿宋" w:eastAsia="仿宋" w:cs="仿宋"/>
                <w:color w:val="auto"/>
                <w:szCs w:val="21"/>
                <w:highlight w:val="none"/>
              </w:rPr>
            </w:pPr>
          </w:p>
        </w:tc>
        <w:tc>
          <w:tcPr>
            <w:tcW w:w="691" w:type="dxa"/>
            <w:noWrap w:val="0"/>
            <w:vAlign w:val="top"/>
          </w:tcPr>
          <w:p w14:paraId="362FF921">
            <w:pPr>
              <w:spacing w:line="440" w:lineRule="exact"/>
              <w:jc w:val="left"/>
              <w:rPr>
                <w:rFonts w:hint="eastAsia" w:ascii="仿宋" w:hAnsi="仿宋" w:eastAsia="仿宋" w:cs="仿宋"/>
                <w:color w:val="auto"/>
                <w:szCs w:val="21"/>
                <w:highlight w:val="none"/>
              </w:rPr>
            </w:pPr>
          </w:p>
        </w:tc>
      </w:tr>
      <w:tr w14:paraId="15B4AC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5" w:type="dxa"/>
            <w:noWrap w:val="0"/>
            <w:vAlign w:val="top"/>
          </w:tcPr>
          <w:p w14:paraId="3D215811">
            <w:pPr>
              <w:spacing w:line="440" w:lineRule="exact"/>
              <w:jc w:val="left"/>
              <w:rPr>
                <w:rFonts w:hint="eastAsia" w:ascii="仿宋" w:hAnsi="仿宋" w:eastAsia="仿宋" w:cs="仿宋"/>
                <w:color w:val="auto"/>
                <w:szCs w:val="21"/>
                <w:highlight w:val="none"/>
              </w:rPr>
            </w:pPr>
          </w:p>
        </w:tc>
        <w:tc>
          <w:tcPr>
            <w:tcW w:w="1086" w:type="dxa"/>
            <w:noWrap w:val="0"/>
            <w:vAlign w:val="top"/>
          </w:tcPr>
          <w:p w14:paraId="0B2F463C">
            <w:pPr>
              <w:spacing w:line="440" w:lineRule="exact"/>
              <w:jc w:val="left"/>
              <w:rPr>
                <w:rFonts w:hint="eastAsia" w:ascii="仿宋" w:hAnsi="仿宋" w:eastAsia="仿宋" w:cs="仿宋"/>
                <w:color w:val="auto"/>
                <w:szCs w:val="21"/>
                <w:highlight w:val="none"/>
              </w:rPr>
            </w:pPr>
          </w:p>
        </w:tc>
        <w:tc>
          <w:tcPr>
            <w:tcW w:w="761" w:type="dxa"/>
            <w:noWrap w:val="0"/>
            <w:vAlign w:val="top"/>
          </w:tcPr>
          <w:p w14:paraId="4A24CB5D">
            <w:pPr>
              <w:spacing w:line="440" w:lineRule="exact"/>
              <w:jc w:val="left"/>
              <w:rPr>
                <w:rFonts w:hint="eastAsia" w:ascii="仿宋" w:hAnsi="仿宋" w:eastAsia="仿宋" w:cs="仿宋"/>
                <w:color w:val="auto"/>
                <w:szCs w:val="21"/>
                <w:highlight w:val="none"/>
              </w:rPr>
            </w:pPr>
          </w:p>
        </w:tc>
        <w:tc>
          <w:tcPr>
            <w:tcW w:w="990" w:type="dxa"/>
            <w:noWrap w:val="0"/>
            <w:vAlign w:val="top"/>
          </w:tcPr>
          <w:p w14:paraId="68C8BF6C">
            <w:pPr>
              <w:spacing w:line="440" w:lineRule="exact"/>
              <w:jc w:val="left"/>
              <w:rPr>
                <w:rFonts w:hint="eastAsia" w:ascii="仿宋" w:hAnsi="仿宋" w:eastAsia="仿宋" w:cs="仿宋"/>
                <w:color w:val="auto"/>
                <w:szCs w:val="21"/>
                <w:highlight w:val="none"/>
              </w:rPr>
            </w:pPr>
          </w:p>
        </w:tc>
        <w:tc>
          <w:tcPr>
            <w:tcW w:w="672" w:type="dxa"/>
            <w:noWrap w:val="0"/>
            <w:vAlign w:val="top"/>
          </w:tcPr>
          <w:p w14:paraId="6A73188C">
            <w:pPr>
              <w:spacing w:line="440" w:lineRule="exact"/>
              <w:jc w:val="left"/>
              <w:rPr>
                <w:rFonts w:hint="eastAsia" w:ascii="仿宋" w:hAnsi="仿宋" w:eastAsia="仿宋" w:cs="仿宋"/>
                <w:color w:val="auto"/>
                <w:szCs w:val="21"/>
                <w:highlight w:val="none"/>
              </w:rPr>
            </w:pPr>
          </w:p>
        </w:tc>
        <w:tc>
          <w:tcPr>
            <w:tcW w:w="738" w:type="dxa"/>
            <w:noWrap w:val="0"/>
            <w:vAlign w:val="top"/>
          </w:tcPr>
          <w:p w14:paraId="74508206">
            <w:pPr>
              <w:spacing w:line="440" w:lineRule="exact"/>
              <w:jc w:val="left"/>
              <w:rPr>
                <w:rFonts w:hint="eastAsia" w:ascii="仿宋" w:hAnsi="仿宋" w:eastAsia="仿宋" w:cs="仿宋"/>
                <w:color w:val="auto"/>
                <w:szCs w:val="21"/>
                <w:highlight w:val="none"/>
              </w:rPr>
            </w:pPr>
          </w:p>
        </w:tc>
        <w:tc>
          <w:tcPr>
            <w:tcW w:w="1212" w:type="dxa"/>
            <w:noWrap w:val="0"/>
            <w:vAlign w:val="top"/>
          </w:tcPr>
          <w:p w14:paraId="65DB996E">
            <w:pPr>
              <w:spacing w:line="440" w:lineRule="exact"/>
              <w:jc w:val="left"/>
              <w:rPr>
                <w:rFonts w:hint="eastAsia" w:ascii="仿宋" w:hAnsi="仿宋" w:eastAsia="仿宋" w:cs="仿宋"/>
                <w:color w:val="auto"/>
                <w:szCs w:val="21"/>
                <w:highlight w:val="none"/>
              </w:rPr>
            </w:pPr>
          </w:p>
        </w:tc>
        <w:tc>
          <w:tcPr>
            <w:tcW w:w="874" w:type="dxa"/>
            <w:noWrap w:val="0"/>
            <w:vAlign w:val="top"/>
          </w:tcPr>
          <w:p w14:paraId="4615ADF6">
            <w:pPr>
              <w:spacing w:line="440" w:lineRule="exact"/>
              <w:jc w:val="left"/>
              <w:rPr>
                <w:rFonts w:hint="eastAsia" w:ascii="仿宋" w:hAnsi="仿宋" w:eastAsia="仿宋" w:cs="仿宋"/>
                <w:color w:val="auto"/>
                <w:szCs w:val="21"/>
                <w:highlight w:val="none"/>
              </w:rPr>
            </w:pPr>
          </w:p>
        </w:tc>
        <w:tc>
          <w:tcPr>
            <w:tcW w:w="1055" w:type="dxa"/>
            <w:noWrap w:val="0"/>
            <w:vAlign w:val="top"/>
          </w:tcPr>
          <w:p w14:paraId="293EF1AB">
            <w:pPr>
              <w:spacing w:line="440" w:lineRule="exact"/>
              <w:jc w:val="left"/>
              <w:rPr>
                <w:rFonts w:hint="eastAsia" w:ascii="仿宋" w:hAnsi="仿宋" w:eastAsia="仿宋" w:cs="仿宋"/>
                <w:color w:val="auto"/>
                <w:szCs w:val="21"/>
                <w:highlight w:val="none"/>
              </w:rPr>
            </w:pPr>
          </w:p>
        </w:tc>
        <w:tc>
          <w:tcPr>
            <w:tcW w:w="691" w:type="dxa"/>
            <w:noWrap w:val="0"/>
            <w:vAlign w:val="top"/>
          </w:tcPr>
          <w:p w14:paraId="5EE5F077">
            <w:pPr>
              <w:spacing w:line="440" w:lineRule="exact"/>
              <w:jc w:val="left"/>
              <w:rPr>
                <w:rFonts w:hint="eastAsia" w:ascii="仿宋" w:hAnsi="仿宋" w:eastAsia="仿宋" w:cs="仿宋"/>
                <w:color w:val="auto"/>
                <w:szCs w:val="21"/>
                <w:highlight w:val="none"/>
              </w:rPr>
            </w:pPr>
          </w:p>
        </w:tc>
      </w:tr>
      <w:tr w14:paraId="3FBBBF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5" w:type="dxa"/>
            <w:noWrap w:val="0"/>
            <w:vAlign w:val="top"/>
          </w:tcPr>
          <w:p w14:paraId="0A46C4CA">
            <w:pPr>
              <w:spacing w:line="440" w:lineRule="exact"/>
              <w:jc w:val="left"/>
              <w:rPr>
                <w:rFonts w:hint="eastAsia" w:ascii="仿宋" w:hAnsi="仿宋" w:eastAsia="仿宋" w:cs="仿宋"/>
                <w:color w:val="auto"/>
                <w:szCs w:val="21"/>
                <w:highlight w:val="none"/>
              </w:rPr>
            </w:pPr>
          </w:p>
        </w:tc>
        <w:tc>
          <w:tcPr>
            <w:tcW w:w="1086" w:type="dxa"/>
            <w:noWrap w:val="0"/>
            <w:vAlign w:val="top"/>
          </w:tcPr>
          <w:p w14:paraId="1DEE9B12">
            <w:pPr>
              <w:spacing w:line="440" w:lineRule="exact"/>
              <w:jc w:val="left"/>
              <w:rPr>
                <w:rFonts w:hint="eastAsia" w:ascii="仿宋" w:hAnsi="仿宋" w:eastAsia="仿宋" w:cs="仿宋"/>
                <w:color w:val="auto"/>
                <w:szCs w:val="21"/>
                <w:highlight w:val="none"/>
              </w:rPr>
            </w:pPr>
          </w:p>
        </w:tc>
        <w:tc>
          <w:tcPr>
            <w:tcW w:w="761" w:type="dxa"/>
            <w:noWrap w:val="0"/>
            <w:vAlign w:val="top"/>
          </w:tcPr>
          <w:p w14:paraId="19EB88EA">
            <w:pPr>
              <w:spacing w:line="440" w:lineRule="exact"/>
              <w:jc w:val="left"/>
              <w:rPr>
                <w:rFonts w:hint="eastAsia" w:ascii="仿宋" w:hAnsi="仿宋" w:eastAsia="仿宋" w:cs="仿宋"/>
                <w:color w:val="auto"/>
                <w:szCs w:val="21"/>
                <w:highlight w:val="none"/>
              </w:rPr>
            </w:pPr>
          </w:p>
        </w:tc>
        <w:tc>
          <w:tcPr>
            <w:tcW w:w="990" w:type="dxa"/>
            <w:noWrap w:val="0"/>
            <w:vAlign w:val="top"/>
          </w:tcPr>
          <w:p w14:paraId="6B09E023">
            <w:pPr>
              <w:spacing w:line="440" w:lineRule="exact"/>
              <w:jc w:val="left"/>
              <w:rPr>
                <w:rFonts w:hint="eastAsia" w:ascii="仿宋" w:hAnsi="仿宋" w:eastAsia="仿宋" w:cs="仿宋"/>
                <w:color w:val="auto"/>
                <w:szCs w:val="21"/>
                <w:highlight w:val="none"/>
              </w:rPr>
            </w:pPr>
          </w:p>
        </w:tc>
        <w:tc>
          <w:tcPr>
            <w:tcW w:w="672" w:type="dxa"/>
            <w:noWrap w:val="0"/>
            <w:vAlign w:val="top"/>
          </w:tcPr>
          <w:p w14:paraId="75EB4117">
            <w:pPr>
              <w:spacing w:line="440" w:lineRule="exact"/>
              <w:jc w:val="left"/>
              <w:rPr>
                <w:rFonts w:hint="eastAsia" w:ascii="仿宋" w:hAnsi="仿宋" w:eastAsia="仿宋" w:cs="仿宋"/>
                <w:color w:val="auto"/>
                <w:szCs w:val="21"/>
                <w:highlight w:val="none"/>
              </w:rPr>
            </w:pPr>
          </w:p>
        </w:tc>
        <w:tc>
          <w:tcPr>
            <w:tcW w:w="738" w:type="dxa"/>
            <w:noWrap w:val="0"/>
            <w:vAlign w:val="top"/>
          </w:tcPr>
          <w:p w14:paraId="2CCB3940">
            <w:pPr>
              <w:spacing w:line="440" w:lineRule="exact"/>
              <w:jc w:val="left"/>
              <w:rPr>
                <w:rFonts w:hint="eastAsia" w:ascii="仿宋" w:hAnsi="仿宋" w:eastAsia="仿宋" w:cs="仿宋"/>
                <w:color w:val="auto"/>
                <w:szCs w:val="21"/>
                <w:highlight w:val="none"/>
              </w:rPr>
            </w:pPr>
          </w:p>
        </w:tc>
        <w:tc>
          <w:tcPr>
            <w:tcW w:w="1212" w:type="dxa"/>
            <w:noWrap w:val="0"/>
            <w:vAlign w:val="top"/>
          </w:tcPr>
          <w:p w14:paraId="66E989AA">
            <w:pPr>
              <w:spacing w:line="440" w:lineRule="exact"/>
              <w:jc w:val="left"/>
              <w:rPr>
                <w:rFonts w:hint="eastAsia" w:ascii="仿宋" w:hAnsi="仿宋" w:eastAsia="仿宋" w:cs="仿宋"/>
                <w:color w:val="auto"/>
                <w:szCs w:val="21"/>
                <w:highlight w:val="none"/>
              </w:rPr>
            </w:pPr>
          </w:p>
        </w:tc>
        <w:tc>
          <w:tcPr>
            <w:tcW w:w="874" w:type="dxa"/>
            <w:noWrap w:val="0"/>
            <w:vAlign w:val="top"/>
          </w:tcPr>
          <w:p w14:paraId="219E9BB4">
            <w:pPr>
              <w:spacing w:line="440" w:lineRule="exact"/>
              <w:jc w:val="left"/>
              <w:rPr>
                <w:rFonts w:hint="eastAsia" w:ascii="仿宋" w:hAnsi="仿宋" w:eastAsia="仿宋" w:cs="仿宋"/>
                <w:color w:val="auto"/>
                <w:szCs w:val="21"/>
                <w:highlight w:val="none"/>
              </w:rPr>
            </w:pPr>
          </w:p>
        </w:tc>
        <w:tc>
          <w:tcPr>
            <w:tcW w:w="1055" w:type="dxa"/>
            <w:noWrap w:val="0"/>
            <w:vAlign w:val="top"/>
          </w:tcPr>
          <w:p w14:paraId="4C7A7516">
            <w:pPr>
              <w:spacing w:line="440" w:lineRule="exact"/>
              <w:jc w:val="left"/>
              <w:rPr>
                <w:rFonts w:hint="eastAsia" w:ascii="仿宋" w:hAnsi="仿宋" w:eastAsia="仿宋" w:cs="仿宋"/>
                <w:color w:val="auto"/>
                <w:szCs w:val="21"/>
                <w:highlight w:val="none"/>
              </w:rPr>
            </w:pPr>
          </w:p>
        </w:tc>
        <w:tc>
          <w:tcPr>
            <w:tcW w:w="691" w:type="dxa"/>
            <w:noWrap w:val="0"/>
            <w:vAlign w:val="top"/>
          </w:tcPr>
          <w:p w14:paraId="16E1CC9D">
            <w:pPr>
              <w:spacing w:line="440" w:lineRule="exact"/>
              <w:jc w:val="left"/>
              <w:rPr>
                <w:rFonts w:hint="eastAsia" w:ascii="仿宋" w:hAnsi="仿宋" w:eastAsia="仿宋" w:cs="仿宋"/>
                <w:color w:val="auto"/>
                <w:szCs w:val="21"/>
                <w:highlight w:val="none"/>
              </w:rPr>
            </w:pPr>
          </w:p>
        </w:tc>
      </w:tr>
      <w:tr w14:paraId="5639C6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5" w:type="dxa"/>
            <w:noWrap w:val="0"/>
            <w:vAlign w:val="top"/>
          </w:tcPr>
          <w:p w14:paraId="52D10236">
            <w:pPr>
              <w:spacing w:line="440" w:lineRule="exact"/>
              <w:jc w:val="left"/>
              <w:rPr>
                <w:rFonts w:hint="eastAsia" w:ascii="仿宋" w:hAnsi="仿宋" w:eastAsia="仿宋" w:cs="仿宋"/>
                <w:color w:val="auto"/>
                <w:szCs w:val="21"/>
                <w:highlight w:val="none"/>
              </w:rPr>
            </w:pPr>
          </w:p>
        </w:tc>
        <w:tc>
          <w:tcPr>
            <w:tcW w:w="1086" w:type="dxa"/>
            <w:noWrap w:val="0"/>
            <w:vAlign w:val="top"/>
          </w:tcPr>
          <w:p w14:paraId="35481092">
            <w:pPr>
              <w:spacing w:line="440" w:lineRule="exact"/>
              <w:jc w:val="left"/>
              <w:rPr>
                <w:rFonts w:hint="eastAsia" w:ascii="仿宋" w:hAnsi="仿宋" w:eastAsia="仿宋" w:cs="仿宋"/>
                <w:color w:val="auto"/>
                <w:szCs w:val="21"/>
                <w:highlight w:val="none"/>
              </w:rPr>
            </w:pPr>
          </w:p>
        </w:tc>
        <w:tc>
          <w:tcPr>
            <w:tcW w:w="761" w:type="dxa"/>
            <w:noWrap w:val="0"/>
            <w:vAlign w:val="top"/>
          </w:tcPr>
          <w:p w14:paraId="692C0AFA">
            <w:pPr>
              <w:spacing w:line="440" w:lineRule="exact"/>
              <w:jc w:val="left"/>
              <w:rPr>
                <w:rFonts w:hint="eastAsia" w:ascii="仿宋" w:hAnsi="仿宋" w:eastAsia="仿宋" w:cs="仿宋"/>
                <w:color w:val="auto"/>
                <w:szCs w:val="21"/>
                <w:highlight w:val="none"/>
              </w:rPr>
            </w:pPr>
          </w:p>
        </w:tc>
        <w:tc>
          <w:tcPr>
            <w:tcW w:w="990" w:type="dxa"/>
            <w:noWrap w:val="0"/>
            <w:vAlign w:val="top"/>
          </w:tcPr>
          <w:p w14:paraId="296DF740">
            <w:pPr>
              <w:spacing w:line="440" w:lineRule="exact"/>
              <w:jc w:val="left"/>
              <w:rPr>
                <w:rFonts w:hint="eastAsia" w:ascii="仿宋" w:hAnsi="仿宋" w:eastAsia="仿宋" w:cs="仿宋"/>
                <w:color w:val="auto"/>
                <w:szCs w:val="21"/>
                <w:highlight w:val="none"/>
              </w:rPr>
            </w:pPr>
          </w:p>
        </w:tc>
        <w:tc>
          <w:tcPr>
            <w:tcW w:w="672" w:type="dxa"/>
            <w:noWrap w:val="0"/>
            <w:vAlign w:val="top"/>
          </w:tcPr>
          <w:p w14:paraId="13C4247B">
            <w:pPr>
              <w:spacing w:line="440" w:lineRule="exact"/>
              <w:jc w:val="left"/>
              <w:rPr>
                <w:rFonts w:hint="eastAsia" w:ascii="仿宋" w:hAnsi="仿宋" w:eastAsia="仿宋" w:cs="仿宋"/>
                <w:color w:val="auto"/>
                <w:szCs w:val="21"/>
                <w:highlight w:val="none"/>
              </w:rPr>
            </w:pPr>
          </w:p>
        </w:tc>
        <w:tc>
          <w:tcPr>
            <w:tcW w:w="738" w:type="dxa"/>
            <w:noWrap w:val="0"/>
            <w:vAlign w:val="top"/>
          </w:tcPr>
          <w:p w14:paraId="5D50692B">
            <w:pPr>
              <w:spacing w:line="440" w:lineRule="exact"/>
              <w:jc w:val="left"/>
              <w:rPr>
                <w:rFonts w:hint="eastAsia" w:ascii="仿宋" w:hAnsi="仿宋" w:eastAsia="仿宋" w:cs="仿宋"/>
                <w:color w:val="auto"/>
                <w:szCs w:val="21"/>
                <w:highlight w:val="none"/>
              </w:rPr>
            </w:pPr>
          </w:p>
        </w:tc>
        <w:tc>
          <w:tcPr>
            <w:tcW w:w="1212" w:type="dxa"/>
            <w:noWrap w:val="0"/>
            <w:vAlign w:val="top"/>
          </w:tcPr>
          <w:p w14:paraId="0B7499CA">
            <w:pPr>
              <w:spacing w:line="440" w:lineRule="exact"/>
              <w:jc w:val="left"/>
              <w:rPr>
                <w:rFonts w:hint="eastAsia" w:ascii="仿宋" w:hAnsi="仿宋" w:eastAsia="仿宋" w:cs="仿宋"/>
                <w:color w:val="auto"/>
                <w:szCs w:val="21"/>
                <w:highlight w:val="none"/>
              </w:rPr>
            </w:pPr>
          </w:p>
        </w:tc>
        <w:tc>
          <w:tcPr>
            <w:tcW w:w="874" w:type="dxa"/>
            <w:noWrap w:val="0"/>
            <w:vAlign w:val="top"/>
          </w:tcPr>
          <w:p w14:paraId="7A2BA4D8">
            <w:pPr>
              <w:spacing w:line="440" w:lineRule="exact"/>
              <w:jc w:val="left"/>
              <w:rPr>
                <w:rFonts w:hint="eastAsia" w:ascii="仿宋" w:hAnsi="仿宋" w:eastAsia="仿宋" w:cs="仿宋"/>
                <w:color w:val="auto"/>
                <w:szCs w:val="21"/>
                <w:highlight w:val="none"/>
              </w:rPr>
            </w:pPr>
          </w:p>
        </w:tc>
        <w:tc>
          <w:tcPr>
            <w:tcW w:w="1055" w:type="dxa"/>
            <w:noWrap w:val="0"/>
            <w:vAlign w:val="top"/>
          </w:tcPr>
          <w:p w14:paraId="404DE2F7">
            <w:pPr>
              <w:spacing w:line="440" w:lineRule="exact"/>
              <w:jc w:val="left"/>
              <w:rPr>
                <w:rFonts w:hint="eastAsia" w:ascii="仿宋" w:hAnsi="仿宋" w:eastAsia="仿宋" w:cs="仿宋"/>
                <w:color w:val="auto"/>
                <w:szCs w:val="21"/>
                <w:highlight w:val="none"/>
              </w:rPr>
            </w:pPr>
          </w:p>
        </w:tc>
        <w:tc>
          <w:tcPr>
            <w:tcW w:w="691" w:type="dxa"/>
            <w:noWrap w:val="0"/>
            <w:vAlign w:val="top"/>
          </w:tcPr>
          <w:p w14:paraId="2F54C768">
            <w:pPr>
              <w:spacing w:line="440" w:lineRule="exact"/>
              <w:jc w:val="left"/>
              <w:rPr>
                <w:rFonts w:hint="eastAsia" w:ascii="仿宋" w:hAnsi="仿宋" w:eastAsia="仿宋" w:cs="仿宋"/>
                <w:color w:val="auto"/>
                <w:szCs w:val="21"/>
                <w:highlight w:val="none"/>
              </w:rPr>
            </w:pPr>
          </w:p>
        </w:tc>
      </w:tr>
    </w:tbl>
    <w:p w14:paraId="0948FB29">
      <w:pPr>
        <w:spacing w:line="440" w:lineRule="exact"/>
        <w:jc w:val="left"/>
        <w:rPr>
          <w:rFonts w:hint="eastAsia" w:ascii="仿宋" w:hAnsi="仿宋" w:eastAsia="仿宋" w:cs="仿宋"/>
          <w:color w:val="auto"/>
          <w:sz w:val="20"/>
          <w:szCs w:val="20"/>
          <w:highlight w:val="none"/>
        </w:rPr>
      </w:pPr>
      <w:r>
        <w:rPr>
          <w:rFonts w:hint="eastAsia" w:ascii="仿宋" w:hAnsi="仿宋" w:eastAsia="仿宋" w:cs="仿宋"/>
          <w:color w:val="auto"/>
          <w:sz w:val="20"/>
          <w:szCs w:val="20"/>
          <w:highlight w:val="none"/>
        </w:rPr>
        <w:br w:type="page"/>
      </w:r>
    </w:p>
    <w:p w14:paraId="3C947BC0">
      <w:pPr>
        <w:pStyle w:val="5"/>
        <w:jc w:val="center"/>
        <w:rPr>
          <w:rFonts w:hint="eastAsia" w:ascii="仿宋" w:hAnsi="仿宋" w:eastAsia="仿宋" w:cs="仿宋"/>
          <w:color w:val="auto"/>
          <w:highlight w:val="none"/>
        </w:rPr>
      </w:pPr>
      <w:bookmarkStart w:id="974" w:name="_Toc152042587"/>
      <w:bookmarkStart w:id="975" w:name="_Toc152045798"/>
      <w:bookmarkStart w:id="976" w:name="_Toc106998230"/>
      <w:bookmarkStart w:id="977" w:name="_Toc179632818"/>
      <w:bookmarkStart w:id="978" w:name="_Toc7956843"/>
      <w:bookmarkStart w:id="979" w:name="_Toc144974866"/>
      <w:r>
        <w:rPr>
          <w:rFonts w:hint="eastAsia" w:ascii="仿宋" w:hAnsi="仿宋" w:eastAsia="仿宋" w:cs="仿宋"/>
          <w:color w:val="auto"/>
          <w:highlight w:val="none"/>
        </w:rPr>
        <w:t>（七）拟配备本项目的试验和检测仪器设备表</w:t>
      </w:r>
      <w:bookmarkEnd w:id="974"/>
      <w:bookmarkEnd w:id="975"/>
      <w:bookmarkEnd w:id="976"/>
      <w:bookmarkEnd w:id="977"/>
      <w:bookmarkEnd w:id="978"/>
      <w:bookmarkEnd w:id="979"/>
    </w:p>
    <w:p w14:paraId="0D0E0623">
      <w:pPr>
        <w:spacing w:line="440" w:lineRule="exact"/>
        <w:jc w:val="left"/>
        <w:rPr>
          <w:rFonts w:hint="eastAsia" w:ascii="仿宋" w:hAnsi="仿宋" w:eastAsia="仿宋" w:cs="仿宋"/>
          <w:color w:val="auto"/>
          <w:sz w:val="20"/>
          <w:szCs w:val="20"/>
          <w:highlight w:val="none"/>
        </w:rPr>
      </w:pPr>
    </w:p>
    <w:tbl>
      <w:tblPr>
        <w:tblStyle w:val="39"/>
        <w:tblW w:w="8467"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6"/>
        <w:gridCol w:w="1087"/>
        <w:gridCol w:w="760"/>
        <w:gridCol w:w="991"/>
        <w:gridCol w:w="672"/>
        <w:gridCol w:w="738"/>
        <w:gridCol w:w="1212"/>
        <w:gridCol w:w="1653"/>
        <w:gridCol w:w="688"/>
      </w:tblGrid>
      <w:tr w14:paraId="1C9822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6" w:type="dxa"/>
            <w:noWrap w:val="0"/>
            <w:vAlign w:val="center"/>
          </w:tcPr>
          <w:p w14:paraId="15B1B483">
            <w:pPr>
              <w:spacing w:line="440" w:lineRule="exact"/>
              <w:ind w:firstLine="0" w:firstLineChars="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序号</w:t>
            </w:r>
          </w:p>
        </w:tc>
        <w:tc>
          <w:tcPr>
            <w:tcW w:w="1087" w:type="dxa"/>
            <w:noWrap w:val="0"/>
            <w:vAlign w:val="center"/>
          </w:tcPr>
          <w:p w14:paraId="31F7FD61">
            <w:pPr>
              <w:spacing w:line="440" w:lineRule="exact"/>
              <w:ind w:firstLine="0" w:firstLineChars="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仪器设备名称</w:t>
            </w:r>
          </w:p>
        </w:tc>
        <w:tc>
          <w:tcPr>
            <w:tcW w:w="760" w:type="dxa"/>
            <w:noWrap w:val="0"/>
            <w:vAlign w:val="center"/>
          </w:tcPr>
          <w:p w14:paraId="510A7C22">
            <w:pPr>
              <w:spacing w:line="440" w:lineRule="exact"/>
              <w:ind w:firstLine="0" w:firstLineChars="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型号</w:t>
            </w:r>
          </w:p>
          <w:p w14:paraId="245C8DC4">
            <w:pPr>
              <w:spacing w:line="440" w:lineRule="exact"/>
              <w:ind w:firstLine="0" w:firstLineChars="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规格</w:t>
            </w:r>
          </w:p>
        </w:tc>
        <w:tc>
          <w:tcPr>
            <w:tcW w:w="991" w:type="dxa"/>
            <w:noWrap w:val="0"/>
            <w:vAlign w:val="center"/>
          </w:tcPr>
          <w:p w14:paraId="7511EB0E">
            <w:pPr>
              <w:spacing w:line="440" w:lineRule="exact"/>
              <w:ind w:firstLine="0" w:firstLineChars="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数量</w:t>
            </w:r>
          </w:p>
        </w:tc>
        <w:tc>
          <w:tcPr>
            <w:tcW w:w="672" w:type="dxa"/>
            <w:noWrap w:val="0"/>
            <w:vAlign w:val="center"/>
          </w:tcPr>
          <w:p w14:paraId="1406B494">
            <w:pPr>
              <w:spacing w:line="440" w:lineRule="exact"/>
              <w:ind w:firstLine="0" w:firstLineChars="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国别</w:t>
            </w:r>
          </w:p>
          <w:p w14:paraId="00A3B607">
            <w:pPr>
              <w:spacing w:line="440" w:lineRule="exact"/>
              <w:ind w:firstLine="0" w:firstLineChars="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产地</w:t>
            </w:r>
          </w:p>
        </w:tc>
        <w:tc>
          <w:tcPr>
            <w:tcW w:w="738" w:type="dxa"/>
            <w:noWrap w:val="0"/>
            <w:vAlign w:val="center"/>
          </w:tcPr>
          <w:p w14:paraId="66AD37DC">
            <w:pPr>
              <w:spacing w:line="440" w:lineRule="exact"/>
              <w:ind w:firstLine="0" w:firstLineChars="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制造</w:t>
            </w:r>
          </w:p>
          <w:p w14:paraId="4F6403F5">
            <w:pPr>
              <w:spacing w:line="440" w:lineRule="exact"/>
              <w:ind w:firstLine="0" w:firstLineChars="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年份</w:t>
            </w:r>
          </w:p>
        </w:tc>
        <w:tc>
          <w:tcPr>
            <w:tcW w:w="1212" w:type="dxa"/>
            <w:noWrap w:val="0"/>
            <w:vAlign w:val="center"/>
          </w:tcPr>
          <w:p w14:paraId="3525DB5F">
            <w:pPr>
              <w:spacing w:line="440" w:lineRule="exact"/>
              <w:ind w:firstLine="0" w:firstLineChars="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已使用台时数</w:t>
            </w:r>
          </w:p>
        </w:tc>
        <w:tc>
          <w:tcPr>
            <w:tcW w:w="1653" w:type="dxa"/>
            <w:noWrap w:val="0"/>
            <w:vAlign w:val="center"/>
          </w:tcPr>
          <w:p w14:paraId="40281D90">
            <w:pPr>
              <w:spacing w:line="440" w:lineRule="exact"/>
              <w:ind w:firstLine="0" w:firstLineChars="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用途</w:t>
            </w:r>
          </w:p>
        </w:tc>
        <w:tc>
          <w:tcPr>
            <w:tcW w:w="688" w:type="dxa"/>
            <w:noWrap w:val="0"/>
            <w:vAlign w:val="center"/>
          </w:tcPr>
          <w:p w14:paraId="1E493E70">
            <w:pPr>
              <w:spacing w:line="440" w:lineRule="exact"/>
              <w:ind w:firstLine="0" w:firstLineChars="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备注</w:t>
            </w:r>
          </w:p>
        </w:tc>
      </w:tr>
      <w:tr w14:paraId="2DADB3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6" w:type="dxa"/>
            <w:noWrap w:val="0"/>
            <w:vAlign w:val="center"/>
          </w:tcPr>
          <w:p w14:paraId="40C9DE1E">
            <w:pPr>
              <w:spacing w:line="440" w:lineRule="exact"/>
              <w:jc w:val="left"/>
              <w:rPr>
                <w:rFonts w:hint="eastAsia" w:ascii="仿宋" w:hAnsi="仿宋" w:eastAsia="仿宋" w:cs="仿宋"/>
                <w:color w:val="auto"/>
                <w:szCs w:val="21"/>
                <w:highlight w:val="none"/>
              </w:rPr>
            </w:pPr>
          </w:p>
        </w:tc>
        <w:tc>
          <w:tcPr>
            <w:tcW w:w="1087" w:type="dxa"/>
            <w:noWrap w:val="0"/>
            <w:vAlign w:val="center"/>
          </w:tcPr>
          <w:p w14:paraId="4C9249B5">
            <w:pPr>
              <w:spacing w:line="440" w:lineRule="exact"/>
              <w:jc w:val="left"/>
              <w:rPr>
                <w:rFonts w:hint="eastAsia" w:ascii="仿宋" w:hAnsi="仿宋" w:eastAsia="仿宋" w:cs="仿宋"/>
                <w:color w:val="auto"/>
                <w:szCs w:val="21"/>
                <w:highlight w:val="none"/>
              </w:rPr>
            </w:pPr>
          </w:p>
        </w:tc>
        <w:tc>
          <w:tcPr>
            <w:tcW w:w="760" w:type="dxa"/>
            <w:noWrap w:val="0"/>
            <w:vAlign w:val="center"/>
          </w:tcPr>
          <w:p w14:paraId="528089AC">
            <w:pPr>
              <w:spacing w:line="440" w:lineRule="exact"/>
              <w:jc w:val="left"/>
              <w:rPr>
                <w:rFonts w:hint="eastAsia" w:ascii="仿宋" w:hAnsi="仿宋" w:eastAsia="仿宋" w:cs="仿宋"/>
                <w:color w:val="auto"/>
                <w:szCs w:val="21"/>
                <w:highlight w:val="none"/>
              </w:rPr>
            </w:pPr>
          </w:p>
        </w:tc>
        <w:tc>
          <w:tcPr>
            <w:tcW w:w="991" w:type="dxa"/>
            <w:noWrap w:val="0"/>
            <w:vAlign w:val="center"/>
          </w:tcPr>
          <w:p w14:paraId="294C3668">
            <w:pPr>
              <w:spacing w:line="440" w:lineRule="exact"/>
              <w:jc w:val="left"/>
              <w:rPr>
                <w:rFonts w:hint="eastAsia" w:ascii="仿宋" w:hAnsi="仿宋" w:eastAsia="仿宋" w:cs="仿宋"/>
                <w:color w:val="auto"/>
                <w:szCs w:val="21"/>
                <w:highlight w:val="none"/>
              </w:rPr>
            </w:pPr>
          </w:p>
        </w:tc>
        <w:tc>
          <w:tcPr>
            <w:tcW w:w="672" w:type="dxa"/>
            <w:noWrap w:val="0"/>
            <w:vAlign w:val="center"/>
          </w:tcPr>
          <w:p w14:paraId="28F935FA">
            <w:pPr>
              <w:spacing w:line="440" w:lineRule="exact"/>
              <w:jc w:val="left"/>
              <w:rPr>
                <w:rFonts w:hint="eastAsia" w:ascii="仿宋" w:hAnsi="仿宋" w:eastAsia="仿宋" w:cs="仿宋"/>
                <w:color w:val="auto"/>
                <w:szCs w:val="21"/>
                <w:highlight w:val="none"/>
              </w:rPr>
            </w:pPr>
          </w:p>
        </w:tc>
        <w:tc>
          <w:tcPr>
            <w:tcW w:w="738" w:type="dxa"/>
            <w:noWrap w:val="0"/>
            <w:vAlign w:val="center"/>
          </w:tcPr>
          <w:p w14:paraId="71F9724A">
            <w:pPr>
              <w:spacing w:line="440" w:lineRule="exact"/>
              <w:jc w:val="left"/>
              <w:rPr>
                <w:rFonts w:hint="eastAsia" w:ascii="仿宋" w:hAnsi="仿宋" w:eastAsia="仿宋" w:cs="仿宋"/>
                <w:color w:val="auto"/>
                <w:szCs w:val="21"/>
                <w:highlight w:val="none"/>
              </w:rPr>
            </w:pPr>
          </w:p>
        </w:tc>
        <w:tc>
          <w:tcPr>
            <w:tcW w:w="1212" w:type="dxa"/>
            <w:noWrap w:val="0"/>
            <w:vAlign w:val="center"/>
          </w:tcPr>
          <w:p w14:paraId="266C83E6">
            <w:pPr>
              <w:spacing w:line="440" w:lineRule="exact"/>
              <w:jc w:val="left"/>
              <w:rPr>
                <w:rFonts w:hint="eastAsia" w:ascii="仿宋" w:hAnsi="仿宋" w:eastAsia="仿宋" w:cs="仿宋"/>
                <w:color w:val="auto"/>
                <w:szCs w:val="21"/>
                <w:highlight w:val="none"/>
              </w:rPr>
            </w:pPr>
          </w:p>
        </w:tc>
        <w:tc>
          <w:tcPr>
            <w:tcW w:w="1653" w:type="dxa"/>
            <w:noWrap w:val="0"/>
            <w:vAlign w:val="center"/>
          </w:tcPr>
          <w:p w14:paraId="719A34E0">
            <w:pPr>
              <w:spacing w:line="440" w:lineRule="exact"/>
              <w:jc w:val="left"/>
              <w:rPr>
                <w:rFonts w:hint="eastAsia" w:ascii="仿宋" w:hAnsi="仿宋" w:eastAsia="仿宋" w:cs="仿宋"/>
                <w:color w:val="auto"/>
                <w:szCs w:val="21"/>
                <w:highlight w:val="none"/>
              </w:rPr>
            </w:pPr>
          </w:p>
        </w:tc>
        <w:tc>
          <w:tcPr>
            <w:tcW w:w="688" w:type="dxa"/>
            <w:noWrap w:val="0"/>
            <w:vAlign w:val="center"/>
          </w:tcPr>
          <w:p w14:paraId="7D7AD2EB">
            <w:pPr>
              <w:spacing w:line="440" w:lineRule="exact"/>
              <w:jc w:val="left"/>
              <w:rPr>
                <w:rFonts w:hint="eastAsia" w:ascii="仿宋" w:hAnsi="仿宋" w:eastAsia="仿宋" w:cs="仿宋"/>
                <w:color w:val="auto"/>
                <w:szCs w:val="21"/>
                <w:highlight w:val="none"/>
              </w:rPr>
            </w:pPr>
          </w:p>
        </w:tc>
      </w:tr>
      <w:tr w14:paraId="2CA30F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6" w:type="dxa"/>
            <w:noWrap w:val="0"/>
            <w:vAlign w:val="center"/>
          </w:tcPr>
          <w:p w14:paraId="300EE588">
            <w:pPr>
              <w:spacing w:line="440" w:lineRule="exact"/>
              <w:jc w:val="left"/>
              <w:rPr>
                <w:rFonts w:hint="eastAsia" w:ascii="仿宋" w:hAnsi="仿宋" w:eastAsia="仿宋" w:cs="仿宋"/>
                <w:color w:val="auto"/>
                <w:szCs w:val="21"/>
                <w:highlight w:val="none"/>
              </w:rPr>
            </w:pPr>
          </w:p>
        </w:tc>
        <w:tc>
          <w:tcPr>
            <w:tcW w:w="1087" w:type="dxa"/>
            <w:noWrap w:val="0"/>
            <w:vAlign w:val="center"/>
          </w:tcPr>
          <w:p w14:paraId="3EEAA569">
            <w:pPr>
              <w:spacing w:line="440" w:lineRule="exact"/>
              <w:jc w:val="left"/>
              <w:rPr>
                <w:rFonts w:hint="eastAsia" w:ascii="仿宋" w:hAnsi="仿宋" w:eastAsia="仿宋" w:cs="仿宋"/>
                <w:color w:val="auto"/>
                <w:szCs w:val="21"/>
                <w:highlight w:val="none"/>
              </w:rPr>
            </w:pPr>
          </w:p>
        </w:tc>
        <w:tc>
          <w:tcPr>
            <w:tcW w:w="760" w:type="dxa"/>
            <w:noWrap w:val="0"/>
            <w:vAlign w:val="center"/>
          </w:tcPr>
          <w:p w14:paraId="2C8F4953">
            <w:pPr>
              <w:spacing w:line="440" w:lineRule="exact"/>
              <w:jc w:val="left"/>
              <w:rPr>
                <w:rFonts w:hint="eastAsia" w:ascii="仿宋" w:hAnsi="仿宋" w:eastAsia="仿宋" w:cs="仿宋"/>
                <w:color w:val="auto"/>
                <w:szCs w:val="21"/>
                <w:highlight w:val="none"/>
              </w:rPr>
            </w:pPr>
          </w:p>
        </w:tc>
        <w:tc>
          <w:tcPr>
            <w:tcW w:w="991" w:type="dxa"/>
            <w:noWrap w:val="0"/>
            <w:vAlign w:val="center"/>
          </w:tcPr>
          <w:p w14:paraId="466E2F76">
            <w:pPr>
              <w:spacing w:line="440" w:lineRule="exact"/>
              <w:jc w:val="left"/>
              <w:rPr>
                <w:rFonts w:hint="eastAsia" w:ascii="仿宋" w:hAnsi="仿宋" w:eastAsia="仿宋" w:cs="仿宋"/>
                <w:color w:val="auto"/>
                <w:szCs w:val="21"/>
                <w:highlight w:val="none"/>
              </w:rPr>
            </w:pPr>
          </w:p>
        </w:tc>
        <w:tc>
          <w:tcPr>
            <w:tcW w:w="672" w:type="dxa"/>
            <w:noWrap w:val="0"/>
            <w:vAlign w:val="center"/>
          </w:tcPr>
          <w:p w14:paraId="4F2CF309">
            <w:pPr>
              <w:spacing w:line="440" w:lineRule="exact"/>
              <w:jc w:val="left"/>
              <w:rPr>
                <w:rFonts w:hint="eastAsia" w:ascii="仿宋" w:hAnsi="仿宋" w:eastAsia="仿宋" w:cs="仿宋"/>
                <w:color w:val="auto"/>
                <w:szCs w:val="21"/>
                <w:highlight w:val="none"/>
              </w:rPr>
            </w:pPr>
          </w:p>
        </w:tc>
        <w:tc>
          <w:tcPr>
            <w:tcW w:w="738" w:type="dxa"/>
            <w:noWrap w:val="0"/>
            <w:vAlign w:val="center"/>
          </w:tcPr>
          <w:p w14:paraId="1D7EF8F3">
            <w:pPr>
              <w:spacing w:line="440" w:lineRule="exact"/>
              <w:jc w:val="left"/>
              <w:rPr>
                <w:rFonts w:hint="eastAsia" w:ascii="仿宋" w:hAnsi="仿宋" w:eastAsia="仿宋" w:cs="仿宋"/>
                <w:color w:val="auto"/>
                <w:szCs w:val="21"/>
                <w:highlight w:val="none"/>
              </w:rPr>
            </w:pPr>
          </w:p>
        </w:tc>
        <w:tc>
          <w:tcPr>
            <w:tcW w:w="1212" w:type="dxa"/>
            <w:noWrap w:val="0"/>
            <w:vAlign w:val="center"/>
          </w:tcPr>
          <w:p w14:paraId="24712A0C">
            <w:pPr>
              <w:spacing w:line="440" w:lineRule="exact"/>
              <w:jc w:val="left"/>
              <w:rPr>
                <w:rFonts w:hint="eastAsia" w:ascii="仿宋" w:hAnsi="仿宋" w:eastAsia="仿宋" w:cs="仿宋"/>
                <w:color w:val="auto"/>
                <w:szCs w:val="21"/>
                <w:highlight w:val="none"/>
              </w:rPr>
            </w:pPr>
          </w:p>
        </w:tc>
        <w:tc>
          <w:tcPr>
            <w:tcW w:w="1653" w:type="dxa"/>
            <w:noWrap w:val="0"/>
            <w:vAlign w:val="center"/>
          </w:tcPr>
          <w:p w14:paraId="0B9E03BE">
            <w:pPr>
              <w:spacing w:line="440" w:lineRule="exact"/>
              <w:jc w:val="left"/>
              <w:rPr>
                <w:rFonts w:hint="eastAsia" w:ascii="仿宋" w:hAnsi="仿宋" w:eastAsia="仿宋" w:cs="仿宋"/>
                <w:color w:val="auto"/>
                <w:szCs w:val="21"/>
                <w:highlight w:val="none"/>
              </w:rPr>
            </w:pPr>
          </w:p>
        </w:tc>
        <w:tc>
          <w:tcPr>
            <w:tcW w:w="688" w:type="dxa"/>
            <w:noWrap w:val="0"/>
            <w:vAlign w:val="center"/>
          </w:tcPr>
          <w:p w14:paraId="1352E4DB">
            <w:pPr>
              <w:spacing w:line="440" w:lineRule="exact"/>
              <w:jc w:val="left"/>
              <w:rPr>
                <w:rFonts w:hint="eastAsia" w:ascii="仿宋" w:hAnsi="仿宋" w:eastAsia="仿宋" w:cs="仿宋"/>
                <w:color w:val="auto"/>
                <w:szCs w:val="21"/>
                <w:highlight w:val="none"/>
              </w:rPr>
            </w:pPr>
          </w:p>
        </w:tc>
      </w:tr>
      <w:tr w14:paraId="275AC6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6" w:type="dxa"/>
            <w:noWrap w:val="0"/>
            <w:vAlign w:val="top"/>
          </w:tcPr>
          <w:p w14:paraId="49EC5281">
            <w:pPr>
              <w:spacing w:line="440" w:lineRule="exact"/>
              <w:jc w:val="left"/>
              <w:rPr>
                <w:rFonts w:hint="eastAsia" w:ascii="仿宋" w:hAnsi="仿宋" w:eastAsia="仿宋" w:cs="仿宋"/>
                <w:color w:val="auto"/>
                <w:szCs w:val="21"/>
                <w:highlight w:val="none"/>
              </w:rPr>
            </w:pPr>
          </w:p>
        </w:tc>
        <w:tc>
          <w:tcPr>
            <w:tcW w:w="1087" w:type="dxa"/>
            <w:noWrap w:val="0"/>
            <w:vAlign w:val="top"/>
          </w:tcPr>
          <w:p w14:paraId="47BE092F">
            <w:pPr>
              <w:spacing w:line="440" w:lineRule="exact"/>
              <w:jc w:val="left"/>
              <w:rPr>
                <w:rFonts w:hint="eastAsia" w:ascii="仿宋" w:hAnsi="仿宋" w:eastAsia="仿宋" w:cs="仿宋"/>
                <w:color w:val="auto"/>
                <w:szCs w:val="21"/>
                <w:highlight w:val="none"/>
              </w:rPr>
            </w:pPr>
          </w:p>
        </w:tc>
        <w:tc>
          <w:tcPr>
            <w:tcW w:w="760" w:type="dxa"/>
            <w:noWrap w:val="0"/>
            <w:vAlign w:val="top"/>
          </w:tcPr>
          <w:p w14:paraId="30011F44">
            <w:pPr>
              <w:spacing w:line="440" w:lineRule="exact"/>
              <w:jc w:val="left"/>
              <w:rPr>
                <w:rFonts w:hint="eastAsia" w:ascii="仿宋" w:hAnsi="仿宋" w:eastAsia="仿宋" w:cs="仿宋"/>
                <w:color w:val="auto"/>
                <w:szCs w:val="21"/>
                <w:highlight w:val="none"/>
              </w:rPr>
            </w:pPr>
          </w:p>
        </w:tc>
        <w:tc>
          <w:tcPr>
            <w:tcW w:w="991" w:type="dxa"/>
            <w:noWrap w:val="0"/>
            <w:vAlign w:val="top"/>
          </w:tcPr>
          <w:p w14:paraId="59A3A26F">
            <w:pPr>
              <w:spacing w:line="440" w:lineRule="exact"/>
              <w:jc w:val="left"/>
              <w:rPr>
                <w:rFonts w:hint="eastAsia" w:ascii="仿宋" w:hAnsi="仿宋" w:eastAsia="仿宋" w:cs="仿宋"/>
                <w:color w:val="auto"/>
                <w:szCs w:val="21"/>
                <w:highlight w:val="none"/>
              </w:rPr>
            </w:pPr>
          </w:p>
        </w:tc>
        <w:tc>
          <w:tcPr>
            <w:tcW w:w="672" w:type="dxa"/>
            <w:noWrap w:val="0"/>
            <w:vAlign w:val="top"/>
          </w:tcPr>
          <w:p w14:paraId="2E31B987">
            <w:pPr>
              <w:spacing w:line="440" w:lineRule="exact"/>
              <w:jc w:val="left"/>
              <w:rPr>
                <w:rFonts w:hint="eastAsia" w:ascii="仿宋" w:hAnsi="仿宋" w:eastAsia="仿宋" w:cs="仿宋"/>
                <w:color w:val="auto"/>
                <w:szCs w:val="21"/>
                <w:highlight w:val="none"/>
              </w:rPr>
            </w:pPr>
          </w:p>
        </w:tc>
        <w:tc>
          <w:tcPr>
            <w:tcW w:w="738" w:type="dxa"/>
            <w:noWrap w:val="0"/>
            <w:vAlign w:val="top"/>
          </w:tcPr>
          <w:p w14:paraId="1AF6F015">
            <w:pPr>
              <w:spacing w:line="440" w:lineRule="exact"/>
              <w:jc w:val="left"/>
              <w:rPr>
                <w:rFonts w:hint="eastAsia" w:ascii="仿宋" w:hAnsi="仿宋" w:eastAsia="仿宋" w:cs="仿宋"/>
                <w:color w:val="auto"/>
                <w:szCs w:val="21"/>
                <w:highlight w:val="none"/>
              </w:rPr>
            </w:pPr>
          </w:p>
        </w:tc>
        <w:tc>
          <w:tcPr>
            <w:tcW w:w="1212" w:type="dxa"/>
            <w:noWrap w:val="0"/>
            <w:vAlign w:val="top"/>
          </w:tcPr>
          <w:p w14:paraId="1A6A4FB7">
            <w:pPr>
              <w:spacing w:line="440" w:lineRule="exact"/>
              <w:jc w:val="left"/>
              <w:rPr>
                <w:rFonts w:hint="eastAsia" w:ascii="仿宋" w:hAnsi="仿宋" w:eastAsia="仿宋" w:cs="仿宋"/>
                <w:color w:val="auto"/>
                <w:szCs w:val="21"/>
                <w:highlight w:val="none"/>
              </w:rPr>
            </w:pPr>
          </w:p>
        </w:tc>
        <w:tc>
          <w:tcPr>
            <w:tcW w:w="1653" w:type="dxa"/>
            <w:noWrap w:val="0"/>
            <w:vAlign w:val="top"/>
          </w:tcPr>
          <w:p w14:paraId="0B659ACC">
            <w:pPr>
              <w:spacing w:line="440" w:lineRule="exact"/>
              <w:jc w:val="left"/>
              <w:rPr>
                <w:rFonts w:hint="eastAsia" w:ascii="仿宋" w:hAnsi="仿宋" w:eastAsia="仿宋" w:cs="仿宋"/>
                <w:color w:val="auto"/>
                <w:szCs w:val="21"/>
                <w:highlight w:val="none"/>
              </w:rPr>
            </w:pPr>
          </w:p>
        </w:tc>
        <w:tc>
          <w:tcPr>
            <w:tcW w:w="688" w:type="dxa"/>
            <w:noWrap w:val="0"/>
            <w:vAlign w:val="top"/>
          </w:tcPr>
          <w:p w14:paraId="210DA556">
            <w:pPr>
              <w:spacing w:line="440" w:lineRule="exact"/>
              <w:jc w:val="left"/>
              <w:rPr>
                <w:rFonts w:hint="eastAsia" w:ascii="仿宋" w:hAnsi="仿宋" w:eastAsia="仿宋" w:cs="仿宋"/>
                <w:color w:val="auto"/>
                <w:szCs w:val="21"/>
                <w:highlight w:val="none"/>
              </w:rPr>
            </w:pPr>
          </w:p>
        </w:tc>
      </w:tr>
      <w:tr w14:paraId="07945C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6" w:type="dxa"/>
            <w:noWrap w:val="0"/>
            <w:vAlign w:val="top"/>
          </w:tcPr>
          <w:p w14:paraId="56848EE0">
            <w:pPr>
              <w:spacing w:line="440" w:lineRule="exact"/>
              <w:jc w:val="left"/>
              <w:rPr>
                <w:rFonts w:hint="eastAsia" w:ascii="仿宋" w:hAnsi="仿宋" w:eastAsia="仿宋" w:cs="仿宋"/>
                <w:color w:val="auto"/>
                <w:szCs w:val="21"/>
                <w:highlight w:val="none"/>
              </w:rPr>
            </w:pPr>
          </w:p>
        </w:tc>
        <w:tc>
          <w:tcPr>
            <w:tcW w:w="1087" w:type="dxa"/>
            <w:noWrap w:val="0"/>
            <w:vAlign w:val="top"/>
          </w:tcPr>
          <w:p w14:paraId="722DD639">
            <w:pPr>
              <w:spacing w:line="440" w:lineRule="exact"/>
              <w:jc w:val="left"/>
              <w:rPr>
                <w:rFonts w:hint="eastAsia" w:ascii="仿宋" w:hAnsi="仿宋" w:eastAsia="仿宋" w:cs="仿宋"/>
                <w:color w:val="auto"/>
                <w:szCs w:val="21"/>
                <w:highlight w:val="none"/>
              </w:rPr>
            </w:pPr>
          </w:p>
        </w:tc>
        <w:tc>
          <w:tcPr>
            <w:tcW w:w="760" w:type="dxa"/>
            <w:noWrap w:val="0"/>
            <w:vAlign w:val="top"/>
          </w:tcPr>
          <w:p w14:paraId="5974B9AC">
            <w:pPr>
              <w:spacing w:line="440" w:lineRule="exact"/>
              <w:jc w:val="left"/>
              <w:rPr>
                <w:rFonts w:hint="eastAsia" w:ascii="仿宋" w:hAnsi="仿宋" w:eastAsia="仿宋" w:cs="仿宋"/>
                <w:color w:val="auto"/>
                <w:szCs w:val="21"/>
                <w:highlight w:val="none"/>
              </w:rPr>
            </w:pPr>
          </w:p>
        </w:tc>
        <w:tc>
          <w:tcPr>
            <w:tcW w:w="991" w:type="dxa"/>
            <w:noWrap w:val="0"/>
            <w:vAlign w:val="top"/>
          </w:tcPr>
          <w:p w14:paraId="525DAD6B">
            <w:pPr>
              <w:spacing w:line="440" w:lineRule="exact"/>
              <w:jc w:val="left"/>
              <w:rPr>
                <w:rFonts w:hint="eastAsia" w:ascii="仿宋" w:hAnsi="仿宋" w:eastAsia="仿宋" w:cs="仿宋"/>
                <w:color w:val="auto"/>
                <w:szCs w:val="21"/>
                <w:highlight w:val="none"/>
              </w:rPr>
            </w:pPr>
          </w:p>
        </w:tc>
        <w:tc>
          <w:tcPr>
            <w:tcW w:w="672" w:type="dxa"/>
            <w:noWrap w:val="0"/>
            <w:vAlign w:val="top"/>
          </w:tcPr>
          <w:p w14:paraId="65BA2A1A">
            <w:pPr>
              <w:spacing w:line="440" w:lineRule="exact"/>
              <w:jc w:val="left"/>
              <w:rPr>
                <w:rFonts w:hint="eastAsia" w:ascii="仿宋" w:hAnsi="仿宋" w:eastAsia="仿宋" w:cs="仿宋"/>
                <w:color w:val="auto"/>
                <w:szCs w:val="21"/>
                <w:highlight w:val="none"/>
              </w:rPr>
            </w:pPr>
          </w:p>
        </w:tc>
        <w:tc>
          <w:tcPr>
            <w:tcW w:w="738" w:type="dxa"/>
            <w:noWrap w:val="0"/>
            <w:vAlign w:val="top"/>
          </w:tcPr>
          <w:p w14:paraId="59C5348A">
            <w:pPr>
              <w:spacing w:line="440" w:lineRule="exact"/>
              <w:jc w:val="left"/>
              <w:rPr>
                <w:rFonts w:hint="eastAsia" w:ascii="仿宋" w:hAnsi="仿宋" w:eastAsia="仿宋" w:cs="仿宋"/>
                <w:color w:val="auto"/>
                <w:szCs w:val="21"/>
                <w:highlight w:val="none"/>
              </w:rPr>
            </w:pPr>
          </w:p>
        </w:tc>
        <w:tc>
          <w:tcPr>
            <w:tcW w:w="1212" w:type="dxa"/>
            <w:noWrap w:val="0"/>
            <w:vAlign w:val="top"/>
          </w:tcPr>
          <w:p w14:paraId="7809FA64">
            <w:pPr>
              <w:spacing w:line="440" w:lineRule="exact"/>
              <w:jc w:val="left"/>
              <w:rPr>
                <w:rFonts w:hint="eastAsia" w:ascii="仿宋" w:hAnsi="仿宋" w:eastAsia="仿宋" w:cs="仿宋"/>
                <w:color w:val="auto"/>
                <w:szCs w:val="21"/>
                <w:highlight w:val="none"/>
              </w:rPr>
            </w:pPr>
          </w:p>
        </w:tc>
        <w:tc>
          <w:tcPr>
            <w:tcW w:w="1653" w:type="dxa"/>
            <w:noWrap w:val="0"/>
            <w:vAlign w:val="top"/>
          </w:tcPr>
          <w:p w14:paraId="2DC1E4A6">
            <w:pPr>
              <w:spacing w:line="440" w:lineRule="exact"/>
              <w:jc w:val="left"/>
              <w:rPr>
                <w:rFonts w:hint="eastAsia" w:ascii="仿宋" w:hAnsi="仿宋" w:eastAsia="仿宋" w:cs="仿宋"/>
                <w:color w:val="auto"/>
                <w:szCs w:val="21"/>
                <w:highlight w:val="none"/>
              </w:rPr>
            </w:pPr>
          </w:p>
        </w:tc>
        <w:tc>
          <w:tcPr>
            <w:tcW w:w="688" w:type="dxa"/>
            <w:noWrap w:val="0"/>
            <w:vAlign w:val="top"/>
          </w:tcPr>
          <w:p w14:paraId="126ED788">
            <w:pPr>
              <w:spacing w:line="440" w:lineRule="exact"/>
              <w:jc w:val="left"/>
              <w:rPr>
                <w:rFonts w:hint="eastAsia" w:ascii="仿宋" w:hAnsi="仿宋" w:eastAsia="仿宋" w:cs="仿宋"/>
                <w:color w:val="auto"/>
                <w:szCs w:val="21"/>
                <w:highlight w:val="none"/>
              </w:rPr>
            </w:pPr>
          </w:p>
        </w:tc>
      </w:tr>
      <w:tr w14:paraId="5867AB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6" w:type="dxa"/>
            <w:noWrap w:val="0"/>
            <w:vAlign w:val="top"/>
          </w:tcPr>
          <w:p w14:paraId="42DBA245">
            <w:pPr>
              <w:spacing w:line="440" w:lineRule="exact"/>
              <w:jc w:val="left"/>
              <w:rPr>
                <w:rFonts w:hint="eastAsia" w:ascii="仿宋" w:hAnsi="仿宋" w:eastAsia="仿宋" w:cs="仿宋"/>
                <w:color w:val="auto"/>
                <w:szCs w:val="21"/>
                <w:highlight w:val="none"/>
              </w:rPr>
            </w:pPr>
          </w:p>
        </w:tc>
        <w:tc>
          <w:tcPr>
            <w:tcW w:w="1087" w:type="dxa"/>
            <w:noWrap w:val="0"/>
            <w:vAlign w:val="top"/>
          </w:tcPr>
          <w:p w14:paraId="3ADD0CD3">
            <w:pPr>
              <w:spacing w:line="440" w:lineRule="exact"/>
              <w:jc w:val="left"/>
              <w:rPr>
                <w:rFonts w:hint="eastAsia" w:ascii="仿宋" w:hAnsi="仿宋" w:eastAsia="仿宋" w:cs="仿宋"/>
                <w:color w:val="auto"/>
                <w:szCs w:val="21"/>
                <w:highlight w:val="none"/>
              </w:rPr>
            </w:pPr>
          </w:p>
        </w:tc>
        <w:tc>
          <w:tcPr>
            <w:tcW w:w="760" w:type="dxa"/>
            <w:noWrap w:val="0"/>
            <w:vAlign w:val="top"/>
          </w:tcPr>
          <w:p w14:paraId="613EA6EB">
            <w:pPr>
              <w:spacing w:line="440" w:lineRule="exact"/>
              <w:jc w:val="left"/>
              <w:rPr>
                <w:rFonts w:hint="eastAsia" w:ascii="仿宋" w:hAnsi="仿宋" w:eastAsia="仿宋" w:cs="仿宋"/>
                <w:color w:val="auto"/>
                <w:szCs w:val="21"/>
                <w:highlight w:val="none"/>
              </w:rPr>
            </w:pPr>
          </w:p>
        </w:tc>
        <w:tc>
          <w:tcPr>
            <w:tcW w:w="991" w:type="dxa"/>
            <w:noWrap w:val="0"/>
            <w:vAlign w:val="top"/>
          </w:tcPr>
          <w:p w14:paraId="3D4BBBBF">
            <w:pPr>
              <w:spacing w:line="440" w:lineRule="exact"/>
              <w:jc w:val="left"/>
              <w:rPr>
                <w:rFonts w:hint="eastAsia" w:ascii="仿宋" w:hAnsi="仿宋" w:eastAsia="仿宋" w:cs="仿宋"/>
                <w:color w:val="auto"/>
                <w:szCs w:val="21"/>
                <w:highlight w:val="none"/>
              </w:rPr>
            </w:pPr>
          </w:p>
        </w:tc>
        <w:tc>
          <w:tcPr>
            <w:tcW w:w="672" w:type="dxa"/>
            <w:noWrap w:val="0"/>
            <w:vAlign w:val="top"/>
          </w:tcPr>
          <w:p w14:paraId="4876B4FC">
            <w:pPr>
              <w:spacing w:line="440" w:lineRule="exact"/>
              <w:jc w:val="left"/>
              <w:rPr>
                <w:rFonts w:hint="eastAsia" w:ascii="仿宋" w:hAnsi="仿宋" w:eastAsia="仿宋" w:cs="仿宋"/>
                <w:color w:val="auto"/>
                <w:szCs w:val="21"/>
                <w:highlight w:val="none"/>
              </w:rPr>
            </w:pPr>
          </w:p>
        </w:tc>
        <w:tc>
          <w:tcPr>
            <w:tcW w:w="738" w:type="dxa"/>
            <w:noWrap w:val="0"/>
            <w:vAlign w:val="top"/>
          </w:tcPr>
          <w:p w14:paraId="7E6AF730">
            <w:pPr>
              <w:spacing w:line="440" w:lineRule="exact"/>
              <w:jc w:val="left"/>
              <w:rPr>
                <w:rFonts w:hint="eastAsia" w:ascii="仿宋" w:hAnsi="仿宋" w:eastAsia="仿宋" w:cs="仿宋"/>
                <w:color w:val="auto"/>
                <w:szCs w:val="21"/>
                <w:highlight w:val="none"/>
              </w:rPr>
            </w:pPr>
          </w:p>
        </w:tc>
        <w:tc>
          <w:tcPr>
            <w:tcW w:w="1212" w:type="dxa"/>
            <w:noWrap w:val="0"/>
            <w:vAlign w:val="top"/>
          </w:tcPr>
          <w:p w14:paraId="4506C185">
            <w:pPr>
              <w:spacing w:line="440" w:lineRule="exact"/>
              <w:jc w:val="left"/>
              <w:rPr>
                <w:rFonts w:hint="eastAsia" w:ascii="仿宋" w:hAnsi="仿宋" w:eastAsia="仿宋" w:cs="仿宋"/>
                <w:color w:val="auto"/>
                <w:szCs w:val="21"/>
                <w:highlight w:val="none"/>
              </w:rPr>
            </w:pPr>
          </w:p>
        </w:tc>
        <w:tc>
          <w:tcPr>
            <w:tcW w:w="1653" w:type="dxa"/>
            <w:noWrap w:val="0"/>
            <w:vAlign w:val="top"/>
          </w:tcPr>
          <w:p w14:paraId="0C092AA4">
            <w:pPr>
              <w:spacing w:line="440" w:lineRule="exact"/>
              <w:jc w:val="left"/>
              <w:rPr>
                <w:rFonts w:hint="eastAsia" w:ascii="仿宋" w:hAnsi="仿宋" w:eastAsia="仿宋" w:cs="仿宋"/>
                <w:color w:val="auto"/>
                <w:szCs w:val="21"/>
                <w:highlight w:val="none"/>
              </w:rPr>
            </w:pPr>
          </w:p>
        </w:tc>
        <w:tc>
          <w:tcPr>
            <w:tcW w:w="688" w:type="dxa"/>
            <w:noWrap w:val="0"/>
            <w:vAlign w:val="top"/>
          </w:tcPr>
          <w:p w14:paraId="5BFC5FD3">
            <w:pPr>
              <w:spacing w:line="440" w:lineRule="exact"/>
              <w:jc w:val="left"/>
              <w:rPr>
                <w:rFonts w:hint="eastAsia" w:ascii="仿宋" w:hAnsi="仿宋" w:eastAsia="仿宋" w:cs="仿宋"/>
                <w:color w:val="auto"/>
                <w:szCs w:val="21"/>
                <w:highlight w:val="none"/>
              </w:rPr>
            </w:pPr>
          </w:p>
        </w:tc>
      </w:tr>
      <w:tr w14:paraId="01843B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6" w:type="dxa"/>
            <w:noWrap w:val="0"/>
            <w:vAlign w:val="top"/>
          </w:tcPr>
          <w:p w14:paraId="227F6867">
            <w:pPr>
              <w:spacing w:line="440" w:lineRule="exact"/>
              <w:jc w:val="left"/>
              <w:rPr>
                <w:rFonts w:hint="eastAsia" w:ascii="仿宋" w:hAnsi="仿宋" w:eastAsia="仿宋" w:cs="仿宋"/>
                <w:color w:val="auto"/>
                <w:szCs w:val="21"/>
                <w:highlight w:val="none"/>
              </w:rPr>
            </w:pPr>
          </w:p>
        </w:tc>
        <w:tc>
          <w:tcPr>
            <w:tcW w:w="1087" w:type="dxa"/>
            <w:noWrap w:val="0"/>
            <w:vAlign w:val="top"/>
          </w:tcPr>
          <w:p w14:paraId="0DECC92A">
            <w:pPr>
              <w:spacing w:line="440" w:lineRule="exact"/>
              <w:jc w:val="left"/>
              <w:rPr>
                <w:rFonts w:hint="eastAsia" w:ascii="仿宋" w:hAnsi="仿宋" w:eastAsia="仿宋" w:cs="仿宋"/>
                <w:color w:val="auto"/>
                <w:szCs w:val="21"/>
                <w:highlight w:val="none"/>
              </w:rPr>
            </w:pPr>
          </w:p>
        </w:tc>
        <w:tc>
          <w:tcPr>
            <w:tcW w:w="760" w:type="dxa"/>
            <w:noWrap w:val="0"/>
            <w:vAlign w:val="top"/>
          </w:tcPr>
          <w:p w14:paraId="100A9DAE">
            <w:pPr>
              <w:spacing w:line="440" w:lineRule="exact"/>
              <w:jc w:val="left"/>
              <w:rPr>
                <w:rFonts w:hint="eastAsia" w:ascii="仿宋" w:hAnsi="仿宋" w:eastAsia="仿宋" w:cs="仿宋"/>
                <w:color w:val="auto"/>
                <w:szCs w:val="21"/>
                <w:highlight w:val="none"/>
              </w:rPr>
            </w:pPr>
          </w:p>
        </w:tc>
        <w:tc>
          <w:tcPr>
            <w:tcW w:w="991" w:type="dxa"/>
            <w:noWrap w:val="0"/>
            <w:vAlign w:val="top"/>
          </w:tcPr>
          <w:p w14:paraId="158A2CC4">
            <w:pPr>
              <w:spacing w:line="440" w:lineRule="exact"/>
              <w:jc w:val="left"/>
              <w:rPr>
                <w:rFonts w:hint="eastAsia" w:ascii="仿宋" w:hAnsi="仿宋" w:eastAsia="仿宋" w:cs="仿宋"/>
                <w:color w:val="auto"/>
                <w:szCs w:val="21"/>
                <w:highlight w:val="none"/>
              </w:rPr>
            </w:pPr>
          </w:p>
        </w:tc>
        <w:tc>
          <w:tcPr>
            <w:tcW w:w="672" w:type="dxa"/>
            <w:noWrap w:val="0"/>
            <w:vAlign w:val="top"/>
          </w:tcPr>
          <w:p w14:paraId="7E360E57">
            <w:pPr>
              <w:spacing w:line="440" w:lineRule="exact"/>
              <w:jc w:val="left"/>
              <w:rPr>
                <w:rFonts w:hint="eastAsia" w:ascii="仿宋" w:hAnsi="仿宋" w:eastAsia="仿宋" w:cs="仿宋"/>
                <w:color w:val="auto"/>
                <w:szCs w:val="21"/>
                <w:highlight w:val="none"/>
              </w:rPr>
            </w:pPr>
          </w:p>
        </w:tc>
        <w:tc>
          <w:tcPr>
            <w:tcW w:w="738" w:type="dxa"/>
            <w:noWrap w:val="0"/>
            <w:vAlign w:val="top"/>
          </w:tcPr>
          <w:p w14:paraId="3F73F13A">
            <w:pPr>
              <w:spacing w:line="440" w:lineRule="exact"/>
              <w:jc w:val="left"/>
              <w:rPr>
                <w:rFonts w:hint="eastAsia" w:ascii="仿宋" w:hAnsi="仿宋" w:eastAsia="仿宋" w:cs="仿宋"/>
                <w:color w:val="auto"/>
                <w:szCs w:val="21"/>
                <w:highlight w:val="none"/>
              </w:rPr>
            </w:pPr>
          </w:p>
        </w:tc>
        <w:tc>
          <w:tcPr>
            <w:tcW w:w="1212" w:type="dxa"/>
            <w:noWrap w:val="0"/>
            <w:vAlign w:val="top"/>
          </w:tcPr>
          <w:p w14:paraId="535E867E">
            <w:pPr>
              <w:spacing w:line="440" w:lineRule="exact"/>
              <w:jc w:val="left"/>
              <w:rPr>
                <w:rFonts w:hint="eastAsia" w:ascii="仿宋" w:hAnsi="仿宋" w:eastAsia="仿宋" w:cs="仿宋"/>
                <w:color w:val="auto"/>
                <w:szCs w:val="21"/>
                <w:highlight w:val="none"/>
              </w:rPr>
            </w:pPr>
          </w:p>
        </w:tc>
        <w:tc>
          <w:tcPr>
            <w:tcW w:w="1653" w:type="dxa"/>
            <w:noWrap w:val="0"/>
            <w:vAlign w:val="top"/>
          </w:tcPr>
          <w:p w14:paraId="03DAE4D8">
            <w:pPr>
              <w:spacing w:line="440" w:lineRule="exact"/>
              <w:jc w:val="left"/>
              <w:rPr>
                <w:rFonts w:hint="eastAsia" w:ascii="仿宋" w:hAnsi="仿宋" w:eastAsia="仿宋" w:cs="仿宋"/>
                <w:color w:val="auto"/>
                <w:szCs w:val="21"/>
                <w:highlight w:val="none"/>
              </w:rPr>
            </w:pPr>
          </w:p>
        </w:tc>
        <w:tc>
          <w:tcPr>
            <w:tcW w:w="688" w:type="dxa"/>
            <w:noWrap w:val="0"/>
            <w:vAlign w:val="top"/>
          </w:tcPr>
          <w:p w14:paraId="277EBBBF">
            <w:pPr>
              <w:spacing w:line="440" w:lineRule="exact"/>
              <w:jc w:val="left"/>
              <w:rPr>
                <w:rFonts w:hint="eastAsia" w:ascii="仿宋" w:hAnsi="仿宋" w:eastAsia="仿宋" w:cs="仿宋"/>
                <w:color w:val="auto"/>
                <w:szCs w:val="21"/>
                <w:highlight w:val="none"/>
              </w:rPr>
            </w:pPr>
          </w:p>
        </w:tc>
      </w:tr>
      <w:tr w14:paraId="44974B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6" w:type="dxa"/>
            <w:noWrap w:val="0"/>
            <w:vAlign w:val="top"/>
          </w:tcPr>
          <w:p w14:paraId="7ABCE563">
            <w:pPr>
              <w:spacing w:line="440" w:lineRule="exact"/>
              <w:jc w:val="left"/>
              <w:rPr>
                <w:rFonts w:hint="eastAsia" w:ascii="仿宋" w:hAnsi="仿宋" w:eastAsia="仿宋" w:cs="仿宋"/>
                <w:color w:val="auto"/>
                <w:szCs w:val="21"/>
                <w:highlight w:val="none"/>
              </w:rPr>
            </w:pPr>
          </w:p>
        </w:tc>
        <w:tc>
          <w:tcPr>
            <w:tcW w:w="1087" w:type="dxa"/>
            <w:noWrap w:val="0"/>
            <w:vAlign w:val="top"/>
          </w:tcPr>
          <w:p w14:paraId="6D776065">
            <w:pPr>
              <w:spacing w:line="440" w:lineRule="exact"/>
              <w:jc w:val="left"/>
              <w:rPr>
                <w:rFonts w:hint="eastAsia" w:ascii="仿宋" w:hAnsi="仿宋" w:eastAsia="仿宋" w:cs="仿宋"/>
                <w:color w:val="auto"/>
                <w:szCs w:val="21"/>
                <w:highlight w:val="none"/>
              </w:rPr>
            </w:pPr>
          </w:p>
        </w:tc>
        <w:tc>
          <w:tcPr>
            <w:tcW w:w="760" w:type="dxa"/>
            <w:noWrap w:val="0"/>
            <w:vAlign w:val="top"/>
          </w:tcPr>
          <w:p w14:paraId="3F2A9D43">
            <w:pPr>
              <w:spacing w:line="440" w:lineRule="exact"/>
              <w:jc w:val="left"/>
              <w:rPr>
                <w:rFonts w:hint="eastAsia" w:ascii="仿宋" w:hAnsi="仿宋" w:eastAsia="仿宋" w:cs="仿宋"/>
                <w:color w:val="auto"/>
                <w:szCs w:val="21"/>
                <w:highlight w:val="none"/>
              </w:rPr>
            </w:pPr>
          </w:p>
        </w:tc>
        <w:tc>
          <w:tcPr>
            <w:tcW w:w="991" w:type="dxa"/>
            <w:noWrap w:val="0"/>
            <w:vAlign w:val="top"/>
          </w:tcPr>
          <w:p w14:paraId="34F36998">
            <w:pPr>
              <w:spacing w:line="440" w:lineRule="exact"/>
              <w:jc w:val="left"/>
              <w:rPr>
                <w:rFonts w:hint="eastAsia" w:ascii="仿宋" w:hAnsi="仿宋" w:eastAsia="仿宋" w:cs="仿宋"/>
                <w:color w:val="auto"/>
                <w:szCs w:val="21"/>
                <w:highlight w:val="none"/>
              </w:rPr>
            </w:pPr>
          </w:p>
        </w:tc>
        <w:tc>
          <w:tcPr>
            <w:tcW w:w="672" w:type="dxa"/>
            <w:noWrap w:val="0"/>
            <w:vAlign w:val="top"/>
          </w:tcPr>
          <w:p w14:paraId="2EFC21F6">
            <w:pPr>
              <w:spacing w:line="440" w:lineRule="exact"/>
              <w:jc w:val="left"/>
              <w:rPr>
                <w:rFonts w:hint="eastAsia" w:ascii="仿宋" w:hAnsi="仿宋" w:eastAsia="仿宋" w:cs="仿宋"/>
                <w:color w:val="auto"/>
                <w:szCs w:val="21"/>
                <w:highlight w:val="none"/>
              </w:rPr>
            </w:pPr>
          </w:p>
        </w:tc>
        <w:tc>
          <w:tcPr>
            <w:tcW w:w="738" w:type="dxa"/>
            <w:noWrap w:val="0"/>
            <w:vAlign w:val="top"/>
          </w:tcPr>
          <w:p w14:paraId="4636B7C0">
            <w:pPr>
              <w:spacing w:line="440" w:lineRule="exact"/>
              <w:jc w:val="left"/>
              <w:rPr>
                <w:rFonts w:hint="eastAsia" w:ascii="仿宋" w:hAnsi="仿宋" w:eastAsia="仿宋" w:cs="仿宋"/>
                <w:color w:val="auto"/>
                <w:szCs w:val="21"/>
                <w:highlight w:val="none"/>
              </w:rPr>
            </w:pPr>
          </w:p>
        </w:tc>
        <w:tc>
          <w:tcPr>
            <w:tcW w:w="1212" w:type="dxa"/>
            <w:noWrap w:val="0"/>
            <w:vAlign w:val="top"/>
          </w:tcPr>
          <w:p w14:paraId="11709D6E">
            <w:pPr>
              <w:spacing w:line="440" w:lineRule="exact"/>
              <w:jc w:val="left"/>
              <w:rPr>
                <w:rFonts w:hint="eastAsia" w:ascii="仿宋" w:hAnsi="仿宋" w:eastAsia="仿宋" w:cs="仿宋"/>
                <w:color w:val="auto"/>
                <w:szCs w:val="21"/>
                <w:highlight w:val="none"/>
              </w:rPr>
            </w:pPr>
          </w:p>
        </w:tc>
        <w:tc>
          <w:tcPr>
            <w:tcW w:w="1653" w:type="dxa"/>
            <w:noWrap w:val="0"/>
            <w:vAlign w:val="top"/>
          </w:tcPr>
          <w:p w14:paraId="187F24C2">
            <w:pPr>
              <w:spacing w:line="440" w:lineRule="exact"/>
              <w:jc w:val="left"/>
              <w:rPr>
                <w:rFonts w:hint="eastAsia" w:ascii="仿宋" w:hAnsi="仿宋" w:eastAsia="仿宋" w:cs="仿宋"/>
                <w:color w:val="auto"/>
                <w:szCs w:val="21"/>
                <w:highlight w:val="none"/>
              </w:rPr>
            </w:pPr>
          </w:p>
        </w:tc>
        <w:tc>
          <w:tcPr>
            <w:tcW w:w="688" w:type="dxa"/>
            <w:noWrap w:val="0"/>
            <w:vAlign w:val="top"/>
          </w:tcPr>
          <w:p w14:paraId="4C19AED8">
            <w:pPr>
              <w:spacing w:line="440" w:lineRule="exact"/>
              <w:jc w:val="left"/>
              <w:rPr>
                <w:rFonts w:hint="eastAsia" w:ascii="仿宋" w:hAnsi="仿宋" w:eastAsia="仿宋" w:cs="仿宋"/>
                <w:color w:val="auto"/>
                <w:szCs w:val="21"/>
                <w:highlight w:val="none"/>
              </w:rPr>
            </w:pPr>
          </w:p>
        </w:tc>
      </w:tr>
      <w:tr w14:paraId="120A92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6" w:type="dxa"/>
            <w:noWrap w:val="0"/>
            <w:vAlign w:val="top"/>
          </w:tcPr>
          <w:p w14:paraId="1E28D9BF">
            <w:pPr>
              <w:spacing w:line="440" w:lineRule="exact"/>
              <w:jc w:val="left"/>
              <w:rPr>
                <w:rFonts w:hint="eastAsia" w:ascii="仿宋" w:hAnsi="仿宋" w:eastAsia="仿宋" w:cs="仿宋"/>
                <w:color w:val="auto"/>
                <w:szCs w:val="21"/>
                <w:highlight w:val="none"/>
              </w:rPr>
            </w:pPr>
          </w:p>
        </w:tc>
        <w:tc>
          <w:tcPr>
            <w:tcW w:w="1087" w:type="dxa"/>
            <w:noWrap w:val="0"/>
            <w:vAlign w:val="top"/>
          </w:tcPr>
          <w:p w14:paraId="652893F9">
            <w:pPr>
              <w:spacing w:line="440" w:lineRule="exact"/>
              <w:jc w:val="left"/>
              <w:rPr>
                <w:rFonts w:hint="eastAsia" w:ascii="仿宋" w:hAnsi="仿宋" w:eastAsia="仿宋" w:cs="仿宋"/>
                <w:color w:val="auto"/>
                <w:szCs w:val="21"/>
                <w:highlight w:val="none"/>
              </w:rPr>
            </w:pPr>
          </w:p>
        </w:tc>
        <w:tc>
          <w:tcPr>
            <w:tcW w:w="760" w:type="dxa"/>
            <w:noWrap w:val="0"/>
            <w:vAlign w:val="top"/>
          </w:tcPr>
          <w:p w14:paraId="492BC0E1">
            <w:pPr>
              <w:spacing w:line="440" w:lineRule="exact"/>
              <w:jc w:val="left"/>
              <w:rPr>
                <w:rFonts w:hint="eastAsia" w:ascii="仿宋" w:hAnsi="仿宋" w:eastAsia="仿宋" w:cs="仿宋"/>
                <w:color w:val="auto"/>
                <w:szCs w:val="21"/>
                <w:highlight w:val="none"/>
              </w:rPr>
            </w:pPr>
          </w:p>
        </w:tc>
        <w:tc>
          <w:tcPr>
            <w:tcW w:w="991" w:type="dxa"/>
            <w:noWrap w:val="0"/>
            <w:vAlign w:val="top"/>
          </w:tcPr>
          <w:p w14:paraId="72301147">
            <w:pPr>
              <w:spacing w:line="440" w:lineRule="exact"/>
              <w:jc w:val="left"/>
              <w:rPr>
                <w:rFonts w:hint="eastAsia" w:ascii="仿宋" w:hAnsi="仿宋" w:eastAsia="仿宋" w:cs="仿宋"/>
                <w:color w:val="auto"/>
                <w:szCs w:val="21"/>
                <w:highlight w:val="none"/>
              </w:rPr>
            </w:pPr>
          </w:p>
        </w:tc>
        <w:tc>
          <w:tcPr>
            <w:tcW w:w="672" w:type="dxa"/>
            <w:noWrap w:val="0"/>
            <w:vAlign w:val="top"/>
          </w:tcPr>
          <w:p w14:paraId="562E6F1B">
            <w:pPr>
              <w:spacing w:line="440" w:lineRule="exact"/>
              <w:jc w:val="left"/>
              <w:rPr>
                <w:rFonts w:hint="eastAsia" w:ascii="仿宋" w:hAnsi="仿宋" w:eastAsia="仿宋" w:cs="仿宋"/>
                <w:color w:val="auto"/>
                <w:szCs w:val="21"/>
                <w:highlight w:val="none"/>
              </w:rPr>
            </w:pPr>
          </w:p>
        </w:tc>
        <w:tc>
          <w:tcPr>
            <w:tcW w:w="738" w:type="dxa"/>
            <w:noWrap w:val="0"/>
            <w:vAlign w:val="top"/>
          </w:tcPr>
          <w:p w14:paraId="04B856F2">
            <w:pPr>
              <w:spacing w:line="440" w:lineRule="exact"/>
              <w:jc w:val="left"/>
              <w:rPr>
                <w:rFonts w:hint="eastAsia" w:ascii="仿宋" w:hAnsi="仿宋" w:eastAsia="仿宋" w:cs="仿宋"/>
                <w:color w:val="auto"/>
                <w:szCs w:val="21"/>
                <w:highlight w:val="none"/>
              </w:rPr>
            </w:pPr>
          </w:p>
        </w:tc>
        <w:tc>
          <w:tcPr>
            <w:tcW w:w="1212" w:type="dxa"/>
            <w:noWrap w:val="0"/>
            <w:vAlign w:val="top"/>
          </w:tcPr>
          <w:p w14:paraId="56CFE859">
            <w:pPr>
              <w:spacing w:line="440" w:lineRule="exact"/>
              <w:jc w:val="left"/>
              <w:rPr>
                <w:rFonts w:hint="eastAsia" w:ascii="仿宋" w:hAnsi="仿宋" w:eastAsia="仿宋" w:cs="仿宋"/>
                <w:color w:val="auto"/>
                <w:szCs w:val="21"/>
                <w:highlight w:val="none"/>
              </w:rPr>
            </w:pPr>
          </w:p>
        </w:tc>
        <w:tc>
          <w:tcPr>
            <w:tcW w:w="1653" w:type="dxa"/>
            <w:noWrap w:val="0"/>
            <w:vAlign w:val="top"/>
          </w:tcPr>
          <w:p w14:paraId="5152E158">
            <w:pPr>
              <w:spacing w:line="440" w:lineRule="exact"/>
              <w:jc w:val="left"/>
              <w:rPr>
                <w:rFonts w:hint="eastAsia" w:ascii="仿宋" w:hAnsi="仿宋" w:eastAsia="仿宋" w:cs="仿宋"/>
                <w:color w:val="auto"/>
                <w:szCs w:val="21"/>
                <w:highlight w:val="none"/>
              </w:rPr>
            </w:pPr>
          </w:p>
        </w:tc>
        <w:tc>
          <w:tcPr>
            <w:tcW w:w="688" w:type="dxa"/>
            <w:noWrap w:val="0"/>
            <w:vAlign w:val="top"/>
          </w:tcPr>
          <w:p w14:paraId="04A1A642">
            <w:pPr>
              <w:spacing w:line="440" w:lineRule="exact"/>
              <w:jc w:val="left"/>
              <w:rPr>
                <w:rFonts w:hint="eastAsia" w:ascii="仿宋" w:hAnsi="仿宋" w:eastAsia="仿宋" w:cs="仿宋"/>
                <w:color w:val="auto"/>
                <w:szCs w:val="21"/>
                <w:highlight w:val="none"/>
              </w:rPr>
            </w:pPr>
          </w:p>
        </w:tc>
      </w:tr>
      <w:tr w14:paraId="63EDD0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6" w:type="dxa"/>
            <w:noWrap w:val="0"/>
            <w:vAlign w:val="top"/>
          </w:tcPr>
          <w:p w14:paraId="5D7E40F8">
            <w:pPr>
              <w:spacing w:line="440" w:lineRule="exact"/>
              <w:jc w:val="left"/>
              <w:rPr>
                <w:rFonts w:hint="eastAsia" w:ascii="仿宋" w:hAnsi="仿宋" w:eastAsia="仿宋" w:cs="仿宋"/>
                <w:color w:val="auto"/>
                <w:szCs w:val="21"/>
                <w:highlight w:val="none"/>
              </w:rPr>
            </w:pPr>
          </w:p>
        </w:tc>
        <w:tc>
          <w:tcPr>
            <w:tcW w:w="1087" w:type="dxa"/>
            <w:noWrap w:val="0"/>
            <w:vAlign w:val="top"/>
          </w:tcPr>
          <w:p w14:paraId="419E0EA0">
            <w:pPr>
              <w:spacing w:line="440" w:lineRule="exact"/>
              <w:jc w:val="left"/>
              <w:rPr>
                <w:rFonts w:hint="eastAsia" w:ascii="仿宋" w:hAnsi="仿宋" w:eastAsia="仿宋" w:cs="仿宋"/>
                <w:color w:val="auto"/>
                <w:szCs w:val="21"/>
                <w:highlight w:val="none"/>
              </w:rPr>
            </w:pPr>
          </w:p>
        </w:tc>
        <w:tc>
          <w:tcPr>
            <w:tcW w:w="760" w:type="dxa"/>
            <w:noWrap w:val="0"/>
            <w:vAlign w:val="top"/>
          </w:tcPr>
          <w:p w14:paraId="0FFBF19E">
            <w:pPr>
              <w:spacing w:line="440" w:lineRule="exact"/>
              <w:jc w:val="left"/>
              <w:rPr>
                <w:rFonts w:hint="eastAsia" w:ascii="仿宋" w:hAnsi="仿宋" w:eastAsia="仿宋" w:cs="仿宋"/>
                <w:color w:val="auto"/>
                <w:szCs w:val="21"/>
                <w:highlight w:val="none"/>
              </w:rPr>
            </w:pPr>
          </w:p>
        </w:tc>
        <w:tc>
          <w:tcPr>
            <w:tcW w:w="991" w:type="dxa"/>
            <w:noWrap w:val="0"/>
            <w:vAlign w:val="top"/>
          </w:tcPr>
          <w:p w14:paraId="5CEB7F8B">
            <w:pPr>
              <w:spacing w:line="440" w:lineRule="exact"/>
              <w:jc w:val="left"/>
              <w:rPr>
                <w:rFonts w:hint="eastAsia" w:ascii="仿宋" w:hAnsi="仿宋" w:eastAsia="仿宋" w:cs="仿宋"/>
                <w:color w:val="auto"/>
                <w:szCs w:val="21"/>
                <w:highlight w:val="none"/>
              </w:rPr>
            </w:pPr>
          </w:p>
        </w:tc>
        <w:tc>
          <w:tcPr>
            <w:tcW w:w="672" w:type="dxa"/>
            <w:noWrap w:val="0"/>
            <w:vAlign w:val="top"/>
          </w:tcPr>
          <w:p w14:paraId="2160FB42">
            <w:pPr>
              <w:spacing w:line="440" w:lineRule="exact"/>
              <w:jc w:val="left"/>
              <w:rPr>
                <w:rFonts w:hint="eastAsia" w:ascii="仿宋" w:hAnsi="仿宋" w:eastAsia="仿宋" w:cs="仿宋"/>
                <w:color w:val="auto"/>
                <w:szCs w:val="21"/>
                <w:highlight w:val="none"/>
              </w:rPr>
            </w:pPr>
          </w:p>
        </w:tc>
        <w:tc>
          <w:tcPr>
            <w:tcW w:w="738" w:type="dxa"/>
            <w:noWrap w:val="0"/>
            <w:vAlign w:val="top"/>
          </w:tcPr>
          <w:p w14:paraId="420D4693">
            <w:pPr>
              <w:spacing w:line="440" w:lineRule="exact"/>
              <w:jc w:val="left"/>
              <w:rPr>
                <w:rFonts w:hint="eastAsia" w:ascii="仿宋" w:hAnsi="仿宋" w:eastAsia="仿宋" w:cs="仿宋"/>
                <w:color w:val="auto"/>
                <w:szCs w:val="21"/>
                <w:highlight w:val="none"/>
              </w:rPr>
            </w:pPr>
          </w:p>
        </w:tc>
        <w:tc>
          <w:tcPr>
            <w:tcW w:w="1212" w:type="dxa"/>
            <w:noWrap w:val="0"/>
            <w:vAlign w:val="top"/>
          </w:tcPr>
          <w:p w14:paraId="1EFBE6A4">
            <w:pPr>
              <w:spacing w:line="440" w:lineRule="exact"/>
              <w:jc w:val="left"/>
              <w:rPr>
                <w:rFonts w:hint="eastAsia" w:ascii="仿宋" w:hAnsi="仿宋" w:eastAsia="仿宋" w:cs="仿宋"/>
                <w:color w:val="auto"/>
                <w:szCs w:val="21"/>
                <w:highlight w:val="none"/>
              </w:rPr>
            </w:pPr>
          </w:p>
        </w:tc>
        <w:tc>
          <w:tcPr>
            <w:tcW w:w="1653" w:type="dxa"/>
            <w:noWrap w:val="0"/>
            <w:vAlign w:val="top"/>
          </w:tcPr>
          <w:p w14:paraId="7BCA355F">
            <w:pPr>
              <w:spacing w:line="440" w:lineRule="exact"/>
              <w:jc w:val="left"/>
              <w:rPr>
                <w:rFonts w:hint="eastAsia" w:ascii="仿宋" w:hAnsi="仿宋" w:eastAsia="仿宋" w:cs="仿宋"/>
                <w:color w:val="auto"/>
                <w:szCs w:val="21"/>
                <w:highlight w:val="none"/>
              </w:rPr>
            </w:pPr>
          </w:p>
        </w:tc>
        <w:tc>
          <w:tcPr>
            <w:tcW w:w="688" w:type="dxa"/>
            <w:noWrap w:val="0"/>
            <w:vAlign w:val="top"/>
          </w:tcPr>
          <w:p w14:paraId="276134E2">
            <w:pPr>
              <w:spacing w:line="440" w:lineRule="exact"/>
              <w:jc w:val="left"/>
              <w:rPr>
                <w:rFonts w:hint="eastAsia" w:ascii="仿宋" w:hAnsi="仿宋" w:eastAsia="仿宋" w:cs="仿宋"/>
                <w:color w:val="auto"/>
                <w:szCs w:val="21"/>
                <w:highlight w:val="none"/>
              </w:rPr>
            </w:pPr>
          </w:p>
        </w:tc>
      </w:tr>
      <w:tr w14:paraId="7ACD03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6" w:type="dxa"/>
            <w:noWrap w:val="0"/>
            <w:vAlign w:val="top"/>
          </w:tcPr>
          <w:p w14:paraId="0ACDE8CB">
            <w:pPr>
              <w:spacing w:line="440" w:lineRule="exact"/>
              <w:jc w:val="left"/>
              <w:rPr>
                <w:rFonts w:hint="eastAsia" w:ascii="仿宋" w:hAnsi="仿宋" w:eastAsia="仿宋" w:cs="仿宋"/>
                <w:color w:val="auto"/>
                <w:szCs w:val="21"/>
                <w:highlight w:val="none"/>
              </w:rPr>
            </w:pPr>
          </w:p>
        </w:tc>
        <w:tc>
          <w:tcPr>
            <w:tcW w:w="1087" w:type="dxa"/>
            <w:noWrap w:val="0"/>
            <w:vAlign w:val="top"/>
          </w:tcPr>
          <w:p w14:paraId="5E7DCC49">
            <w:pPr>
              <w:spacing w:line="440" w:lineRule="exact"/>
              <w:jc w:val="left"/>
              <w:rPr>
                <w:rFonts w:hint="eastAsia" w:ascii="仿宋" w:hAnsi="仿宋" w:eastAsia="仿宋" w:cs="仿宋"/>
                <w:color w:val="auto"/>
                <w:szCs w:val="21"/>
                <w:highlight w:val="none"/>
              </w:rPr>
            </w:pPr>
          </w:p>
        </w:tc>
        <w:tc>
          <w:tcPr>
            <w:tcW w:w="760" w:type="dxa"/>
            <w:noWrap w:val="0"/>
            <w:vAlign w:val="top"/>
          </w:tcPr>
          <w:p w14:paraId="41A80C1B">
            <w:pPr>
              <w:spacing w:line="440" w:lineRule="exact"/>
              <w:jc w:val="left"/>
              <w:rPr>
                <w:rFonts w:hint="eastAsia" w:ascii="仿宋" w:hAnsi="仿宋" w:eastAsia="仿宋" w:cs="仿宋"/>
                <w:color w:val="auto"/>
                <w:szCs w:val="21"/>
                <w:highlight w:val="none"/>
              </w:rPr>
            </w:pPr>
          </w:p>
        </w:tc>
        <w:tc>
          <w:tcPr>
            <w:tcW w:w="991" w:type="dxa"/>
            <w:noWrap w:val="0"/>
            <w:vAlign w:val="top"/>
          </w:tcPr>
          <w:p w14:paraId="17E75B47">
            <w:pPr>
              <w:spacing w:line="440" w:lineRule="exact"/>
              <w:jc w:val="left"/>
              <w:rPr>
                <w:rFonts w:hint="eastAsia" w:ascii="仿宋" w:hAnsi="仿宋" w:eastAsia="仿宋" w:cs="仿宋"/>
                <w:color w:val="auto"/>
                <w:szCs w:val="21"/>
                <w:highlight w:val="none"/>
              </w:rPr>
            </w:pPr>
          </w:p>
        </w:tc>
        <w:tc>
          <w:tcPr>
            <w:tcW w:w="672" w:type="dxa"/>
            <w:noWrap w:val="0"/>
            <w:vAlign w:val="top"/>
          </w:tcPr>
          <w:p w14:paraId="0A5BD9D4">
            <w:pPr>
              <w:spacing w:line="440" w:lineRule="exact"/>
              <w:jc w:val="left"/>
              <w:rPr>
                <w:rFonts w:hint="eastAsia" w:ascii="仿宋" w:hAnsi="仿宋" w:eastAsia="仿宋" w:cs="仿宋"/>
                <w:color w:val="auto"/>
                <w:szCs w:val="21"/>
                <w:highlight w:val="none"/>
              </w:rPr>
            </w:pPr>
          </w:p>
        </w:tc>
        <w:tc>
          <w:tcPr>
            <w:tcW w:w="738" w:type="dxa"/>
            <w:noWrap w:val="0"/>
            <w:vAlign w:val="top"/>
          </w:tcPr>
          <w:p w14:paraId="55E953D6">
            <w:pPr>
              <w:spacing w:line="440" w:lineRule="exact"/>
              <w:jc w:val="left"/>
              <w:rPr>
                <w:rFonts w:hint="eastAsia" w:ascii="仿宋" w:hAnsi="仿宋" w:eastAsia="仿宋" w:cs="仿宋"/>
                <w:color w:val="auto"/>
                <w:szCs w:val="21"/>
                <w:highlight w:val="none"/>
              </w:rPr>
            </w:pPr>
          </w:p>
        </w:tc>
        <w:tc>
          <w:tcPr>
            <w:tcW w:w="1212" w:type="dxa"/>
            <w:noWrap w:val="0"/>
            <w:vAlign w:val="top"/>
          </w:tcPr>
          <w:p w14:paraId="3B9CD477">
            <w:pPr>
              <w:spacing w:line="440" w:lineRule="exact"/>
              <w:jc w:val="left"/>
              <w:rPr>
                <w:rFonts w:hint="eastAsia" w:ascii="仿宋" w:hAnsi="仿宋" w:eastAsia="仿宋" w:cs="仿宋"/>
                <w:color w:val="auto"/>
                <w:szCs w:val="21"/>
                <w:highlight w:val="none"/>
              </w:rPr>
            </w:pPr>
          </w:p>
        </w:tc>
        <w:tc>
          <w:tcPr>
            <w:tcW w:w="1653" w:type="dxa"/>
            <w:noWrap w:val="0"/>
            <w:vAlign w:val="top"/>
          </w:tcPr>
          <w:p w14:paraId="45B821C5">
            <w:pPr>
              <w:spacing w:line="440" w:lineRule="exact"/>
              <w:jc w:val="left"/>
              <w:rPr>
                <w:rFonts w:hint="eastAsia" w:ascii="仿宋" w:hAnsi="仿宋" w:eastAsia="仿宋" w:cs="仿宋"/>
                <w:color w:val="auto"/>
                <w:szCs w:val="21"/>
                <w:highlight w:val="none"/>
              </w:rPr>
            </w:pPr>
          </w:p>
        </w:tc>
        <w:tc>
          <w:tcPr>
            <w:tcW w:w="688" w:type="dxa"/>
            <w:noWrap w:val="0"/>
            <w:vAlign w:val="top"/>
          </w:tcPr>
          <w:p w14:paraId="7BE5151A">
            <w:pPr>
              <w:spacing w:line="440" w:lineRule="exact"/>
              <w:jc w:val="left"/>
              <w:rPr>
                <w:rFonts w:hint="eastAsia" w:ascii="仿宋" w:hAnsi="仿宋" w:eastAsia="仿宋" w:cs="仿宋"/>
                <w:color w:val="auto"/>
                <w:szCs w:val="21"/>
                <w:highlight w:val="none"/>
              </w:rPr>
            </w:pPr>
          </w:p>
        </w:tc>
      </w:tr>
      <w:tr w14:paraId="036DC8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6" w:type="dxa"/>
            <w:noWrap w:val="0"/>
            <w:vAlign w:val="top"/>
          </w:tcPr>
          <w:p w14:paraId="5D1659CB">
            <w:pPr>
              <w:spacing w:line="440" w:lineRule="exact"/>
              <w:jc w:val="left"/>
              <w:rPr>
                <w:rFonts w:hint="eastAsia" w:ascii="仿宋" w:hAnsi="仿宋" w:eastAsia="仿宋" w:cs="仿宋"/>
                <w:color w:val="auto"/>
                <w:szCs w:val="21"/>
                <w:highlight w:val="none"/>
              </w:rPr>
            </w:pPr>
          </w:p>
        </w:tc>
        <w:tc>
          <w:tcPr>
            <w:tcW w:w="1087" w:type="dxa"/>
            <w:noWrap w:val="0"/>
            <w:vAlign w:val="top"/>
          </w:tcPr>
          <w:p w14:paraId="04DFF401">
            <w:pPr>
              <w:spacing w:line="440" w:lineRule="exact"/>
              <w:jc w:val="left"/>
              <w:rPr>
                <w:rFonts w:hint="eastAsia" w:ascii="仿宋" w:hAnsi="仿宋" w:eastAsia="仿宋" w:cs="仿宋"/>
                <w:color w:val="auto"/>
                <w:szCs w:val="21"/>
                <w:highlight w:val="none"/>
              </w:rPr>
            </w:pPr>
          </w:p>
        </w:tc>
        <w:tc>
          <w:tcPr>
            <w:tcW w:w="760" w:type="dxa"/>
            <w:noWrap w:val="0"/>
            <w:vAlign w:val="top"/>
          </w:tcPr>
          <w:p w14:paraId="0E9198BC">
            <w:pPr>
              <w:spacing w:line="440" w:lineRule="exact"/>
              <w:jc w:val="left"/>
              <w:rPr>
                <w:rFonts w:hint="eastAsia" w:ascii="仿宋" w:hAnsi="仿宋" w:eastAsia="仿宋" w:cs="仿宋"/>
                <w:color w:val="auto"/>
                <w:szCs w:val="21"/>
                <w:highlight w:val="none"/>
              </w:rPr>
            </w:pPr>
          </w:p>
        </w:tc>
        <w:tc>
          <w:tcPr>
            <w:tcW w:w="991" w:type="dxa"/>
            <w:noWrap w:val="0"/>
            <w:vAlign w:val="top"/>
          </w:tcPr>
          <w:p w14:paraId="4AE86980">
            <w:pPr>
              <w:spacing w:line="440" w:lineRule="exact"/>
              <w:jc w:val="left"/>
              <w:rPr>
                <w:rFonts w:hint="eastAsia" w:ascii="仿宋" w:hAnsi="仿宋" w:eastAsia="仿宋" w:cs="仿宋"/>
                <w:color w:val="auto"/>
                <w:szCs w:val="21"/>
                <w:highlight w:val="none"/>
              </w:rPr>
            </w:pPr>
          </w:p>
        </w:tc>
        <w:tc>
          <w:tcPr>
            <w:tcW w:w="672" w:type="dxa"/>
            <w:noWrap w:val="0"/>
            <w:vAlign w:val="top"/>
          </w:tcPr>
          <w:p w14:paraId="3A231571">
            <w:pPr>
              <w:spacing w:line="440" w:lineRule="exact"/>
              <w:jc w:val="left"/>
              <w:rPr>
                <w:rFonts w:hint="eastAsia" w:ascii="仿宋" w:hAnsi="仿宋" w:eastAsia="仿宋" w:cs="仿宋"/>
                <w:color w:val="auto"/>
                <w:szCs w:val="21"/>
                <w:highlight w:val="none"/>
              </w:rPr>
            </w:pPr>
          </w:p>
        </w:tc>
        <w:tc>
          <w:tcPr>
            <w:tcW w:w="738" w:type="dxa"/>
            <w:noWrap w:val="0"/>
            <w:vAlign w:val="top"/>
          </w:tcPr>
          <w:p w14:paraId="30E0260E">
            <w:pPr>
              <w:spacing w:line="440" w:lineRule="exact"/>
              <w:jc w:val="left"/>
              <w:rPr>
                <w:rFonts w:hint="eastAsia" w:ascii="仿宋" w:hAnsi="仿宋" w:eastAsia="仿宋" w:cs="仿宋"/>
                <w:color w:val="auto"/>
                <w:szCs w:val="21"/>
                <w:highlight w:val="none"/>
              </w:rPr>
            </w:pPr>
          </w:p>
        </w:tc>
        <w:tc>
          <w:tcPr>
            <w:tcW w:w="1212" w:type="dxa"/>
            <w:noWrap w:val="0"/>
            <w:vAlign w:val="top"/>
          </w:tcPr>
          <w:p w14:paraId="21212B4D">
            <w:pPr>
              <w:spacing w:line="440" w:lineRule="exact"/>
              <w:jc w:val="left"/>
              <w:rPr>
                <w:rFonts w:hint="eastAsia" w:ascii="仿宋" w:hAnsi="仿宋" w:eastAsia="仿宋" w:cs="仿宋"/>
                <w:color w:val="auto"/>
                <w:szCs w:val="21"/>
                <w:highlight w:val="none"/>
              </w:rPr>
            </w:pPr>
          </w:p>
        </w:tc>
        <w:tc>
          <w:tcPr>
            <w:tcW w:w="1653" w:type="dxa"/>
            <w:noWrap w:val="0"/>
            <w:vAlign w:val="top"/>
          </w:tcPr>
          <w:p w14:paraId="318A01E5">
            <w:pPr>
              <w:spacing w:line="440" w:lineRule="exact"/>
              <w:jc w:val="left"/>
              <w:rPr>
                <w:rFonts w:hint="eastAsia" w:ascii="仿宋" w:hAnsi="仿宋" w:eastAsia="仿宋" w:cs="仿宋"/>
                <w:color w:val="auto"/>
                <w:szCs w:val="21"/>
                <w:highlight w:val="none"/>
              </w:rPr>
            </w:pPr>
          </w:p>
        </w:tc>
        <w:tc>
          <w:tcPr>
            <w:tcW w:w="688" w:type="dxa"/>
            <w:noWrap w:val="0"/>
            <w:vAlign w:val="top"/>
          </w:tcPr>
          <w:p w14:paraId="3D8E3FA8">
            <w:pPr>
              <w:spacing w:line="440" w:lineRule="exact"/>
              <w:jc w:val="left"/>
              <w:rPr>
                <w:rFonts w:hint="eastAsia" w:ascii="仿宋" w:hAnsi="仿宋" w:eastAsia="仿宋" w:cs="仿宋"/>
                <w:color w:val="auto"/>
                <w:szCs w:val="21"/>
                <w:highlight w:val="none"/>
              </w:rPr>
            </w:pPr>
          </w:p>
        </w:tc>
      </w:tr>
      <w:tr w14:paraId="4C603B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6" w:type="dxa"/>
            <w:noWrap w:val="0"/>
            <w:vAlign w:val="top"/>
          </w:tcPr>
          <w:p w14:paraId="53F639F4">
            <w:pPr>
              <w:spacing w:line="440" w:lineRule="exact"/>
              <w:jc w:val="left"/>
              <w:rPr>
                <w:rFonts w:hint="eastAsia" w:ascii="仿宋" w:hAnsi="仿宋" w:eastAsia="仿宋" w:cs="仿宋"/>
                <w:color w:val="auto"/>
                <w:szCs w:val="21"/>
                <w:highlight w:val="none"/>
              </w:rPr>
            </w:pPr>
          </w:p>
        </w:tc>
        <w:tc>
          <w:tcPr>
            <w:tcW w:w="1087" w:type="dxa"/>
            <w:noWrap w:val="0"/>
            <w:vAlign w:val="top"/>
          </w:tcPr>
          <w:p w14:paraId="3D1412B8">
            <w:pPr>
              <w:spacing w:line="440" w:lineRule="exact"/>
              <w:jc w:val="left"/>
              <w:rPr>
                <w:rFonts w:hint="eastAsia" w:ascii="仿宋" w:hAnsi="仿宋" w:eastAsia="仿宋" w:cs="仿宋"/>
                <w:color w:val="auto"/>
                <w:szCs w:val="21"/>
                <w:highlight w:val="none"/>
              </w:rPr>
            </w:pPr>
          </w:p>
        </w:tc>
        <w:tc>
          <w:tcPr>
            <w:tcW w:w="760" w:type="dxa"/>
            <w:noWrap w:val="0"/>
            <w:vAlign w:val="top"/>
          </w:tcPr>
          <w:p w14:paraId="40F8EB52">
            <w:pPr>
              <w:spacing w:line="440" w:lineRule="exact"/>
              <w:jc w:val="left"/>
              <w:rPr>
                <w:rFonts w:hint="eastAsia" w:ascii="仿宋" w:hAnsi="仿宋" w:eastAsia="仿宋" w:cs="仿宋"/>
                <w:color w:val="auto"/>
                <w:szCs w:val="21"/>
                <w:highlight w:val="none"/>
              </w:rPr>
            </w:pPr>
          </w:p>
        </w:tc>
        <w:tc>
          <w:tcPr>
            <w:tcW w:w="991" w:type="dxa"/>
            <w:noWrap w:val="0"/>
            <w:vAlign w:val="top"/>
          </w:tcPr>
          <w:p w14:paraId="153038EB">
            <w:pPr>
              <w:spacing w:line="440" w:lineRule="exact"/>
              <w:jc w:val="left"/>
              <w:rPr>
                <w:rFonts w:hint="eastAsia" w:ascii="仿宋" w:hAnsi="仿宋" w:eastAsia="仿宋" w:cs="仿宋"/>
                <w:color w:val="auto"/>
                <w:szCs w:val="21"/>
                <w:highlight w:val="none"/>
              </w:rPr>
            </w:pPr>
          </w:p>
        </w:tc>
        <w:tc>
          <w:tcPr>
            <w:tcW w:w="672" w:type="dxa"/>
            <w:noWrap w:val="0"/>
            <w:vAlign w:val="top"/>
          </w:tcPr>
          <w:p w14:paraId="78695DF0">
            <w:pPr>
              <w:spacing w:line="440" w:lineRule="exact"/>
              <w:jc w:val="left"/>
              <w:rPr>
                <w:rFonts w:hint="eastAsia" w:ascii="仿宋" w:hAnsi="仿宋" w:eastAsia="仿宋" w:cs="仿宋"/>
                <w:color w:val="auto"/>
                <w:szCs w:val="21"/>
                <w:highlight w:val="none"/>
              </w:rPr>
            </w:pPr>
          </w:p>
        </w:tc>
        <w:tc>
          <w:tcPr>
            <w:tcW w:w="738" w:type="dxa"/>
            <w:noWrap w:val="0"/>
            <w:vAlign w:val="top"/>
          </w:tcPr>
          <w:p w14:paraId="1E6C501D">
            <w:pPr>
              <w:spacing w:line="440" w:lineRule="exact"/>
              <w:jc w:val="left"/>
              <w:rPr>
                <w:rFonts w:hint="eastAsia" w:ascii="仿宋" w:hAnsi="仿宋" w:eastAsia="仿宋" w:cs="仿宋"/>
                <w:color w:val="auto"/>
                <w:szCs w:val="21"/>
                <w:highlight w:val="none"/>
              </w:rPr>
            </w:pPr>
          </w:p>
        </w:tc>
        <w:tc>
          <w:tcPr>
            <w:tcW w:w="1212" w:type="dxa"/>
            <w:noWrap w:val="0"/>
            <w:vAlign w:val="top"/>
          </w:tcPr>
          <w:p w14:paraId="68FC70F5">
            <w:pPr>
              <w:spacing w:line="440" w:lineRule="exact"/>
              <w:jc w:val="left"/>
              <w:rPr>
                <w:rFonts w:hint="eastAsia" w:ascii="仿宋" w:hAnsi="仿宋" w:eastAsia="仿宋" w:cs="仿宋"/>
                <w:color w:val="auto"/>
                <w:szCs w:val="21"/>
                <w:highlight w:val="none"/>
              </w:rPr>
            </w:pPr>
          </w:p>
        </w:tc>
        <w:tc>
          <w:tcPr>
            <w:tcW w:w="1653" w:type="dxa"/>
            <w:noWrap w:val="0"/>
            <w:vAlign w:val="top"/>
          </w:tcPr>
          <w:p w14:paraId="2416B5A0">
            <w:pPr>
              <w:spacing w:line="440" w:lineRule="exact"/>
              <w:jc w:val="left"/>
              <w:rPr>
                <w:rFonts w:hint="eastAsia" w:ascii="仿宋" w:hAnsi="仿宋" w:eastAsia="仿宋" w:cs="仿宋"/>
                <w:color w:val="auto"/>
                <w:szCs w:val="21"/>
                <w:highlight w:val="none"/>
              </w:rPr>
            </w:pPr>
          </w:p>
        </w:tc>
        <w:tc>
          <w:tcPr>
            <w:tcW w:w="688" w:type="dxa"/>
            <w:noWrap w:val="0"/>
            <w:vAlign w:val="top"/>
          </w:tcPr>
          <w:p w14:paraId="1237DE42">
            <w:pPr>
              <w:spacing w:line="440" w:lineRule="exact"/>
              <w:jc w:val="left"/>
              <w:rPr>
                <w:rFonts w:hint="eastAsia" w:ascii="仿宋" w:hAnsi="仿宋" w:eastAsia="仿宋" w:cs="仿宋"/>
                <w:color w:val="auto"/>
                <w:szCs w:val="21"/>
                <w:highlight w:val="none"/>
              </w:rPr>
            </w:pPr>
          </w:p>
        </w:tc>
      </w:tr>
      <w:tr w14:paraId="3F633F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6" w:type="dxa"/>
            <w:noWrap w:val="0"/>
            <w:vAlign w:val="top"/>
          </w:tcPr>
          <w:p w14:paraId="3CE3922A">
            <w:pPr>
              <w:spacing w:line="440" w:lineRule="exact"/>
              <w:jc w:val="left"/>
              <w:rPr>
                <w:rFonts w:hint="eastAsia" w:ascii="仿宋" w:hAnsi="仿宋" w:eastAsia="仿宋" w:cs="仿宋"/>
                <w:color w:val="auto"/>
                <w:szCs w:val="21"/>
                <w:highlight w:val="none"/>
              </w:rPr>
            </w:pPr>
          </w:p>
        </w:tc>
        <w:tc>
          <w:tcPr>
            <w:tcW w:w="1087" w:type="dxa"/>
            <w:noWrap w:val="0"/>
            <w:vAlign w:val="top"/>
          </w:tcPr>
          <w:p w14:paraId="7E872E01">
            <w:pPr>
              <w:spacing w:line="440" w:lineRule="exact"/>
              <w:jc w:val="left"/>
              <w:rPr>
                <w:rFonts w:hint="eastAsia" w:ascii="仿宋" w:hAnsi="仿宋" w:eastAsia="仿宋" w:cs="仿宋"/>
                <w:color w:val="auto"/>
                <w:szCs w:val="21"/>
                <w:highlight w:val="none"/>
              </w:rPr>
            </w:pPr>
          </w:p>
        </w:tc>
        <w:tc>
          <w:tcPr>
            <w:tcW w:w="760" w:type="dxa"/>
            <w:noWrap w:val="0"/>
            <w:vAlign w:val="top"/>
          </w:tcPr>
          <w:p w14:paraId="47186CE1">
            <w:pPr>
              <w:spacing w:line="440" w:lineRule="exact"/>
              <w:jc w:val="left"/>
              <w:rPr>
                <w:rFonts w:hint="eastAsia" w:ascii="仿宋" w:hAnsi="仿宋" w:eastAsia="仿宋" w:cs="仿宋"/>
                <w:color w:val="auto"/>
                <w:szCs w:val="21"/>
                <w:highlight w:val="none"/>
              </w:rPr>
            </w:pPr>
          </w:p>
        </w:tc>
        <w:tc>
          <w:tcPr>
            <w:tcW w:w="991" w:type="dxa"/>
            <w:noWrap w:val="0"/>
            <w:vAlign w:val="top"/>
          </w:tcPr>
          <w:p w14:paraId="05637B47">
            <w:pPr>
              <w:spacing w:line="440" w:lineRule="exact"/>
              <w:jc w:val="left"/>
              <w:rPr>
                <w:rFonts w:hint="eastAsia" w:ascii="仿宋" w:hAnsi="仿宋" w:eastAsia="仿宋" w:cs="仿宋"/>
                <w:color w:val="auto"/>
                <w:szCs w:val="21"/>
                <w:highlight w:val="none"/>
              </w:rPr>
            </w:pPr>
          </w:p>
        </w:tc>
        <w:tc>
          <w:tcPr>
            <w:tcW w:w="672" w:type="dxa"/>
            <w:noWrap w:val="0"/>
            <w:vAlign w:val="top"/>
          </w:tcPr>
          <w:p w14:paraId="75224D46">
            <w:pPr>
              <w:spacing w:line="440" w:lineRule="exact"/>
              <w:jc w:val="left"/>
              <w:rPr>
                <w:rFonts w:hint="eastAsia" w:ascii="仿宋" w:hAnsi="仿宋" w:eastAsia="仿宋" w:cs="仿宋"/>
                <w:color w:val="auto"/>
                <w:szCs w:val="21"/>
                <w:highlight w:val="none"/>
              </w:rPr>
            </w:pPr>
          </w:p>
        </w:tc>
        <w:tc>
          <w:tcPr>
            <w:tcW w:w="738" w:type="dxa"/>
            <w:noWrap w:val="0"/>
            <w:vAlign w:val="top"/>
          </w:tcPr>
          <w:p w14:paraId="6E7E5FB7">
            <w:pPr>
              <w:spacing w:line="440" w:lineRule="exact"/>
              <w:jc w:val="left"/>
              <w:rPr>
                <w:rFonts w:hint="eastAsia" w:ascii="仿宋" w:hAnsi="仿宋" w:eastAsia="仿宋" w:cs="仿宋"/>
                <w:color w:val="auto"/>
                <w:szCs w:val="21"/>
                <w:highlight w:val="none"/>
              </w:rPr>
            </w:pPr>
          </w:p>
        </w:tc>
        <w:tc>
          <w:tcPr>
            <w:tcW w:w="1212" w:type="dxa"/>
            <w:noWrap w:val="0"/>
            <w:vAlign w:val="top"/>
          </w:tcPr>
          <w:p w14:paraId="4F731540">
            <w:pPr>
              <w:spacing w:line="440" w:lineRule="exact"/>
              <w:jc w:val="left"/>
              <w:rPr>
                <w:rFonts w:hint="eastAsia" w:ascii="仿宋" w:hAnsi="仿宋" w:eastAsia="仿宋" w:cs="仿宋"/>
                <w:color w:val="auto"/>
                <w:szCs w:val="21"/>
                <w:highlight w:val="none"/>
              </w:rPr>
            </w:pPr>
          </w:p>
        </w:tc>
        <w:tc>
          <w:tcPr>
            <w:tcW w:w="1653" w:type="dxa"/>
            <w:noWrap w:val="0"/>
            <w:vAlign w:val="top"/>
          </w:tcPr>
          <w:p w14:paraId="754EFEEB">
            <w:pPr>
              <w:spacing w:line="440" w:lineRule="exact"/>
              <w:jc w:val="left"/>
              <w:rPr>
                <w:rFonts w:hint="eastAsia" w:ascii="仿宋" w:hAnsi="仿宋" w:eastAsia="仿宋" w:cs="仿宋"/>
                <w:color w:val="auto"/>
                <w:szCs w:val="21"/>
                <w:highlight w:val="none"/>
              </w:rPr>
            </w:pPr>
          </w:p>
        </w:tc>
        <w:tc>
          <w:tcPr>
            <w:tcW w:w="688" w:type="dxa"/>
            <w:noWrap w:val="0"/>
            <w:vAlign w:val="top"/>
          </w:tcPr>
          <w:p w14:paraId="35F01D5A">
            <w:pPr>
              <w:spacing w:line="440" w:lineRule="exact"/>
              <w:jc w:val="left"/>
              <w:rPr>
                <w:rFonts w:hint="eastAsia" w:ascii="仿宋" w:hAnsi="仿宋" w:eastAsia="仿宋" w:cs="仿宋"/>
                <w:color w:val="auto"/>
                <w:szCs w:val="21"/>
                <w:highlight w:val="none"/>
              </w:rPr>
            </w:pPr>
          </w:p>
        </w:tc>
      </w:tr>
      <w:tr w14:paraId="47F4FD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6" w:type="dxa"/>
            <w:noWrap w:val="0"/>
            <w:vAlign w:val="top"/>
          </w:tcPr>
          <w:p w14:paraId="0A613187">
            <w:pPr>
              <w:spacing w:line="440" w:lineRule="exact"/>
              <w:jc w:val="left"/>
              <w:rPr>
                <w:rFonts w:hint="eastAsia" w:ascii="仿宋" w:hAnsi="仿宋" w:eastAsia="仿宋" w:cs="仿宋"/>
                <w:color w:val="auto"/>
                <w:szCs w:val="21"/>
                <w:highlight w:val="none"/>
              </w:rPr>
            </w:pPr>
          </w:p>
        </w:tc>
        <w:tc>
          <w:tcPr>
            <w:tcW w:w="1087" w:type="dxa"/>
            <w:noWrap w:val="0"/>
            <w:vAlign w:val="top"/>
          </w:tcPr>
          <w:p w14:paraId="3821C372">
            <w:pPr>
              <w:spacing w:line="440" w:lineRule="exact"/>
              <w:jc w:val="left"/>
              <w:rPr>
                <w:rFonts w:hint="eastAsia" w:ascii="仿宋" w:hAnsi="仿宋" w:eastAsia="仿宋" w:cs="仿宋"/>
                <w:color w:val="auto"/>
                <w:szCs w:val="21"/>
                <w:highlight w:val="none"/>
              </w:rPr>
            </w:pPr>
          </w:p>
        </w:tc>
        <w:tc>
          <w:tcPr>
            <w:tcW w:w="760" w:type="dxa"/>
            <w:noWrap w:val="0"/>
            <w:vAlign w:val="top"/>
          </w:tcPr>
          <w:p w14:paraId="3DE1056F">
            <w:pPr>
              <w:spacing w:line="440" w:lineRule="exact"/>
              <w:jc w:val="left"/>
              <w:rPr>
                <w:rFonts w:hint="eastAsia" w:ascii="仿宋" w:hAnsi="仿宋" w:eastAsia="仿宋" w:cs="仿宋"/>
                <w:color w:val="auto"/>
                <w:szCs w:val="21"/>
                <w:highlight w:val="none"/>
              </w:rPr>
            </w:pPr>
          </w:p>
        </w:tc>
        <w:tc>
          <w:tcPr>
            <w:tcW w:w="991" w:type="dxa"/>
            <w:noWrap w:val="0"/>
            <w:vAlign w:val="top"/>
          </w:tcPr>
          <w:p w14:paraId="6980DF3B">
            <w:pPr>
              <w:spacing w:line="440" w:lineRule="exact"/>
              <w:jc w:val="left"/>
              <w:rPr>
                <w:rFonts w:hint="eastAsia" w:ascii="仿宋" w:hAnsi="仿宋" w:eastAsia="仿宋" w:cs="仿宋"/>
                <w:color w:val="auto"/>
                <w:szCs w:val="21"/>
                <w:highlight w:val="none"/>
              </w:rPr>
            </w:pPr>
          </w:p>
        </w:tc>
        <w:tc>
          <w:tcPr>
            <w:tcW w:w="672" w:type="dxa"/>
            <w:noWrap w:val="0"/>
            <w:vAlign w:val="top"/>
          </w:tcPr>
          <w:p w14:paraId="2BFBF156">
            <w:pPr>
              <w:spacing w:line="440" w:lineRule="exact"/>
              <w:jc w:val="left"/>
              <w:rPr>
                <w:rFonts w:hint="eastAsia" w:ascii="仿宋" w:hAnsi="仿宋" w:eastAsia="仿宋" w:cs="仿宋"/>
                <w:color w:val="auto"/>
                <w:szCs w:val="21"/>
                <w:highlight w:val="none"/>
              </w:rPr>
            </w:pPr>
          </w:p>
        </w:tc>
        <w:tc>
          <w:tcPr>
            <w:tcW w:w="738" w:type="dxa"/>
            <w:noWrap w:val="0"/>
            <w:vAlign w:val="top"/>
          </w:tcPr>
          <w:p w14:paraId="3326DD20">
            <w:pPr>
              <w:spacing w:line="440" w:lineRule="exact"/>
              <w:jc w:val="left"/>
              <w:rPr>
                <w:rFonts w:hint="eastAsia" w:ascii="仿宋" w:hAnsi="仿宋" w:eastAsia="仿宋" w:cs="仿宋"/>
                <w:color w:val="auto"/>
                <w:szCs w:val="21"/>
                <w:highlight w:val="none"/>
              </w:rPr>
            </w:pPr>
          </w:p>
        </w:tc>
        <w:tc>
          <w:tcPr>
            <w:tcW w:w="1212" w:type="dxa"/>
            <w:noWrap w:val="0"/>
            <w:vAlign w:val="top"/>
          </w:tcPr>
          <w:p w14:paraId="374CBDBA">
            <w:pPr>
              <w:spacing w:line="440" w:lineRule="exact"/>
              <w:jc w:val="left"/>
              <w:rPr>
                <w:rFonts w:hint="eastAsia" w:ascii="仿宋" w:hAnsi="仿宋" w:eastAsia="仿宋" w:cs="仿宋"/>
                <w:color w:val="auto"/>
                <w:szCs w:val="21"/>
                <w:highlight w:val="none"/>
              </w:rPr>
            </w:pPr>
          </w:p>
        </w:tc>
        <w:tc>
          <w:tcPr>
            <w:tcW w:w="1653" w:type="dxa"/>
            <w:noWrap w:val="0"/>
            <w:vAlign w:val="top"/>
          </w:tcPr>
          <w:p w14:paraId="52EE7BB3">
            <w:pPr>
              <w:spacing w:line="440" w:lineRule="exact"/>
              <w:jc w:val="left"/>
              <w:rPr>
                <w:rFonts w:hint="eastAsia" w:ascii="仿宋" w:hAnsi="仿宋" w:eastAsia="仿宋" w:cs="仿宋"/>
                <w:color w:val="auto"/>
                <w:szCs w:val="21"/>
                <w:highlight w:val="none"/>
              </w:rPr>
            </w:pPr>
          </w:p>
        </w:tc>
        <w:tc>
          <w:tcPr>
            <w:tcW w:w="688" w:type="dxa"/>
            <w:noWrap w:val="0"/>
            <w:vAlign w:val="top"/>
          </w:tcPr>
          <w:p w14:paraId="3827B430">
            <w:pPr>
              <w:spacing w:line="440" w:lineRule="exact"/>
              <w:jc w:val="left"/>
              <w:rPr>
                <w:rFonts w:hint="eastAsia" w:ascii="仿宋" w:hAnsi="仿宋" w:eastAsia="仿宋" w:cs="仿宋"/>
                <w:color w:val="auto"/>
                <w:szCs w:val="21"/>
                <w:highlight w:val="none"/>
              </w:rPr>
            </w:pPr>
          </w:p>
        </w:tc>
      </w:tr>
      <w:tr w14:paraId="526968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6" w:type="dxa"/>
            <w:noWrap w:val="0"/>
            <w:vAlign w:val="top"/>
          </w:tcPr>
          <w:p w14:paraId="3651155B">
            <w:pPr>
              <w:spacing w:line="440" w:lineRule="exact"/>
              <w:jc w:val="left"/>
              <w:rPr>
                <w:rFonts w:hint="eastAsia" w:ascii="仿宋" w:hAnsi="仿宋" w:eastAsia="仿宋" w:cs="仿宋"/>
                <w:color w:val="auto"/>
                <w:szCs w:val="21"/>
                <w:highlight w:val="none"/>
              </w:rPr>
            </w:pPr>
          </w:p>
        </w:tc>
        <w:tc>
          <w:tcPr>
            <w:tcW w:w="1087" w:type="dxa"/>
            <w:noWrap w:val="0"/>
            <w:vAlign w:val="top"/>
          </w:tcPr>
          <w:p w14:paraId="298D2349">
            <w:pPr>
              <w:spacing w:line="440" w:lineRule="exact"/>
              <w:jc w:val="left"/>
              <w:rPr>
                <w:rFonts w:hint="eastAsia" w:ascii="仿宋" w:hAnsi="仿宋" w:eastAsia="仿宋" w:cs="仿宋"/>
                <w:color w:val="auto"/>
                <w:szCs w:val="21"/>
                <w:highlight w:val="none"/>
              </w:rPr>
            </w:pPr>
          </w:p>
        </w:tc>
        <w:tc>
          <w:tcPr>
            <w:tcW w:w="760" w:type="dxa"/>
            <w:noWrap w:val="0"/>
            <w:vAlign w:val="top"/>
          </w:tcPr>
          <w:p w14:paraId="239236F3">
            <w:pPr>
              <w:spacing w:line="440" w:lineRule="exact"/>
              <w:jc w:val="left"/>
              <w:rPr>
                <w:rFonts w:hint="eastAsia" w:ascii="仿宋" w:hAnsi="仿宋" w:eastAsia="仿宋" w:cs="仿宋"/>
                <w:color w:val="auto"/>
                <w:szCs w:val="21"/>
                <w:highlight w:val="none"/>
              </w:rPr>
            </w:pPr>
          </w:p>
        </w:tc>
        <w:tc>
          <w:tcPr>
            <w:tcW w:w="991" w:type="dxa"/>
            <w:noWrap w:val="0"/>
            <w:vAlign w:val="top"/>
          </w:tcPr>
          <w:p w14:paraId="0C47502B">
            <w:pPr>
              <w:spacing w:line="440" w:lineRule="exact"/>
              <w:jc w:val="left"/>
              <w:rPr>
                <w:rFonts w:hint="eastAsia" w:ascii="仿宋" w:hAnsi="仿宋" w:eastAsia="仿宋" w:cs="仿宋"/>
                <w:color w:val="auto"/>
                <w:szCs w:val="21"/>
                <w:highlight w:val="none"/>
              </w:rPr>
            </w:pPr>
          </w:p>
        </w:tc>
        <w:tc>
          <w:tcPr>
            <w:tcW w:w="672" w:type="dxa"/>
            <w:noWrap w:val="0"/>
            <w:vAlign w:val="top"/>
          </w:tcPr>
          <w:p w14:paraId="29859C3E">
            <w:pPr>
              <w:spacing w:line="440" w:lineRule="exact"/>
              <w:jc w:val="left"/>
              <w:rPr>
                <w:rFonts w:hint="eastAsia" w:ascii="仿宋" w:hAnsi="仿宋" w:eastAsia="仿宋" w:cs="仿宋"/>
                <w:color w:val="auto"/>
                <w:szCs w:val="21"/>
                <w:highlight w:val="none"/>
              </w:rPr>
            </w:pPr>
          </w:p>
        </w:tc>
        <w:tc>
          <w:tcPr>
            <w:tcW w:w="738" w:type="dxa"/>
            <w:noWrap w:val="0"/>
            <w:vAlign w:val="top"/>
          </w:tcPr>
          <w:p w14:paraId="441890F6">
            <w:pPr>
              <w:spacing w:line="440" w:lineRule="exact"/>
              <w:jc w:val="left"/>
              <w:rPr>
                <w:rFonts w:hint="eastAsia" w:ascii="仿宋" w:hAnsi="仿宋" w:eastAsia="仿宋" w:cs="仿宋"/>
                <w:color w:val="auto"/>
                <w:szCs w:val="21"/>
                <w:highlight w:val="none"/>
              </w:rPr>
            </w:pPr>
          </w:p>
        </w:tc>
        <w:tc>
          <w:tcPr>
            <w:tcW w:w="1212" w:type="dxa"/>
            <w:noWrap w:val="0"/>
            <w:vAlign w:val="top"/>
          </w:tcPr>
          <w:p w14:paraId="1E109652">
            <w:pPr>
              <w:spacing w:line="440" w:lineRule="exact"/>
              <w:jc w:val="left"/>
              <w:rPr>
                <w:rFonts w:hint="eastAsia" w:ascii="仿宋" w:hAnsi="仿宋" w:eastAsia="仿宋" w:cs="仿宋"/>
                <w:color w:val="auto"/>
                <w:szCs w:val="21"/>
                <w:highlight w:val="none"/>
              </w:rPr>
            </w:pPr>
          </w:p>
        </w:tc>
        <w:tc>
          <w:tcPr>
            <w:tcW w:w="1653" w:type="dxa"/>
            <w:noWrap w:val="0"/>
            <w:vAlign w:val="top"/>
          </w:tcPr>
          <w:p w14:paraId="01F04B66">
            <w:pPr>
              <w:spacing w:line="440" w:lineRule="exact"/>
              <w:jc w:val="left"/>
              <w:rPr>
                <w:rFonts w:hint="eastAsia" w:ascii="仿宋" w:hAnsi="仿宋" w:eastAsia="仿宋" w:cs="仿宋"/>
                <w:color w:val="auto"/>
                <w:szCs w:val="21"/>
                <w:highlight w:val="none"/>
              </w:rPr>
            </w:pPr>
          </w:p>
        </w:tc>
        <w:tc>
          <w:tcPr>
            <w:tcW w:w="688" w:type="dxa"/>
            <w:noWrap w:val="0"/>
            <w:vAlign w:val="top"/>
          </w:tcPr>
          <w:p w14:paraId="6DB86E1E">
            <w:pPr>
              <w:spacing w:line="440" w:lineRule="exact"/>
              <w:jc w:val="left"/>
              <w:rPr>
                <w:rFonts w:hint="eastAsia" w:ascii="仿宋" w:hAnsi="仿宋" w:eastAsia="仿宋" w:cs="仿宋"/>
                <w:color w:val="auto"/>
                <w:szCs w:val="21"/>
                <w:highlight w:val="none"/>
              </w:rPr>
            </w:pPr>
          </w:p>
        </w:tc>
      </w:tr>
      <w:tr w14:paraId="125528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6" w:type="dxa"/>
            <w:noWrap w:val="0"/>
            <w:vAlign w:val="top"/>
          </w:tcPr>
          <w:p w14:paraId="7EDB9909">
            <w:pPr>
              <w:spacing w:line="440" w:lineRule="exact"/>
              <w:jc w:val="left"/>
              <w:rPr>
                <w:rFonts w:hint="eastAsia" w:ascii="仿宋" w:hAnsi="仿宋" w:eastAsia="仿宋" w:cs="仿宋"/>
                <w:color w:val="auto"/>
                <w:szCs w:val="21"/>
                <w:highlight w:val="none"/>
              </w:rPr>
            </w:pPr>
          </w:p>
        </w:tc>
        <w:tc>
          <w:tcPr>
            <w:tcW w:w="1087" w:type="dxa"/>
            <w:noWrap w:val="0"/>
            <w:vAlign w:val="top"/>
          </w:tcPr>
          <w:p w14:paraId="77AB65A4">
            <w:pPr>
              <w:spacing w:line="440" w:lineRule="exact"/>
              <w:jc w:val="left"/>
              <w:rPr>
                <w:rFonts w:hint="eastAsia" w:ascii="仿宋" w:hAnsi="仿宋" w:eastAsia="仿宋" w:cs="仿宋"/>
                <w:color w:val="auto"/>
                <w:szCs w:val="21"/>
                <w:highlight w:val="none"/>
              </w:rPr>
            </w:pPr>
          </w:p>
        </w:tc>
        <w:tc>
          <w:tcPr>
            <w:tcW w:w="760" w:type="dxa"/>
            <w:noWrap w:val="0"/>
            <w:vAlign w:val="top"/>
          </w:tcPr>
          <w:p w14:paraId="149567B6">
            <w:pPr>
              <w:spacing w:line="440" w:lineRule="exact"/>
              <w:jc w:val="left"/>
              <w:rPr>
                <w:rFonts w:hint="eastAsia" w:ascii="仿宋" w:hAnsi="仿宋" w:eastAsia="仿宋" w:cs="仿宋"/>
                <w:color w:val="auto"/>
                <w:szCs w:val="21"/>
                <w:highlight w:val="none"/>
              </w:rPr>
            </w:pPr>
          </w:p>
        </w:tc>
        <w:tc>
          <w:tcPr>
            <w:tcW w:w="991" w:type="dxa"/>
            <w:noWrap w:val="0"/>
            <w:vAlign w:val="top"/>
          </w:tcPr>
          <w:p w14:paraId="1D95AA59">
            <w:pPr>
              <w:spacing w:line="440" w:lineRule="exact"/>
              <w:jc w:val="left"/>
              <w:rPr>
                <w:rFonts w:hint="eastAsia" w:ascii="仿宋" w:hAnsi="仿宋" w:eastAsia="仿宋" w:cs="仿宋"/>
                <w:color w:val="auto"/>
                <w:szCs w:val="21"/>
                <w:highlight w:val="none"/>
              </w:rPr>
            </w:pPr>
          </w:p>
        </w:tc>
        <w:tc>
          <w:tcPr>
            <w:tcW w:w="672" w:type="dxa"/>
            <w:noWrap w:val="0"/>
            <w:vAlign w:val="top"/>
          </w:tcPr>
          <w:p w14:paraId="71591A7B">
            <w:pPr>
              <w:spacing w:line="440" w:lineRule="exact"/>
              <w:jc w:val="left"/>
              <w:rPr>
                <w:rFonts w:hint="eastAsia" w:ascii="仿宋" w:hAnsi="仿宋" w:eastAsia="仿宋" w:cs="仿宋"/>
                <w:color w:val="auto"/>
                <w:szCs w:val="21"/>
                <w:highlight w:val="none"/>
              </w:rPr>
            </w:pPr>
          </w:p>
        </w:tc>
        <w:tc>
          <w:tcPr>
            <w:tcW w:w="738" w:type="dxa"/>
            <w:noWrap w:val="0"/>
            <w:vAlign w:val="top"/>
          </w:tcPr>
          <w:p w14:paraId="7D56F788">
            <w:pPr>
              <w:spacing w:line="440" w:lineRule="exact"/>
              <w:jc w:val="left"/>
              <w:rPr>
                <w:rFonts w:hint="eastAsia" w:ascii="仿宋" w:hAnsi="仿宋" w:eastAsia="仿宋" w:cs="仿宋"/>
                <w:color w:val="auto"/>
                <w:szCs w:val="21"/>
                <w:highlight w:val="none"/>
              </w:rPr>
            </w:pPr>
          </w:p>
        </w:tc>
        <w:tc>
          <w:tcPr>
            <w:tcW w:w="1212" w:type="dxa"/>
            <w:noWrap w:val="0"/>
            <w:vAlign w:val="top"/>
          </w:tcPr>
          <w:p w14:paraId="42CC94D6">
            <w:pPr>
              <w:spacing w:line="440" w:lineRule="exact"/>
              <w:jc w:val="left"/>
              <w:rPr>
                <w:rFonts w:hint="eastAsia" w:ascii="仿宋" w:hAnsi="仿宋" w:eastAsia="仿宋" w:cs="仿宋"/>
                <w:color w:val="auto"/>
                <w:szCs w:val="21"/>
                <w:highlight w:val="none"/>
              </w:rPr>
            </w:pPr>
          </w:p>
        </w:tc>
        <w:tc>
          <w:tcPr>
            <w:tcW w:w="1653" w:type="dxa"/>
            <w:noWrap w:val="0"/>
            <w:vAlign w:val="top"/>
          </w:tcPr>
          <w:p w14:paraId="05253BAF">
            <w:pPr>
              <w:spacing w:line="440" w:lineRule="exact"/>
              <w:jc w:val="left"/>
              <w:rPr>
                <w:rFonts w:hint="eastAsia" w:ascii="仿宋" w:hAnsi="仿宋" w:eastAsia="仿宋" w:cs="仿宋"/>
                <w:color w:val="auto"/>
                <w:szCs w:val="21"/>
                <w:highlight w:val="none"/>
              </w:rPr>
            </w:pPr>
          </w:p>
        </w:tc>
        <w:tc>
          <w:tcPr>
            <w:tcW w:w="688" w:type="dxa"/>
            <w:noWrap w:val="0"/>
            <w:vAlign w:val="top"/>
          </w:tcPr>
          <w:p w14:paraId="7C98F589">
            <w:pPr>
              <w:spacing w:line="440" w:lineRule="exact"/>
              <w:jc w:val="left"/>
              <w:rPr>
                <w:rFonts w:hint="eastAsia" w:ascii="仿宋" w:hAnsi="仿宋" w:eastAsia="仿宋" w:cs="仿宋"/>
                <w:color w:val="auto"/>
                <w:szCs w:val="21"/>
                <w:highlight w:val="none"/>
              </w:rPr>
            </w:pPr>
          </w:p>
        </w:tc>
      </w:tr>
      <w:tr w14:paraId="07E56F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6" w:type="dxa"/>
            <w:noWrap w:val="0"/>
            <w:vAlign w:val="top"/>
          </w:tcPr>
          <w:p w14:paraId="56B5E112">
            <w:pPr>
              <w:spacing w:line="440" w:lineRule="exact"/>
              <w:jc w:val="left"/>
              <w:rPr>
                <w:rFonts w:hint="eastAsia" w:ascii="仿宋" w:hAnsi="仿宋" w:eastAsia="仿宋" w:cs="仿宋"/>
                <w:color w:val="auto"/>
                <w:szCs w:val="21"/>
                <w:highlight w:val="none"/>
              </w:rPr>
            </w:pPr>
          </w:p>
        </w:tc>
        <w:tc>
          <w:tcPr>
            <w:tcW w:w="1087" w:type="dxa"/>
            <w:noWrap w:val="0"/>
            <w:vAlign w:val="top"/>
          </w:tcPr>
          <w:p w14:paraId="2054CCF9">
            <w:pPr>
              <w:spacing w:line="440" w:lineRule="exact"/>
              <w:jc w:val="left"/>
              <w:rPr>
                <w:rFonts w:hint="eastAsia" w:ascii="仿宋" w:hAnsi="仿宋" w:eastAsia="仿宋" w:cs="仿宋"/>
                <w:color w:val="auto"/>
                <w:szCs w:val="21"/>
                <w:highlight w:val="none"/>
              </w:rPr>
            </w:pPr>
          </w:p>
        </w:tc>
        <w:tc>
          <w:tcPr>
            <w:tcW w:w="760" w:type="dxa"/>
            <w:noWrap w:val="0"/>
            <w:vAlign w:val="top"/>
          </w:tcPr>
          <w:p w14:paraId="7B1764A4">
            <w:pPr>
              <w:spacing w:line="440" w:lineRule="exact"/>
              <w:jc w:val="left"/>
              <w:rPr>
                <w:rFonts w:hint="eastAsia" w:ascii="仿宋" w:hAnsi="仿宋" w:eastAsia="仿宋" w:cs="仿宋"/>
                <w:color w:val="auto"/>
                <w:szCs w:val="21"/>
                <w:highlight w:val="none"/>
              </w:rPr>
            </w:pPr>
          </w:p>
        </w:tc>
        <w:tc>
          <w:tcPr>
            <w:tcW w:w="991" w:type="dxa"/>
            <w:noWrap w:val="0"/>
            <w:vAlign w:val="top"/>
          </w:tcPr>
          <w:p w14:paraId="4BC3E96E">
            <w:pPr>
              <w:spacing w:line="440" w:lineRule="exact"/>
              <w:jc w:val="left"/>
              <w:rPr>
                <w:rFonts w:hint="eastAsia" w:ascii="仿宋" w:hAnsi="仿宋" w:eastAsia="仿宋" w:cs="仿宋"/>
                <w:color w:val="auto"/>
                <w:szCs w:val="21"/>
                <w:highlight w:val="none"/>
              </w:rPr>
            </w:pPr>
          </w:p>
        </w:tc>
        <w:tc>
          <w:tcPr>
            <w:tcW w:w="672" w:type="dxa"/>
            <w:noWrap w:val="0"/>
            <w:vAlign w:val="top"/>
          </w:tcPr>
          <w:p w14:paraId="50325870">
            <w:pPr>
              <w:spacing w:line="440" w:lineRule="exact"/>
              <w:jc w:val="left"/>
              <w:rPr>
                <w:rFonts w:hint="eastAsia" w:ascii="仿宋" w:hAnsi="仿宋" w:eastAsia="仿宋" w:cs="仿宋"/>
                <w:color w:val="auto"/>
                <w:szCs w:val="21"/>
                <w:highlight w:val="none"/>
              </w:rPr>
            </w:pPr>
          </w:p>
        </w:tc>
        <w:tc>
          <w:tcPr>
            <w:tcW w:w="738" w:type="dxa"/>
            <w:noWrap w:val="0"/>
            <w:vAlign w:val="top"/>
          </w:tcPr>
          <w:p w14:paraId="42E69FF6">
            <w:pPr>
              <w:spacing w:line="440" w:lineRule="exact"/>
              <w:jc w:val="left"/>
              <w:rPr>
                <w:rFonts w:hint="eastAsia" w:ascii="仿宋" w:hAnsi="仿宋" w:eastAsia="仿宋" w:cs="仿宋"/>
                <w:color w:val="auto"/>
                <w:szCs w:val="21"/>
                <w:highlight w:val="none"/>
              </w:rPr>
            </w:pPr>
          </w:p>
        </w:tc>
        <w:tc>
          <w:tcPr>
            <w:tcW w:w="1212" w:type="dxa"/>
            <w:noWrap w:val="0"/>
            <w:vAlign w:val="top"/>
          </w:tcPr>
          <w:p w14:paraId="191F5DA6">
            <w:pPr>
              <w:spacing w:line="440" w:lineRule="exact"/>
              <w:jc w:val="left"/>
              <w:rPr>
                <w:rFonts w:hint="eastAsia" w:ascii="仿宋" w:hAnsi="仿宋" w:eastAsia="仿宋" w:cs="仿宋"/>
                <w:color w:val="auto"/>
                <w:szCs w:val="21"/>
                <w:highlight w:val="none"/>
              </w:rPr>
            </w:pPr>
          </w:p>
        </w:tc>
        <w:tc>
          <w:tcPr>
            <w:tcW w:w="1653" w:type="dxa"/>
            <w:noWrap w:val="0"/>
            <w:vAlign w:val="top"/>
          </w:tcPr>
          <w:p w14:paraId="690F403D">
            <w:pPr>
              <w:spacing w:line="440" w:lineRule="exact"/>
              <w:jc w:val="left"/>
              <w:rPr>
                <w:rFonts w:hint="eastAsia" w:ascii="仿宋" w:hAnsi="仿宋" w:eastAsia="仿宋" w:cs="仿宋"/>
                <w:color w:val="auto"/>
                <w:szCs w:val="21"/>
                <w:highlight w:val="none"/>
              </w:rPr>
            </w:pPr>
          </w:p>
        </w:tc>
        <w:tc>
          <w:tcPr>
            <w:tcW w:w="688" w:type="dxa"/>
            <w:noWrap w:val="0"/>
            <w:vAlign w:val="top"/>
          </w:tcPr>
          <w:p w14:paraId="2D38A5CD">
            <w:pPr>
              <w:spacing w:line="440" w:lineRule="exact"/>
              <w:jc w:val="left"/>
              <w:rPr>
                <w:rFonts w:hint="eastAsia" w:ascii="仿宋" w:hAnsi="仿宋" w:eastAsia="仿宋" w:cs="仿宋"/>
                <w:color w:val="auto"/>
                <w:szCs w:val="21"/>
                <w:highlight w:val="none"/>
              </w:rPr>
            </w:pPr>
          </w:p>
        </w:tc>
      </w:tr>
      <w:tr w14:paraId="57DD84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6" w:type="dxa"/>
            <w:noWrap w:val="0"/>
            <w:vAlign w:val="top"/>
          </w:tcPr>
          <w:p w14:paraId="56123BBD">
            <w:pPr>
              <w:spacing w:line="440" w:lineRule="exact"/>
              <w:jc w:val="left"/>
              <w:rPr>
                <w:rFonts w:hint="eastAsia" w:ascii="仿宋" w:hAnsi="仿宋" w:eastAsia="仿宋" w:cs="仿宋"/>
                <w:color w:val="auto"/>
                <w:szCs w:val="21"/>
                <w:highlight w:val="none"/>
              </w:rPr>
            </w:pPr>
          </w:p>
        </w:tc>
        <w:tc>
          <w:tcPr>
            <w:tcW w:w="1087" w:type="dxa"/>
            <w:noWrap w:val="0"/>
            <w:vAlign w:val="top"/>
          </w:tcPr>
          <w:p w14:paraId="3BEFE996">
            <w:pPr>
              <w:spacing w:line="440" w:lineRule="exact"/>
              <w:jc w:val="left"/>
              <w:rPr>
                <w:rFonts w:hint="eastAsia" w:ascii="仿宋" w:hAnsi="仿宋" w:eastAsia="仿宋" w:cs="仿宋"/>
                <w:color w:val="auto"/>
                <w:szCs w:val="21"/>
                <w:highlight w:val="none"/>
              </w:rPr>
            </w:pPr>
          </w:p>
        </w:tc>
        <w:tc>
          <w:tcPr>
            <w:tcW w:w="760" w:type="dxa"/>
            <w:noWrap w:val="0"/>
            <w:vAlign w:val="top"/>
          </w:tcPr>
          <w:p w14:paraId="4B75D6A6">
            <w:pPr>
              <w:spacing w:line="440" w:lineRule="exact"/>
              <w:jc w:val="left"/>
              <w:rPr>
                <w:rFonts w:hint="eastAsia" w:ascii="仿宋" w:hAnsi="仿宋" w:eastAsia="仿宋" w:cs="仿宋"/>
                <w:color w:val="auto"/>
                <w:szCs w:val="21"/>
                <w:highlight w:val="none"/>
              </w:rPr>
            </w:pPr>
          </w:p>
        </w:tc>
        <w:tc>
          <w:tcPr>
            <w:tcW w:w="991" w:type="dxa"/>
            <w:noWrap w:val="0"/>
            <w:vAlign w:val="top"/>
          </w:tcPr>
          <w:p w14:paraId="1DE061A1">
            <w:pPr>
              <w:spacing w:line="440" w:lineRule="exact"/>
              <w:jc w:val="left"/>
              <w:rPr>
                <w:rFonts w:hint="eastAsia" w:ascii="仿宋" w:hAnsi="仿宋" w:eastAsia="仿宋" w:cs="仿宋"/>
                <w:color w:val="auto"/>
                <w:szCs w:val="21"/>
                <w:highlight w:val="none"/>
              </w:rPr>
            </w:pPr>
          </w:p>
        </w:tc>
        <w:tc>
          <w:tcPr>
            <w:tcW w:w="672" w:type="dxa"/>
            <w:noWrap w:val="0"/>
            <w:vAlign w:val="top"/>
          </w:tcPr>
          <w:p w14:paraId="687A9934">
            <w:pPr>
              <w:spacing w:line="440" w:lineRule="exact"/>
              <w:jc w:val="left"/>
              <w:rPr>
                <w:rFonts w:hint="eastAsia" w:ascii="仿宋" w:hAnsi="仿宋" w:eastAsia="仿宋" w:cs="仿宋"/>
                <w:color w:val="auto"/>
                <w:szCs w:val="21"/>
                <w:highlight w:val="none"/>
              </w:rPr>
            </w:pPr>
          </w:p>
        </w:tc>
        <w:tc>
          <w:tcPr>
            <w:tcW w:w="738" w:type="dxa"/>
            <w:noWrap w:val="0"/>
            <w:vAlign w:val="top"/>
          </w:tcPr>
          <w:p w14:paraId="4E87233C">
            <w:pPr>
              <w:spacing w:line="440" w:lineRule="exact"/>
              <w:jc w:val="left"/>
              <w:rPr>
                <w:rFonts w:hint="eastAsia" w:ascii="仿宋" w:hAnsi="仿宋" w:eastAsia="仿宋" w:cs="仿宋"/>
                <w:color w:val="auto"/>
                <w:szCs w:val="21"/>
                <w:highlight w:val="none"/>
              </w:rPr>
            </w:pPr>
          </w:p>
        </w:tc>
        <w:tc>
          <w:tcPr>
            <w:tcW w:w="1212" w:type="dxa"/>
            <w:noWrap w:val="0"/>
            <w:vAlign w:val="top"/>
          </w:tcPr>
          <w:p w14:paraId="2197FF77">
            <w:pPr>
              <w:spacing w:line="440" w:lineRule="exact"/>
              <w:jc w:val="left"/>
              <w:rPr>
                <w:rFonts w:hint="eastAsia" w:ascii="仿宋" w:hAnsi="仿宋" w:eastAsia="仿宋" w:cs="仿宋"/>
                <w:color w:val="auto"/>
                <w:szCs w:val="21"/>
                <w:highlight w:val="none"/>
              </w:rPr>
            </w:pPr>
          </w:p>
        </w:tc>
        <w:tc>
          <w:tcPr>
            <w:tcW w:w="1653" w:type="dxa"/>
            <w:noWrap w:val="0"/>
            <w:vAlign w:val="top"/>
          </w:tcPr>
          <w:p w14:paraId="5F793808">
            <w:pPr>
              <w:spacing w:line="440" w:lineRule="exact"/>
              <w:jc w:val="left"/>
              <w:rPr>
                <w:rFonts w:hint="eastAsia" w:ascii="仿宋" w:hAnsi="仿宋" w:eastAsia="仿宋" w:cs="仿宋"/>
                <w:color w:val="auto"/>
                <w:szCs w:val="21"/>
                <w:highlight w:val="none"/>
              </w:rPr>
            </w:pPr>
          </w:p>
        </w:tc>
        <w:tc>
          <w:tcPr>
            <w:tcW w:w="688" w:type="dxa"/>
            <w:noWrap w:val="0"/>
            <w:vAlign w:val="top"/>
          </w:tcPr>
          <w:p w14:paraId="41011055">
            <w:pPr>
              <w:spacing w:line="440" w:lineRule="exact"/>
              <w:jc w:val="left"/>
              <w:rPr>
                <w:rFonts w:hint="eastAsia" w:ascii="仿宋" w:hAnsi="仿宋" w:eastAsia="仿宋" w:cs="仿宋"/>
                <w:color w:val="auto"/>
                <w:szCs w:val="21"/>
                <w:highlight w:val="none"/>
              </w:rPr>
            </w:pPr>
          </w:p>
        </w:tc>
      </w:tr>
      <w:tr w14:paraId="2321BE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6" w:type="dxa"/>
            <w:noWrap w:val="0"/>
            <w:vAlign w:val="top"/>
          </w:tcPr>
          <w:p w14:paraId="690A9985">
            <w:pPr>
              <w:spacing w:line="440" w:lineRule="exact"/>
              <w:jc w:val="left"/>
              <w:rPr>
                <w:rFonts w:hint="eastAsia" w:ascii="仿宋" w:hAnsi="仿宋" w:eastAsia="仿宋" w:cs="仿宋"/>
                <w:color w:val="auto"/>
                <w:szCs w:val="21"/>
                <w:highlight w:val="none"/>
              </w:rPr>
            </w:pPr>
          </w:p>
        </w:tc>
        <w:tc>
          <w:tcPr>
            <w:tcW w:w="1087" w:type="dxa"/>
            <w:noWrap w:val="0"/>
            <w:vAlign w:val="top"/>
          </w:tcPr>
          <w:p w14:paraId="5A3BB844">
            <w:pPr>
              <w:spacing w:line="440" w:lineRule="exact"/>
              <w:jc w:val="left"/>
              <w:rPr>
                <w:rFonts w:hint="eastAsia" w:ascii="仿宋" w:hAnsi="仿宋" w:eastAsia="仿宋" w:cs="仿宋"/>
                <w:color w:val="auto"/>
                <w:szCs w:val="21"/>
                <w:highlight w:val="none"/>
              </w:rPr>
            </w:pPr>
          </w:p>
        </w:tc>
        <w:tc>
          <w:tcPr>
            <w:tcW w:w="760" w:type="dxa"/>
            <w:noWrap w:val="0"/>
            <w:vAlign w:val="top"/>
          </w:tcPr>
          <w:p w14:paraId="5BEB5C8E">
            <w:pPr>
              <w:spacing w:line="440" w:lineRule="exact"/>
              <w:jc w:val="left"/>
              <w:rPr>
                <w:rFonts w:hint="eastAsia" w:ascii="仿宋" w:hAnsi="仿宋" w:eastAsia="仿宋" w:cs="仿宋"/>
                <w:color w:val="auto"/>
                <w:szCs w:val="21"/>
                <w:highlight w:val="none"/>
              </w:rPr>
            </w:pPr>
          </w:p>
        </w:tc>
        <w:tc>
          <w:tcPr>
            <w:tcW w:w="991" w:type="dxa"/>
            <w:noWrap w:val="0"/>
            <w:vAlign w:val="top"/>
          </w:tcPr>
          <w:p w14:paraId="240BEAC9">
            <w:pPr>
              <w:spacing w:line="440" w:lineRule="exact"/>
              <w:jc w:val="left"/>
              <w:rPr>
                <w:rFonts w:hint="eastAsia" w:ascii="仿宋" w:hAnsi="仿宋" w:eastAsia="仿宋" w:cs="仿宋"/>
                <w:color w:val="auto"/>
                <w:szCs w:val="21"/>
                <w:highlight w:val="none"/>
              </w:rPr>
            </w:pPr>
          </w:p>
        </w:tc>
        <w:tc>
          <w:tcPr>
            <w:tcW w:w="672" w:type="dxa"/>
            <w:noWrap w:val="0"/>
            <w:vAlign w:val="top"/>
          </w:tcPr>
          <w:p w14:paraId="13855B78">
            <w:pPr>
              <w:spacing w:line="440" w:lineRule="exact"/>
              <w:jc w:val="left"/>
              <w:rPr>
                <w:rFonts w:hint="eastAsia" w:ascii="仿宋" w:hAnsi="仿宋" w:eastAsia="仿宋" w:cs="仿宋"/>
                <w:color w:val="auto"/>
                <w:szCs w:val="21"/>
                <w:highlight w:val="none"/>
              </w:rPr>
            </w:pPr>
          </w:p>
        </w:tc>
        <w:tc>
          <w:tcPr>
            <w:tcW w:w="738" w:type="dxa"/>
            <w:noWrap w:val="0"/>
            <w:vAlign w:val="top"/>
          </w:tcPr>
          <w:p w14:paraId="6FE859D8">
            <w:pPr>
              <w:spacing w:line="440" w:lineRule="exact"/>
              <w:jc w:val="left"/>
              <w:rPr>
                <w:rFonts w:hint="eastAsia" w:ascii="仿宋" w:hAnsi="仿宋" w:eastAsia="仿宋" w:cs="仿宋"/>
                <w:color w:val="auto"/>
                <w:szCs w:val="21"/>
                <w:highlight w:val="none"/>
              </w:rPr>
            </w:pPr>
          </w:p>
        </w:tc>
        <w:tc>
          <w:tcPr>
            <w:tcW w:w="1212" w:type="dxa"/>
            <w:noWrap w:val="0"/>
            <w:vAlign w:val="top"/>
          </w:tcPr>
          <w:p w14:paraId="20791C45">
            <w:pPr>
              <w:spacing w:line="440" w:lineRule="exact"/>
              <w:jc w:val="left"/>
              <w:rPr>
                <w:rFonts w:hint="eastAsia" w:ascii="仿宋" w:hAnsi="仿宋" w:eastAsia="仿宋" w:cs="仿宋"/>
                <w:color w:val="auto"/>
                <w:szCs w:val="21"/>
                <w:highlight w:val="none"/>
              </w:rPr>
            </w:pPr>
          </w:p>
        </w:tc>
        <w:tc>
          <w:tcPr>
            <w:tcW w:w="1653" w:type="dxa"/>
            <w:noWrap w:val="0"/>
            <w:vAlign w:val="top"/>
          </w:tcPr>
          <w:p w14:paraId="542ACBE9">
            <w:pPr>
              <w:spacing w:line="440" w:lineRule="exact"/>
              <w:jc w:val="left"/>
              <w:rPr>
                <w:rFonts w:hint="eastAsia" w:ascii="仿宋" w:hAnsi="仿宋" w:eastAsia="仿宋" w:cs="仿宋"/>
                <w:color w:val="auto"/>
                <w:szCs w:val="21"/>
                <w:highlight w:val="none"/>
              </w:rPr>
            </w:pPr>
          </w:p>
        </w:tc>
        <w:tc>
          <w:tcPr>
            <w:tcW w:w="688" w:type="dxa"/>
            <w:noWrap w:val="0"/>
            <w:vAlign w:val="top"/>
          </w:tcPr>
          <w:p w14:paraId="226B2A1A">
            <w:pPr>
              <w:spacing w:line="440" w:lineRule="exact"/>
              <w:jc w:val="left"/>
              <w:rPr>
                <w:rFonts w:hint="eastAsia" w:ascii="仿宋" w:hAnsi="仿宋" w:eastAsia="仿宋" w:cs="仿宋"/>
                <w:color w:val="auto"/>
                <w:szCs w:val="21"/>
                <w:highlight w:val="none"/>
              </w:rPr>
            </w:pPr>
          </w:p>
        </w:tc>
      </w:tr>
      <w:tr w14:paraId="606E06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6" w:type="dxa"/>
            <w:noWrap w:val="0"/>
            <w:vAlign w:val="top"/>
          </w:tcPr>
          <w:p w14:paraId="5D1C96DA">
            <w:pPr>
              <w:spacing w:line="440" w:lineRule="exact"/>
              <w:jc w:val="left"/>
              <w:rPr>
                <w:rFonts w:hint="eastAsia" w:ascii="仿宋" w:hAnsi="仿宋" w:eastAsia="仿宋" w:cs="仿宋"/>
                <w:color w:val="auto"/>
                <w:szCs w:val="21"/>
                <w:highlight w:val="none"/>
              </w:rPr>
            </w:pPr>
          </w:p>
        </w:tc>
        <w:tc>
          <w:tcPr>
            <w:tcW w:w="1087" w:type="dxa"/>
            <w:noWrap w:val="0"/>
            <w:vAlign w:val="top"/>
          </w:tcPr>
          <w:p w14:paraId="59E831EF">
            <w:pPr>
              <w:spacing w:line="440" w:lineRule="exact"/>
              <w:jc w:val="left"/>
              <w:rPr>
                <w:rFonts w:hint="eastAsia" w:ascii="仿宋" w:hAnsi="仿宋" w:eastAsia="仿宋" w:cs="仿宋"/>
                <w:color w:val="auto"/>
                <w:szCs w:val="21"/>
                <w:highlight w:val="none"/>
              </w:rPr>
            </w:pPr>
          </w:p>
        </w:tc>
        <w:tc>
          <w:tcPr>
            <w:tcW w:w="760" w:type="dxa"/>
            <w:noWrap w:val="0"/>
            <w:vAlign w:val="top"/>
          </w:tcPr>
          <w:p w14:paraId="6F4050A2">
            <w:pPr>
              <w:spacing w:line="440" w:lineRule="exact"/>
              <w:jc w:val="left"/>
              <w:rPr>
                <w:rFonts w:hint="eastAsia" w:ascii="仿宋" w:hAnsi="仿宋" w:eastAsia="仿宋" w:cs="仿宋"/>
                <w:color w:val="auto"/>
                <w:szCs w:val="21"/>
                <w:highlight w:val="none"/>
              </w:rPr>
            </w:pPr>
          </w:p>
        </w:tc>
        <w:tc>
          <w:tcPr>
            <w:tcW w:w="991" w:type="dxa"/>
            <w:noWrap w:val="0"/>
            <w:vAlign w:val="top"/>
          </w:tcPr>
          <w:p w14:paraId="1C58868F">
            <w:pPr>
              <w:spacing w:line="440" w:lineRule="exact"/>
              <w:jc w:val="left"/>
              <w:rPr>
                <w:rFonts w:hint="eastAsia" w:ascii="仿宋" w:hAnsi="仿宋" w:eastAsia="仿宋" w:cs="仿宋"/>
                <w:color w:val="auto"/>
                <w:szCs w:val="21"/>
                <w:highlight w:val="none"/>
              </w:rPr>
            </w:pPr>
          </w:p>
        </w:tc>
        <w:tc>
          <w:tcPr>
            <w:tcW w:w="672" w:type="dxa"/>
            <w:noWrap w:val="0"/>
            <w:vAlign w:val="top"/>
          </w:tcPr>
          <w:p w14:paraId="6E0736CF">
            <w:pPr>
              <w:spacing w:line="440" w:lineRule="exact"/>
              <w:jc w:val="left"/>
              <w:rPr>
                <w:rFonts w:hint="eastAsia" w:ascii="仿宋" w:hAnsi="仿宋" w:eastAsia="仿宋" w:cs="仿宋"/>
                <w:color w:val="auto"/>
                <w:szCs w:val="21"/>
                <w:highlight w:val="none"/>
              </w:rPr>
            </w:pPr>
          </w:p>
        </w:tc>
        <w:tc>
          <w:tcPr>
            <w:tcW w:w="738" w:type="dxa"/>
            <w:noWrap w:val="0"/>
            <w:vAlign w:val="top"/>
          </w:tcPr>
          <w:p w14:paraId="40A6FC81">
            <w:pPr>
              <w:spacing w:line="440" w:lineRule="exact"/>
              <w:jc w:val="left"/>
              <w:rPr>
                <w:rFonts w:hint="eastAsia" w:ascii="仿宋" w:hAnsi="仿宋" w:eastAsia="仿宋" w:cs="仿宋"/>
                <w:color w:val="auto"/>
                <w:szCs w:val="21"/>
                <w:highlight w:val="none"/>
              </w:rPr>
            </w:pPr>
          </w:p>
        </w:tc>
        <w:tc>
          <w:tcPr>
            <w:tcW w:w="1212" w:type="dxa"/>
            <w:noWrap w:val="0"/>
            <w:vAlign w:val="top"/>
          </w:tcPr>
          <w:p w14:paraId="178B9D44">
            <w:pPr>
              <w:spacing w:line="440" w:lineRule="exact"/>
              <w:jc w:val="left"/>
              <w:rPr>
                <w:rFonts w:hint="eastAsia" w:ascii="仿宋" w:hAnsi="仿宋" w:eastAsia="仿宋" w:cs="仿宋"/>
                <w:color w:val="auto"/>
                <w:szCs w:val="21"/>
                <w:highlight w:val="none"/>
              </w:rPr>
            </w:pPr>
          </w:p>
        </w:tc>
        <w:tc>
          <w:tcPr>
            <w:tcW w:w="1653" w:type="dxa"/>
            <w:noWrap w:val="0"/>
            <w:vAlign w:val="top"/>
          </w:tcPr>
          <w:p w14:paraId="31CD8391">
            <w:pPr>
              <w:spacing w:line="440" w:lineRule="exact"/>
              <w:jc w:val="left"/>
              <w:rPr>
                <w:rFonts w:hint="eastAsia" w:ascii="仿宋" w:hAnsi="仿宋" w:eastAsia="仿宋" w:cs="仿宋"/>
                <w:color w:val="auto"/>
                <w:szCs w:val="21"/>
                <w:highlight w:val="none"/>
              </w:rPr>
            </w:pPr>
          </w:p>
        </w:tc>
        <w:tc>
          <w:tcPr>
            <w:tcW w:w="688" w:type="dxa"/>
            <w:noWrap w:val="0"/>
            <w:vAlign w:val="top"/>
          </w:tcPr>
          <w:p w14:paraId="49F15186">
            <w:pPr>
              <w:spacing w:line="440" w:lineRule="exact"/>
              <w:jc w:val="left"/>
              <w:rPr>
                <w:rFonts w:hint="eastAsia" w:ascii="仿宋" w:hAnsi="仿宋" w:eastAsia="仿宋" w:cs="仿宋"/>
                <w:color w:val="auto"/>
                <w:szCs w:val="21"/>
                <w:highlight w:val="none"/>
              </w:rPr>
            </w:pPr>
          </w:p>
        </w:tc>
      </w:tr>
      <w:tr w14:paraId="6DA10F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6" w:type="dxa"/>
            <w:noWrap w:val="0"/>
            <w:vAlign w:val="top"/>
          </w:tcPr>
          <w:p w14:paraId="370D9A73">
            <w:pPr>
              <w:spacing w:line="440" w:lineRule="exact"/>
              <w:jc w:val="left"/>
              <w:rPr>
                <w:rFonts w:hint="eastAsia" w:ascii="仿宋" w:hAnsi="仿宋" w:eastAsia="仿宋" w:cs="仿宋"/>
                <w:color w:val="auto"/>
                <w:szCs w:val="21"/>
                <w:highlight w:val="none"/>
              </w:rPr>
            </w:pPr>
          </w:p>
        </w:tc>
        <w:tc>
          <w:tcPr>
            <w:tcW w:w="1087" w:type="dxa"/>
            <w:noWrap w:val="0"/>
            <w:vAlign w:val="top"/>
          </w:tcPr>
          <w:p w14:paraId="48128F82">
            <w:pPr>
              <w:spacing w:line="440" w:lineRule="exact"/>
              <w:jc w:val="left"/>
              <w:rPr>
                <w:rFonts w:hint="eastAsia" w:ascii="仿宋" w:hAnsi="仿宋" w:eastAsia="仿宋" w:cs="仿宋"/>
                <w:color w:val="auto"/>
                <w:szCs w:val="21"/>
                <w:highlight w:val="none"/>
              </w:rPr>
            </w:pPr>
          </w:p>
        </w:tc>
        <w:tc>
          <w:tcPr>
            <w:tcW w:w="760" w:type="dxa"/>
            <w:noWrap w:val="0"/>
            <w:vAlign w:val="top"/>
          </w:tcPr>
          <w:p w14:paraId="02A45603">
            <w:pPr>
              <w:spacing w:line="440" w:lineRule="exact"/>
              <w:jc w:val="left"/>
              <w:rPr>
                <w:rFonts w:hint="eastAsia" w:ascii="仿宋" w:hAnsi="仿宋" w:eastAsia="仿宋" w:cs="仿宋"/>
                <w:color w:val="auto"/>
                <w:szCs w:val="21"/>
                <w:highlight w:val="none"/>
              </w:rPr>
            </w:pPr>
          </w:p>
        </w:tc>
        <w:tc>
          <w:tcPr>
            <w:tcW w:w="991" w:type="dxa"/>
            <w:noWrap w:val="0"/>
            <w:vAlign w:val="top"/>
          </w:tcPr>
          <w:p w14:paraId="0D705C3B">
            <w:pPr>
              <w:spacing w:line="440" w:lineRule="exact"/>
              <w:jc w:val="left"/>
              <w:rPr>
                <w:rFonts w:hint="eastAsia" w:ascii="仿宋" w:hAnsi="仿宋" w:eastAsia="仿宋" w:cs="仿宋"/>
                <w:color w:val="auto"/>
                <w:szCs w:val="21"/>
                <w:highlight w:val="none"/>
              </w:rPr>
            </w:pPr>
          </w:p>
        </w:tc>
        <w:tc>
          <w:tcPr>
            <w:tcW w:w="672" w:type="dxa"/>
            <w:noWrap w:val="0"/>
            <w:vAlign w:val="top"/>
          </w:tcPr>
          <w:p w14:paraId="7369C079">
            <w:pPr>
              <w:spacing w:line="440" w:lineRule="exact"/>
              <w:jc w:val="left"/>
              <w:rPr>
                <w:rFonts w:hint="eastAsia" w:ascii="仿宋" w:hAnsi="仿宋" w:eastAsia="仿宋" w:cs="仿宋"/>
                <w:color w:val="auto"/>
                <w:szCs w:val="21"/>
                <w:highlight w:val="none"/>
              </w:rPr>
            </w:pPr>
          </w:p>
        </w:tc>
        <w:tc>
          <w:tcPr>
            <w:tcW w:w="738" w:type="dxa"/>
            <w:noWrap w:val="0"/>
            <w:vAlign w:val="top"/>
          </w:tcPr>
          <w:p w14:paraId="6CB5832E">
            <w:pPr>
              <w:spacing w:line="440" w:lineRule="exact"/>
              <w:jc w:val="left"/>
              <w:rPr>
                <w:rFonts w:hint="eastAsia" w:ascii="仿宋" w:hAnsi="仿宋" w:eastAsia="仿宋" w:cs="仿宋"/>
                <w:color w:val="auto"/>
                <w:szCs w:val="21"/>
                <w:highlight w:val="none"/>
              </w:rPr>
            </w:pPr>
          </w:p>
        </w:tc>
        <w:tc>
          <w:tcPr>
            <w:tcW w:w="1212" w:type="dxa"/>
            <w:noWrap w:val="0"/>
            <w:vAlign w:val="top"/>
          </w:tcPr>
          <w:p w14:paraId="33D01714">
            <w:pPr>
              <w:spacing w:line="440" w:lineRule="exact"/>
              <w:jc w:val="left"/>
              <w:rPr>
                <w:rFonts w:hint="eastAsia" w:ascii="仿宋" w:hAnsi="仿宋" w:eastAsia="仿宋" w:cs="仿宋"/>
                <w:color w:val="auto"/>
                <w:szCs w:val="21"/>
                <w:highlight w:val="none"/>
              </w:rPr>
            </w:pPr>
          </w:p>
        </w:tc>
        <w:tc>
          <w:tcPr>
            <w:tcW w:w="1653" w:type="dxa"/>
            <w:noWrap w:val="0"/>
            <w:vAlign w:val="top"/>
          </w:tcPr>
          <w:p w14:paraId="6EF18A87">
            <w:pPr>
              <w:spacing w:line="440" w:lineRule="exact"/>
              <w:jc w:val="left"/>
              <w:rPr>
                <w:rFonts w:hint="eastAsia" w:ascii="仿宋" w:hAnsi="仿宋" w:eastAsia="仿宋" w:cs="仿宋"/>
                <w:color w:val="auto"/>
                <w:szCs w:val="21"/>
                <w:highlight w:val="none"/>
              </w:rPr>
            </w:pPr>
          </w:p>
        </w:tc>
        <w:tc>
          <w:tcPr>
            <w:tcW w:w="688" w:type="dxa"/>
            <w:noWrap w:val="0"/>
            <w:vAlign w:val="top"/>
          </w:tcPr>
          <w:p w14:paraId="64C9A3A3">
            <w:pPr>
              <w:spacing w:line="440" w:lineRule="exact"/>
              <w:jc w:val="left"/>
              <w:rPr>
                <w:rFonts w:hint="eastAsia" w:ascii="仿宋" w:hAnsi="仿宋" w:eastAsia="仿宋" w:cs="仿宋"/>
                <w:color w:val="auto"/>
                <w:szCs w:val="21"/>
                <w:highlight w:val="none"/>
              </w:rPr>
            </w:pPr>
          </w:p>
        </w:tc>
      </w:tr>
      <w:tr w14:paraId="762FFF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6" w:type="dxa"/>
            <w:noWrap w:val="0"/>
            <w:vAlign w:val="top"/>
          </w:tcPr>
          <w:p w14:paraId="1E7DAFEE">
            <w:pPr>
              <w:spacing w:line="440" w:lineRule="exact"/>
              <w:jc w:val="left"/>
              <w:rPr>
                <w:rFonts w:hint="eastAsia" w:ascii="仿宋" w:hAnsi="仿宋" w:eastAsia="仿宋" w:cs="仿宋"/>
                <w:color w:val="auto"/>
                <w:szCs w:val="21"/>
                <w:highlight w:val="none"/>
              </w:rPr>
            </w:pPr>
          </w:p>
        </w:tc>
        <w:tc>
          <w:tcPr>
            <w:tcW w:w="1087" w:type="dxa"/>
            <w:noWrap w:val="0"/>
            <w:vAlign w:val="top"/>
          </w:tcPr>
          <w:p w14:paraId="20D8733C">
            <w:pPr>
              <w:spacing w:line="440" w:lineRule="exact"/>
              <w:jc w:val="left"/>
              <w:rPr>
                <w:rFonts w:hint="eastAsia" w:ascii="仿宋" w:hAnsi="仿宋" w:eastAsia="仿宋" w:cs="仿宋"/>
                <w:color w:val="auto"/>
                <w:szCs w:val="21"/>
                <w:highlight w:val="none"/>
              </w:rPr>
            </w:pPr>
          </w:p>
        </w:tc>
        <w:tc>
          <w:tcPr>
            <w:tcW w:w="760" w:type="dxa"/>
            <w:noWrap w:val="0"/>
            <w:vAlign w:val="top"/>
          </w:tcPr>
          <w:p w14:paraId="17D6F216">
            <w:pPr>
              <w:spacing w:line="440" w:lineRule="exact"/>
              <w:jc w:val="left"/>
              <w:rPr>
                <w:rFonts w:hint="eastAsia" w:ascii="仿宋" w:hAnsi="仿宋" w:eastAsia="仿宋" w:cs="仿宋"/>
                <w:color w:val="auto"/>
                <w:szCs w:val="21"/>
                <w:highlight w:val="none"/>
              </w:rPr>
            </w:pPr>
          </w:p>
        </w:tc>
        <w:tc>
          <w:tcPr>
            <w:tcW w:w="991" w:type="dxa"/>
            <w:noWrap w:val="0"/>
            <w:vAlign w:val="top"/>
          </w:tcPr>
          <w:p w14:paraId="7C7D84F8">
            <w:pPr>
              <w:spacing w:line="440" w:lineRule="exact"/>
              <w:jc w:val="left"/>
              <w:rPr>
                <w:rFonts w:hint="eastAsia" w:ascii="仿宋" w:hAnsi="仿宋" w:eastAsia="仿宋" w:cs="仿宋"/>
                <w:color w:val="auto"/>
                <w:szCs w:val="21"/>
                <w:highlight w:val="none"/>
              </w:rPr>
            </w:pPr>
          </w:p>
        </w:tc>
        <w:tc>
          <w:tcPr>
            <w:tcW w:w="672" w:type="dxa"/>
            <w:noWrap w:val="0"/>
            <w:vAlign w:val="top"/>
          </w:tcPr>
          <w:p w14:paraId="363F3331">
            <w:pPr>
              <w:spacing w:line="440" w:lineRule="exact"/>
              <w:jc w:val="left"/>
              <w:rPr>
                <w:rFonts w:hint="eastAsia" w:ascii="仿宋" w:hAnsi="仿宋" w:eastAsia="仿宋" w:cs="仿宋"/>
                <w:color w:val="auto"/>
                <w:szCs w:val="21"/>
                <w:highlight w:val="none"/>
              </w:rPr>
            </w:pPr>
          </w:p>
        </w:tc>
        <w:tc>
          <w:tcPr>
            <w:tcW w:w="738" w:type="dxa"/>
            <w:noWrap w:val="0"/>
            <w:vAlign w:val="top"/>
          </w:tcPr>
          <w:p w14:paraId="47EA855E">
            <w:pPr>
              <w:spacing w:line="440" w:lineRule="exact"/>
              <w:jc w:val="left"/>
              <w:rPr>
                <w:rFonts w:hint="eastAsia" w:ascii="仿宋" w:hAnsi="仿宋" w:eastAsia="仿宋" w:cs="仿宋"/>
                <w:color w:val="auto"/>
                <w:szCs w:val="21"/>
                <w:highlight w:val="none"/>
              </w:rPr>
            </w:pPr>
          </w:p>
        </w:tc>
        <w:tc>
          <w:tcPr>
            <w:tcW w:w="1212" w:type="dxa"/>
            <w:noWrap w:val="0"/>
            <w:vAlign w:val="top"/>
          </w:tcPr>
          <w:p w14:paraId="6084BB59">
            <w:pPr>
              <w:spacing w:line="440" w:lineRule="exact"/>
              <w:jc w:val="left"/>
              <w:rPr>
                <w:rFonts w:hint="eastAsia" w:ascii="仿宋" w:hAnsi="仿宋" w:eastAsia="仿宋" w:cs="仿宋"/>
                <w:color w:val="auto"/>
                <w:szCs w:val="21"/>
                <w:highlight w:val="none"/>
              </w:rPr>
            </w:pPr>
          </w:p>
        </w:tc>
        <w:tc>
          <w:tcPr>
            <w:tcW w:w="1653" w:type="dxa"/>
            <w:noWrap w:val="0"/>
            <w:vAlign w:val="top"/>
          </w:tcPr>
          <w:p w14:paraId="0A351033">
            <w:pPr>
              <w:spacing w:line="440" w:lineRule="exact"/>
              <w:jc w:val="left"/>
              <w:rPr>
                <w:rFonts w:hint="eastAsia" w:ascii="仿宋" w:hAnsi="仿宋" w:eastAsia="仿宋" w:cs="仿宋"/>
                <w:color w:val="auto"/>
                <w:szCs w:val="21"/>
                <w:highlight w:val="none"/>
              </w:rPr>
            </w:pPr>
          </w:p>
        </w:tc>
        <w:tc>
          <w:tcPr>
            <w:tcW w:w="688" w:type="dxa"/>
            <w:noWrap w:val="0"/>
            <w:vAlign w:val="top"/>
          </w:tcPr>
          <w:p w14:paraId="4C25FC5E">
            <w:pPr>
              <w:spacing w:line="440" w:lineRule="exact"/>
              <w:jc w:val="left"/>
              <w:rPr>
                <w:rFonts w:hint="eastAsia" w:ascii="仿宋" w:hAnsi="仿宋" w:eastAsia="仿宋" w:cs="仿宋"/>
                <w:color w:val="auto"/>
                <w:szCs w:val="21"/>
                <w:highlight w:val="none"/>
              </w:rPr>
            </w:pPr>
          </w:p>
        </w:tc>
      </w:tr>
      <w:tr w14:paraId="14C8FB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6" w:type="dxa"/>
            <w:noWrap w:val="0"/>
            <w:vAlign w:val="top"/>
          </w:tcPr>
          <w:p w14:paraId="5D4ECBFF">
            <w:pPr>
              <w:spacing w:line="440" w:lineRule="exact"/>
              <w:jc w:val="left"/>
              <w:rPr>
                <w:rFonts w:hint="eastAsia" w:ascii="仿宋" w:hAnsi="仿宋" w:eastAsia="仿宋" w:cs="仿宋"/>
                <w:color w:val="auto"/>
                <w:szCs w:val="21"/>
                <w:highlight w:val="none"/>
              </w:rPr>
            </w:pPr>
          </w:p>
        </w:tc>
        <w:tc>
          <w:tcPr>
            <w:tcW w:w="1087" w:type="dxa"/>
            <w:noWrap w:val="0"/>
            <w:vAlign w:val="top"/>
          </w:tcPr>
          <w:p w14:paraId="09467310">
            <w:pPr>
              <w:spacing w:line="440" w:lineRule="exact"/>
              <w:jc w:val="left"/>
              <w:rPr>
                <w:rFonts w:hint="eastAsia" w:ascii="仿宋" w:hAnsi="仿宋" w:eastAsia="仿宋" w:cs="仿宋"/>
                <w:color w:val="auto"/>
                <w:szCs w:val="21"/>
                <w:highlight w:val="none"/>
              </w:rPr>
            </w:pPr>
          </w:p>
        </w:tc>
        <w:tc>
          <w:tcPr>
            <w:tcW w:w="760" w:type="dxa"/>
            <w:noWrap w:val="0"/>
            <w:vAlign w:val="top"/>
          </w:tcPr>
          <w:p w14:paraId="082C1D39">
            <w:pPr>
              <w:spacing w:line="440" w:lineRule="exact"/>
              <w:jc w:val="left"/>
              <w:rPr>
                <w:rFonts w:hint="eastAsia" w:ascii="仿宋" w:hAnsi="仿宋" w:eastAsia="仿宋" w:cs="仿宋"/>
                <w:color w:val="auto"/>
                <w:szCs w:val="21"/>
                <w:highlight w:val="none"/>
              </w:rPr>
            </w:pPr>
          </w:p>
        </w:tc>
        <w:tc>
          <w:tcPr>
            <w:tcW w:w="991" w:type="dxa"/>
            <w:noWrap w:val="0"/>
            <w:vAlign w:val="top"/>
          </w:tcPr>
          <w:p w14:paraId="00D6D49D">
            <w:pPr>
              <w:spacing w:line="440" w:lineRule="exact"/>
              <w:jc w:val="left"/>
              <w:rPr>
                <w:rFonts w:hint="eastAsia" w:ascii="仿宋" w:hAnsi="仿宋" w:eastAsia="仿宋" w:cs="仿宋"/>
                <w:color w:val="auto"/>
                <w:szCs w:val="21"/>
                <w:highlight w:val="none"/>
              </w:rPr>
            </w:pPr>
          </w:p>
        </w:tc>
        <w:tc>
          <w:tcPr>
            <w:tcW w:w="672" w:type="dxa"/>
            <w:noWrap w:val="0"/>
            <w:vAlign w:val="top"/>
          </w:tcPr>
          <w:p w14:paraId="08773216">
            <w:pPr>
              <w:spacing w:line="440" w:lineRule="exact"/>
              <w:jc w:val="left"/>
              <w:rPr>
                <w:rFonts w:hint="eastAsia" w:ascii="仿宋" w:hAnsi="仿宋" w:eastAsia="仿宋" w:cs="仿宋"/>
                <w:color w:val="auto"/>
                <w:szCs w:val="21"/>
                <w:highlight w:val="none"/>
              </w:rPr>
            </w:pPr>
          </w:p>
        </w:tc>
        <w:tc>
          <w:tcPr>
            <w:tcW w:w="738" w:type="dxa"/>
            <w:noWrap w:val="0"/>
            <w:vAlign w:val="top"/>
          </w:tcPr>
          <w:p w14:paraId="26799989">
            <w:pPr>
              <w:spacing w:line="440" w:lineRule="exact"/>
              <w:jc w:val="left"/>
              <w:rPr>
                <w:rFonts w:hint="eastAsia" w:ascii="仿宋" w:hAnsi="仿宋" w:eastAsia="仿宋" w:cs="仿宋"/>
                <w:color w:val="auto"/>
                <w:szCs w:val="21"/>
                <w:highlight w:val="none"/>
              </w:rPr>
            </w:pPr>
          </w:p>
        </w:tc>
        <w:tc>
          <w:tcPr>
            <w:tcW w:w="1212" w:type="dxa"/>
            <w:noWrap w:val="0"/>
            <w:vAlign w:val="top"/>
          </w:tcPr>
          <w:p w14:paraId="488E1973">
            <w:pPr>
              <w:spacing w:line="440" w:lineRule="exact"/>
              <w:jc w:val="left"/>
              <w:rPr>
                <w:rFonts w:hint="eastAsia" w:ascii="仿宋" w:hAnsi="仿宋" w:eastAsia="仿宋" w:cs="仿宋"/>
                <w:color w:val="auto"/>
                <w:szCs w:val="21"/>
                <w:highlight w:val="none"/>
              </w:rPr>
            </w:pPr>
          </w:p>
        </w:tc>
        <w:tc>
          <w:tcPr>
            <w:tcW w:w="1653" w:type="dxa"/>
            <w:noWrap w:val="0"/>
            <w:vAlign w:val="top"/>
          </w:tcPr>
          <w:p w14:paraId="1FED5688">
            <w:pPr>
              <w:spacing w:line="440" w:lineRule="exact"/>
              <w:jc w:val="left"/>
              <w:rPr>
                <w:rFonts w:hint="eastAsia" w:ascii="仿宋" w:hAnsi="仿宋" w:eastAsia="仿宋" w:cs="仿宋"/>
                <w:color w:val="auto"/>
                <w:szCs w:val="21"/>
                <w:highlight w:val="none"/>
              </w:rPr>
            </w:pPr>
          </w:p>
        </w:tc>
        <w:tc>
          <w:tcPr>
            <w:tcW w:w="688" w:type="dxa"/>
            <w:noWrap w:val="0"/>
            <w:vAlign w:val="top"/>
          </w:tcPr>
          <w:p w14:paraId="6CBBB923">
            <w:pPr>
              <w:spacing w:line="440" w:lineRule="exact"/>
              <w:jc w:val="left"/>
              <w:rPr>
                <w:rFonts w:hint="eastAsia" w:ascii="仿宋" w:hAnsi="仿宋" w:eastAsia="仿宋" w:cs="仿宋"/>
                <w:color w:val="auto"/>
                <w:szCs w:val="21"/>
                <w:highlight w:val="none"/>
              </w:rPr>
            </w:pPr>
          </w:p>
        </w:tc>
      </w:tr>
    </w:tbl>
    <w:p w14:paraId="068AC9E8">
      <w:pPr>
        <w:spacing w:line="440" w:lineRule="exact"/>
        <w:jc w:val="left"/>
        <w:rPr>
          <w:rFonts w:hint="eastAsia" w:ascii="仿宋" w:hAnsi="仿宋" w:eastAsia="仿宋" w:cs="仿宋"/>
          <w:color w:val="auto"/>
          <w:highlight w:val="none"/>
        </w:rPr>
      </w:pPr>
      <w:bookmarkStart w:id="980" w:name="_Toc152045804"/>
      <w:bookmarkStart w:id="981" w:name="_Toc179632824"/>
      <w:bookmarkStart w:id="982" w:name="_Toc144974872"/>
      <w:bookmarkStart w:id="983" w:name="_Toc152042593"/>
    </w:p>
    <w:p w14:paraId="18DA5BAA">
      <w:pPr>
        <w:spacing w:line="440" w:lineRule="exact"/>
        <w:jc w:val="left"/>
        <w:rPr>
          <w:rFonts w:hint="eastAsia" w:ascii="仿宋" w:hAnsi="仿宋" w:eastAsia="仿宋" w:cs="仿宋"/>
          <w:color w:val="auto"/>
          <w:highlight w:val="none"/>
        </w:rPr>
      </w:pPr>
    </w:p>
    <w:p w14:paraId="06E7FA92">
      <w:pPr>
        <w:pStyle w:val="5"/>
        <w:jc w:val="center"/>
        <w:rPr>
          <w:rFonts w:hint="eastAsia" w:ascii="仿宋" w:hAnsi="仿宋" w:eastAsia="仿宋" w:cs="仿宋"/>
          <w:color w:val="auto"/>
          <w:highlight w:val="none"/>
        </w:rPr>
      </w:pPr>
      <w:bookmarkStart w:id="984" w:name="_Toc7956844"/>
      <w:bookmarkStart w:id="985" w:name="_Toc106998231"/>
      <w:r>
        <w:rPr>
          <w:rFonts w:hint="eastAsia" w:ascii="仿宋" w:hAnsi="仿宋" w:eastAsia="仿宋" w:cs="仿宋"/>
          <w:color w:val="auto"/>
          <w:highlight w:val="none"/>
        </w:rPr>
        <w:t>（八）项目管理机构组成表</w:t>
      </w:r>
      <w:bookmarkEnd w:id="980"/>
      <w:bookmarkEnd w:id="981"/>
      <w:bookmarkEnd w:id="982"/>
      <w:bookmarkEnd w:id="983"/>
      <w:bookmarkEnd w:id="984"/>
      <w:bookmarkEnd w:id="985"/>
    </w:p>
    <w:p w14:paraId="188C1942">
      <w:pPr>
        <w:spacing w:line="440" w:lineRule="exact"/>
        <w:jc w:val="left"/>
        <w:rPr>
          <w:rFonts w:hint="eastAsia" w:ascii="仿宋" w:hAnsi="仿宋" w:eastAsia="仿宋" w:cs="仿宋"/>
          <w:color w:val="auto"/>
          <w:sz w:val="23"/>
          <w:szCs w:val="23"/>
          <w:highlight w:val="none"/>
        </w:rPr>
      </w:pPr>
    </w:p>
    <w:tbl>
      <w:tblPr>
        <w:tblStyle w:val="39"/>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7"/>
        <w:gridCol w:w="721"/>
        <w:gridCol w:w="719"/>
        <w:gridCol w:w="1081"/>
        <w:gridCol w:w="719"/>
        <w:gridCol w:w="721"/>
        <w:gridCol w:w="719"/>
        <w:gridCol w:w="2523"/>
        <w:gridCol w:w="672"/>
      </w:tblGrid>
      <w:tr w14:paraId="0BCC84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7" w:type="dxa"/>
            <w:vMerge w:val="restart"/>
            <w:noWrap w:val="0"/>
            <w:vAlign w:val="center"/>
          </w:tcPr>
          <w:p w14:paraId="70283D82">
            <w:pPr>
              <w:spacing w:line="440" w:lineRule="exact"/>
              <w:ind w:firstLine="0" w:firstLineChars="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职务</w:t>
            </w:r>
          </w:p>
        </w:tc>
        <w:tc>
          <w:tcPr>
            <w:tcW w:w="721" w:type="dxa"/>
            <w:vMerge w:val="restart"/>
            <w:noWrap w:val="0"/>
            <w:vAlign w:val="center"/>
          </w:tcPr>
          <w:p w14:paraId="643C7A2D">
            <w:pPr>
              <w:spacing w:line="440" w:lineRule="exact"/>
              <w:ind w:firstLine="0" w:firstLineChars="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姓名</w:t>
            </w:r>
          </w:p>
        </w:tc>
        <w:tc>
          <w:tcPr>
            <w:tcW w:w="719" w:type="dxa"/>
            <w:vMerge w:val="restart"/>
            <w:noWrap w:val="0"/>
            <w:vAlign w:val="center"/>
          </w:tcPr>
          <w:p w14:paraId="3F9ED470">
            <w:pPr>
              <w:spacing w:line="440" w:lineRule="exact"/>
              <w:ind w:firstLine="0" w:firstLineChars="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职称</w:t>
            </w:r>
          </w:p>
        </w:tc>
        <w:tc>
          <w:tcPr>
            <w:tcW w:w="5763" w:type="dxa"/>
            <w:gridSpan w:val="5"/>
            <w:noWrap w:val="0"/>
            <w:vAlign w:val="center"/>
          </w:tcPr>
          <w:p w14:paraId="27DB39C2">
            <w:pPr>
              <w:spacing w:line="440" w:lineRule="exact"/>
              <w:ind w:firstLine="0" w:firstLineChars="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执业或职业资格证明</w:t>
            </w:r>
          </w:p>
        </w:tc>
        <w:tc>
          <w:tcPr>
            <w:tcW w:w="672" w:type="dxa"/>
            <w:noWrap w:val="0"/>
            <w:vAlign w:val="center"/>
          </w:tcPr>
          <w:p w14:paraId="01E9FC43">
            <w:pPr>
              <w:spacing w:line="440" w:lineRule="exact"/>
              <w:ind w:firstLine="0" w:firstLineChars="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备注</w:t>
            </w:r>
          </w:p>
        </w:tc>
      </w:tr>
      <w:tr w14:paraId="632F05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7" w:type="dxa"/>
            <w:vMerge w:val="continue"/>
            <w:noWrap w:val="0"/>
            <w:vAlign w:val="center"/>
          </w:tcPr>
          <w:p w14:paraId="28163AC8">
            <w:pPr>
              <w:spacing w:line="440" w:lineRule="exact"/>
              <w:ind w:firstLine="0" w:firstLineChars="0"/>
              <w:jc w:val="left"/>
              <w:rPr>
                <w:rFonts w:hint="eastAsia" w:ascii="仿宋" w:hAnsi="仿宋" w:eastAsia="仿宋" w:cs="仿宋"/>
                <w:color w:val="auto"/>
                <w:szCs w:val="21"/>
                <w:highlight w:val="none"/>
              </w:rPr>
            </w:pPr>
          </w:p>
        </w:tc>
        <w:tc>
          <w:tcPr>
            <w:tcW w:w="721" w:type="dxa"/>
            <w:vMerge w:val="continue"/>
            <w:noWrap w:val="0"/>
            <w:vAlign w:val="center"/>
          </w:tcPr>
          <w:p w14:paraId="59947880">
            <w:pPr>
              <w:spacing w:line="440" w:lineRule="exact"/>
              <w:ind w:firstLine="0" w:firstLineChars="0"/>
              <w:jc w:val="left"/>
              <w:rPr>
                <w:rFonts w:hint="eastAsia" w:ascii="仿宋" w:hAnsi="仿宋" w:eastAsia="仿宋" w:cs="仿宋"/>
                <w:color w:val="auto"/>
                <w:szCs w:val="21"/>
                <w:highlight w:val="none"/>
              </w:rPr>
            </w:pPr>
          </w:p>
        </w:tc>
        <w:tc>
          <w:tcPr>
            <w:tcW w:w="719" w:type="dxa"/>
            <w:vMerge w:val="continue"/>
            <w:noWrap w:val="0"/>
            <w:vAlign w:val="center"/>
          </w:tcPr>
          <w:p w14:paraId="10443D25">
            <w:pPr>
              <w:spacing w:line="440" w:lineRule="exact"/>
              <w:ind w:firstLine="0" w:firstLineChars="0"/>
              <w:jc w:val="left"/>
              <w:rPr>
                <w:rFonts w:hint="eastAsia" w:ascii="仿宋" w:hAnsi="仿宋" w:eastAsia="仿宋" w:cs="仿宋"/>
                <w:color w:val="auto"/>
                <w:szCs w:val="21"/>
                <w:highlight w:val="none"/>
              </w:rPr>
            </w:pPr>
          </w:p>
        </w:tc>
        <w:tc>
          <w:tcPr>
            <w:tcW w:w="1081" w:type="dxa"/>
            <w:noWrap w:val="0"/>
            <w:vAlign w:val="center"/>
          </w:tcPr>
          <w:p w14:paraId="5BC62AEC">
            <w:pPr>
              <w:spacing w:line="440" w:lineRule="exact"/>
              <w:ind w:firstLine="0" w:firstLineChars="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证书名称</w:t>
            </w:r>
          </w:p>
        </w:tc>
        <w:tc>
          <w:tcPr>
            <w:tcW w:w="719" w:type="dxa"/>
            <w:noWrap w:val="0"/>
            <w:vAlign w:val="center"/>
          </w:tcPr>
          <w:p w14:paraId="66E4C301">
            <w:pPr>
              <w:spacing w:line="440" w:lineRule="exact"/>
              <w:ind w:firstLine="0" w:firstLineChars="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级别</w:t>
            </w:r>
          </w:p>
        </w:tc>
        <w:tc>
          <w:tcPr>
            <w:tcW w:w="721" w:type="dxa"/>
            <w:noWrap w:val="0"/>
            <w:vAlign w:val="center"/>
          </w:tcPr>
          <w:p w14:paraId="50DF913A">
            <w:pPr>
              <w:spacing w:line="440" w:lineRule="exact"/>
              <w:ind w:firstLine="0" w:firstLineChars="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证号</w:t>
            </w:r>
          </w:p>
        </w:tc>
        <w:tc>
          <w:tcPr>
            <w:tcW w:w="719" w:type="dxa"/>
            <w:noWrap w:val="0"/>
            <w:vAlign w:val="center"/>
          </w:tcPr>
          <w:p w14:paraId="09294C34">
            <w:pPr>
              <w:spacing w:line="440" w:lineRule="exact"/>
              <w:ind w:firstLine="0" w:firstLineChars="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专业</w:t>
            </w:r>
          </w:p>
        </w:tc>
        <w:tc>
          <w:tcPr>
            <w:tcW w:w="2523" w:type="dxa"/>
            <w:noWrap w:val="0"/>
            <w:vAlign w:val="center"/>
          </w:tcPr>
          <w:p w14:paraId="5C02CE89">
            <w:pPr>
              <w:spacing w:line="440" w:lineRule="exact"/>
              <w:ind w:firstLine="0" w:firstLineChars="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养老保险</w:t>
            </w:r>
          </w:p>
        </w:tc>
        <w:tc>
          <w:tcPr>
            <w:tcW w:w="672" w:type="dxa"/>
            <w:noWrap w:val="0"/>
            <w:vAlign w:val="center"/>
          </w:tcPr>
          <w:p w14:paraId="18A30358">
            <w:pPr>
              <w:spacing w:line="440" w:lineRule="exact"/>
              <w:ind w:firstLine="0" w:firstLineChars="0"/>
              <w:jc w:val="left"/>
              <w:rPr>
                <w:rFonts w:hint="eastAsia" w:ascii="仿宋" w:hAnsi="仿宋" w:eastAsia="仿宋" w:cs="仿宋"/>
                <w:color w:val="auto"/>
                <w:szCs w:val="21"/>
                <w:highlight w:val="none"/>
              </w:rPr>
            </w:pPr>
          </w:p>
        </w:tc>
      </w:tr>
      <w:tr w14:paraId="731639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7" w:type="dxa"/>
            <w:noWrap w:val="0"/>
            <w:vAlign w:val="center"/>
          </w:tcPr>
          <w:p w14:paraId="28845FF3">
            <w:pPr>
              <w:spacing w:line="440" w:lineRule="exact"/>
              <w:jc w:val="left"/>
              <w:rPr>
                <w:rFonts w:hint="eastAsia" w:ascii="仿宋" w:hAnsi="仿宋" w:eastAsia="仿宋" w:cs="仿宋"/>
                <w:color w:val="auto"/>
                <w:szCs w:val="21"/>
                <w:highlight w:val="none"/>
              </w:rPr>
            </w:pPr>
          </w:p>
        </w:tc>
        <w:tc>
          <w:tcPr>
            <w:tcW w:w="721" w:type="dxa"/>
            <w:noWrap w:val="0"/>
            <w:vAlign w:val="center"/>
          </w:tcPr>
          <w:p w14:paraId="39A9B545">
            <w:pPr>
              <w:spacing w:line="440" w:lineRule="exact"/>
              <w:jc w:val="left"/>
              <w:rPr>
                <w:rFonts w:hint="eastAsia" w:ascii="仿宋" w:hAnsi="仿宋" w:eastAsia="仿宋" w:cs="仿宋"/>
                <w:color w:val="auto"/>
                <w:szCs w:val="21"/>
                <w:highlight w:val="none"/>
              </w:rPr>
            </w:pPr>
          </w:p>
        </w:tc>
        <w:tc>
          <w:tcPr>
            <w:tcW w:w="719" w:type="dxa"/>
            <w:noWrap w:val="0"/>
            <w:vAlign w:val="center"/>
          </w:tcPr>
          <w:p w14:paraId="29E70D41">
            <w:pPr>
              <w:spacing w:line="440" w:lineRule="exact"/>
              <w:jc w:val="left"/>
              <w:rPr>
                <w:rFonts w:hint="eastAsia" w:ascii="仿宋" w:hAnsi="仿宋" w:eastAsia="仿宋" w:cs="仿宋"/>
                <w:color w:val="auto"/>
                <w:szCs w:val="21"/>
                <w:highlight w:val="none"/>
              </w:rPr>
            </w:pPr>
          </w:p>
        </w:tc>
        <w:tc>
          <w:tcPr>
            <w:tcW w:w="1081" w:type="dxa"/>
            <w:noWrap w:val="0"/>
            <w:vAlign w:val="center"/>
          </w:tcPr>
          <w:p w14:paraId="6046DFA0">
            <w:pPr>
              <w:spacing w:line="440" w:lineRule="exact"/>
              <w:jc w:val="left"/>
              <w:rPr>
                <w:rFonts w:hint="eastAsia" w:ascii="仿宋" w:hAnsi="仿宋" w:eastAsia="仿宋" w:cs="仿宋"/>
                <w:color w:val="auto"/>
                <w:szCs w:val="21"/>
                <w:highlight w:val="none"/>
              </w:rPr>
            </w:pPr>
          </w:p>
        </w:tc>
        <w:tc>
          <w:tcPr>
            <w:tcW w:w="719" w:type="dxa"/>
            <w:noWrap w:val="0"/>
            <w:vAlign w:val="center"/>
          </w:tcPr>
          <w:p w14:paraId="4E03C511">
            <w:pPr>
              <w:spacing w:line="440" w:lineRule="exact"/>
              <w:jc w:val="left"/>
              <w:rPr>
                <w:rFonts w:hint="eastAsia" w:ascii="仿宋" w:hAnsi="仿宋" w:eastAsia="仿宋" w:cs="仿宋"/>
                <w:color w:val="auto"/>
                <w:szCs w:val="21"/>
                <w:highlight w:val="none"/>
              </w:rPr>
            </w:pPr>
          </w:p>
        </w:tc>
        <w:tc>
          <w:tcPr>
            <w:tcW w:w="721" w:type="dxa"/>
            <w:noWrap w:val="0"/>
            <w:vAlign w:val="center"/>
          </w:tcPr>
          <w:p w14:paraId="262151BF">
            <w:pPr>
              <w:spacing w:line="440" w:lineRule="exact"/>
              <w:jc w:val="left"/>
              <w:rPr>
                <w:rFonts w:hint="eastAsia" w:ascii="仿宋" w:hAnsi="仿宋" w:eastAsia="仿宋" w:cs="仿宋"/>
                <w:color w:val="auto"/>
                <w:szCs w:val="21"/>
                <w:highlight w:val="none"/>
              </w:rPr>
            </w:pPr>
          </w:p>
        </w:tc>
        <w:tc>
          <w:tcPr>
            <w:tcW w:w="719" w:type="dxa"/>
            <w:noWrap w:val="0"/>
            <w:vAlign w:val="center"/>
          </w:tcPr>
          <w:p w14:paraId="1D42A152">
            <w:pPr>
              <w:spacing w:line="440" w:lineRule="exact"/>
              <w:jc w:val="left"/>
              <w:rPr>
                <w:rFonts w:hint="eastAsia" w:ascii="仿宋" w:hAnsi="仿宋" w:eastAsia="仿宋" w:cs="仿宋"/>
                <w:color w:val="auto"/>
                <w:szCs w:val="21"/>
                <w:highlight w:val="none"/>
              </w:rPr>
            </w:pPr>
          </w:p>
        </w:tc>
        <w:tc>
          <w:tcPr>
            <w:tcW w:w="2523" w:type="dxa"/>
            <w:noWrap w:val="0"/>
            <w:vAlign w:val="center"/>
          </w:tcPr>
          <w:p w14:paraId="56BE046E">
            <w:pPr>
              <w:spacing w:line="440" w:lineRule="exact"/>
              <w:jc w:val="left"/>
              <w:rPr>
                <w:rFonts w:hint="eastAsia" w:ascii="仿宋" w:hAnsi="仿宋" w:eastAsia="仿宋" w:cs="仿宋"/>
                <w:color w:val="auto"/>
                <w:szCs w:val="21"/>
                <w:highlight w:val="none"/>
              </w:rPr>
            </w:pPr>
          </w:p>
        </w:tc>
        <w:tc>
          <w:tcPr>
            <w:tcW w:w="672" w:type="dxa"/>
            <w:noWrap w:val="0"/>
            <w:vAlign w:val="center"/>
          </w:tcPr>
          <w:p w14:paraId="1A0FB4B7">
            <w:pPr>
              <w:spacing w:line="440" w:lineRule="exact"/>
              <w:jc w:val="left"/>
              <w:rPr>
                <w:rFonts w:hint="eastAsia" w:ascii="仿宋" w:hAnsi="仿宋" w:eastAsia="仿宋" w:cs="仿宋"/>
                <w:color w:val="auto"/>
                <w:szCs w:val="21"/>
                <w:highlight w:val="none"/>
              </w:rPr>
            </w:pPr>
          </w:p>
        </w:tc>
      </w:tr>
      <w:tr w14:paraId="5B16E7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7" w:type="dxa"/>
            <w:noWrap w:val="0"/>
            <w:vAlign w:val="top"/>
          </w:tcPr>
          <w:p w14:paraId="34AA3C11">
            <w:pPr>
              <w:spacing w:line="440" w:lineRule="exact"/>
              <w:jc w:val="left"/>
              <w:rPr>
                <w:rFonts w:hint="eastAsia" w:ascii="仿宋" w:hAnsi="仿宋" w:eastAsia="仿宋" w:cs="仿宋"/>
                <w:color w:val="auto"/>
                <w:szCs w:val="21"/>
                <w:highlight w:val="none"/>
              </w:rPr>
            </w:pPr>
          </w:p>
        </w:tc>
        <w:tc>
          <w:tcPr>
            <w:tcW w:w="721" w:type="dxa"/>
            <w:noWrap w:val="0"/>
            <w:vAlign w:val="top"/>
          </w:tcPr>
          <w:p w14:paraId="6D2A61C0">
            <w:pPr>
              <w:spacing w:line="440" w:lineRule="exact"/>
              <w:jc w:val="left"/>
              <w:rPr>
                <w:rFonts w:hint="eastAsia" w:ascii="仿宋" w:hAnsi="仿宋" w:eastAsia="仿宋" w:cs="仿宋"/>
                <w:color w:val="auto"/>
                <w:szCs w:val="21"/>
                <w:highlight w:val="none"/>
              </w:rPr>
            </w:pPr>
          </w:p>
        </w:tc>
        <w:tc>
          <w:tcPr>
            <w:tcW w:w="719" w:type="dxa"/>
            <w:noWrap w:val="0"/>
            <w:vAlign w:val="top"/>
          </w:tcPr>
          <w:p w14:paraId="7EBD7FF0">
            <w:pPr>
              <w:spacing w:line="440" w:lineRule="exact"/>
              <w:jc w:val="left"/>
              <w:rPr>
                <w:rFonts w:hint="eastAsia" w:ascii="仿宋" w:hAnsi="仿宋" w:eastAsia="仿宋" w:cs="仿宋"/>
                <w:color w:val="auto"/>
                <w:szCs w:val="21"/>
                <w:highlight w:val="none"/>
              </w:rPr>
            </w:pPr>
          </w:p>
        </w:tc>
        <w:tc>
          <w:tcPr>
            <w:tcW w:w="1081" w:type="dxa"/>
            <w:noWrap w:val="0"/>
            <w:vAlign w:val="top"/>
          </w:tcPr>
          <w:p w14:paraId="22C0C2EE">
            <w:pPr>
              <w:spacing w:line="440" w:lineRule="exact"/>
              <w:jc w:val="left"/>
              <w:rPr>
                <w:rFonts w:hint="eastAsia" w:ascii="仿宋" w:hAnsi="仿宋" w:eastAsia="仿宋" w:cs="仿宋"/>
                <w:color w:val="auto"/>
                <w:szCs w:val="21"/>
                <w:highlight w:val="none"/>
              </w:rPr>
            </w:pPr>
          </w:p>
        </w:tc>
        <w:tc>
          <w:tcPr>
            <w:tcW w:w="719" w:type="dxa"/>
            <w:noWrap w:val="0"/>
            <w:vAlign w:val="top"/>
          </w:tcPr>
          <w:p w14:paraId="3682A9BC">
            <w:pPr>
              <w:spacing w:line="440" w:lineRule="exact"/>
              <w:jc w:val="left"/>
              <w:rPr>
                <w:rFonts w:hint="eastAsia" w:ascii="仿宋" w:hAnsi="仿宋" w:eastAsia="仿宋" w:cs="仿宋"/>
                <w:color w:val="auto"/>
                <w:szCs w:val="21"/>
                <w:highlight w:val="none"/>
              </w:rPr>
            </w:pPr>
          </w:p>
        </w:tc>
        <w:tc>
          <w:tcPr>
            <w:tcW w:w="721" w:type="dxa"/>
            <w:noWrap w:val="0"/>
            <w:vAlign w:val="top"/>
          </w:tcPr>
          <w:p w14:paraId="67EF85C7">
            <w:pPr>
              <w:spacing w:line="440" w:lineRule="exact"/>
              <w:jc w:val="left"/>
              <w:rPr>
                <w:rFonts w:hint="eastAsia" w:ascii="仿宋" w:hAnsi="仿宋" w:eastAsia="仿宋" w:cs="仿宋"/>
                <w:color w:val="auto"/>
                <w:szCs w:val="21"/>
                <w:highlight w:val="none"/>
              </w:rPr>
            </w:pPr>
          </w:p>
        </w:tc>
        <w:tc>
          <w:tcPr>
            <w:tcW w:w="719" w:type="dxa"/>
            <w:noWrap w:val="0"/>
            <w:vAlign w:val="top"/>
          </w:tcPr>
          <w:p w14:paraId="50C0A316">
            <w:pPr>
              <w:spacing w:line="440" w:lineRule="exact"/>
              <w:jc w:val="left"/>
              <w:rPr>
                <w:rFonts w:hint="eastAsia" w:ascii="仿宋" w:hAnsi="仿宋" w:eastAsia="仿宋" w:cs="仿宋"/>
                <w:color w:val="auto"/>
                <w:szCs w:val="21"/>
                <w:highlight w:val="none"/>
              </w:rPr>
            </w:pPr>
          </w:p>
        </w:tc>
        <w:tc>
          <w:tcPr>
            <w:tcW w:w="2523" w:type="dxa"/>
            <w:noWrap w:val="0"/>
            <w:vAlign w:val="top"/>
          </w:tcPr>
          <w:p w14:paraId="534C4C29">
            <w:pPr>
              <w:spacing w:line="440" w:lineRule="exact"/>
              <w:jc w:val="left"/>
              <w:rPr>
                <w:rFonts w:hint="eastAsia" w:ascii="仿宋" w:hAnsi="仿宋" w:eastAsia="仿宋" w:cs="仿宋"/>
                <w:color w:val="auto"/>
                <w:szCs w:val="21"/>
                <w:highlight w:val="none"/>
              </w:rPr>
            </w:pPr>
          </w:p>
        </w:tc>
        <w:tc>
          <w:tcPr>
            <w:tcW w:w="672" w:type="dxa"/>
            <w:noWrap w:val="0"/>
            <w:vAlign w:val="top"/>
          </w:tcPr>
          <w:p w14:paraId="7A9EEE8E">
            <w:pPr>
              <w:spacing w:line="440" w:lineRule="exact"/>
              <w:jc w:val="left"/>
              <w:rPr>
                <w:rFonts w:hint="eastAsia" w:ascii="仿宋" w:hAnsi="仿宋" w:eastAsia="仿宋" w:cs="仿宋"/>
                <w:color w:val="auto"/>
                <w:szCs w:val="21"/>
                <w:highlight w:val="none"/>
              </w:rPr>
            </w:pPr>
          </w:p>
        </w:tc>
      </w:tr>
      <w:tr w14:paraId="093CFC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7" w:type="dxa"/>
            <w:noWrap w:val="0"/>
            <w:vAlign w:val="top"/>
          </w:tcPr>
          <w:p w14:paraId="270D31F2">
            <w:pPr>
              <w:spacing w:line="440" w:lineRule="exact"/>
              <w:jc w:val="left"/>
              <w:rPr>
                <w:rFonts w:hint="eastAsia" w:ascii="仿宋" w:hAnsi="仿宋" w:eastAsia="仿宋" w:cs="仿宋"/>
                <w:color w:val="auto"/>
                <w:szCs w:val="21"/>
                <w:highlight w:val="none"/>
              </w:rPr>
            </w:pPr>
          </w:p>
        </w:tc>
        <w:tc>
          <w:tcPr>
            <w:tcW w:w="721" w:type="dxa"/>
            <w:noWrap w:val="0"/>
            <w:vAlign w:val="top"/>
          </w:tcPr>
          <w:p w14:paraId="1EC6F1E7">
            <w:pPr>
              <w:spacing w:line="440" w:lineRule="exact"/>
              <w:jc w:val="left"/>
              <w:rPr>
                <w:rFonts w:hint="eastAsia" w:ascii="仿宋" w:hAnsi="仿宋" w:eastAsia="仿宋" w:cs="仿宋"/>
                <w:color w:val="auto"/>
                <w:szCs w:val="21"/>
                <w:highlight w:val="none"/>
              </w:rPr>
            </w:pPr>
          </w:p>
        </w:tc>
        <w:tc>
          <w:tcPr>
            <w:tcW w:w="719" w:type="dxa"/>
            <w:noWrap w:val="0"/>
            <w:vAlign w:val="top"/>
          </w:tcPr>
          <w:p w14:paraId="375F5513">
            <w:pPr>
              <w:spacing w:line="440" w:lineRule="exact"/>
              <w:jc w:val="left"/>
              <w:rPr>
                <w:rFonts w:hint="eastAsia" w:ascii="仿宋" w:hAnsi="仿宋" w:eastAsia="仿宋" w:cs="仿宋"/>
                <w:color w:val="auto"/>
                <w:szCs w:val="21"/>
                <w:highlight w:val="none"/>
              </w:rPr>
            </w:pPr>
          </w:p>
        </w:tc>
        <w:tc>
          <w:tcPr>
            <w:tcW w:w="1081" w:type="dxa"/>
            <w:noWrap w:val="0"/>
            <w:vAlign w:val="top"/>
          </w:tcPr>
          <w:p w14:paraId="7E97CDBB">
            <w:pPr>
              <w:spacing w:line="440" w:lineRule="exact"/>
              <w:jc w:val="left"/>
              <w:rPr>
                <w:rFonts w:hint="eastAsia" w:ascii="仿宋" w:hAnsi="仿宋" w:eastAsia="仿宋" w:cs="仿宋"/>
                <w:color w:val="auto"/>
                <w:szCs w:val="21"/>
                <w:highlight w:val="none"/>
              </w:rPr>
            </w:pPr>
          </w:p>
        </w:tc>
        <w:tc>
          <w:tcPr>
            <w:tcW w:w="719" w:type="dxa"/>
            <w:noWrap w:val="0"/>
            <w:vAlign w:val="top"/>
          </w:tcPr>
          <w:p w14:paraId="1A6F44E9">
            <w:pPr>
              <w:spacing w:line="440" w:lineRule="exact"/>
              <w:jc w:val="left"/>
              <w:rPr>
                <w:rFonts w:hint="eastAsia" w:ascii="仿宋" w:hAnsi="仿宋" w:eastAsia="仿宋" w:cs="仿宋"/>
                <w:color w:val="auto"/>
                <w:szCs w:val="21"/>
                <w:highlight w:val="none"/>
              </w:rPr>
            </w:pPr>
          </w:p>
        </w:tc>
        <w:tc>
          <w:tcPr>
            <w:tcW w:w="721" w:type="dxa"/>
            <w:noWrap w:val="0"/>
            <w:vAlign w:val="top"/>
          </w:tcPr>
          <w:p w14:paraId="69F4584C">
            <w:pPr>
              <w:spacing w:line="440" w:lineRule="exact"/>
              <w:jc w:val="left"/>
              <w:rPr>
                <w:rFonts w:hint="eastAsia" w:ascii="仿宋" w:hAnsi="仿宋" w:eastAsia="仿宋" w:cs="仿宋"/>
                <w:color w:val="auto"/>
                <w:szCs w:val="21"/>
                <w:highlight w:val="none"/>
              </w:rPr>
            </w:pPr>
          </w:p>
        </w:tc>
        <w:tc>
          <w:tcPr>
            <w:tcW w:w="719" w:type="dxa"/>
            <w:noWrap w:val="0"/>
            <w:vAlign w:val="top"/>
          </w:tcPr>
          <w:p w14:paraId="30F8B1BF">
            <w:pPr>
              <w:spacing w:line="440" w:lineRule="exact"/>
              <w:jc w:val="left"/>
              <w:rPr>
                <w:rFonts w:hint="eastAsia" w:ascii="仿宋" w:hAnsi="仿宋" w:eastAsia="仿宋" w:cs="仿宋"/>
                <w:color w:val="auto"/>
                <w:szCs w:val="21"/>
                <w:highlight w:val="none"/>
              </w:rPr>
            </w:pPr>
          </w:p>
        </w:tc>
        <w:tc>
          <w:tcPr>
            <w:tcW w:w="2523" w:type="dxa"/>
            <w:noWrap w:val="0"/>
            <w:vAlign w:val="top"/>
          </w:tcPr>
          <w:p w14:paraId="1C3E75E5">
            <w:pPr>
              <w:spacing w:line="440" w:lineRule="exact"/>
              <w:jc w:val="left"/>
              <w:rPr>
                <w:rFonts w:hint="eastAsia" w:ascii="仿宋" w:hAnsi="仿宋" w:eastAsia="仿宋" w:cs="仿宋"/>
                <w:color w:val="auto"/>
                <w:szCs w:val="21"/>
                <w:highlight w:val="none"/>
              </w:rPr>
            </w:pPr>
          </w:p>
        </w:tc>
        <w:tc>
          <w:tcPr>
            <w:tcW w:w="672" w:type="dxa"/>
            <w:noWrap w:val="0"/>
            <w:vAlign w:val="top"/>
          </w:tcPr>
          <w:p w14:paraId="354C9F9B">
            <w:pPr>
              <w:spacing w:line="440" w:lineRule="exact"/>
              <w:jc w:val="left"/>
              <w:rPr>
                <w:rFonts w:hint="eastAsia" w:ascii="仿宋" w:hAnsi="仿宋" w:eastAsia="仿宋" w:cs="仿宋"/>
                <w:color w:val="auto"/>
                <w:szCs w:val="21"/>
                <w:highlight w:val="none"/>
              </w:rPr>
            </w:pPr>
          </w:p>
        </w:tc>
      </w:tr>
      <w:tr w14:paraId="03D5A9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7" w:type="dxa"/>
            <w:noWrap w:val="0"/>
            <w:vAlign w:val="top"/>
          </w:tcPr>
          <w:p w14:paraId="51C0B6D5">
            <w:pPr>
              <w:spacing w:line="440" w:lineRule="exact"/>
              <w:jc w:val="left"/>
              <w:rPr>
                <w:rFonts w:hint="eastAsia" w:ascii="仿宋" w:hAnsi="仿宋" w:eastAsia="仿宋" w:cs="仿宋"/>
                <w:color w:val="auto"/>
                <w:szCs w:val="21"/>
                <w:highlight w:val="none"/>
              </w:rPr>
            </w:pPr>
          </w:p>
        </w:tc>
        <w:tc>
          <w:tcPr>
            <w:tcW w:w="721" w:type="dxa"/>
            <w:noWrap w:val="0"/>
            <w:vAlign w:val="top"/>
          </w:tcPr>
          <w:p w14:paraId="7AF171CF">
            <w:pPr>
              <w:spacing w:line="440" w:lineRule="exact"/>
              <w:jc w:val="left"/>
              <w:rPr>
                <w:rFonts w:hint="eastAsia" w:ascii="仿宋" w:hAnsi="仿宋" w:eastAsia="仿宋" w:cs="仿宋"/>
                <w:color w:val="auto"/>
                <w:szCs w:val="21"/>
                <w:highlight w:val="none"/>
              </w:rPr>
            </w:pPr>
          </w:p>
        </w:tc>
        <w:tc>
          <w:tcPr>
            <w:tcW w:w="719" w:type="dxa"/>
            <w:noWrap w:val="0"/>
            <w:vAlign w:val="top"/>
          </w:tcPr>
          <w:p w14:paraId="45BB6129">
            <w:pPr>
              <w:spacing w:line="440" w:lineRule="exact"/>
              <w:jc w:val="left"/>
              <w:rPr>
                <w:rFonts w:hint="eastAsia" w:ascii="仿宋" w:hAnsi="仿宋" w:eastAsia="仿宋" w:cs="仿宋"/>
                <w:color w:val="auto"/>
                <w:szCs w:val="21"/>
                <w:highlight w:val="none"/>
              </w:rPr>
            </w:pPr>
          </w:p>
        </w:tc>
        <w:tc>
          <w:tcPr>
            <w:tcW w:w="1081" w:type="dxa"/>
            <w:noWrap w:val="0"/>
            <w:vAlign w:val="top"/>
          </w:tcPr>
          <w:p w14:paraId="704F3236">
            <w:pPr>
              <w:spacing w:line="440" w:lineRule="exact"/>
              <w:jc w:val="left"/>
              <w:rPr>
                <w:rFonts w:hint="eastAsia" w:ascii="仿宋" w:hAnsi="仿宋" w:eastAsia="仿宋" w:cs="仿宋"/>
                <w:color w:val="auto"/>
                <w:szCs w:val="21"/>
                <w:highlight w:val="none"/>
              </w:rPr>
            </w:pPr>
          </w:p>
        </w:tc>
        <w:tc>
          <w:tcPr>
            <w:tcW w:w="719" w:type="dxa"/>
            <w:noWrap w:val="0"/>
            <w:vAlign w:val="top"/>
          </w:tcPr>
          <w:p w14:paraId="3BB963DD">
            <w:pPr>
              <w:spacing w:line="440" w:lineRule="exact"/>
              <w:jc w:val="left"/>
              <w:rPr>
                <w:rFonts w:hint="eastAsia" w:ascii="仿宋" w:hAnsi="仿宋" w:eastAsia="仿宋" w:cs="仿宋"/>
                <w:color w:val="auto"/>
                <w:szCs w:val="21"/>
                <w:highlight w:val="none"/>
              </w:rPr>
            </w:pPr>
          </w:p>
        </w:tc>
        <w:tc>
          <w:tcPr>
            <w:tcW w:w="721" w:type="dxa"/>
            <w:noWrap w:val="0"/>
            <w:vAlign w:val="top"/>
          </w:tcPr>
          <w:p w14:paraId="2D121D5B">
            <w:pPr>
              <w:spacing w:line="440" w:lineRule="exact"/>
              <w:jc w:val="left"/>
              <w:rPr>
                <w:rFonts w:hint="eastAsia" w:ascii="仿宋" w:hAnsi="仿宋" w:eastAsia="仿宋" w:cs="仿宋"/>
                <w:color w:val="auto"/>
                <w:szCs w:val="21"/>
                <w:highlight w:val="none"/>
              </w:rPr>
            </w:pPr>
          </w:p>
        </w:tc>
        <w:tc>
          <w:tcPr>
            <w:tcW w:w="719" w:type="dxa"/>
            <w:noWrap w:val="0"/>
            <w:vAlign w:val="top"/>
          </w:tcPr>
          <w:p w14:paraId="06654800">
            <w:pPr>
              <w:spacing w:line="440" w:lineRule="exact"/>
              <w:jc w:val="left"/>
              <w:rPr>
                <w:rFonts w:hint="eastAsia" w:ascii="仿宋" w:hAnsi="仿宋" w:eastAsia="仿宋" w:cs="仿宋"/>
                <w:color w:val="auto"/>
                <w:szCs w:val="21"/>
                <w:highlight w:val="none"/>
              </w:rPr>
            </w:pPr>
          </w:p>
        </w:tc>
        <w:tc>
          <w:tcPr>
            <w:tcW w:w="2523" w:type="dxa"/>
            <w:noWrap w:val="0"/>
            <w:vAlign w:val="top"/>
          </w:tcPr>
          <w:p w14:paraId="514998D4">
            <w:pPr>
              <w:spacing w:line="440" w:lineRule="exact"/>
              <w:jc w:val="left"/>
              <w:rPr>
                <w:rFonts w:hint="eastAsia" w:ascii="仿宋" w:hAnsi="仿宋" w:eastAsia="仿宋" w:cs="仿宋"/>
                <w:color w:val="auto"/>
                <w:szCs w:val="21"/>
                <w:highlight w:val="none"/>
              </w:rPr>
            </w:pPr>
          </w:p>
        </w:tc>
        <w:tc>
          <w:tcPr>
            <w:tcW w:w="672" w:type="dxa"/>
            <w:noWrap w:val="0"/>
            <w:vAlign w:val="top"/>
          </w:tcPr>
          <w:p w14:paraId="3E17BC13">
            <w:pPr>
              <w:spacing w:line="440" w:lineRule="exact"/>
              <w:jc w:val="left"/>
              <w:rPr>
                <w:rFonts w:hint="eastAsia" w:ascii="仿宋" w:hAnsi="仿宋" w:eastAsia="仿宋" w:cs="仿宋"/>
                <w:color w:val="auto"/>
                <w:szCs w:val="21"/>
                <w:highlight w:val="none"/>
              </w:rPr>
            </w:pPr>
          </w:p>
        </w:tc>
      </w:tr>
      <w:tr w14:paraId="7752C4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7" w:type="dxa"/>
            <w:noWrap w:val="0"/>
            <w:vAlign w:val="top"/>
          </w:tcPr>
          <w:p w14:paraId="3081ECD6">
            <w:pPr>
              <w:spacing w:line="440" w:lineRule="exact"/>
              <w:jc w:val="left"/>
              <w:rPr>
                <w:rFonts w:hint="eastAsia" w:ascii="仿宋" w:hAnsi="仿宋" w:eastAsia="仿宋" w:cs="仿宋"/>
                <w:color w:val="auto"/>
                <w:szCs w:val="21"/>
                <w:highlight w:val="none"/>
              </w:rPr>
            </w:pPr>
          </w:p>
        </w:tc>
        <w:tc>
          <w:tcPr>
            <w:tcW w:w="721" w:type="dxa"/>
            <w:noWrap w:val="0"/>
            <w:vAlign w:val="top"/>
          </w:tcPr>
          <w:p w14:paraId="02EFC7FA">
            <w:pPr>
              <w:spacing w:line="440" w:lineRule="exact"/>
              <w:jc w:val="left"/>
              <w:rPr>
                <w:rFonts w:hint="eastAsia" w:ascii="仿宋" w:hAnsi="仿宋" w:eastAsia="仿宋" w:cs="仿宋"/>
                <w:color w:val="auto"/>
                <w:szCs w:val="21"/>
                <w:highlight w:val="none"/>
              </w:rPr>
            </w:pPr>
          </w:p>
        </w:tc>
        <w:tc>
          <w:tcPr>
            <w:tcW w:w="719" w:type="dxa"/>
            <w:noWrap w:val="0"/>
            <w:vAlign w:val="top"/>
          </w:tcPr>
          <w:p w14:paraId="694655F6">
            <w:pPr>
              <w:spacing w:line="440" w:lineRule="exact"/>
              <w:jc w:val="left"/>
              <w:rPr>
                <w:rFonts w:hint="eastAsia" w:ascii="仿宋" w:hAnsi="仿宋" w:eastAsia="仿宋" w:cs="仿宋"/>
                <w:color w:val="auto"/>
                <w:szCs w:val="21"/>
                <w:highlight w:val="none"/>
              </w:rPr>
            </w:pPr>
          </w:p>
        </w:tc>
        <w:tc>
          <w:tcPr>
            <w:tcW w:w="1081" w:type="dxa"/>
            <w:noWrap w:val="0"/>
            <w:vAlign w:val="top"/>
          </w:tcPr>
          <w:p w14:paraId="45E89CD6">
            <w:pPr>
              <w:spacing w:line="440" w:lineRule="exact"/>
              <w:jc w:val="left"/>
              <w:rPr>
                <w:rFonts w:hint="eastAsia" w:ascii="仿宋" w:hAnsi="仿宋" w:eastAsia="仿宋" w:cs="仿宋"/>
                <w:color w:val="auto"/>
                <w:szCs w:val="21"/>
                <w:highlight w:val="none"/>
              </w:rPr>
            </w:pPr>
          </w:p>
        </w:tc>
        <w:tc>
          <w:tcPr>
            <w:tcW w:w="719" w:type="dxa"/>
            <w:noWrap w:val="0"/>
            <w:vAlign w:val="top"/>
          </w:tcPr>
          <w:p w14:paraId="0F2B20E1">
            <w:pPr>
              <w:spacing w:line="440" w:lineRule="exact"/>
              <w:jc w:val="left"/>
              <w:rPr>
                <w:rFonts w:hint="eastAsia" w:ascii="仿宋" w:hAnsi="仿宋" w:eastAsia="仿宋" w:cs="仿宋"/>
                <w:color w:val="auto"/>
                <w:szCs w:val="21"/>
                <w:highlight w:val="none"/>
              </w:rPr>
            </w:pPr>
          </w:p>
        </w:tc>
        <w:tc>
          <w:tcPr>
            <w:tcW w:w="721" w:type="dxa"/>
            <w:noWrap w:val="0"/>
            <w:vAlign w:val="top"/>
          </w:tcPr>
          <w:p w14:paraId="1717DE7E">
            <w:pPr>
              <w:spacing w:line="440" w:lineRule="exact"/>
              <w:jc w:val="left"/>
              <w:rPr>
                <w:rFonts w:hint="eastAsia" w:ascii="仿宋" w:hAnsi="仿宋" w:eastAsia="仿宋" w:cs="仿宋"/>
                <w:color w:val="auto"/>
                <w:szCs w:val="21"/>
                <w:highlight w:val="none"/>
              </w:rPr>
            </w:pPr>
          </w:p>
        </w:tc>
        <w:tc>
          <w:tcPr>
            <w:tcW w:w="719" w:type="dxa"/>
            <w:noWrap w:val="0"/>
            <w:vAlign w:val="top"/>
          </w:tcPr>
          <w:p w14:paraId="0F456A1B">
            <w:pPr>
              <w:spacing w:line="440" w:lineRule="exact"/>
              <w:jc w:val="left"/>
              <w:rPr>
                <w:rFonts w:hint="eastAsia" w:ascii="仿宋" w:hAnsi="仿宋" w:eastAsia="仿宋" w:cs="仿宋"/>
                <w:color w:val="auto"/>
                <w:szCs w:val="21"/>
                <w:highlight w:val="none"/>
              </w:rPr>
            </w:pPr>
          </w:p>
        </w:tc>
        <w:tc>
          <w:tcPr>
            <w:tcW w:w="2523" w:type="dxa"/>
            <w:noWrap w:val="0"/>
            <w:vAlign w:val="top"/>
          </w:tcPr>
          <w:p w14:paraId="74E730F3">
            <w:pPr>
              <w:spacing w:line="440" w:lineRule="exact"/>
              <w:jc w:val="left"/>
              <w:rPr>
                <w:rFonts w:hint="eastAsia" w:ascii="仿宋" w:hAnsi="仿宋" w:eastAsia="仿宋" w:cs="仿宋"/>
                <w:color w:val="auto"/>
                <w:szCs w:val="21"/>
                <w:highlight w:val="none"/>
              </w:rPr>
            </w:pPr>
          </w:p>
        </w:tc>
        <w:tc>
          <w:tcPr>
            <w:tcW w:w="672" w:type="dxa"/>
            <w:noWrap w:val="0"/>
            <w:vAlign w:val="top"/>
          </w:tcPr>
          <w:p w14:paraId="6ED6042E">
            <w:pPr>
              <w:spacing w:line="440" w:lineRule="exact"/>
              <w:jc w:val="left"/>
              <w:rPr>
                <w:rFonts w:hint="eastAsia" w:ascii="仿宋" w:hAnsi="仿宋" w:eastAsia="仿宋" w:cs="仿宋"/>
                <w:color w:val="auto"/>
                <w:szCs w:val="21"/>
                <w:highlight w:val="none"/>
              </w:rPr>
            </w:pPr>
          </w:p>
        </w:tc>
      </w:tr>
      <w:tr w14:paraId="1A79A0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7" w:type="dxa"/>
            <w:noWrap w:val="0"/>
            <w:vAlign w:val="top"/>
          </w:tcPr>
          <w:p w14:paraId="17DE3B9A">
            <w:pPr>
              <w:spacing w:line="440" w:lineRule="exact"/>
              <w:jc w:val="left"/>
              <w:rPr>
                <w:rFonts w:hint="eastAsia" w:ascii="仿宋" w:hAnsi="仿宋" w:eastAsia="仿宋" w:cs="仿宋"/>
                <w:color w:val="auto"/>
                <w:szCs w:val="21"/>
                <w:highlight w:val="none"/>
              </w:rPr>
            </w:pPr>
          </w:p>
        </w:tc>
        <w:tc>
          <w:tcPr>
            <w:tcW w:w="721" w:type="dxa"/>
            <w:noWrap w:val="0"/>
            <w:vAlign w:val="top"/>
          </w:tcPr>
          <w:p w14:paraId="54E6C809">
            <w:pPr>
              <w:spacing w:line="440" w:lineRule="exact"/>
              <w:jc w:val="left"/>
              <w:rPr>
                <w:rFonts w:hint="eastAsia" w:ascii="仿宋" w:hAnsi="仿宋" w:eastAsia="仿宋" w:cs="仿宋"/>
                <w:color w:val="auto"/>
                <w:szCs w:val="21"/>
                <w:highlight w:val="none"/>
              </w:rPr>
            </w:pPr>
          </w:p>
        </w:tc>
        <w:tc>
          <w:tcPr>
            <w:tcW w:w="719" w:type="dxa"/>
            <w:noWrap w:val="0"/>
            <w:vAlign w:val="top"/>
          </w:tcPr>
          <w:p w14:paraId="568A5E27">
            <w:pPr>
              <w:spacing w:line="440" w:lineRule="exact"/>
              <w:jc w:val="left"/>
              <w:rPr>
                <w:rFonts w:hint="eastAsia" w:ascii="仿宋" w:hAnsi="仿宋" w:eastAsia="仿宋" w:cs="仿宋"/>
                <w:color w:val="auto"/>
                <w:szCs w:val="21"/>
                <w:highlight w:val="none"/>
              </w:rPr>
            </w:pPr>
          </w:p>
        </w:tc>
        <w:tc>
          <w:tcPr>
            <w:tcW w:w="1081" w:type="dxa"/>
            <w:noWrap w:val="0"/>
            <w:vAlign w:val="top"/>
          </w:tcPr>
          <w:p w14:paraId="16B6199C">
            <w:pPr>
              <w:spacing w:line="440" w:lineRule="exact"/>
              <w:jc w:val="left"/>
              <w:rPr>
                <w:rFonts w:hint="eastAsia" w:ascii="仿宋" w:hAnsi="仿宋" w:eastAsia="仿宋" w:cs="仿宋"/>
                <w:color w:val="auto"/>
                <w:szCs w:val="21"/>
                <w:highlight w:val="none"/>
              </w:rPr>
            </w:pPr>
          </w:p>
        </w:tc>
        <w:tc>
          <w:tcPr>
            <w:tcW w:w="719" w:type="dxa"/>
            <w:noWrap w:val="0"/>
            <w:vAlign w:val="top"/>
          </w:tcPr>
          <w:p w14:paraId="22C6FC68">
            <w:pPr>
              <w:spacing w:line="440" w:lineRule="exact"/>
              <w:jc w:val="left"/>
              <w:rPr>
                <w:rFonts w:hint="eastAsia" w:ascii="仿宋" w:hAnsi="仿宋" w:eastAsia="仿宋" w:cs="仿宋"/>
                <w:color w:val="auto"/>
                <w:szCs w:val="21"/>
                <w:highlight w:val="none"/>
              </w:rPr>
            </w:pPr>
          </w:p>
        </w:tc>
        <w:tc>
          <w:tcPr>
            <w:tcW w:w="721" w:type="dxa"/>
            <w:noWrap w:val="0"/>
            <w:vAlign w:val="top"/>
          </w:tcPr>
          <w:p w14:paraId="4CEFB866">
            <w:pPr>
              <w:spacing w:line="440" w:lineRule="exact"/>
              <w:jc w:val="left"/>
              <w:rPr>
                <w:rFonts w:hint="eastAsia" w:ascii="仿宋" w:hAnsi="仿宋" w:eastAsia="仿宋" w:cs="仿宋"/>
                <w:color w:val="auto"/>
                <w:szCs w:val="21"/>
                <w:highlight w:val="none"/>
              </w:rPr>
            </w:pPr>
          </w:p>
        </w:tc>
        <w:tc>
          <w:tcPr>
            <w:tcW w:w="719" w:type="dxa"/>
            <w:noWrap w:val="0"/>
            <w:vAlign w:val="top"/>
          </w:tcPr>
          <w:p w14:paraId="1270E2C9">
            <w:pPr>
              <w:spacing w:line="440" w:lineRule="exact"/>
              <w:jc w:val="left"/>
              <w:rPr>
                <w:rFonts w:hint="eastAsia" w:ascii="仿宋" w:hAnsi="仿宋" w:eastAsia="仿宋" w:cs="仿宋"/>
                <w:color w:val="auto"/>
                <w:szCs w:val="21"/>
                <w:highlight w:val="none"/>
              </w:rPr>
            </w:pPr>
          </w:p>
        </w:tc>
        <w:tc>
          <w:tcPr>
            <w:tcW w:w="2523" w:type="dxa"/>
            <w:noWrap w:val="0"/>
            <w:vAlign w:val="top"/>
          </w:tcPr>
          <w:p w14:paraId="32513598">
            <w:pPr>
              <w:spacing w:line="440" w:lineRule="exact"/>
              <w:jc w:val="left"/>
              <w:rPr>
                <w:rFonts w:hint="eastAsia" w:ascii="仿宋" w:hAnsi="仿宋" w:eastAsia="仿宋" w:cs="仿宋"/>
                <w:color w:val="auto"/>
                <w:szCs w:val="21"/>
                <w:highlight w:val="none"/>
              </w:rPr>
            </w:pPr>
          </w:p>
        </w:tc>
        <w:tc>
          <w:tcPr>
            <w:tcW w:w="672" w:type="dxa"/>
            <w:noWrap w:val="0"/>
            <w:vAlign w:val="top"/>
          </w:tcPr>
          <w:p w14:paraId="246BDD55">
            <w:pPr>
              <w:spacing w:line="440" w:lineRule="exact"/>
              <w:jc w:val="left"/>
              <w:rPr>
                <w:rFonts w:hint="eastAsia" w:ascii="仿宋" w:hAnsi="仿宋" w:eastAsia="仿宋" w:cs="仿宋"/>
                <w:color w:val="auto"/>
                <w:szCs w:val="21"/>
                <w:highlight w:val="none"/>
              </w:rPr>
            </w:pPr>
          </w:p>
        </w:tc>
      </w:tr>
      <w:tr w14:paraId="36617A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7" w:type="dxa"/>
            <w:noWrap w:val="0"/>
            <w:vAlign w:val="top"/>
          </w:tcPr>
          <w:p w14:paraId="62A0B077">
            <w:pPr>
              <w:spacing w:line="440" w:lineRule="exact"/>
              <w:jc w:val="left"/>
              <w:rPr>
                <w:rFonts w:hint="eastAsia" w:ascii="仿宋" w:hAnsi="仿宋" w:eastAsia="仿宋" w:cs="仿宋"/>
                <w:color w:val="auto"/>
                <w:szCs w:val="21"/>
                <w:highlight w:val="none"/>
              </w:rPr>
            </w:pPr>
          </w:p>
        </w:tc>
        <w:tc>
          <w:tcPr>
            <w:tcW w:w="721" w:type="dxa"/>
            <w:noWrap w:val="0"/>
            <w:vAlign w:val="top"/>
          </w:tcPr>
          <w:p w14:paraId="6BEFEEBE">
            <w:pPr>
              <w:spacing w:line="440" w:lineRule="exact"/>
              <w:jc w:val="left"/>
              <w:rPr>
                <w:rFonts w:hint="eastAsia" w:ascii="仿宋" w:hAnsi="仿宋" w:eastAsia="仿宋" w:cs="仿宋"/>
                <w:color w:val="auto"/>
                <w:szCs w:val="21"/>
                <w:highlight w:val="none"/>
              </w:rPr>
            </w:pPr>
          </w:p>
        </w:tc>
        <w:tc>
          <w:tcPr>
            <w:tcW w:w="719" w:type="dxa"/>
            <w:noWrap w:val="0"/>
            <w:vAlign w:val="top"/>
          </w:tcPr>
          <w:p w14:paraId="5F394893">
            <w:pPr>
              <w:spacing w:line="440" w:lineRule="exact"/>
              <w:jc w:val="left"/>
              <w:rPr>
                <w:rFonts w:hint="eastAsia" w:ascii="仿宋" w:hAnsi="仿宋" w:eastAsia="仿宋" w:cs="仿宋"/>
                <w:color w:val="auto"/>
                <w:szCs w:val="21"/>
                <w:highlight w:val="none"/>
              </w:rPr>
            </w:pPr>
          </w:p>
        </w:tc>
        <w:tc>
          <w:tcPr>
            <w:tcW w:w="1081" w:type="dxa"/>
            <w:noWrap w:val="0"/>
            <w:vAlign w:val="top"/>
          </w:tcPr>
          <w:p w14:paraId="794D1D89">
            <w:pPr>
              <w:spacing w:line="440" w:lineRule="exact"/>
              <w:jc w:val="left"/>
              <w:rPr>
                <w:rFonts w:hint="eastAsia" w:ascii="仿宋" w:hAnsi="仿宋" w:eastAsia="仿宋" w:cs="仿宋"/>
                <w:color w:val="auto"/>
                <w:szCs w:val="21"/>
                <w:highlight w:val="none"/>
              </w:rPr>
            </w:pPr>
          </w:p>
        </w:tc>
        <w:tc>
          <w:tcPr>
            <w:tcW w:w="719" w:type="dxa"/>
            <w:noWrap w:val="0"/>
            <w:vAlign w:val="top"/>
          </w:tcPr>
          <w:p w14:paraId="1C3993C4">
            <w:pPr>
              <w:spacing w:line="440" w:lineRule="exact"/>
              <w:jc w:val="left"/>
              <w:rPr>
                <w:rFonts w:hint="eastAsia" w:ascii="仿宋" w:hAnsi="仿宋" w:eastAsia="仿宋" w:cs="仿宋"/>
                <w:color w:val="auto"/>
                <w:szCs w:val="21"/>
                <w:highlight w:val="none"/>
              </w:rPr>
            </w:pPr>
          </w:p>
        </w:tc>
        <w:tc>
          <w:tcPr>
            <w:tcW w:w="721" w:type="dxa"/>
            <w:noWrap w:val="0"/>
            <w:vAlign w:val="top"/>
          </w:tcPr>
          <w:p w14:paraId="465A05EC">
            <w:pPr>
              <w:spacing w:line="440" w:lineRule="exact"/>
              <w:jc w:val="left"/>
              <w:rPr>
                <w:rFonts w:hint="eastAsia" w:ascii="仿宋" w:hAnsi="仿宋" w:eastAsia="仿宋" w:cs="仿宋"/>
                <w:color w:val="auto"/>
                <w:szCs w:val="21"/>
                <w:highlight w:val="none"/>
              </w:rPr>
            </w:pPr>
          </w:p>
        </w:tc>
        <w:tc>
          <w:tcPr>
            <w:tcW w:w="719" w:type="dxa"/>
            <w:noWrap w:val="0"/>
            <w:vAlign w:val="top"/>
          </w:tcPr>
          <w:p w14:paraId="41DBFA2E">
            <w:pPr>
              <w:spacing w:line="440" w:lineRule="exact"/>
              <w:jc w:val="left"/>
              <w:rPr>
                <w:rFonts w:hint="eastAsia" w:ascii="仿宋" w:hAnsi="仿宋" w:eastAsia="仿宋" w:cs="仿宋"/>
                <w:color w:val="auto"/>
                <w:szCs w:val="21"/>
                <w:highlight w:val="none"/>
              </w:rPr>
            </w:pPr>
          </w:p>
        </w:tc>
        <w:tc>
          <w:tcPr>
            <w:tcW w:w="2523" w:type="dxa"/>
            <w:noWrap w:val="0"/>
            <w:vAlign w:val="top"/>
          </w:tcPr>
          <w:p w14:paraId="5AD40DF3">
            <w:pPr>
              <w:spacing w:line="440" w:lineRule="exact"/>
              <w:jc w:val="left"/>
              <w:rPr>
                <w:rFonts w:hint="eastAsia" w:ascii="仿宋" w:hAnsi="仿宋" w:eastAsia="仿宋" w:cs="仿宋"/>
                <w:color w:val="auto"/>
                <w:szCs w:val="21"/>
                <w:highlight w:val="none"/>
              </w:rPr>
            </w:pPr>
          </w:p>
        </w:tc>
        <w:tc>
          <w:tcPr>
            <w:tcW w:w="672" w:type="dxa"/>
            <w:noWrap w:val="0"/>
            <w:vAlign w:val="top"/>
          </w:tcPr>
          <w:p w14:paraId="1CB626CF">
            <w:pPr>
              <w:spacing w:line="440" w:lineRule="exact"/>
              <w:jc w:val="left"/>
              <w:rPr>
                <w:rFonts w:hint="eastAsia" w:ascii="仿宋" w:hAnsi="仿宋" w:eastAsia="仿宋" w:cs="仿宋"/>
                <w:color w:val="auto"/>
                <w:szCs w:val="21"/>
                <w:highlight w:val="none"/>
              </w:rPr>
            </w:pPr>
          </w:p>
        </w:tc>
      </w:tr>
      <w:tr w14:paraId="1559E4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7" w:type="dxa"/>
            <w:noWrap w:val="0"/>
            <w:vAlign w:val="top"/>
          </w:tcPr>
          <w:p w14:paraId="19F1C69C">
            <w:pPr>
              <w:spacing w:line="440" w:lineRule="exact"/>
              <w:jc w:val="left"/>
              <w:rPr>
                <w:rFonts w:hint="eastAsia" w:ascii="仿宋" w:hAnsi="仿宋" w:eastAsia="仿宋" w:cs="仿宋"/>
                <w:color w:val="auto"/>
                <w:szCs w:val="21"/>
                <w:highlight w:val="none"/>
              </w:rPr>
            </w:pPr>
          </w:p>
        </w:tc>
        <w:tc>
          <w:tcPr>
            <w:tcW w:w="721" w:type="dxa"/>
            <w:noWrap w:val="0"/>
            <w:vAlign w:val="top"/>
          </w:tcPr>
          <w:p w14:paraId="0CF9A3D3">
            <w:pPr>
              <w:spacing w:line="440" w:lineRule="exact"/>
              <w:jc w:val="left"/>
              <w:rPr>
                <w:rFonts w:hint="eastAsia" w:ascii="仿宋" w:hAnsi="仿宋" w:eastAsia="仿宋" w:cs="仿宋"/>
                <w:color w:val="auto"/>
                <w:szCs w:val="21"/>
                <w:highlight w:val="none"/>
              </w:rPr>
            </w:pPr>
          </w:p>
        </w:tc>
        <w:tc>
          <w:tcPr>
            <w:tcW w:w="719" w:type="dxa"/>
            <w:noWrap w:val="0"/>
            <w:vAlign w:val="top"/>
          </w:tcPr>
          <w:p w14:paraId="349E8D9E">
            <w:pPr>
              <w:spacing w:line="440" w:lineRule="exact"/>
              <w:jc w:val="left"/>
              <w:rPr>
                <w:rFonts w:hint="eastAsia" w:ascii="仿宋" w:hAnsi="仿宋" w:eastAsia="仿宋" w:cs="仿宋"/>
                <w:color w:val="auto"/>
                <w:szCs w:val="21"/>
                <w:highlight w:val="none"/>
              </w:rPr>
            </w:pPr>
          </w:p>
        </w:tc>
        <w:tc>
          <w:tcPr>
            <w:tcW w:w="1081" w:type="dxa"/>
            <w:noWrap w:val="0"/>
            <w:vAlign w:val="top"/>
          </w:tcPr>
          <w:p w14:paraId="4073793C">
            <w:pPr>
              <w:spacing w:line="440" w:lineRule="exact"/>
              <w:jc w:val="left"/>
              <w:rPr>
                <w:rFonts w:hint="eastAsia" w:ascii="仿宋" w:hAnsi="仿宋" w:eastAsia="仿宋" w:cs="仿宋"/>
                <w:color w:val="auto"/>
                <w:szCs w:val="21"/>
                <w:highlight w:val="none"/>
              </w:rPr>
            </w:pPr>
          </w:p>
        </w:tc>
        <w:tc>
          <w:tcPr>
            <w:tcW w:w="719" w:type="dxa"/>
            <w:noWrap w:val="0"/>
            <w:vAlign w:val="top"/>
          </w:tcPr>
          <w:p w14:paraId="155D0E82">
            <w:pPr>
              <w:spacing w:line="440" w:lineRule="exact"/>
              <w:jc w:val="left"/>
              <w:rPr>
                <w:rFonts w:hint="eastAsia" w:ascii="仿宋" w:hAnsi="仿宋" w:eastAsia="仿宋" w:cs="仿宋"/>
                <w:color w:val="auto"/>
                <w:szCs w:val="21"/>
                <w:highlight w:val="none"/>
              </w:rPr>
            </w:pPr>
          </w:p>
        </w:tc>
        <w:tc>
          <w:tcPr>
            <w:tcW w:w="721" w:type="dxa"/>
            <w:noWrap w:val="0"/>
            <w:vAlign w:val="top"/>
          </w:tcPr>
          <w:p w14:paraId="0CE4B5D6">
            <w:pPr>
              <w:spacing w:line="440" w:lineRule="exact"/>
              <w:jc w:val="left"/>
              <w:rPr>
                <w:rFonts w:hint="eastAsia" w:ascii="仿宋" w:hAnsi="仿宋" w:eastAsia="仿宋" w:cs="仿宋"/>
                <w:color w:val="auto"/>
                <w:szCs w:val="21"/>
                <w:highlight w:val="none"/>
              </w:rPr>
            </w:pPr>
          </w:p>
        </w:tc>
        <w:tc>
          <w:tcPr>
            <w:tcW w:w="719" w:type="dxa"/>
            <w:noWrap w:val="0"/>
            <w:vAlign w:val="top"/>
          </w:tcPr>
          <w:p w14:paraId="3A5F6F73">
            <w:pPr>
              <w:spacing w:line="440" w:lineRule="exact"/>
              <w:jc w:val="left"/>
              <w:rPr>
                <w:rFonts w:hint="eastAsia" w:ascii="仿宋" w:hAnsi="仿宋" w:eastAsia="仿宋" w:cs="仿宋"/>
                <w:color w:val="auto"/>
                <w:szCs w:val="21"/>
                <w:highlight w:val="none"/>
              </w:rPr>
            </w:pPr>
          </w:p>
        </w:tc>
        <w:tc>
          <w:tcPr>
            <w:tcW w:w="2523" w:type="dxa"/>
            <w:noWrap w:val="0"/>
            <w:vAlign w:val="top"/>
          </w:tcPr>
          <w:p w14:paraId="51C1CC7F">
            <w:pPr>
              <w:spacing w:line="440" w:lineRule="exact"/>
              <w:jc w:val="left"/>
              <w:rPr>
                <w:rFonts w:hint="eastAsia" w:ascii="仿宋" w:hAnsi="仿宋" w:eastAsia="仿宋" w:cs="仿宋"/>
                <w:color w:val="auto"/>
                <w:szCs w:val="21"/>
                <w:highlight w:val="none"/>
              </w:rPr>
            </w:pPr>
          </w:p>
        </w:tc>
        <w:tc>
          <w:tcPr>
            <w:tcW w:w="672" w:type="dxa"/>
            <w:noWrap w:val="0"/>
            <w:vAlign w:val="top"/>
          </w:tcPr>
          <w:p w14:paraId="2B41FEFF">
            <w:pPr>
              <w:spacing w:line="440" w:lineRule="exact"/>
              <w:jc w:val="left"/>
              <w:rPr>
                <w:rFonts w:hint="eastAsia" w:ascii="仿宋" w:hAnsi="仿宋" w:eastAsia="仿宋" w:cs="仿宋"/>
                <w:color w:val="auto"/>
                <w:szCs w:val="21"/>
                <w:highlight w:val="none"/>
              </w:rPr>
            </w:pPr>
          </w:p>
        </w:tc>
      </w:tr>
      <w:tr w14:paraId="4E3B79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7" w:type="dxa"/>
            <w:noWrap w:val="0"/>
            <w:vAlign w:val="top"/>
          </w:tcPr>
          <w:p w14:paraId="205DF504">
            <w:pPr>
              <w:spacing w:line="440" w:lineRule="exact"/>
              <w:jc w:val="left"/>
              <w:rPr>
                <w:rFonts w:hint="eastAsia" w:ascii="仿宋" w:hAnsi="仿宋" w:eastAsia="仿宋" w:cs="仿宋"/>
                <w:color w:val="auto"/>
                <w:szCs w:val="21"/>
                <w:highlight w:val="none"/>
              </w:rPr>
            </w:pPr>
          </w:p>
        </w:tc>
        <w:tc>
          <w:tcPr>
            <w:tcW w:w="721" w:type="dxa"/>
            <w:noWrap w:val="0"/>
            <w:vAlign w:val="top"/>
          </w:tcPr>
          <w:p w14:paraId="79D2004F">
            <w:pPr>
              <w:spacing w:line="440" w:lineRule="exact"/>
              <w:jc w:val="left"/>
              <w:rPr>
                <w:rFonts w:hint="eastAsia" w:ascii="仿宋" w:hAnsi="仿宋" w:eastAsia="仿宋" w:cs="仿宋"/>
                <w:color w:val="auto"/>
                <w:szCs w:val="21"/>
                <w:highlight w:val="none"/>
              </w:rPr>
            </w:pPr>
          </w:p>
        </w:tc>
        <w:tc>
          <w:tcPr>
            <w:tcW w:w="719" w:type="dxa"/>
            <w:noWrap w:val="0"/>
            <w:vAlign w:val="top"/>
          </w:tcPr>
          <w:p w14:paraId="2C915613">
            <w:pPr>
              <w:spacing w:line="440" w:lineRule="exact"/>
              <w:jc w:val="left"/>
              <w:rPr>
                <w:rFonts w:hint="eastAsia" w:ascii="仿宋" w:hAnsi="仿宋" w:eastAsia="仿宋" w:cs="仿宋"/>
                <w:color w:val="auto"/>
                <w:szCs w:val="21"/>
                <w:highlight w:val="none"/>
              </w:rPr>
            </w:pPr>
          </w:p>
        </w:tc>
        <w:tc>
          <w:tcPr>
            <w:tcW w:w="1081" w:type="dxa"/>
            <w:noWrap w:val="0"/>
            <w:vAlign w:val="top"/>
          </w:tcPr>
          <w:p w14:paraId="0ED8BF8F">
            <w:pPr>
              <w:spacing w:line="440" w:lineRule="exact"/>
              <w:jc w:val="left"/>
              <w:rPr>
                <w:rFonts w:hint="eastAsia" w:ascii="仿宋" w:hAnsi="仿宋" w:eastAsia="仿宋" w:cs="仿宋"/>
                <w:color w:val="auto"/>
                <w:szCs w:val="21"/>
                <w:highlight w:val="none"/>
              </w:rPr>
            </w:pPr>
          </w:p>
        </w:tc>
        <w:tc>
          <w:tcPr>
            <w:tcW w:w="719" w:type="dxa"/>
            <w:noWrap w:val="0"/>
            <w:vAlign w:val="top"/>
          </w:tcPr>
          <w:p w14:paraId="60083FA4">
            <w:pPr>
              <w:spacing w:line="440" w:lineRule="exact"/>
              <w:jc w:val="left"/>
              <w:rPr>
                <w:rFonts w:hint="eastAsia" w:ascii="仿宋" w:hAnsi="仿宋" w:eastAsia="仿宋" w:cs="仿宋"/>
                <w:color w:val="auto"/>
                <w:szCs w:val="21"/>
                <w:highlight w:val="none"/>
              </w:rPr>
            </w:pPr>
          </w:p>
        </w:tc>
        <w:tc>
          <w:tcPr>
            <w:tcW w:w="721" w:type="dxa"/>
            <w:noWrap w:val="0"/>
            <w:vAlign w:val="top"/>
          </w:tcPr>
          <w:p w14:paraId="4D631721">
            <w:pPr>
              <w:spacing w:line="440" w:lineRule="exact"/>
              <w:jc w:val="left"/>
              <w:rPr>
                <w:rFonts w:hint="eastAsia" w:ascii="仿宋" w:hAnsi="仿宋" w:eastAsia="仿宋" w:cs="仿宋"/>
                <w:color w:val="auto"/>
                <w:szCs w:val="21"/>
                <w:highlight w:val="none"/>
              </w:rPr>
            </w:pPr>
          </w:p>
        </w:tc>
        <w:tc>
          <w:tcPr>
            <w:tcW w:w="719" w:type="dxa"/>
            <w:noWrap w:val="0"/>
            <w:vAlign w:val="top"/>
          </w:tcPr>
          <w:p w14:paraId="13A30C85">
            <w:pPr>
              <w:spacing w:line="440" w:lineRule="exact"/>
              <w:jc w:val="left"/>
              <w:rPr>
                <w:rFonts w:hint="eastAsia" w:ascii="仿宋" w:hAnsi="仿宋" w:eastAsia="仿宋" w:cs="仿宋"/>
                <w:color w:val="auto"/>
                <w:szCs w:val="21"/>
                <w:highlight w:val="none"/>
              </w:rPr>
            </w:pPr>
          </w:p>
        </w:tc>
        <w:tc>
          <w:tcPr>
            <w:tcW w:w="2523" w:type="dxa"/>
            <w:noWrap w:val="0"/>
            <w:vAlign w:val="top"/>
          </w:tcPr>
          <w:p w14:paraId="21B49E30">
            <w:pPr>
              <w:spacing w:line="440" w:lineRule="exact"/>
              <w:jc w:val="left"/>
              <w:rPr>
                <w:rFonts w:hint="eastAsia" w:ascii="仿宋" w:hAnsi="仿宋" w:eastAsia="仿宋" w:cs="仿宋"/>
                <w:color w:val="auto"/>
                <w:szCs w:val="21"/>
                <w:highlight w:val="none"/>
              </w:rPr>
            </w:pPr>
          </w:p>
        </w:tc>
        <w:tc>
          <w:tcPr>
            <w:tcW w:w="672" w:type="dxa"/>
            <w:noWrap w:val="0"/>
            <w:vAlign w:val="top"/>
          </w:tcPr>
          <w:p w14:paraId="27EC82E0">
            <w:pPr>
              <w:spacing w:line="440" w:lineRule="exact"/>
              <w:jc w:val="left"/>
              <w:rPr>
                <w:rFonts w:hint="eastAsia" w:ascii="仿宋" w:hAnsi="仿宋" w:eastAsia="仿宋" w:cs="仿宋"/>
                <w:color w:val="auto"/>
                <w:szCs w:val="21"/>
                <w:highlight w:val="none"/>
              </w:rPr>
            </w:pPr>
          </w:p>
        </w:tc>
      </w:tr>
      <w:tr w14:paraId="2A6408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7" w:type="dxa"/>
            <w:noWrap w:val="0"/>
            <w:vAlign w:val="top"/>
          </w:tcPr>
          <w:p w14:paraId="1ECD5B6B">
            <w:pPr>
              <w:spacing w:line="440" w:lineRule="exact"/>
              <w:jc w:val="left"/>
              <w:rPr>
                <w:rFonts w:hint="eastAsia" w:ascii="仿宋" w:hAnsi="仿宋" w:eastAsia="仿宋" w:cs="仿宋"/>
                <w:color w:val="auto"/>
                <w:szCs w:val="21"/>
                <w:highlight w:val="none"/>
              </w:rPr>
            </w:pPr>
          </w:p>
        </w:tc>
        <w:tc>
          <w:tcPr>
            <w:tcW w:w="721" w:type="dxa"/>
            <w:noWrap w:val="0"/>
            <w:vAlign w:val="top"/>
          </w:tcPr>
          <w:p w14:paraId="4A19CDA6">
            <w:pPr>
              <w:spacing w:line="440" w:lineRule="exact"/>
              <w:jc w:val="left"/>
              <w:rPr>
                <w:rFonts w:hint="eastAsia" w:ascii="仿宋" w:hAnsi="仿宋" w:eastAsia="仿宋" w:cs="仿宋"/>
                <w:color w:val="auto"/>
                <w:szCs w:val="21"/>
                <w:highlight w:val="none"/>
              </w:rPr>
            </w:pPr>
          </w:p>
        </w:tc>
        <w:tc>
          <w:tcPr>
            <w:tcW w:w="719" w:type="dxa"/>
            <w:noWrap w:val="0"/>
            <w:vAlign w:val="top"/>
          </w:tcPr>
          <w:p w14:paraId="74AAFF88">
            <w:pPr>
              <w:spacing w:line="440" w:lineRule="exact"/>
              <w:jc w:val="left"/>
              <w:rPr>
                <w:rFonts w:hint="eastAsia" w:ascii="仿宋" w:hAnsi="仿宋" w:eastAsia="仿宋" w:cs="仿宋"/>
                <w:color w:val="auto"/>
                <w:szCs w:val="21"/>
                <w:highlight w:val="none"/>
              </w:rPr>
            </w:pPr>
          </w:p>
        </w:tc>
        <w:tc>
          <w:tcPr>
            <w:tcW w:w="1081" w:type="dxa"/>
            <w:noWrap w:val="0"/>
            <w:vAlign w:val="top"/>
          </w:tcPr>
          <w:p w14:paraId="1D331510">
            <w:pPr>
              <w:spacing w:line="440" w:lineRule="exact"/>
              <w:jc w:val="left"/>
              <w:rPr>
                <w:rFonts w:hint="eastAsia" w:ascii="仿宋" w:hAnsi="仿宋" w:eastAsia="仿宋" w:cs="仿宋"/>
                <w:color w:val="auto"/>
                <w:szCs w:val="21"/>
                <w:highlight w:val="none"/>
              </w:rPr>
            </w:pPr>
          </w:p>
        </w:tc>
        <w:tc>
          <w:tcPr>
            <w:tcW w:w="719" w:type="dxa"/>
            <w:noWrap w:val="0"/>
            <w:vAlign w:val="top"/>
          </w:tcPr>
          <w:p w14:paraId="7275E407">
            <w:pPr>
              <w:spacing w:line="440" w:lineRule="exact"/>
              <w:jc w:val="left"/>
              <w:rPr>
                <w:rFonts w:hint="eastAsia" w:ascii="仿宋" w:hAnsi="仿宋" w:eastAsia="仿宋" w:cs="仿宋"/>
                <w:color w:val="auto"/>
                <w:szCs w:val="21"/>
                <w:highlight w:val="none"/>
              </w:rPr>
            </w:pPr>
          </w:p>
        </w:tc>
        <w:tc>
          <w:tcPr>
            <w:tcW w:w="721" w:type="dxa"/>
            <w:noWrap w:val="0"/>
            <w:vAlign w:val="top"/>
          </w:tcPr>
          <w:p w14:paraId="056D37CD">
            <w:pPr>
              <w:spacing w:line="440" w:lineRule="exact"/>
              <w:jc w:val="left"/>
              <w:rPr>
                <w:rFonts w:hint="eastAsia" w:ascii="仿宋" w:hAnsi="仿宋" w:eastAsia="仿宋" w:cs="仿宋"/>
                <w:color w:val="auto"/>
                <w:szCs w:val="21"/>
                <w:highlight w:val="none"/>
              </w:rPr>
            </w:pPr>
          </w:p>
        </w:tc>
        <w:tc>
          <w:tcPr>
            <w:tcW w:w="719" w:type="dxa"/>
            <w:noWrap w:val="0"/>
            <w:vAlign w:val="top"/>
          </w:tcPr>
          <w:p w14:paraId="3A1E850D">
            <w:pPr>
              <w:spacing w:line="440" w:lineRule="exact"/>
              <w:jc w:val="left"/>
              <w:rPr>
                <w:rFonts w:hint="eastAsia" w:ascii="仿宋" w:hAnsi="仿宋" w:eastAsia="仿宋" w:cs="仿宋"/>
                <w:color w:val="auto"/>
                <w:szCs w:val="21"/>
                <w:highlight w:val="none"/>
              </w:rPr>
            </w:pPr>
          </w:p>
        </w:tc>
        <w:tc>
          <w:tcPr>
            <w:tcW w:w="2523" w:type="dxa"/>
            <w:noWrap w:val="0"/>
            <w:vAlign w:val="top"/>
          </w:tcPr>
          <w:p w14:paraId="45D48A37">
            <w:pPr>
              <w:spacing w:line="440" w:lineRule="exact"/>
              <w:jc w:val="left"/>
              <w:rPr>
                <w:rFonts w:hint="eastAsia" w:ascii="仿宋" w:hAnsi="仿宋" w:eastAsia="仿宋" w:cs="仿宋"/>
                <w:color w:val="auto"/>
                <w:szCs w:val="21"/>
                <w:highlight w:val="none"/>
              </w:rPr>
            </w:pPr>
          </w:p>
        </w:tc>
        <w:tc>
          <w:tcPr>
            <w:tcW w:w="672" w:type="dxa"/>
            <w:noWrap w:val="0"/>
            <w:vAlign w:val="top"/>
          </w:tcPr>
          <w:p w14:paraId="61BC5256">
            <w:pPr>
              <w:spacing w:line="440" w:lineRule="exact"/>
              <w:jc w:val="left"/>
              <w:rPr>
                <w:rFonts w:hint="eastAsia" w:ascii="仿宋" w:hAnsi="仿宋" w:eastAsia="仿宋" w:cs="仿宋"/>
                <w:color w:val="auto"/>
                <w:szCs w:val="21"/>
                <w:highlight w:val="none"/>
              </w:rPr>
            </w:pPr>
          </w:p>
        </w:tc>
      </w:tr>
      <w:tr w14:paraId="068861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7" w:type="dxa"/>
            <w:noWrap w:val="0"/>
            <w:vAlign w:val="top"/>
          </w:tcPr>
          <w:p w14:paraId="02BC0770">
            <w:pPr>
              <w:spacing w:line="440" w:lineRule="exact"/>
              <w:jc w:val="left"/>
              <w:rPr>
                <w:rFonts w:hint="eastAsia" w:ascii="仿宋" w:hAnsi="仿宋" w:eastAsia="仿宋" w:cs="仿宋"/>
                <w:color w:val="auto"/>
                <w:szCs w:val="21"/>
                <w:highlight w:val="none"/>
              </w:rPr>
            </w:pPr>
          </w:p>
        </w:tc>
        <w:tc>
          <w:tcPr>
            <w:tcW w:w="721" w:type="dxa"/>
            <w:noWrap w:val="0"/>
            <w:vAlign w:val="top"/>
          </w:tcPr>
          <w:p w14:paraId="3279E791">
            <w:pPr>
              <w:spacing w:line="440" w:lineRule="exact"/>
              <w:jc w:val="left"/>
              <w:rPr>
                <w:rFonts w:hint="eastAsia" w:ascii="仿宋" w:hAnsi="仿宋" w:eastAsia="仿宋" w:cs="仿宋"/>
                <w:color w:val="auto"/>
                <w:szCs w:val="21"/>
                <w:highlight w:val="none"/>
              </w:rPr>
            </w:pPr>
          </w:p>
        </w:tc>
        <w:tc>
          <w:tcPr>
            <w:tcW w:w="719" w:type="dxa"/>
            <w:noWrap w:val="0"/>
            <w:vAlign w:val="top"/>
          </w:tcPr>
          <w:p w14:paraId="69092106">
            <w:pPr>
              <w:spacing w:line="440" w:lineRule="exact"/>
              <w:jc w:val="left"/>
              <w:rPr>
                <w:rFonts w:hint="eastAsia" w:ascii="仿宋" w:hAnsi="仿宋" w:eastAsia="仿宋" w:cs="仿宋"/>
                <w:color w:val="auto"/>
                <w:szCs w:val="21"/>
                <w:highlight w:val="none"/>
              </w:rPr>
            </w:pPr>
          </w:p>
        </w:tc>
        <w:tc>
          <w:tcPr>
            <w:tcW w:w="1081" w:type="dxa"/>
            <w:noWrap w:val="0"/>
            <w:vAlign w:val="top"/>
          </w:tcPr>
          <w:p w14:paraId="7E97C0FE">
            <w:pPr>
              <w:spacing w:line="440" w:lineRule="exact"/>
              <w:jc w:val="left"/>
              <w:rPr>
                <w:rFonts w:hint="eastAsia" w:ascii="仿宋" w:hAnsi="仿宋" w:eastAsia="仿宋" w:cs="仿宋"/>
                <w:color w:val="auto"/>
                <w:szCs w:val="21"/>
                <w:highlight w:val="none"/>
              </w:rPr>
            </w:pPr>
          </w:p>
        </w:tc>
        <w:tc>
          <w:tcPr>
            <w:tcW w:w="719" w:type="dxa"/>
            <w:noWrap w:val="0"/>
            <w:vAlign w:val="top"/>
          </w:tcPr>
          <w:p w14:paraId="67A6EFDD">
            <w:pPr>
              <w:spacing w:line="440" w:lineRule="exact"/>
              <w:jc w:val="left"/>
              <w:rPr>
                <w:rFonts w:hint="eastAsia" w:ascii="仿宋" w:hAnsi="仿宋" w:eastAsia="仿宋" w:cs="仿宋"/>
                <w:color w:val="auto"/>
                <w:szCs w:val="21"/>
                <w:highlight w:val="none"/>
              </w:rPr>
            </w:pPr>
          </w:p>
        </w:tc>
        <w:tc>
          <w:tcPr>
            <w:tcW w:w="721" w:type="dxa"/>
            <w:noWrap w:val="0"/>
            <w:vAlign w:val="top"/>
          </w:tcPr>
          <w:p w14:paraId="5FCBCBF3">
            <w:pPr>
              <w:spacing w:line="440" w:lineRule="exact"/>
              <w:jc w:val="left"/>
              <w:rPr>
                <w:rFonts w:hint="eastAsia" w:ascii="仿宋" w:hAnsi="仿宋" w:eastAsia="仿宋" w:cs="仿宋"/>
                <w:color w:val="auto"/>
                <w:szCs w:val="21"/>
                <w:highlight w:val="none"/>
              </w:rPr>
            </w:pPr>
          </w:p>
        </w:tc>
        <w:tc>
          <w:tcPr>
            <w:tcW w:w="719" w:type="dxa"/>
            <w:noWrap w:val="0"/>
            <w:vAlign w:val="top"/>
          </w:tcPr>
          <w:p w14:paraId="4F9992A7">
            <w:pPr>
              <w:spacing w:line="440" w:lineRule="exact"/>
              <w:jc w:val="left"/>
              <w:rPr>
                <w:rFonts w:hint="eastAsia" w:ascii="仿宋" w:hAnsi="仿宋" w:eastAsia="仿宋" w:cs="仿宋"/>
                <w:color w:val="auto"/>
                <w:szCs w:val="21"/>
                <w:highlight w:val="none"/>
              </w:rPr>
            </w:pPr>
          </w:p>
        </w:tc>
        <w:tc>
          <w:tcPr>
            <w:tcW w:w="2523" w:type="dxa"/>
            <w:noWrap w:val="0"/>
            <w:vAlign w:val="top"/>
          </w:tcPr>
          <w:p w14:paraId="109F13CA">
            <w:pPr>
              <w:spacing w:line="440" w:lineRule="exact"/>
              <w:jc w:val="left"/>
              <w:rPr>
                <w:rFonts w:hint="eastAsia" w:ascii="仿宋" w:hAnsi="仿宋" w:eastAsia="仿宋" w:cs="仿宋"/>
                <w:color w:val="auto"/>
                <w:szCs w:val="21"/>
                <w:highlight w:val="none"/>
              </w:rPr>
            </w:pPr>
          </w:p>
        </w:tc>
        <w:tc>
          <w:tcPr>
            <w:tcW w:w="672" w:type="dxa"/>
            <w:noWrap w:val="0"/>
            <w:vAlign w:val="top"/>
          </w:tcPr>
          <w:p w14:paraId="0B906282">
            <w:pPr>
              <w:spacing w:line="440" w:lineRule="exact"/>
              <w:jc w:val="left"/>
              <w:rPr>
                <w:rFonts w:hint="eastAsia" w:ascii="仿宋" w:hAnsi="仿宋" w:eastAsia="仿宋" w:cs="仿宋"/>
                <w:color w:val="auto"/>
                <w:szCs w:val="21"/>
                <w:highlight w:val="none"/>
              </w:rPr>
            </w:pPr>
          </w:p>
        </w:tc>
      </w:tr>
      <w:tr w14:paraId="6FE481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7" w:type="dxa"/>
            <w:noWrap w:val="0"/>
            <w:vAlign w:val="top"/>
          </w:tcPr>
          <w:p w14:paraId="49EC5283">
            <w:pPr>
              <w:spacing w:line="440" w:lineRule="exact"/>
              <w:jc w:val="left"/>
              <w:rPr>
                <w:rFonts w:hint="eastAsia" w:ascii="仿宋" w:hAnsi="仿宋" w:eastAsia="仿宋" w:cs="仿宋"/>
                <w:color w:val="auto"/>
                <w:szCs w:val="21"/>
                <w:highlight w:val="none"/>
              </w:rPr>
            </w:pPr>
          </w:p>
        </w:tc>
        <w:tc>
          <w:tcPr>
            <w:tcW w:w="721" w:type="dxa"/>
            <w:noWrap w:val="0"/>
            <w:vAlign w:val="top"/>
          </w:tcPr>
          <w:p w14:paraId="1973294E">
            <w:pPr>
              <w:spacing w:line="440" w:lineRule="exact"/>
              <w:jc w:val="left"/>
              <w:rPr>
                <w:rFonts w:hint="eastAsia" w:ascii="仿宋" w:hAnsi="仿宋" w:eastAsia="仿宋" w:cs="仿宋"/>
                <w:color w:val="auto"/>
                <w:szCs w:val="21"/>
                <w:highlight w:val="none"/>
              </w:rPr>
            </w:pPr>
          </w:p>
        </w:tc>
        <w:tc>
          <w:tcPr>
            <w:tcW w:w="719" w:type="dxa"/>
            <w:noWrap w:val="0"/>
            <w:vAlign w:val="top"/>
          </w:tcPr>
          <w:p w14:paraId="03B26874">
            <w:pPr>
              <w:spacing w:line="440" w:lineRule="exact"/>
              <w:jc w:val="left"/>
              <w:rPr>
                <w:rFonts w:hint="eastAsia" w:ascii="仿宋" w:hAnsi="仿宋" w:eastAsia="仿宋" w:cs="仿宋"/>
                <w:color w:val="auto"/>
                <w:szCs w:val="21"/>
                <w:highlight w:val="none"/>
              </w:rPr>
            </w:pPr>
          </w:p>
        </w:tc>
        <w:tc>
          <w:tcPr>
            <w:tcW w:w="1081" w:type="dxa"/>
            <w:noWrap w:val="0"/>
            <w:vAlign w:val="top"/>
          </w:tcPr>
          <w:p w14:paraId="3B46B548">
            <w:pPr>
              <w:spacing w:line="440" w:lineRule="exact"/>
              <w:jc w:val="left"/>
              <w:rPr>
                <w:rFonts w:hint="eastAsia" w:ascii="仿宋" w:hAnsi="仿宋" w:eastAsia="仿宋" w:cs="仿宋"/>
                <w:color w:val="auto"/>
                <w:szCs w:val="21"/>
                <w:highlight w:val="none"/>
              </w:rPr>
            </w:pPr>
          </w:p>
        </w:tc>
        <w:tc>
          <w:tcPr>
            <w:tcW w:w="719" w:type="dxa"/>
            <w:noWrap w:val="0"/>
            <w:vAlign w:val="top"/>
          </w:tcPr>
          <w:p w14:paraId="6722E9D6">
            <w:pPr>
              <w:spacing w:line="440" w:lineRule="exact"/>
              <w:jc w:val="left"/>
              <w:rPr>
                <w:rFonts w:hint="eastAsia" w:ascii="仿宋" w:hAnsi="仿宋" w:eastAsia="仿宋" w:cs="仿宋"/>
                <w:color w:val="auto"/>
                <w:szCs w:val="21"/>
                <w:highlight w:val="none"/>
              </w:rPr>
            </w:pPr>
          </w:p>
        </w:tc>
        <w:tc>
          <w:tcPr>
            <w:tcW w:w="721" w:type="dxa"/>
            <w:noWrap w:val="0"/>
            <w:vAlign w:val="top"/>
          </w:tcPr>
          <w:p w14:paraId="349016BD">
            <w:pPr>
              <w:spacing w:line="440" w:lineRule="exact"/>
              <w:jc w:val="left"/>
              <w:rPr>
                <w:rFonts w:hint="eastAsia" w:ascii="仿宋" w:hAnsi="仿宋" w:eastAsia="仿宋" w:cs="仿宋"/>
                <w:color w:val="auto"/>
                <w:szCs w:val="21"/>
                <w:highlight w:val="none"/>
              </w:rPr>
            </w:pPr>
          </w:p>
        </w:tc>
        <w:tc>
          <w:tcPr>
            <w:tcW w:w="719" w:type="dxa"/>
            <w:noWrap w:val="0"/>
            <w:vAlign w:val="top"/>
          </w:tcPr>
          <w:p w14:paraId="255CEB4D">
            <w:pPr>
              <w:spacing w:line="440" w:lineRule="exact"/>
              <w:jc w:val="left"/>
              <w:rPr>
                <w:rFonts w:hint="eastAsia" w:ascii="仿宋" w:hAnsi="仿宋" w:eastAsia="仿宋" w:cs="仿宋"/>
                <w:color w:val="auto"/>
                <w:szCs w:val="21"/>
                <w:highlight w:val="none"/>
              </w:rPr>
            </w:pPr>
          </w:p>
        </w:tc>
        <w:tc>
          <w:tcPr>
            <w:tcW w:w="2523" w:type="dxa"/>
            <w:noWrap w:val="0"/>
            <w:vAlign w:val="top"/>
          </w:tcPr>
          <w:p w14:paraId="3641E8CB">
            <w:pPr>
              <w:spacing w:line="440" w:lineRule="exact"/>
              <w:jc w:val="left"/>
              <w:rPr>
                <w:rFonts w:hint="eastAsia" w:ascii="仿宋" w:hAnsi="仿宋" w:eastAsia="仿宋" w:cs="仿宋"/>
                <w:color w:val="auto"/>
                <w:szCs w:val="21"/>
                <w:highlight w:val="none"/>
              </w:rPr>
            </w:pPr>
          </w:p>
        </w:tc>
        <w:tc>
          <w:tcPr>
            <w:tcW w:w="672" w:type="dxa"/>
            <w:noWrap w:val="0"/>
            <w:vAlign w:val="top"/>
          </w:tcPr>
          <w:p w14:paraId="25D3E3B2">
            <w:pPr>
              <w:spacing w:line="440" w:lineRule="exact"/>
              <w:jc w:val="left"/>
              <w:rPr>
                <w:rFonts w:hint="eastAsia" w:ascii="仿宋" w:hAnsi="仿宋" w:eastAsia="仿宋" w:cs="仿宋"/>
                <w:color w:val="auto"/>
                <w:szCs w:val="21"/>
                <w:highlight w:val="none"/>
              </w:rPr>
            </w:pPr>
          </w:p>
        </w:tc>
      </w:tr>
      <w:tr w14:paraId="2EA571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7" w:type="dxa"/>
            <w:noWrap w:val="0"/>
            <w:vAlign w:val="top"/>
          </w:tcPr>
          <w:p w14:paraId="56020152">
            <w:pPr>
              <w:spacing w:line="440" w:lineRule="exact"/>
              <w:jc w:val="left"/>
              <w:rPr>
                <w:rFonts w:hint="eastAsia" w:ascii="仿宋" w:hAnsi="仿宋" w:eastAsia="仿宋" w:cs="仿宋"/>
                <w:color w:val="auto"/>
                <w:szCs w:val="21"/>
                <w:highlight w:val="none"/>
              </w:rPr>
            </w:pPr>
          </w:p>
        </w:tc>
        <w:tc>
          <w:tcPr>
            <w:tcW w:w="721" w:type="dxa"/>
            <w:noWrap w:val="0"/>
            <w:vAlign w:val="top"/>
          </w:tcPr>
          <w:p w14:paraId="41E8F5EF">
            <w:pPr>
              <w:spacing w:line="440" w:lineRule="exact"/>
              <w:jc w:val="left"/>
              <w:rPr>
                <w:rFonts w:hint="eastAsia" w:ascii="仿宋" w:hAnsi="仿宋" w:eastAsia="仿宋" w:cs="仿宋"/>
                <w:color w:val="auto"/>
                <w:szCs w:val="21"/>
                <w:highlight w:val="none"/>
              </w:rPr>
            </w:pPr>
          </w:p>
        </w:tc>
        <w:tc>
          <w:tcPr>
            <w:tcW w:w="719" w:type="dxa"/>
            <w:noWrap w:val="0"/>
            <w:vAlign w:val="top"/>
          </w:tcPr>
          <w:p w14:paraId="525D3C04">
            <w:pPr>
              <w:spacing w:line="440" w:lineRule="exact"/>
              <w:jc w:val="left"/>
              <w:rPr>
                <w:rFonts w:hint="eastAsia" w:ascii="仿宋" w:hAnsi="仿宋" w:eastAsia="仿宋" w:cs="仿宋"/>
                <w:color w:val="auto"/>
                <w:szCs w:val="21"/>
                <w:highlight w:val="none"/>
              </w:rPr>
            </w:pPr>
          </w:p>
        </w:tc>
        <w:tc>
          <w:tcPr>
            <w:tcW w:w="1081" w:type="dxa"/>
            <w:noWrap w:val="0"/>
            <w:vAlign w:val="top"/>
          </w:tcPr>
          <w:p w14:paraId="4F035662">
            <w:pPr>
              <w:spacing w:line="440" w:lineRule="exact"/>
              <w:jc w:val="left"/>
              <w:rPr>
                <w:rFonts w:hint="eastAsia" w:ascii="仿宋" w:hAnsi="仿宋" w:eastAsia="仿宋" w:cs="仿宋"/>
                <w:color w:val="auto"/>
                <w:szCs w:val="21"/>
                <w:highlight w:val="none"/>
              </w:rPr>
            </w:pPr>
          </w:p>
        </w:tc>
        <w:tc>
          <w:tcPr>
            <w:tcW w:w="719" w:type="dxa"/>
            <w:noWrap w:val="0"/>
            <w:vAlign w:val="top"/>
          </w:tcPr>
          <w:p w14:paraId="0F3B3390">
            <w:pPr>
              <w:spacing w:line="440" w:lineRule="exact"/>
              <w:jc w:val="left"/>
              <w:rPr>
                <w:rFonts w:hint="eastAsia" w:ascii="仿宋" w:hAnsi="仿宋" w:eastAsia="仿宋" w:cs="仿宋"/>
                <w:color w:val="auto"/>
                <w:szCs w:val="21"/>
                <w:highlight w:val="none"/>
              </w:rPr>
            </w:pPr>
          </w:p>
        </w:tc>
        <w:tc>
          <w:tcPr>
            <w:tcW w:w="721" w:type="dxa"/>
            <w:noWrap w:val="0"/>
            <w:vAlign w:val="top"/>
          </w:tcPr>
          <w:p w14:paraId="220B2B9D">
            <w:pPr>
              <w:spacing w:line="440" w:lineRule="exact"/>
              <w:jc w:val="left"/>
              <w:rPr>
                <w:rFonts w:hint="eastAsia" w:ascii="仿宋" w:hAnsi="仿宋" w:eastAsia="仿宋" w:cs="仿宋"/>
                <w:color w:val="auto"/>
                <w:szCs w:val="21"/>
                <w:highlight w:val="none"/>
              </w:rPr>
            </w:pPr>
          </w:p>
        </w:tc>
        <w:tc>
          <w:tcPr>
            <w:tcW w:w="719" w:type="dxa"/>
            <w:noWrap w:val="0"/>
            <w:vAlign w:val="top"/>
          </w:tcPr>
          <w:p w14:paraId="551F0F94">
            <w:pPr>
              <w:spacing w:line="440" w:lineRule="exact"/>
              <w:jc w:val="left"/>
              <w:rPr>
                <w:rFonts w:hint="eastAsia" w:ascii="仿宋" w:hAnsi="仿宋" w:eastAsia="仿宋" w:cs="仿宋"/>
                <w:color w:val="auto"/>
                <w:szCs w:val="21"/>
                <w:highlight w:val="none"/>
              </w:rPr>
            </w:pPr>
          </w:p>
        </w:tc>
        <w:tc>
          <w:tcPr>
            <w:tcW w:w="2523" w:type="dxa"/>
            <w:noWrap w:val="0"/>
            <w:vAlign w:val="top"/>
          </w:tcPr>
          <w:p w14:paraId="5D44DD01">
            <w:pPr>
              <w:spacing w:line="440" w:lineRule="exact"/>
              <w:jc w:val="left"/>
              <w:rPr>
                <w:rFonts w:hint="eastAsia" w:ascii="仿宋" w:hAnsi="仿宋" w:eastAsia="仿宋" w:cs="仿宋"/>
                <w:color w:val="auto"/>
                <w:szCs w:val="21"/>
                <w:highlight w:val="none"/>
              </w:rPr>
            </w:pPr>
          </w:p>
        </w:tc>
        <w:tc>
          <w:tcPr>
            <w:tcW w:w="672" w:type="dxa"/>
            <w:noWrap w:val="0"/>
            <w:vAlign w:val="top"/>
          </w:tcPr>
          <w:p w14:paraId="7D6EAC82">
            <w:pPr>
              <w:spacing w:line="440" w:lineRule="exact"/>
              <w:jc w:val="left"/>
              <w:rPr>
                <w:rFonts w:hint="eastAsia" w:ascii="仿宋" w:hAnsi="仿宋" w:eastAsia="仿宋" w:cs="仿宋"/>
                <w:color w:val="auto"/>
                <w:szCs w:val="21"/>
                <w:highlight w:val="none"/>
              </w:rPr>
            </w:pPr>
          </w:p>
        </w:tc>
      </w:tr>
      <w:tr w14:paraId="7E56EC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7" w:type="dxa"/>
            <w:noWrap w:val="0"/>
            <w:vAlign w:val="top"/>
          </w:tcPr>
          <w:p w14:paraId="72D862D2">
            <w:pPr>
              <w:spacing w:line="440" w:lineRule="exact"/>
              <w:jc w:val="left"/>
              <w:rPr>
                <w:rFonts w:hint="eastAsia" w:ascii="仿宋" w:hAnsi="仿宋" w:eastAsia="仿宋" w:cs="仿宋"/>
                <w:color w:val="auto"/>
                <w:szCs w:val="21"/>
                <w:highlight w:val="none"/>
              </w:rPr>
            </w:pPr>
          </w:p>
        </w:tc>
        <w:tc>
          <w:tcPr>
            <w:tcW w:w="721" w:type="dxa"/>
            <w:noWrap w:val="0"/>
            <w:vAlign w:val="top"/>
          </w:tcPr>
          <w:p w14:paraId="47B3E40A">
            <w:pPr>
              <w:spacing w:line="440" w:lineRule="exact"/>
              <w:jc w:val="left"/>
              <w:rPr>
                <w:rFonts w:hint="eastAsia" w:ascii="仿宋" w:hAnsi="仿宋" w:eastAsia="仿宋" w:cs="仿宋"/>
                <w:color w:val="auto"/>
                <w:szCs w:val="21"/>
                <w:highlight w:val="none"/>
              </w:rPr>
            </w:pPr>
          </w:p>
        </w:tc>
        <w:tc>
          <w:tcPr>
            <w:tcW w:w="719" w:type="dxa"/>
            <w:noWrap w:val="0"/>
            <w:vAlign w:val="top"/>
          </w:tcPr>
          <w:p w14:paraId="525FE9E9">
            <w:pPr>
              <w:spacing w:line="440" w:lineRule="exact"/>
              <w:jc w:val="left"/>
              <w:rPr>
                <w:rFonts w:hint="eastAsia" w:ascii="仿宋" w:hAnsi="仿宋" w:eastAsia="仿宋" w:cs="仿宋"/>
                <w:color w:val="auto"/>
                <w:szCs w:val="21"/>
                <w:highlight w:val="none"/>
              </w:rPr>
            </w:pPr>
          </w:p>
        </w:tc>
        <w:tc>
          <w:tcPr>
            <w:tcW w:w="1081" w:type="dxa"/>
            <w:noWrap w:val="0"/>
            <w:vAlign w:val="top"/>
          </w:tcPr>
          <w:p w14:paraId="4C4BF478">
            <w:pPr>
              <w:spacing w:line="440" w:lineRule="exact"/>
              <w:jc w:val="left"/>
              <w:rPr>
                <w:rFonts w:hint="eastAsia" w:ascii="仿宋" w:hAnsi="仿宋" w:eastAsia="仿宋" w:cs="仿宋"/>
                <w:color w:val="auto"/>
                <w:szCs w:val="21"/>
                <w:highlight w:val="none"/>
              </w:rPr>
            </w:pPr>
          </w:p>
        </w:tc>
        <w:tc>
          <w:tcPr>
            <w:tcW w:w="719" w:type="dxa"/>
            <w:noWrap w:val="0"/>
            <w:vAlign w:val="top"/>
          </w:tcPr>
          <w:p w14:paraId="2146C5A7">
            <w:pPr>
              <w:spacing w:line="440" w:lineRule="exact"/>
              <w:jc w:val="left"/>
              <w:rPr>
                <w:rFonts w:hint="eastAsia" w:ascii="仿宋" w:hAnsi="仿宋" w:eastAsia="仿宋" w:cs="仿宋"/>
                <w:color w:val="auto"/>
                <w:szCs w:val="21"/>
                <w:highlight w:val="none"/>
              </w:rPr>
            </w:pPr>
          </w:p>
        </w:tc>
        <w:tc>
          <w:tcPr>
            <w:tcW w:w="721" w:type="dxa"/>
            <w:noWrap w:val="0"/>
            <w:vAlign w:val="top"/>
          </w:tcPr>
          <w:p w14:paraId="75929981">
            <w:pPr>
              <w:spacing w:line="440" w:lineRule="exact"/>
              <w:jc w:val="left"/>
              <w:rPr>
                <w:rFonts w:hint="eastAsia" w:ascii="仿宋" w:hAnsi="仿宋" w:eastAsia="仿宋" w:cs="仿宋"/>
                <w:color w:val="auto"/>
                <w:szCs w:val="21"/>
                <w:highlight w:val="none"/>
              </w:rPr>
            </w:pPr>
          </w:p>
        </w:tc>
        <w:tc>
          <w:tcPr>
            <w:tcW w:w="719" w:type="dxa"/>
            <w:noWrap w:val="0"/>
            <w:vAlign w:val="top"/>
          </w:tcPr>
          <w:p w14:paraId="4DB5C293">
            <w:pPr>
              <w:spacing w:line="440" w:lineRule="exact"/>
              <w:jc w:val="left"/>
              <w:rPr>
                <w:rFonts w:hint="eastAsia" w:ascii="仿宋" w:hAnsi="仿宋" w:eastAsia="仿宋" w:cs="仿宋"/>
                <w:color w:val="auto"/>
                <w:szCs w:val="21"/>
                <w:highlight w:val="none"/>
              </w:rPr>
            </w:pPr>
          </w:p>
        </w:tc>
        <w:tc>
          <w:tcPr>
            <w:tcW w:w="2523" w:type="dxa"/>
            <w:noWrap w:val="0"/>
            <w:vAlign w:val="top"/>
          </w:tcPr>
          <w:p w14:paraId="50A16FF3">
            <w:pPr>
              <w:spacing w:line="440" w:lineRule="exact"/>
              <w:jc w:val="left"/>
              <w:rPr>
                <w:rFonts w:hint="eastAsia" w:ascii="仿宋" w:hAnsi="仿宋" w:eastAsia="仿宋" w:cs="仿宋"/>
                <w:color w:val="auto"/>
                <w:szCs w:val="21"/>
                <w:highlight w:val="none"/>
              </w:rPr>
            </w:pPr>
          </w:p>
        </w:tc>
        <w:tc>
          <w:tcPr>
            <w:tcW w:w="672" w:type="dxa"/>
            <w:noWrap w:val="0"/>
            <w:vAlign w:val="top"/>
          </w:tcPr>
          <w:p w14:paraId="41753A65">
            <w:pPr>
              <w:spacing w:line="440" w:lineRule="exact"/>
              <w:jc w:val="left"/>
              <w:rPr>
                <w:rFonts w:hint="eastAsia" w:ascii="仿宋" w:hAnsi="仿宋" w:eastAsia="仿宋" w:cs="仿宋"/>
                <w:color w:val="auto"/>
                <w:szCs w:val="21"/>
                <w:highlight w:val="none"/>
              </w:rPr>
            </w:pPr>
          </w:p>
        </w:tc>
      </w:tr>
      <w:tr w14:paraId="59F72E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7" w:type="dxa"/>
            <w:noWrap w:val="0"/>
            <w:vAlign w:val="top"/>
          </w:tcPr>
          <w:p w14:paraId="0E624A0B">
            <w:pPr>
              <w:spacing w:line="440" w:lineRule="exact"/>
              <w:jc w:val="left"/>
              <w:rPr>
                <w:rFonts w:hint="eastAsia" w:ascii="仿宋" w:hAnsi="仿宋" w:eastAsia="仿宋" w:cs="仿宋"/>
                <w:color w:val="auto"/>
                <w:szCs w:val="21"/>
                <w:highlight w:val="none"/>
              </w:rPr>
            </w:pPr>
          </w:p>
        </w:tc>
        <w:tc>
          <w:tcPr>
            <w:tcW w:w="721" w:type="dxa"/>
            <w:noWrap w:val="0"/>
            <w:vAlign w:val="top"/>
          </w:tcPr>
          <w:p w14:paraId="45CAB2E6">
            <w:pPr>
              <w:spacing w:line="440" w:lineRule="exact"/>
              <w:jc w:val="left"/>
              <w:rPr>
                <w:rFonts w:hint="eastAsia" w:ascii="仿宋" w:hAnsi="仿宋" w:eastAsia="仿宋" w:cs="仿宋"/>
                <w:color w:val="auto"/>
                <w:szCs w:val="21"/>
                <w:highlight w:val="none"/>
              </w:rPr>
            </w:pPr>
          </w:p>
        </w:tc>
        <w:tc>
          <w:tcPr>
            <w:tcW w:w="719" w:type="dxa"/>
            <w:noWrap w:val="0"/>
            <w:vAlign w:val="top"/>
          </w:tcPr>
          <w:p w14:paraId="5B0E692C">
            <w:pPr>
              <w:spacing w:line="440" w:lineRule="exact"/>
              <w:jc w:val="left"/>
              <w:rPr>
                <w:rFonts w:hint="eastAsia" w:ascii="仿宋" w:hAnsi="仿宋" w:eastAsia="仿宋" w:cs="仿宋"/>
                <w:color w:val="auto"/>
                <w:szCs w:val="21"/>
                <w:highlight w:val="none"/>
              </w:rPr>
            </w:pPr>
          </w:p>
        </w:tc>
        <w:tc>
          <w:tcPr>
            <w:tcW w:w="1081" w:type="dxa"/>
            <w:noWrap w:val="0"/>
            <w:vAlign w:val="top"/>
          </w:tcPr>
          <w:p w14:paraId="0FCC9552">
            <w:pPr>
              <w:spacing w:line="440" w:lineRule="exact"/>
              <w:jc w:val="left"/>
              <w:rPr>
                <w:rFonts w:hint="eastAsia" w:ascii="仿宋" w:hAnsi="仿宋" w:eastAsia="仿宋" w:cs="仿宋"/>
                <w:color w:val="auto"/>
                <w:szCs w:val="21"/>
                <w:highlight w:val="none"/>
              </w:rPr>
            </w:pPr>
          </w:p>
        </w:tc>
        <w:tc>
          <w:tcPr>
            <w:tcW w:w="719" w:type="dxa"/>
            <w:noWrap w:val="0"/>
            <w:vAlign w:val="top"/>
          </w:tcPr>
          <w:p w14:paraId="7964F574">
            <w:pPr>
              <w:spacing w:line="440" w:lineRule="exact"/>
              <w:jc w:val="left"/>
              <w:rPr>
                <w:rFonts w:hint="eastAsia" w:ascii="仿宋" w:hAnsi="仿宋" w:eastAsia="仿宋" w:cs="仿宋"/>
                <w:color w:val="auto"/>
                <w:szCs w:val="21"/>
                <w:highlight w:val="none"/>
              </w:rPr>
            </w:pPr>
          </w:p>
        </w:tc>
        <w:tc>
          <w:tcPr>
            <w:tcW w:w="721" w:type="dxa"/>
            <w:noWrap w:val="0"/>
            <w:vAlign w:val="top"/>
          </w:tcPr>
          <w:p w14:paraId="41A1F608">
            <w:pPr>
              <w:spacing w:line="440" w:lineRule="exact"/>
              <w:jc w:val="left"/>
              <w:rPr>
                <w:rFonts w:hint="eastAsia" w:ascii="仿宋" w:hAnsi="仿宋" w:eastAsia="仿宋" w:cs="仿宋"/>
                <w:color w:val="auto"/>
                <w:szCs w:val="21"/>
                <w:highlight w:val="none"/>
              </w:rPr>
            </w:pPr>
          </w:p>
        </w:tc>
        <w:tc>
          <w:tcPr>
            <w:tcW w:w="719" w:type="dxa"/>
            <w:noWrap w:val="0"/>
            <w:vAlign w:val="top"/>
          </w:tcPr>
          <w:p w14:paraId="12719339">
            <w:pPr>
              <w:spacing w:line="440" w:lineRule="exact"/>
              <w:jc w:val="left"/>
              <w:rPr>
                <w:rFonts w:hint="eastAsia" w:ascii="仿宋" w:hAnsi="仿宋" w:eastAsia="仿宋" w:cs="仿宋"/>
                <w:color w:val="auto"/>
                <w:szCs w:val="21"/>
                <w:highlight w:val="none"/>
              </w:rPr>
            </w:pPr>
          </w:p>
        </w:tc>
        <w:tc>
          <w:tcPr>
            <w:tcW w:w="2523" w:type="dxa"/>
            <w:noWrap w:val="0"/>
            <w:vAlign w:val="top"/>
          </w:tcPr>
          <w:p w14:paraId="0E7C1E41">
            <w:pPr>
              <w:spacing w:line="440" w:lineRule="exact"/>
              <w:jc w:val="left"/>
              <w:rPr>
                <w:rFonts w:hint="eastAsia" w:ascii="仿宋" w:hAnsi="仿宋" w:eastAsia="仿宋" w:cs="仿宋"/>
                <w:color w:val="auto"/>
                <w:szCs w:val="21"/>
                <w:highlight w:val="none"/>
              </w:rPr>
            </w:pPr>
          </w:p>
        </w:tc>
        <w:tc>
          <w:tcPr>
            <w:tcW w:w="672" w:type="dxa"/>
            <w:noWrap w:val="0"/>
            <w:vAlign w:val="top"/>
          </w:tcPr>
          <w:p w14:paraId="3D6BC58B">
            <w:pPr>
              <w:spacing w:line="440" w:lineRule="exact"/>
              <w:jc w:val="left"/>
              <w:rPr>
                <w:rFonts w:hint="eastAsia" w:ascii="仿宋" w:hAnsi="仿宋" w:eastAsia="仿宋" w:cs="仿宋"/>
                <w:color w:val="auto"/>
                <w:szCs w:val="21"/>
                <w:highlight w:val="none"/>
              </w:rPr>
            </w:pPr>
          </w:p>
        </w:tc>
      </w:tr>
      <w:tr w14:paraId="6A1D46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7" w:type="dxa"/>
            <w:noWrap w:val="0"/>
            <w:vAlign w:val="top"/>
          </w:tcPr>
          <w:p w14:paraId="22474C9F">
            <w:pPr>
              <w:spacing w:line="440" w:lineRule="exact"/>
              <w:jc w:val="left"/>
              <w:rPr>
                <w:rFonts w:hint="eastAsia" w:ascii="仿宋" w:hAnsi="仿宋" w:eastAsia="仿宋" w:cs="仿宋"/>
                <w:color w:val="auto"/>
                <w:szCs w:val="21"/>
                <w:highlight w:val="none"/>
              </w:rPr>
            </w:pPr>
          </w:p>
        </w:tc>
        <w:tc>
          <w:tcPr>
            <w:tcW w:w="721" w:type="dxa"/>
            <w:noWrap w:val="0"/>
            <w:vAlign w:val="top"/>
          </w:tcPr>
          <w:p w14:paraId="211EF9B8">
            <w:pPr>
              <w:spacing w:line="440" w:lineRule="exact"/>
              <w:jc w:val="left"/>
              <w:rPr>
                <w:rFonts w:hint="eastAsia" w:ascii="仿宋" w:hAnsi="仿宋" w:eastAsia="仿宋" w:cs="仿宋"/>
                <w:color w:val="auto"/>
                <w:szCs w:val="21"/>
                <w:highlight w:val="none"/>
              </w:rPr>
            </w:pPr>
          </w:p>
        </w:tc>
        <w:tc>
          <w:tcPr>
            <w:tcW w:w="719" w:type="dxa"/>
            <w:noWrap w:val="0"/>
            <w:vAlign w:val="top"/>
          </w:tcPr>
          <w:p w14:paraId="477B2ADF">
            <w:pPr>
              <w:spacing w:line="440" w:lineRule="exact"/>
              <w:jc w:val="left"/>
              <w:rPr>
                <w:rFonts w:hint="eastAsia" w:ascii="仿宋" w:hAnsi="仿宋" w:eastAsia="仿宋" w:cs="仿宋"/>
                <w:color w:val="auto"/>
                <w:szCs w:val="21"/>
                <w:highlight w:val="none"/>
              </w:rPr>
            </w:pPr>
          </w:p>
        </w:tc>
        <w:tc>
          <w:tcPr>
            <w:tcW w:w="1081" w:type="dxa"/>
            <w:noWrap w:val="0"/>
            <w:vAlign w:val="top"/>
          </w:tcPr>
          <w:p w14:paraId="3D96597E">
            <w:pPr>
              <w:spacing w:line="440" w:lineRule="exact"/>
              <w:jc w:val="left"/>
              <w:rPr>
                <w:rFonts w:hint="eastAsia" w:ascii="仿宋" w:hAnsi="仿宋" w:eastAsia="仿宋" w:cs="仿宋"/>
                <w:color w:val="auto"/>
                <w:szCs w:val="21"/>
                <w:highlight w:val="none"/>
              </w:rPr>
            </w:pPr>
          </w:p>
        </w:tc>
        <w:tc>
          <w:tcPr>
            <w:tcW w:w="719" w:type="dxa"/>
            <w:noWrap w:val="0"/>
            <w:vAlign w:val="top"/>
          </w:tcPr>
          <w:p w14:paraId="3C5EB0C6">
            <w:pPr>
              <w:spacing w:line="440" w:lineRule="exact"/>
              <w:jc w:val="left"/>
              <w:rPr>
                <w:rFonts w:hint="eastAsia" w:ascii="仿宋" w:hAnsi="仿宋" w:eastAsia="仿宋" w:cs="仿宋"/>
                <w:color w:val="auto"/>
                <w:szCs w:val="21"/>
                <w:highlight w:val="none"/>
              </w:rPr>
            </w:pPr>
          </w:p>
        </w:tc>
        <w:tc>
          <w:tcPr>
            <w:tcW w:w="721" w:type="dxa"/>
            <w:noWrap w:val="0"/>
            <w:vAlign w:val="top"/>
          </w:tcPr>
          <w:p w14:paraId="3EC9A7F0">
            <w:pPr>
              <w:spacing w:line="440" w:lineRule="exact"/>
              <w:jc w:val="left"/>
              <w:rPr>
                <w:rFonts w:hint="eastAsia" w:ascii="仿宋" w:hAnsi="仿宋" w:eastAsia="仿宋" w:cs="仿宋"/>
                <w:color w:val="auto"/>
                <w:szCs w:val="21"/>
                <w:highlight w:val="none"/>
              </w:rPr>
            </w:pPr>
          </w:p>
        </w:tc>
        <w:tc>
          <w:tcPr>
            <w:tcW w:w="719" w:type="dxa"/>
            <w:noWrap w:val="0"/>
            <w:vAlign w:val="top"/>
          </w:tcPr>
          <w:p w14:paraId="5A7512A8">
            <w:pPr>
              <w:spacing w:line="440" w:lineRule="exact"/>
              <w:jc w:val="left"/>
              <w:rPr>
                <w:rFonts w:hint="eastAsia" w:ascii="仿宋" w:hAnsi="仿宋" w:eastAsia="仿宋" w:cs="仿宋"/>
                <w:color w:val="auto"/>
                <w:szCs w:val="21"/>
                <w:highlight w:val="none"/>
              </w:rPr>
            </w:pPr>
          </w:p>
        </w:tc>
        <w:tc>
          <w:tcPr>
            <w:tcW w:w="2523" w:type="dxa"/>
            <w:noWrap w:val="0"/>
            <w:vAlign w:val="top"/>
          </w:tcPr>
          <w:p w14:paraId="6BEEC974">
            <w:pPr>
              <w:spacing w:line="440" w:lineRule="exact"/>
              <w:jc w:val="left"/>
              <w:rPr>
                <w:rFonts w:hint="eastAsia" w:ascii="仿宋" w:hAnsi="仿宋" w:eastAsia="仿宋" w:cs="仿宋"/>
                <w:color w:val="auto"/>
                <w:szCs w:val="21"/>
                <w:highlight w:val="none"/>
              </w:rPr>
            </w:pPr>
          </w:p>
        </w:tc>
        <w:tc>
          <w:tcPr>
            <w:tcW w:w="672" w:type="dxa"/>
            <w:noWrap w:val="0"/>
            <w:vAlign w:val="top"/>
          </w:tcPr>
          <w:p w14:paraId="642E41A5">
            <w:pPr>
              <w:spacing w:line="440" w:lineRule="exact"/>
              <w:jc w:val="left"/>
              <w:rPr>
                <w:rFonts w:hint="eastAsia" w:ascii="仿宋" w:hAnsi="仿宋" w:eastAsia="仿宋" w:cs="仿宋"/>
                <w:color w:val="auto"/>
                <w:szCs w:val="21"/>
                <w:highlight w:val="none"/>
              </w:rPr>
            </w:pPr>
          </w:p>
        </w:tc>
      </w:tr>
      <w:tr w14:paraId="75C3E0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7" w:type="dxa"/>
            <w:noWrap w:val="0"/>
            <w:vAlign w:val="top"/>
          </w:tcPr>
          <w:p w14:paraId="6CE6B783">
            <w:pPr>
              <w:spacing w:line="440" w:lineRule="exact"/>
              <w:jc w:val="left"/>
              <w:rPr>
                <w:rFonts w:hint="eastAsia" w:ascii="仿宋" w:hAnsi="仿宋" w:eastAsia="仿宋" w:cs="仿宋"/>
                <w:color w:val="auto"/>
                <w:szCs w:val="21"/>
                <w:highlight w:val="none"/>
              </w:rPr>
            </w:pPr>
          </w:p>
        </w:tc>
        <w:tc>
          <w:tcPr>
            <w:tcW w:w="721" w:type="dxa"/>
            <w:noWrap w:val="0"/>
            <w:vAlign w:val="top"/>
          </w:tcPr>
          <w:p w14:paraId="317686E8">
            <w:pPr>
              <w:spacing w:line="440" w:lineRule="exact"/>
              <w:jc w:val="left"/>
              <w:rPr>
                <w:rFonts w:hint="eastAsia" w:ascii="仿宋" w:hAnsi="仿宋" w:eastAsia="仿宋" w:cs="仿宋"/>
                <w:color w:val="auto"/>
                <w:szCs w:val="21"/>
                <w:highlight w:val="none"/>
              </w:rPr>
            </w:pPr>
          </w:p>
        </w:tc>
        <w:tc>
          <w:tcPr>
            <w:tcW w:w="719" w:type="dxa"/>
            <w:noWrap w:val="0"/>
            <w:vAlign w:val="top"/>
          </w:tcPr>
          <w:p w14:paraId="40A9548E">
            <w:pPr>
              <w:spacing w:line="440" w:lineRule="exact"/>
              <w:jc w:val="left"/>
              <w:rPr>
                <w:rFonts w:hint="eastAsia" w:ascii="仿宋" w:hAnsi="仿宋" w:eastAsia="仿宋" w:cs="仿宋"/>
                <w:color w:val="auto"/>
                <w:szCs w:val="21"/>
                <w:highlight w:val="none"/>
              </w:rPr>
            </w:pPr>
          </w:p>
        </w:tc>
        <w:tc>
          <w:tcPr>
            <w:tcW w:w="1081" w:type="dxa"/>
            <w:noWrap w:val="0"/>
            <w:vAlign w:val="top"/>
          </w:tcPr>
          <w:p w14:paraId="06FC1129">
            <w:pPr>
              <w:spacing w:line="440" w:lineRule="exact"/>
              <w:jc w:val="left"/>
              <w:rPr>
                <w:rFonts w:hint="eastAsia" w:ascii="仿宋" w:hAnsi="仿宋" w:eastAsia="仿宋" w:cs="仿宋"/>
                <w:color w:val="auto"/>
                <w:szCs w:val="21"/>
                <w:highlight w:val="none"/>
              </w:rPr>
            </w:pPr>
          </w:p>
        </w:tc>
        <w:tc>
          <w:tcPr>
            <w:tcW w:w="719" w:type="dxa"/>
            <w:noWrap w:val="0"/>
            <w:vAlign w:val="top"/>
          </w:tcPr>
          <w:p w14:paraId="59186F2F">
            <w:pPr>
              <w:spacing w:line="440" w:lineRule="exact"/>
              <w:jc w:val="left"/>
              <w:rPr>
                <w:rFonts w:hint="eastAsia" w:ascii="仿宋" w:hAnsi="仿宋" w:eastAsia="仿宋" w:cs="仿宋"/>
                <w:color w:val="auto"/>
                <w:szCs w:val="21"/>
                <w:highlight w:val="none"/>
              </w:rPr>
            </w:pPr>
          </w:p>
        </w:tc>
        <w:tc>
          <w:tcPr>
            <w:tcW w:w="721" w:type="dxa"/>
            <w:noWrap w:val="0"/>
            <w:vAlign w:val="top"/>
          </w:tcPr>
          <w:p w14:paraId="433B547E">
            <w:pPr>
              <w:spacing w:line="440" w:lineRule="exact"/>
              <w:jc w:val="left"/>
              <w:rPr>
                <w:rFonts w:hint="eastAsia" w:ascii="仿宋" w:hAnsi="仿宋" w:eastAsia="仿宋" w:cs="仿宋"/>
                <w:color w:val="auto"/>
                <w:szCs w:val="21"/>
                <w:highlight w:val="none"/>
              </w:rPr>
            </w:pPr>
          </w:p>
        </w:tc>
        <w:tc>
          <w:tcPr>
            <w:tcW w:w="719" w:type="dxa"/>
            <w:noWrap w:val="0"/>
            <w:vAlign w:val="top"/>
          </w:tcPr>
          <w:p w14:paraId="668B6C3D">
            <w:pPr>
              <w:spacing w:line="440" w:lineRule="exact"/>
              <w:jc w:val="left"/>
              <w:rPr>
                <w:rFonts w:hint="eastAsia" w:ascii="仿宋" w:hAnsi="仿宋" w:eastAsia="仿宋" w:cs="仿宋"/>
                <w:color w:val="auto"/>
                <w:szCs w:val="21"/>
                <w:highlight w:val="none"/>
              </w:rPr>
            </w:pPr>
          </w:p>
        </w:tc>
        <w:tc>
          <w:tcPr>
            <w:tcW w:w="2523" w:type="dxa"/>
            <w:noWrap w:val="0"/>
            <w:vAlign w:val="top"/>
          </w:tcPr>
          <w:p w14:paraId="60F7B82A">
            <w:pPr>
              <w:spacing w:line="440" w:lineRule="exact"/>
              <w:jc w:val="left"/>
              <w:rPr>
                <w:rFonts w:hint="eastAsia" w:ascii="仿宋" w:hAnsi="仿宋" w:eastAsia="仿宋" w:cs="仿宋"/>
                <w:color w:val="auto"/>
                <w:szCs w:val="21"/>
                <w:highlight w:val="none"/>
              </w:rPr>
            </w:pPr>
          </w:p>
        </w:tc>
        <w:tc>
          <w:tcPr>
            <w:tcW w:w="672" w:type="dxa"/>
            <w:noWrap w:val="0"/>
            <w:vAlign w:val="top"/>
          </w:tcPr>
          <w:p w14:paraId="4AB6CA2C">
            <w:pPr>
              <w:spacing w:line="440" w:lineRule="exact"/>
              <w:jc w:val="left"/>
              <w:rPr>
                <w:rFonts w:hint="eastAsia" w:ascii="仿宋" w:hAnsi="仿宋" w:eastAsia="仿宋" w:cs="仿宋"/>
                <w:color w:val="auto"/>
                <w:szCs w:val="21"/>
                <w:highlight w:val="none"/>
              </w:rPr>
            </w:pPr>
          </w:p>
        </w:tc>
      </w:tr>
      <w:tr w14:paraId="581AE4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7" w:type="dxa"/>
            <w:noWrap w:val="0"/>
            <w:vAlign w:val="top"/>
          </w:tcPr>
          <w:p w14:paraId="22E0F2A8">
            <w:pPr>
              <w:spacing w:line="440" w:lineRule="exact"/>
              <w:jc w:val="left"/>
              <w:rPr>
                <w:rFonts w:hint="eastAsia" w:ascii="仿宋" w:hAnsi="仿宋" w:eastAsia="仿宋" w:cs="仿宋"/>
                <w:color w:val="auto"/>
                <w:szCs w:val="21"/>
                <w:highlight w:val="none"/>
              </w:rPr>
            </w:pPr>
          </w:p>
        </w:tc>
        <w:tc>
          <w:tcPr>
            <w:tcW w:w="721" w:type="dxa"/>
            <w:noWrap w:val="0"/>
            <w:vAlign w:val="top"/>
          </w:tcPr>
          <w:p w14:paraId="01010862">
            <w:pPr>
              <w:spacing w:line="440" w:lineRule="exact"/>
              <w:jc w:val="left"/>
              <w:rPr>
                <w:rFonts w:hint="eastAsia" w:ascii="仿宋" w:hAnsi="仿宋" w:eastAsia="仿宋" w:cs="仿宋"/>
                <w:color w:val="auto"/>
                <w:szCs w:val="21"/>
                <w:highlight w:val="none"/>
              </w:rPr>
            </w:pPr>
          </w:p>
        </w:tc>
        <w:tc>
          <w:tcPr>
            <w:tcW w:w="719" w:type="dxa"/>
            <w:noWrap w:val="0"/>
            <w:vAlign w:val="top"/>
          </w:tcPr>
          <w:p w14:paraId="1D83389D">
            <w:pPr>
              <w:spacing w:line="440" w:lineRule="exact"/>
              <w:jc w:val="left"/>
              <w:rPr>
                <w:rFonts w:hint="eastAsia" w:ascii="仿宋" w:hAnsi="仿宋" w:eastAsia="仿宋" w:cs="仿宋"/>
                <w:color w:val="auto"/>
                <w:szCs w:val="21"/>
                <w:highlight w:val="none"/>
              </w:rPr>
            </w:pPr>
          </w:p>
        </w:tc>
        <w:tc>
          <w:tcPr>
            <w:tcW w:w="1081" w:type="dxa"/>
            <w:noWrap w:val="0"/>
            <w:vAlign w:val="top"/>
          </w:tcPr>
          <w:p w14:paraId="21A178BA">
            <w:pPr>
              <w:spacing w:line="440" w:lineRule="exact"/>
              <w:jc w:val="left"/>
              <w:rPr>
                <w:rFonts w:hint="eastAsia" w:ascii="仿宋" w:hAnsi="仿宋" w:eastAsia="仿宋" w:cs="仿宋"/>
                <w:color w:val="auto"/>
                <w:szCs w:val="21"/>
                <w:highlight w:val="none"/>
              </w:rPr>
            </w:pPr>
          </w:p>
        </w:tc>
        <w:tc>
          <w:tcPr>
            <w:tcW w:w="719" w:type="dxa"/>
            <w:noWrap w:val="0"/>
            <w:vAlign w:val="top"/>
          </w:tcPr>
          <w:p w14:paraId="1ACDFCFE">
            <w:pPr>
              <w:spacing w:line="440" w:lineRule="exact"/>
              <w:jc w:val="left"/>
              <w:rPr>
                <w:rFonts w:hint="eastAsia" w:ascii="仿宋" w:hAnsi="仿宋" w:eastAsia="仿宋" w:cs="仿宋"/>
                <w:color w:val="auto"/>
                <w:szCs w:val="21"/>
                <w:highlight w:val="none"/>
              </w:rPr>
            </w:pPr>
          </w:p>
        </w:tc>
        <w:tc>
          <w:tcPr>
            <w:tcW w:w="721" w:type="dxa"/>
            <w:noWrap w:val="0"/>
            <w:vAlign w:val="top"/>
          </w:tcPr>
          <w:p w14:paraId="68BC7684">
            <w:pPr>
              <w:spacing w:line="440" w:lineRule="exact"/>
              <w:jc w:val="left"/>
              <w:rPr>
                <w:rFonts w:hint="eastAsia" w:ascii="仿宋" w:hAnsi="仿宋" w:eastAsia="仿宋" w:cs="仿宋"/>
                <w:color w:val="auto"/>
                <w:szCs w:val="21"/>
                <w:highlight w:val="none"/>
              </w:rPr>
            </w:pPr>
          </w:p>
        </w:tc>
        <w:tc>
          <w:tcPr>
            <w:tcW w:w="719" w:type="dxa"/>
            <w:noWrap w:val="0"/>
            <w:vAlign w:val="top"/>
          </w:tcPr>
          <w:p w14:paraId="3F5FCFC7">
            <w:pPr>
              <w:spacing w:line="440" w:lineRule="exact"/>
              <w:jc w:val="left"/>
              <w:rPr>
                <w:rFonts w:hint="eastAsia" w:ascii="仿宋" w:hAnsi="仿宋" w:eastAsia="仿宋" w:cs="仿宋"/>
                <w:color w:val="auto"/>
                <w:szCs w:val="21"/>
                <w:highlight w:val="none"/>
              </w:rPr>
            </w:pPr>
          </w:p>
        </w:tc>
        <w:tc>
          <w:tcPr>
            <w:tcW w:w="2523" w:type="dxa"/>
            <w:noWrap w:val="0"/>
            <w:vAlign w:val="top"/>
          </w:tcPr>
          <w:p w14:paraId="39F4ECF0">
            <w:pPr>
              <w:spacing w:line="440" w:lineRule="exact"/>
              <w:jc w:val="left"/>
              <w:rPr>
                <w:rFonts w:hint="eastAsia" w:ascii="仿宋" w:hAnsi="仿宋" w:eastAsia="仿宋" w:cs="仿宋"/>
                <w:color w:val="auto"/>
                <w:szCs w:val="21"/>
                <w:highlight w:val="none"/>
              </w:rPr>
            </w:pPr>
          </w:p>
        </w:tc>
        <w:tc>
          <w:tcPr>
            <w:tcW w:w="672" w:type="dxa"/>
            <w:noWrap w:val="0"/>
            <w:vAlign w:val="top"/>
          </w:tcPr>
          <w:p w14:paraId="3C63FD68">
            <w:pPr>
              <w:spacing w:line="440" w:lineRule="exact"/>
              <w:jc w:val="left"/>
              <w:rPr>
                <w:rFonts w:hint="eastAsia" w:ascii="仿宋" w:hAnsi="仿宋" w:eastAsia="仿宋" w:cs="仿宋"/>
                <w:color w:val="auto"/>
                <w:szCs w:val="21"/>
                <w:highlight w:val="none"/>
              </w:rPr>
            </w:pPr>
          </w:p>
        </w:tc>
      </w:tr>
      <w:tr w14:paraId="77380C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7" w:type="dxa"/>
            <w:noWrap w:val="0"/>
            <w:vAlign w:val="top"/>
          </w:tcPr>
          <w:p w14:paraId="203C5591">
            <w:pPr>
              <w:spacing w:line="440" w:lineRule="exact"/>
              <w:jc w:val="left"/>
              <w:rPr>
                <w:rFonts w:hint="eastAsia" w:ascii="仿宋" w:hAnsi="仿宋" w:eastAsia="仿宋" w:cs="仿宋"/>
                <w:color w:val="auto"/>
                <w:szCs w:val="21"/>
                <w:highlight w:val="none"/>
              </w:rPr>
            </w:pPr>
          </w:p>
        </w:tc>
        <w:tc>
          <w:tcPr>
            <w:tcW w:w="721" w:type="dxa"/>
            <w:noWrap w:val="0"/>
            <w:vAlign w:val="top"/>
          </w:tcPr>
          <w:p w14:paraId="3E1665F9">
            <w:pPr>
              <w:spacing w:line="440" w:lineRule="exact"/>
              <w:jc w:val="left"/>
              <w:rPr>
                <w:rFonts w:hint="eastAsia" w:ascii="仿宋" w:hAnsi="仿宋" w:eastAsia="仿宋" w:cs="仿宋"/>
                <w:color w:val="auto"/>
                <w:szCs w:val="21"/>
                <w:highlight w:val="none"/>
              </w:rPr>
            </w:pPr>
          </w:p>
        </w:tc>
        <w:tc>
          <w:tcPr>
            <w:tcW w:w="719" w:type="dxa"/>
            <w:noWrap w:val="0"/>
            <w:vAlign w:val="top"/>
          </w:tcPr>
          <w:p w14:paraId="3CB54A3A">
            <w:pPr>
              <w:spacing w:line="440" w:lineRule="exact"/>
              <w:jc w:val="left"/>
              <w:rPr>
                <w:rFonts w:hint="eastAsia" w:ascii="仿宋" w:hAnsi="仿宋" w:eastAsia="仿宋" w:cs="仿宋"/>
                <w:color w:val="auto"/>
                <w:szCs w:val="21"/>
                <w:highlight w:val="none"/>
              </w:rPr>
            </w:pPr>
          </w:p>
        </w:tc>
        <w:tc>
          <w:tcPr>
            <w:tcW w:w="1081" w:type="dxa"/>
            <w:noWrap w:val="0"/>
            <w:vAlign w:val="top"/>
          </w:tcPr>
          <w:p w14:paraId="02D1FAE3">
            <w:pPr>
              <w:spacing w:line="440" w:lineRule="exact"/>
              <w:jc w:val="left"/>
              <w:rPr>
                <w:rFonts w:hint="eastAsia" w:ascii="仿宋" w:hAnsi="仿宋" w:eastAsia="仿宋" w:cs="仿宋"/>
                <w:color w:val="auto"/>
                <w:szCs w:val="21"/>
                <w:highlight w:val="none"/>
              </w:rPr>
            </w:pPr>
          </w:p>
        </w:tc>
        <w:tc>
          <w:tcPr>
            <w:tcW w:w="719" w:type="dxa"/>
            <w:noWrap w:val="0"/>
            <w:vAlign w:val="top"/>
          </w:tcPr>
          <w:p w14:paraId="6A157338">
            <w:pPr>
              <w:spacing w:line="440" w:lineRule="exact"/>
              <w:jc w:val="left"/>
              <w:rPr>
                <w:rFonts w:hint="eastAsia" w:ascii="仿宋" w:hAnsi="仿宋" w:eastAsia="仿宋" w:cs="仿宋"/>
                <w:color w:val="auto"/>
                <w:szCs w:val="21"/>
                <w:highlight w:val="none"/>
              </w:rPr>
            </w:pPr>
          </w:p>
        </w:tc>
        <w:tc>
          <w:tcPr>
            <w:tcW w:w="721" w:type="dxa"/>
            <w:noWrap w:val="0"/>
            <w:vAlign w:val="top"/>
          </w:tcPr>
          <w:p w14:paraId="35F17AE3">
            <w:pPr>
              <w:spacing w:line="440" w:lineRule="exact"/>
              <w:jc w:val="left"/>
              <w:rPr>
                <w:rFonts w:hint="eastAsia" w:ascii="仿宋" w:hAnsi="仿宋" w:eastAsia="仿宋" w:cs="仿宋"/>
                <w:color w:val="auto"/>
                <w:szCs w:val="21"/>
                <w:highlight w:val="none"/>
              </w:rPr>
            </w:pPr>
          </w:p>
        </w:tc>
        <w:tc>
          <w:tcPr>
            <w:tcW w:w="719" w:type="dxa"/>
            <w:noWrap w:val="0"/>
            <w:vAlign w:val="top"/>
          </w:tcPr>
          <w:p w14:paraId="0C61E287">
            <w:pPr>
              <w:spacing w:line="440" w:lineRule="exact"/>
              <w:jc w:val="left"/>
              <w:rPr>
                <w:rFonts w:hint="eastAsia" w:ascii="仿宋" w:hAnsi="仿宋" w:eastAsia="仿宋" w:cs="仿宋"/>
                <w:color w:val="auto"/>
                <w:szCs w:val="21"/>
                <w:highlight w:val="none"/>
              </w:rPr>
            </w:pPr>
          </w:p>
        </w:tc>
        <w:tc>
          <w:tcPr>
            <w:tcW w:w="2523" w:type="dxa"/>
            <w:noWrap w:val="0"/>
            <w:vAlign w:val="top"/>
          </w:tcPr>
          <w:p w14:paraId="4379049F">
            <w:pPr>
              <w:spacing w:line="440" w:lineRule="exact"/>
              <w:jc w:val="left"/>
              <w:rPr>
                <w:rFonts w:hint="eastAsia" w:ascii="仿宋" w:hAnsi="仿宋" w:eastAsia="仿宋" w:cs="仿宋"/>
                <w:color w:val="auto"/>
                <w:szCs w:val="21"/>
                <w:highlight w:val="none"/>
              </w:rPr>
            </w:pPr>
          </w:p>
        </w:tc>
        <w:tc>
          <w:tcPr>
            <w:tcW w:w="672" w:type="dxa"/>
            <w:noWrap w:val="0"/>
            <w:vAlign w:val="top"/>
          </w:tcPr>
          <w:p w14:paraId="1F3D1FDA">
            <w:pPr>
              <w:spacing w:line="440" w:lineRule="exact"/>
              <w:jc w:val="left"/>
              <w:rPr>
                <w:rFonts w:hint="eastAsia" w:ascii="仿宋" w:hAnsi="仿宋" w:eastAsia="仿宋" w:cs="仿宋"/>
                <w:color w:val="auto"/>
                <w:szCs w:val="21"/>
                <w:highlight w:val="none"/>
              </w:rPr>
            </w:pPr>
          </w:p>
        </w:tc>
      </w:tr>
      <w:tr w14:paraId="4C2182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7" w:type="dxa"/>
            <w:noWrap w:val="0"/>
            <w:vAlign w:val="top"/>
          </w:tcPr>
          <w:p w14:paraId="077A2AD0">
            <w:pPr>
              <w:spacing w:line="440" w:lineRule="exact"/>
              <w:jc w:val="left"/>
              <w:rPr>
                <w:rFonts w:hint="eastAsia" w:ascii="仿宋" w:hAnsi="仿宋" w:eastAsia="仿宋" w:cs="仿宋"/>
                <w:color w:val="auto"/>
                <w:szCs w:val="21"/>
                <w:highlight w:val="none"/>
              </w:rPr>
            </w:pPr>
          </w:p>
        </w:tc>
        <w:tc>
          <w:tcPr>
            <w:tcW w:w="721" w:type="dxa"/>
            <w:noWrap w:val="0"/>
            <w:vAlign w:val="top"/>
          </w:tcPr>
          <w:p w14:paraId="0115C384">
            <w:pPr>
              <w:spacing w:line="440" w:lineRule="exact"/>
              <w:jc w:val="left"/>
              <w:rPr>
                <w:rFonts w:hint="eastAsia" w:ascii="仿宋" w:hAnsi="仿宋" w:eastAsia="仿宋" w:cs="仿宋"/>
                <w:color w:val="auto"/>
                <w:szCs w:val="21"/>
                <w:highlight w:val="none"/>
              </w:rPr>
            </w:pPr>
          </w:p>
        </w:tc>
        <w:tc>
          <w:tcPr>
            <w:tcW w:w="719" w:type="dxa"/>
            <w:noWrap w:val="0"/>
            <w:vAlign w:val="top"/>
          </w:tcPr>
          <w:p w14:paraId="0FE92E47">
            <w:pPr>
              <w:spacing w:line="440" w:lineRule="exact"/>
              <w:jc w:val="left"/>
              <w:rPr>
                <w:rFonts w:hint="eastAsia" w:ascii="仿宋" w:hAnsi="仿宋" w:eastAsia="仿宋" w:cs="仿宋"/>
                <w:color w:val="auto"/>
                <w:szCs w:val="21"/>
                <w:highlight w:val="none"/>
              </w:rPr>
            </w:pPr>
          </w:p>
        </w:tc>
        <w:tc>
          <w:tcPr>
            <w:tcW w:w="1081" w:type="dxa"/>
            <w:noWrap w:val="0"/>
            <w:vAlign w:val="top"/>
          </w:tcPr>
          <w:p w14:paraId="189FCFAD">
            <w:pPr>
              <w:spacing w:line="440" w:lineRule="exact"/>
              <w:jc w:val="left"/>
              <w:rPr>
                <w:rFonts w:hint="eastAsia" w:ascii="仿宋" w:hAnsi="仿宋" w:eastAsia="仿宋" w:cs="仿宋"/>
                <w:color w:val="auto"/>
                <w:szCs w:val="21"/>
                <w:highlight w:val="none"/>
              </w:rPr>
            </w:pPr>
          </w:p>
        </w:tc>
        <w:tc>
          <w:tcPr>
            <w:tcW w:w="719" w:type="dxa"/>
            <w:noWrap w:val="0"/>
            <w:vAlign w:val="top"/>
          </w:tcPr>
          <w:p w14:paraId="7A325F93">
            <w:pPr>
              <w:spacing w:line="440" w:lineRule="exact"/>
              <w:jc w:val="left"/>
              <w:rPr>
                <w:rFonts w:hint="eastAsia" w:ascii="仿宋" w:hAnsi="仿宋" w:eastAsia="仿宋" w:cs="仿宋"/>
                <w:color w:val="auto"/>
                <w:szCs w:val="21"/>
                <w:highlight w:val="none"/>
              </w:rPr>
            </w:pPr>
          </w:p>
        </w:tc>
        <w:tc>
          <w:tcPr>
            <w:tcW w:w="721" w:type="dxa"/>
            <w:noWrap w:val="0"/>
            <w:vAlign w:val="top"/>
          </w:tcPr>
          <w:p w14:paraId="2B7834A2">
            <w:pPr>
              <w:spacing w:line="440" w:lineRule="exact"/>
              <w:jc w:val="left"/>
              <w:rPr>
                <w:rFonts w:hint="eastAsia" w:ascii="仿宋" w:hAnsi="仿宋" w:eastAsia="仿宋" w:cs="仿宋"/>
                <w:color w:val="auto"/>
                <w:szCs w:val="21"/>
                <w:highlight w:val="none"/>
              </w:rPr>
            </w:pPr>
          </w:p>
        </w:tc>
        <w:tc>
          <w:tcPr>
            <w:tcW w:w="719" w:type="dxa"/>
            <w:noWrap w:val="0"/>
            <w:vAlign w:val="top"/>
          </w:tcPr>
          <w:p w14:paraId="4FF14AD5">
            <w:pPr>
              <w:spacing w:line="440" w:lineRule="exact"/>
              <w:jc w:val="left"/>
              <w:rPr>
                <w:rFonts w:hint="eastAsia" w:ascii="仿宋" w:hAnsi="仿宋" w:eastAsia="仿宋" w:cs="仿宋"/>
                <w:color w:val="auto"/>
                <w:szCs w:val="21"/>
                <w:highlight w:val="none"/>
              </w:rPr>
            </w:pPr>
          </w:p>
        </w:tc>
        <w:tc>
          <w:tcPr>
            <w:tcW w:w="2523" w:type="dxa"/>
            <w:noWrap w:val="0"/>
            <w:vAlign w:val="top"/>
          </w:tcPr>
          <w:p w14:paraId="1DB47965">
            <w:pPr>
              <w:spacing w:line="440" w:lineRule="exact"/>
              <w:jc w:val="left"/>
              <w:rPr>
                <w:rFonts w:hint="eastAsia" w:ascii="仿宋" w:hAnsi="仿宋" w:eastAsia="仿宋" w:cs="仿宋"/>
                <w:color w:val="auto"/>
                <w:szCs w:val="21"/>
                <w:highlight w:val="none"/>
              </w:rPr>
            </w:pPr>
          </w:p>
        </w:tc>
        <w:tc>
          <w:tcPr>
            <w:tcW w:w="672" w:type="dxa"/>
            <w:noWrap w:val="0"/>
            <w:vAlign w:val="top"/>
          </w:tcPr>
          <w:p w14:paraId="4799EB64">
            <w:pPr>
              <w:spacing w:line="440" w:lineRule="exact"/>
              <w:jc w:val="left"/>
              <w:rPr>
                <w:rFonts w:hint="eastAsia" w:ascii="仿宋" w:hAnsi="仿宋" w:eastAsia="仿宋" w:cs="仿宋"/>
                <w:color w:val="auto"/>
                <w:szCs w:val="21"/>
                <w:highlight w:val="none"/>
              </w:rPr>
            </w:pPr>
          </w:p>
        </w:tc>
      </w:tr>
      <w:tr w14:paraId="654E04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7" w:type="dxa"/>
            <w:noWrap w:val="0"/>
            <w:vAlign w:val="top"/>
          </w:tcPr>
          <w:p w14:paraId="4E1171E4">
            <w:pPr>
              <w:spacing w:line="440" w:lineRule="exact"/>
              <w:jc w:val="left"/>
              <w:rPr>
                <w:rFonts w:hint="eastAsia" w:ascii="仿宋" w:hAnsi="仿宋" w:eastAsia="仿宋" w:cs="仿宋"/>
                <w:color w:val="auto"/>
                <w:szCs w:val="21"/>
                <w:highlight w:val="none"/>
              </w:rPr>
            </w:pPr>
          </w:p>
        </w:tc>
        <w:tc>
          <w:tcPr>
            <w:tcW w:w="721" w:type="dxa"/>
            <w:noWrap w:val="0"/>
            <w:vAlign w:val="top"/>
          </w:tcPr>
          <w:p w14:paraId="26644F7A">
            <w:pPr>
              <w:spacing w:line="440" w:lineRule="exact"/>
              <w:jc w:val="left"/>
              <w:rPr>
                <w:rFonts w:hint="eastAsia" w:ascii="仿宋" w:hAnsi="仿宋" w:eastAsia="仿宋" w:cs="仿宋"/>
                <w:color w:val="auto"/>
                <w:szCs w:val="21"/>
                <w:highlight w:val="none"/>
              </w:rPr>
            </w:pPr>
          </w:p>
        </w:tc>
        <w:tc>
          <w:tcPr>
            <w:tcW w:w="719" w:type="dxa"/>
            <w:noWrap w:val="0"/>
            <w:vAlign w:val="top"/>
          </w:tcPr>
          <w:p w14:paraId="1883C16A">
            <w:pPr>
              <w:spacing w:line="440" w:lineRule="exact"/>
              <w:jc w:val="left"/>
              <w:rPr>
                <w:rFonts w:hint="eastAsia" w:ascii="仿宋" w:hAnsi="仿宋" w:eastAsia="仿宋" w:cs="仿宋"/>
                <w:color w:val="auto"/>
                <w:szCs w:val="21"/>
                <w:highlight w:val="none"/>
              </w:rPr>
            </w:pPr>
          </w:p>
        </w:tc>
        <w:tc>
          <w:tcPr>
            <w:tcW w:w="1081" w:type="dxa"/>
            <w:noWrap w:val="0"/>
            <w:vAlign w:val="top"/>
          </w:tcPr>
          <w:p w14:paraId="5C7AF1CB">
            <w:pPr>
              <w:spacing w:line="440" w:lineRule="exact"/>
              <w:jc w:val="left"/>
              <w:rPr>
                <w:rFonts w:hint="eastAsia" w:ascii="仿宋" w:hAnsi="仿宋" w:eastAsia="仿宋" w:cs="仿宋"/>
                <w:color w:val="auto"/>
                <w:szCs w:val="21"/>
                <w:highlight w:val="none"/>
              </w:rPr>
            </w:pPr>
          </w:p>
        </w:tc>
        <w:tc>
          <w:tcPr>
            <w:tcW w:w="719" w:type="dxa"/>
            <w:noWrap w:val="0"/>
            <w:vAlign w:val="top"/>
          </w:tcPr>
          <w:p w14:paraId="71CD1E42">
            <w:pPr>
              <w:spacing w:line="440" w:lineRule="exact"/>
              <w:jc w:val="left"/>
              <w:rPr>
                <w:rFonts w:hint="eastAsia" w:ascii="仿宋" w:hAnsi="仿宋" w:eastAsia="仿宋" w:cs="仿宋"/>
                <w:color w:val="auto"/>
                <w:szCs w:val="21"/>
                <w:highlight w:val="none"/>
              </w:rPr>
            </w:pPr>
          </w:p>
        </w:tc>
        <w:tc>
          <w:tcPr>
            <w:tcW w:w="721" w:type="dxa"/>
            <w:noWrap w:val="0"/>
            <w:vAlign w:val="top"/>
          </w:tcPr>
          <w:p w14:paraId="109B459E">
            <w:pPr>
              <w:spacing w:line="440" w:lineRule="exact"/>
              <w:jc w:val="left"/>
              <w:rPr>
                <w:rFonts w:hint="eastAsia" w:ascii="仿宋" w:hAnsi="仿宋" w:eastAsia="仿宋" w:cs="仿宋"/>
                <w:color w:val="auto"/>
                <w:szCs w:val="21"/>
                <w:highlight w:val="none"/>
              </w:rPr>
            </w:pPr>
          </w:p>
        </w:tc>
        <w:tc>
          <w:tcPr>
            <w:tcW w:w="719" w:type="dxa"/>
            <w:noWrap w:val="0"/>
            <w:vAlign w:val="top"/>
          </w:tcPr>
          <w:p w14:paraId="1B96DCDE">
            <w:pPr>
              <w:spacing w:line="440" w:lineRule="exact"/>
              <w:jc w:val="left"/>
              <w:rPr>
                <w:rFonts w:hint="eastAsia" w:ascii="仿宋" w:hAnsi="仿宋" w:eastAsia="仿宋" w:cs="仿宋"/>
                <w:color w:val="auto"/>
                <w:szCs w:val="21"/>
                <w:highlight w:val="none"/>
              </w:rPr>
            </w:pPr>
          </w:p>
        </w:tc>
        <w:tc>
          <w:tcPr>
            <w:tcW w:w="2523" w:type="dxa"/>
            <w:noWrap w:val="0"/>
            <w:vAlign w:val="top"/>
          </w:tcPr>
          <w:p w14:paraId="678A0CF6">
            <w:pPr>
              <w:spacing w:line="440" w:lineRule="exact"/>
              <w:jc w:val="left"/>
              <w:rPr>
                <w:rFonts w:hint="eastAsia" w:ascii="仿宋" w:hAnsi="仿宋" w:eastAsia="仿宋" w:cs="仿宋"/>
                <w:color w:val="auto"/>
                <w:szCs w:val="21"/>
                <w:highlight w:val="none"/>
              </w:rPr>
            </w:pPr>
          </w:p>
        </w:tc>
        <w:tc>
          <w:tcPr>
            <w:tcW w:w="672" w:type="dxa"/>
            <w:noWrap w:val="0"/>
            <w:vAlign w:val="top"/>
          </w:tcPr>
          <w:p w14:paraId="2FB7F771">
            <w:pPr>
              <w:spacing w:line="440" w:lineRule="exact"/>
              <w:jc w:val="left"/>
              <w:rPr>
                <w:rFonts w:hint="eastAsia" w:ascii="仿宋" w:hAnsi="仿宋" w:eastAsia="仿宋" w:cs="仿宋"/>
                <w:color w:val="auto"/>
                <w:szCs w:val="21"/>
                <w:highlight w:val="none"/>
              </w:rPr>
            </w:pPr>
          </w:p>
        </w:tc>
      </w:tr>
    </w:tbl>
    <w:p w14:paraId="72D00291">
      <w:pPr>
        <w:spacing w:line="440" w:lineRule="exact"/>
        <w:ind w:left="240" w:leftChars="100"/>
        <w:jc w:val="left"/>
        <w:rPr>
          <w:rFonts w:hint="eastAsia" w:ascii="仿宋" w:hAnsi="仿宋" w:eastAsia="仿宋" w:cs="仿宋"/>
          <w:color w:val="auto"/>
          <w:sz w:val="20"/>
          <w:szCs w:val="20"/>
          <w:highlight w:val="none"/>
        </w:rPr>
      </w:pPr>
    </w:p>
    <w:p w14:paraId="29A59B65">
      <w:pPr>
        <w:jc w:val="center"/>
        <w:rPr>
          <w:rFonts w:hint="eastAsia" w:ascii="仿宋" w:hAnsi="仿宋" w:eastAsia="仿宋" w:cs="仿宋"/>
          <w:color w:val="auto"/>
          <w:highlight w:val="none"/>
        </w:rPr>
      </w:pPr>
      <w:bookmarkStart w:id="986" w:name="_Toc179632825"/>
      <w:bookmarkStart w:id="987" w:name="_Toc152045805"/>
      <w:bookmarkStart w:id="988" w:name="_Toc106998232"/>
      <w:bookmarkStart w:id="989" w:name="_Toc7956845"/>
      <w:bookmarkStart w:id="990" w:name="_Toc152042594"/>
      <w:bookmarkStart w:id="991" w:name="_Toc144974873"/>
      <w:r>
        <w:rPr>
          <w:rFonts w:hint="eastAsia" w:ascii="仿宋" w:hAnsi="仿宋" w:eastAsia="仿宋" w:cs="仿宋"/>
          <w:color w:val="auto"/>
          <w:highlight w:val="none"/>
        </w:rPr>
        <w:br w:type="page"/>
      </w:r>
    </w:p>
    <w:p w14:paraId="43F26638">
      <w:pPr>
        <w:pStyle w:val="5"/>
        <w:jc w:val="center"/>
        <w:rPr>
          <w:rFonts w:hint="eastAsia" w:ascii="仿宋" w:hAnsi="仿宋" w:eastAsia="仿宋" w:cs="仿宋"/>
          <w:color w:val="auto"/>
          <w:highlight w:val="none"/>
        </w:rPr>
      </w:pPr>
      <w:r>
        <w:rPr>
          <w:rFonts w:hint="eastAsia" w:ascii="仿宋" w:hAnsi="仿宋" w:eastAsia="仿宋" w:cs="仿宋"/>
          <w:color w:val="auto"/>
          <w:highlight w:val="none"/>
        </w:rPr>
        <w:t>（九）主要人员简历表</w:t>
      </w:r>
      <w:bookmarkEnd w:id="986"/>
      <w:bookmarkEnd w:id="987"/>
      <w:bookmarkEnd w:id="988"/>
      <w:bookmarkEnd w:id="989"/>
      <w:bookmarkEnd w:id="990"/>
      <w:bookmarkEnd w:id="991"/>
    </w:p>
    <w:p w14:paraId="49A2903C">
      <w:pPr>
        <w:spacing w:line="400" w:lineRule="exact"/>
        <w:ind w:firstLine="480" w:firstLineChars="200"/>
        <w:jc w:val="left"/>
        <w:rPr>
          <w:rFonts w:hint="eastAsia" w:ascii="仿宋" w:hAnsi="仿宋" w:eastAsia="仿宋" w:cs="仿宋"/>
          <w:color w:val="auto"/>
          <w:highlight w:val="none"/>
        </w:rPr>
      </w:pPr>
      <w:r>
        <w:rPr>
          <w:rFonts w:hint="eastAsia" w:ascii="仿宋" w:hAnsi="仿宋" w:eastAsia="仿宋" w:cs="仿宋"/>
          <w:color w:val="auto"/>
          <w:highlight w:val="none"/>
        </w:rPr>
        <w:t>“主要人员简历表”中的项目经理应附建造师证、身份证、职称证（如有）、学历证、养老保险，管理过的项目业绩须附合同协议书；设计、施工、采购负责人应附身份证、职称证、学历证、养老保险，以及设计、施工负责人的执业资格证书，管理过的项目业绩须附证明其所任技术职务的企业文件或用户证明；其他主要人员应附职称证（执业证或上岗证书）、养老保险。</w:t>
      </w:r>
    </w:p>
    <w:tbl>
      <w:tblPr>
        <w:tblStyle w:val="39"/>
        <w:tblpPr w:leftFromText="180" w:rightFromText="180" w:vertAnchor="text" w:horzAnchor="page" w:tblpX="1929" w:tblpY="414"/>
        <w:tblOverlap w:val="never"/>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7"/>
        <w:gridCol w:w="357"/>
        <w:gridCol w:w="722"/>
        <w:gridCol w:w="927"/>
        <w:gridCol w:w="1065"/>
        <w:gridCol w:w="706"/>
        <w:gridCol w:w="1261"/>
        <w:gridCol w:w="163"/>
        <w:gridCol w:w="2134"/>
      </w:tblGrid>
      <w:tr w14:paraId="2DD51D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7" w:type="dxa"/>
            <w:noWrap w:val="0"/>
            <w:vAlign w:val="center"/>
          </w:tcPr>
          <w:p w14:paraId="38422998">
            <w:pPr>
              <w:keepNext w:val="0"/>
              <w:keepLines w:val="0"/>
              <w:pageBreakBefore w:val="0"/>
              <w:widowControl/>
              <w:kinsoku/>
              <w:wordWrap/>
              <w:overflowPunct/>
              <w:topLinePunct w:val="0"/>
              <w:autoSpaceDE/>
              <w:autoSpaceDN/>
              <w:bidi w:val="0"/>
              <w:adjustRightInd/>
              <w:snapToGrid/>
              <w:spacing w:line="440" w:lineRule="exact"/>
              <w:ind w:firstLine="0" w:firstLineChars="0"/>
              <w:jc w:val="left"/>
              <w:textAlignment w:val="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姓名</w:t>
            </w:r>
          </w:p>
        </w:tc>
        <w:tc>
          <w:tcPr>
            <w:tcW w:w="1079" w:type="dxa"/>
            <w:gridSpan w:val="2"/>
            <w:noWrap w:val="0"/>
            <w:vAlign w:val="center"/>
          </w:tcPr>
          <w:p w14:paraId="36810922">
            <w:pPr>
              <w:keepNext w:val="0"/>
              <w:keepLines w:val="0"/>
              <w:pageBreakBefore w:val="0"/>
              <w:widowControl/>
              <w:kinsoku/>
              <w:wordWrap/>
              <w:overflowPunct/>
              <w:topLinePunct w:val="0"/>
              <w:autoSpaceDE/>
              <w:autoSpaceDN/>
              <w:bidi w:val="0"/>
              <w:adjustRightInd/>
              <w:snapToGrid/>
              <w:spacing w:line="440" w:lineRule="exact"/>
              <w:ind w:firstLine="0" w:firstLineChars="0"/>
              <w:jc w:val="left"/>
              <w:textAlignment w:val="auto"/>
              <w:rPr>
                <w:rFonts w:hint="eastAsia" w:ascii="仿宋" w:hAnsi="仿宋" w:eastAsia="仿宋" w:cs="仿宋"/>
                <w:color w:val="auto"/>
                <w:szCs w:val="21"/>
                <w:highlight w:val="none"/>
              </w:rPr>
            </w:pPr>
          </w:p>
        </w:tc>
        <w:tc>
          <w:tcPr>
            <w:tcW w:w="927" w:type="dxa"/>
            <w:noWrap w:val="0"/>
            <w:vAlign w:val="center"/>
          </w:tcPr>
          <w:p w14:paraId="2F4A32F2">
            <w:pPr>
              <w:keepNext w:val="0"/>
              <w:keepLines w:val="0"/>
              <w:pageBreakBefore w:val="0"/>
              <w:widowControl/>
              <w:kinsoku/>
              <w:wordWrap/>
              <w:overflowPunct/>
              <w:topLinePunct w:val="0"/>
              <w:autoSpaceDE/>
              <w:autoSpaceDN/>
              <w:bidi w:val="0"/>
              <w:adjustRightInd/>
              <w:snapToGrid/>
              <w:spacing w:line="440" w:lineRule="exact"/>
              <w:ind w:firstLine="0" w:firstLineChars="0"/>
              <w:jc w:val="left"/>
              <w:textAlignment w:val="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年龄</w:t>
            </w:r>
          </w:p>
        </w:tc>
        <w:tc>
          <w:tcPr>
            <w:tcW w:w="1065" w:type="dxa"/>
            <w:noWrap w:val="0"/>
            <w:vAlign w:val="center"/>
          </w:tcPr>
          <w:p w14:paraId="37154E14">
            <w:pPr>
              <w:keepNext w:val="0"/>
              <w:keepLines w:val="0"/>
              <w:pageBreakBefore w:val="0"/>
              <w:widowControl/>
              <w:kinsoku/>
              <w:wordWrap/>
              <w:overflowPunct/>
              <w:topLinePunct w:val="0"/>
              <w:autoSpaceDE/>
              <w:autoSpaceDN/>
              <w:bidi w:val="0"/>
              <w:adjustRightInd/>
              <w:snapToGrid/>
              <w:spacing w:line="440" w:lineRule="exact"/>
              <w:ind w:firstLine="0" w:firstLineChars="0"/>
              <w:jc w:val="left"/>
              <w:textAlignment w:val="auto"/>
              <w:rPr>
                <w:rFonts w:hint="eastAsia" w:ascii="仿宋" w:hAnsi="仿宋" w:eastAsia="仿宋" w:cs="仿宋"/>
                <w:color w:val="auto"/>
                <w:szCs w:val="21"/>
                <w:highlight w:val="none"/>
              </w:rPr>
            </w:pPr>
          </w:p>
        </w:tc>
        <w:tc>
          <w:tcPr>
            <w:tcW w:w="2130" w:type="dxa"/>
            <w:gridSpan w:val="3"/>
            <w:noWrap w:val="0"/>
            <w:vAlign w:val="center"/>
          </w:tcPr>
          <w:p w14:paraId="69C5A04E">
            <w:pPr>
              <w:keepNext w:val="0"/>
              <w:keepLines w:val="0"/>
              <w:pageBreakBefore w:val="0"/>
              <w:widowControl/>
              <w:kinsoku/>
              <w:wordWrap/>
              <w:overflowPunct/>
              <w:topLinePunct w:val="0"/>
              <w:autoSpaceDE/>
              <w:autoSpaceDN/>
              <w:bidi w:val="0"/>
              <w:adjustRightInd/>
              <w:snapToGrid/>
              <w:spacing w:line="440" w:lineRule="exact"/>
              <w:ind w:firstLine="0" w:firstLineChars="0"/>
              <w:jc w:val="left"/>
              <w:textAlignment w:val="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学历</w:t>
            </w:r>
          </w:p>
        </w:tc>
        <w:tc>
          <w:tcPr>
            <w:tcW w:w="2134" w:type="dxa"/>
            <w:noWrap w:val="0"/>
            <w:vAlign w:val="center"/>
          </w:tcPr>
          <w:p w14:paraId="38CF5A2D">
            <w:pPr>
              <w:keepNext w:val="0"/>
              <w:keepLines w:val="0"/>
              <w:pageBreakBefore w:val="0"/>
              <w:widowControl/>
              <w:kinsoku/>
              <w:wordWrap/>
              <w:overflowPunct/>
              <w:topLinePunct w:val="0"/>
              <w:autoSpaceDE/>
              <w:autoSpaceDN/>
              <w:bidi w:val="0"/>
              <w:adjustRightInd/>
              <w:snapToGrid/>
              <w:spacing w:line="440" w:lineRule="exact"/>
              <w:ind w:firstLine="0" w:firstLineChars="0"/>
              <w:jc w:val="left"/>
              <w:textAlignment w:val="auto"/>
              <w:rPr>
                <w:rFonts w:hint="eastAsia" w:ascii="仿宋" w:hAnsi="仿宋" w:eastAsia="仿宋" w:cs="仿宋"/>
                <w:color w:val="auto"/>
                <w:szCs w:val="21"/>
                <w:highlight w:val="none"/>
              </w:rPr>
            </w:pPr>
          </w:p>
        </w:tc>
      </w:tr>
      <w:tr w14:paraId="2704DE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7" w:type="dxa"/>
            <w:noWrap w:val="0"/>
            <w:vAlign w:val="center"/>
          </w:tcPr>
          <w:p w14:paraId="4704620F">
            <w:pPr>
              <w:keepNext w:val="0"/>
              <w:keepLines w:val="0"/>
              <w:pageBreakBefore w:val="0"/>
              <w:widowControl/>
              <w:kinsoku/>
              <w:wordWrap/>
              <w:overflowPunct/>
              <w:topLinePunct w:val="0"/>
              <w:autoSpaceDE/>
              <w:autoSpaceDN/>
              <w:bidi w:val="0"/>
              <w:adjustRightInd/>
              <w:snapToGrid/>
              <w:spacing w:line="440" w:lineRule="exact"/>
              <w:ind w:firstLine="0" w:firstLineChars="0"/>
              <w:jc w:val="left"/>
              <w:textAlignment w:val="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职称</w:t>
            </w:r>
          </w:p>
        </w:tc>
        <w:tc>
          <w:tcPr>
            <w:tcW w:w="1079" w:type="dxa"/>
            <w:gridSpan w:val="2"/>
            <w:noWrap w:val="0"/>
            <w:vAlign w:val="center"/>
          </w:tcPr>
          <w:p w14:paraId="361FA863">
            <w:pPr>
              <w:keepNext w:val="0"/>
              <w:keepLines w:val="0"/>
              <w:pageBreakBefore w:val="0"/>
              <w:widowControl/>
              <w:kinsoku/>
              <w:wordWrap/>
              <w:overflowPunct/>
              <w:topLinePunct w:val="0"/>
              <w:autoSpaceDE/>
              <w:autoSpaceDN/>
              <w:bidi w:val="0"/>
              <w:adjustRightInd/>
              <w:snapToGrid/>
              <w:spacing w:line="440" w:lineRule="exact"/>
              <w:ind w:firstLine="0" w:firstLineChars="0"/>
              <w:jc w:val="left"/>
              <w:textAlignment w:val="auto"/>
              <w:rPr>
                <w:rFonts w:hint="eastAsia" w:ascii="仿宋" w:hAnsi="仿宋" w:eastAsia="仿宋" w:cs="仿宋"/>
                <w:color w:val="auto"/>
                <w:szCs w:val="21"/>
                <w:highlight w:val="none"/>
              </w:rPr>
            </w:pPr>
          </w:p>
        </w:tc>
        <w:tc>
          <w:tcPr>
            <w:tcW w:w="927" w:type="dxa"/>
            <w:noWrap w:val="0"/>
            <w:vAlign w:val="center"/>
          </w:tcPr>
          <w:p w14:paraId="30D2BCDE">
            <w:pPr>
              <w:keepNext w:val="0"/>
              <w:keepLines w:val="0"/>
              <w:pageBreakBefore w:val="0"/>
              <w:widowControl/>
              <w:kinsoku/>
              <w:wordWrap/>
              <w:overflowPunct/>
              <w:topLinePunct w:val="0"/>
              <w:autoSpaceDE/>
              <w:autoSpaceDN/>
              <w:bidi w:val="0"/>
              <w:adjustRightInd/>
              <w:snapToGrid/>
              <w:spacing w:line="440" w:lineRule="exact"/>
              <w:ind w:firstLine="0" w:firstLineChars="0"/>
              <w:jc w:val="left"/>
              <w:textAlignment w:val="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职务</w:t>
            </w:r>
          </w:p>
        </w:tc>
        <w:tc>
          <w:tcPr>
            <w:tcW w:w="1065" w:type="dxa"/>
            <w:noWrap w:val="0"/>
            <w:vAlign w:val="center"/>
          </w:tcPr>
          <w:p w14:paraId="27F07A60">
            <w:pPr>
              <w:keepNext w:val="0"/>
              <w:keepLines w:val="0"/>
              <w:pageBreakBefore w:val="0"/>
              <w:widowControl/>
              <w:kinsoku/>
              <w:wordWrap/>
              <w:overflowPunct/>
              <w:topLinePunct w:val="0"/>
              <w:autoSpaceDE/>
              <w:autoSpaceDN/>
              <w:bidi w:val="0"/>
              <w:adjustRightInd/>
              <w:snapToGrid/>
              <w:spacing w:line="440" w:lineRule="exact"/>
              <w:ind w:firstLine="0" w:firstLineChars="0"/>
              <w:jc w:val="left"/>
              <w:textAlignment w:val="auto"/>
              <w:rPr>
                <w:rFonts w:hint="eastAsia" w:ascii="仿宋" w:hAnsi="仿宋" w:eastAsia="仿宋" w:cs="仿宋"/>
                <w:color w:val="auto"/>
                <w:szCs w:val="21"/>
                <w:highlight w:val="none"/>
              </w:rPr>
            </w:pPr>
          </w:p>
        </w:tc>
        <w:tc>
          <w:tcPr>
            <w:tcW w:w="2130" w:type="dxa"/>
            <w:gridSpan w:val="3"/>
            <w:noWrap w:val="0"/>
            <w:vAlign w:val="center"/>
          </w:tcPr>
          <w:p w14:paraId="1FD44B2D">
            <w:pPr>
              <w:keepNext w:val="0"/>
              <w:keepLines w:val="0"/>
              <w:pageBreakBefore w:val="0"/>
              <w:widowControl/>
              <w:kinsoku/>
              <w:wordWrap/>
              <w:overflowPunct/>
              <w:topLinePunct w:val="0"/>
              <w:autoSpaceDE/>
              <w:autoSpaceDN/>
              <w:bidi w:val="0"/>
              <w:adjustRightInd/>
              <w:snapToGrid/>
              <w:spacing w:line="440" w:lineRule="exact"/>
              <w:ind w:firstLine="0" w:firstLineChars="0"/>
              <w:jc w:val="left"/>
              <w:textAlignment w:val="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拟在本合同任职</w:t>
            </w:r>
          </w:p>
        </w:tc>
        <w:tc>
          <w:tcPr>
            <w:tcW w:w="2134" w:type="dxa"/>
            <w:noWrap w:val="0"/>
            <w:vAlign w:val="center"/>
          </w:tcPr>
          <w:p w14:paraId="405E7923">
            <w:pPr>
              <w:keepNext w:val="0"/>
              <w:keepLines w:val="0"/>
              <w:pageBreakBefore w:val="0"/>
              <w:widowControl/>
              <w:kinsoku/>
              <w:wordWrap/>
              <w:overflowPunct/>
              <w:topLinePunct w:val="0"/>
              <w:autoSpaceDE/>
              <w:autoSpaceDN/>
              <w:bidi w:val="0"/>
              <w:adjustRightInd/>
              <w:snapToGrid/>
              <w:spacing w:line="440" w:lineRule="exact"/>
              <w:ind w:firstLine="0" w:firstLineChars="0"/>
              <w:jc w:val="left"/>
              <w:textAlignment w:val="auto"/>
              <w:rPr>
                <w:rFonts w:hint="eastAsia" w:ascii="仿宋" w:hAnsi="仿宋" w:eastAsia="仿宋" w:cs="仿宋"/>
                <w:color w:val="auto"/>
                <w:szCs w:val="21"/>
                <w:highlight w:val="none"/>
              </w:rPr>
            </w:pPr>
          </w:p>
        </w:tc>
      </w:tr>
      <w:tr w14:paraId="6DF8D2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7" w:type="dxa"/>
            <w:noWrap w:val="0"/>
            <w:vAlign w:val="center"/>
          </w:tcPr>
          <w:p w14:paraId="42356BB0">
            <w:pPr>
              <w:keepNext w:val="0"/>
              <w:keepLines w:val="0"/>
              <w:pageBreakBefore w:val="0"/>
              <w:widowControl/>
              <w:kinsoku/>
              <w:wordWrap/>
              <w:overflowPunct/>
              <w:topLinePunct w:val="0"/>
              <w:autoSpaceDE/>
              <w:autoSpaceDN/>
              <w:bidi w:val="0"/>
              <w:adjustRightInd/>
              <w:snapToGrid/>
              <w:spacing w:line="440" w:lineRule="exact"/>
              <w:ind w:firstLine="0" w:firstLineChars="0"/>
              <w:jc w:val="left"/>
              <w:textAlignment w:val="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毕业学校</w:t>
            </w:r>
          </w:p>
        </w:tc>
        <w:tc>
          <w:tcPr>
            <w:tcW w:w="7335" w:type="dxa"/>
            <w:gridSpan w:val="8"/>
            <w:noWrap w:val="0"/>
            <w:vAlign w:val="top"/>
          </w:tcPr>
          <w:p w14:paraId="6469A24B">
            <w:pPr>
              <w:keepNext w:val="0"/>
              <w:keepLines w:val="0"/>
              <w:pageBreakBefore w:val="0"/>
              <w:widowControl/>
              <w:kinsoku/>
              <w:wordWrap/>
              <w:overflowPunct/>
              <w:topLinePunct w:val="0"/>
              <w:autoSpaceDE/>
              <w:autoSpaceDN/>
              <w:bidi w:val="0"/>
              <w:adjustRightInd/>
              <w:snapToGrid/>
              <w:spacing w:line="440" w:lineRule="exact"/>
              <w:ind w:firstLine="0" w:firstLineChars="0"/>
              <w:jc w:val="left"/>
              <w:textAlignment w:val="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年毕业于学校专业</w:t>
            </w:r>
          </w:p>
        </w:tc>
      </w:tr>
      <w:tr w14:paraId="3FCC99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9"/>
            <w:noWrap w:val="0"/>
            <w:vAlign w:val="center"/>
          </w:tcPr>
          <w:p w14:paraId="15386B71">
            <w:pPr>
              <w:keepNext w:val="0"/>
              <w:keepLines w:val="0"/>
              <w:pageBreakBefore w:val="0"/>
              <w:widowControl/>
              <w:kinsoku/>
              <w:wordWrap/>
              <w:overflowPunct/>
              <w:topLinePunct w:val="0"/>
              <w:autoSpaceDE/>
              <w:autoSpaceDN/>
              <w:bidi w:val="0"/>
              <w:adjustRightInd/>
              <w:snapToGrid/>
              <w:spacing w:line="440" w:lineRule="exact"/>
              <w:ind w:firstLine="0" w:firstLineChars="0"/>
              <w:jc w:val="left"/>
              <w:textAlignment w:val="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主要工作经历</w:t>
            </w:r>
          </w:p>
        </w:tc>
      </w:tr>
      <w:tr w14:paraId="43D552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544" w:type="dxa"/>
            <w:gridSpan w:val="2"/>
            <w:noWrap w:val="0"/>
            <w:vAlign w:val="center"/>
          </w:tcPr>
          <w:p w14:paraId="0B62AE52">
            <w:pPr>
              <w:keepNext w:val="0"/>
              <w:keepLines w:val="0"/>
              <w:pageBreakBefore w:val="0"/>
              <w:widowControl/>
              <w:kinsoku/>
              <w:wordWrap/>
              <w:overflowPunct/>
              <w:topLinePunct w:val="0"/>
              <w:autoSpaceDE/>
              <w:autoSpaceDN/>
              <w:bidi w:val="0"/>
              <w:adjustRightInd/>
              <w:snapToGrid/>
              <w:spacing w:line="440" w:lineRule="exact"/>
              <w:ind w:firstLine="0" w:firstLineChars="0"/>
              <w:jc w:val="left"/>
              <w:textAlignment w:val="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时间</w:t>
            </w:r>
          </w:p>
        </w:tc>
        <w:tc>
          <w:tcPr>
            <w:tcW w:w="3420" w:type="dxa"/>
            <w:gridSpan w:val="4"/>
            <w:noWrap w:val="0"/>
            <w:vAlign w:val="center"/>
          </w:tcPr>
          <w:p w14:paraId="1C758BC7">
            <w:pPr>
              <w:keepNext w:val="0"/>
              <w:keepLines w:val="0"/>
              <w:pageBreakBefore w:val="0"/>
              <w:widowControl/>
              <w:kinsoku/>
              <w:wordWrap/>
              <w:overflowPunct/>
              <w:topLinePunct w:val="0"/>
              <w:autoSpaceDE/>
              <w:autoSpaceDN/>
              <w:bidi w:val="0"/>
              <w:adjustRightInd/>
              <w:snapToGrid/>
              <w:spacing w:line="440" w:lineRule="exact"/>
              <w:ind w:firstLine="0" w:firstLineChars="0"/>
              <w:jc w:val="left"/>
              <w:textAlignment w:val="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参加过的类似项目</w:t>
            </w:r>
          </w:p>
        </w:tc>
        <w:tc>
          <w:tcPr>
            <w:tcW w:w="1261" w:type="dxa"/>
            <w:noWrap w:val="0"/>
            <w:vAlign w:val="center"/>
          </w:tcPr>
          <w:p w14:paraId="45BB3AD0">
            <w:pPr>
              <w:keepNext w:val="0"/>
              <w:keepLines w:val="0"/>
              <w:pageBreakBefore w:val="0"/>
              <w:widowControl/>
              <w:kinsoku/>
              <w:wordWrap/>
              <w:overflowPunct/>
              <w:topLinePunct w:val="0"/>
              <w:autoSpaceDE/>
              <w:autoSpaceDN/>
              <w:bidi w:val="0"/>
              <w:adjustRightInd/>
              <w:snapToGrid/>
              <w:spacing w:line="440" w:lineRule="exact"/>
              <w:ind w:firstLine="0" w:firstLineChars="0"/>
              <w:jc w:val="left"/>
              <w:textAlignment w:val="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担任职务</w:t>
            </w:r>
          </w:p>
        </w:tc>
        <w:tc>
          <w:tcPr>
            <w:tcW w:w="2297" w:type="dxa"/>
            <w:gridSpan w:val="2"/>
            <w:noWrap w:val="0"/>
            <w:vAlign w:val="center"/>
          </w:tcPr>
          <w:p w14:paraId="4923BA66">
            <w:pPr>
              <w:keepNext w:val="0"/>
              <w:keepLines w:val="0"/>
              <w:pageBreakBefore w:val="0"/>
              <w:widowControl/>
              <w:kinsoku/>
              <w:wordWrap/>
              <w:overflowPunct/>
              <w:topLinePunct w:val="0"/>
              <w:autoSpaceDE/>
              <w:autoSpaceDN/>
              <w:bidi w:val="0"/>
              <w:adjustRightInd/>
              <w:snapToGrid/>
              <w:spacing w:line="440" w:lineRule="exact"/>
              <w:ind w:firstLine="0" w:firstLineChars="0"/>
              <w:jc w:val="left"/>
              <w:textAlignment w:val="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发包人及联系电话</w:t>
            </w:r>
          </w:p>
        </w:tc>
      </w:tr>
      <w:tr w14:paraId="28A006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trPr>
        <w:tc>
          <w:tcPr>
            <w:tcW w:w="1544" w:type="dxa"/>
            <w:gridSpan w:val="2"/>
            <w:noWrap w:val="0"/>
            <w:vAlign w:val="top"/>
          </w:tcPr>
          <w:p w14:paraId="32CDFF16">
            <w:pPr>
              <w:spacing w:line="440" w:lineRule="exact"/>
              <w:jc w:val="left"/>
              <w:rPr>
                <w:rFonts w:hint="eastAsia" w:ascii="仿宋" w:hAnsi="仿宋" w:eastAsia="仿宋" w:cs="仿宋"/>
                <w:color w:val="auto"/>
                <w:szCs w:val="21"/>
                <w:highlight w:val="none"/>
              </w:rPr>
            </w:pPr>
          </w:p>
        </w:tc>
        <w:tc>
          <w:tcPr>
            <w:tcW w:w="3420" w:type="dxa"/>
            <w:gridSpan w:val="4"/>
            <w:noWrap w:val="0"/>
            <w:vAlign w:val="top"/>
          </w:tcPr>
          <w:p w14:paraId="4542FF09">
            <w:pPr>
              <w:spacing w:line="440" w:lineRule="exact"/>
              <w:jc w:val="left"/>
              <w:rPr>
                <w:rFonts w:hint="eastAsia" w:ascii="仿宋" w:hAnsi="仿宋" w:eastAsia="仿宋" w:cs="仿宋"/>
                <w:color w:val="auto"/>
                <w:szCs w:val="21"/>
                <w:highlight w:val="none"/>
              </w:rPr>
            </w:pPr>
          </w:p>
        </w:tc>
        <w:tc>
          <w:tcPr>
            <w:tcW w:w="1261" w:type="dxa"/>
            <w:noWrap w:val="0"/>
            <w:vAlign w:val="top"/>
          </w:tcPr>
          <w:p w14:paraId="21B9A54D">
            <w:pPr>
              <w:spacing w:line="440" w:lineRule="exact"/>
              <w:jc w:val="left"/>
              <w:rPr>
                <w:rFonts w:hint="eastAsia" w:ascii="仿宋" w:hAnsi="仿宋" w:eastAsia="仿宋" w:cs="仿宋"/>
                <w:color w:val="auto"/>
                <w:szCs w:val="21"/>
                <w:highlight w:val="none"/>
              </w:rPr>
            </w:pPr>
          </w:p>
        </w:tc>
        <w:tc>
          <w:tcPr>
            <w:tcW w:w="2297" w:type="dxa"/>
            <w:gridSpan w:val="2"/>
            <w:noWrap w:val="0"/>
            <w:vAlign w:val="top"/>
          </w:tcPr>
          <w:p w14:paraId="50799C40">
            <w:pPr>
              <w:spacing w:line="440" w:lineRule="exact"/>
              <w:jc w:val="left"/>
              <w:rPr>
                <w:rFonts w:hint="eastAsia" w:ascii="仿宋" w:hAnsi="仿宋" w:eastAsia="仿宋" w:cs="仿宋"/>
                <w:color w:val="auto"/>
                <w:szCs w:val="21"/>
                <w:highlight w:val="none"/>
              </w:rPr>
            </w:pPr>
          </w:p>
        </w:tc>
      </w:tr>
      <w:tr w14:paraId="73499E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trPr>
        <w:tc>
          <w:tcPr>
            <w:tcW w:w="1544" w:type="dxa"/>
            <w:gridSpan w:val="2"/>
            <w:noWrap w:val="0"/>
            <w:vAlign w:val="top"/>
          </w:tcPr>
          <w:p w14:paraId="756625F2">
            <w:pPr>
              <w:spacing w:line="440" w:lineRule="exact"/>
              <w:jc w:val="left"/>
              <w:rPr>
                <w:rFonts w:hint="eastAsia" w:ascii="仿宋" w:hAnsi="仿宋" w:eastAsia="仿宋" w:cs="仿宋"/>
                <w:color w:val="auto"/>
                <w:szCs w:val="21"/>
                <w:highlight w:val="none"/>
              </w:rPr>
            </w:pPr>
          </w:p>
        </w:tc>
        <w:tc>
          <w:tcPr>
            <w:tcW w:w="3420" w:type="dxa"/>
            <w:gridSpan w:val="4"/>
            <w:noWrap w:val="0"/>
            <w:vAlign w:val="top"/>
          </w:tcPr>
          <w:p w14:paraId="17ACE6FD">
            <w:pPr>
              <w:spacing w:line="440" w:lineRule="exact"/>
              <w:jc w:val="left"/>
              <w:rPr>
                <w:rFonts w:hint="eastAsia" w:ascii="仿宋" w:hAnsi="仿宋" w:eastAsia="仿宋" w:cs="仿宋"/>
                <w:color w:val="auto"/>
                <w:szCs w:val="21"/>
                <w:highlight w:val="none"/>
              </w:rPr>
            </w:pPr>
          </w:p>
        </w:tc>
        <w:tc>
          <w:tcPr>
            <w:tcW w:w="1261" w:type="dxa"/>
            <w:noWrap w:val="0"/>
            <w:vAlign w:val="top"/>
          </w:tcPr>
          <w:p w14:paraId="09FC1FE6">
            <w:pPr>
              <w:spacing w:line="440" w:lineRule="exact"/>
              <w:jc w:val="left"/>
              <w:rPr>
                <w:rFonts w:hint="eastAsia" w:ascii="仿宋" w:hAnsi="仿宋" w:eastAsia="仿宋" w:cs="仿宋"/>
                <w:color w:val="auto"/>
                <w:szCs w:val="21"/>
                <w:highlight w:val="none"/>
              </w:rPr>
            </w:pPr>
          </w:p>
        </w:tc>
        <w:tc>
          <w:tcPr>
            <w:tcW w:w="2297" w:type="dxa"/>
            <w:gridSpan w:val="2"/>
            <w:noWrap w:val="0"/>
            <w:vAlign w:val="top"/>
          </w:tcPr>
          <w:p w14:paraId="17DA6B1B">
            <w:pPr>
              <w:spacing w:line="440" w:lineRule="exact"/>
              <w:jc w:val="left"/>
              <w:rPr>
                <w:rFonts w:hint="eastAsia" w:ascii="仿宋" w:hAnsi="仿宋" w:eastAsia="仿宋" w:cs="仿宋"/>
                <w:color w:val="auto"/>
                <w:szCs w:val="21"/>
                <w:highlight w:val="none"/>
              </w:rPr>
            </w:pPr>
          </w:p>
        </w:tc>
      </w:tr>
      <w:tr w14:paraId="4A3AB5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trPr>
        <w:tc>
          <w:tcPr>
            <w:tcW w:w="1544" w:type="dxa"/>
            <w:gridSpan w:val="2"/>
            <w:noWrap w:val="0"/>
            <w:vAlign w:val="top"/>
          </w:tcPr>
          <w:p w14:paraId="49837E23">
            <w:pPr>
              <w:spacing w:line="440" w:lineRule="exact"/>
              <w:jc w:val="left"/>
              <w:rPr>
                <w:rFonts w:hint="eastAsia" w:ascii="仿宋" w:hAnsi="仿宋" w:eastAsia="仿宋" w:cs="仿宋"/>
                <w:color w:val="auto"/>
                <w:szCs w:val="21"/>
                <w:highlight w:val="none"/>
              </w:rPr>
            </w:pPr>
          </w:p>
        </w:tc>
        <w:tc>
          <w:tcPr>
            <w:tcW w:w="3420" w:type="dxa"/>
            <w:gridSpan w:val="4"/>
            <w:noWrap w:val="0"/>
            <w:vAlign w:val="top"/>
          </w:tcPr>
          <w:p w14:paraId="18043240">
            <w:pPr>
              <w:spacing w:line="440" w:lineRule="exact"/>
              <w:jc w:val="left"/>
              <w:rPr>
                <w:rFonts w:hint="eastAsia" w:ascii="仿宋" w:hAnsi="仿宋" w:eastAsia="仿宋" w:cs="仿宋"/>
                <w:color w:val="auto"/>
                <w:szCs w:val="21"/>
                <w:highlight w:val="none"/>
              </w:rPr>
            </w:pPr>
          </w:p>
        </w:tc>
        <w:tc>
          <w:tcPr>
            <w:tcW w:w="1261" w:type="dxa"/>
            <w:noWrap w:val="0"/>
            <w:vAlign w:val="top"/>
          </w:tcPr>
          <w:p w14:paraId="49091176">
            <w:pPr>
              <w:spacing w:line="440" w:lineRule="exact"/>
              <w:jc w:val="left"/>
              <w:rPr>
                <w:rFonts w:hint="eastAsia" w:ascii="仿宋" w:hAnsi="仿宋" w:eastAsia="仿宋" w:cs="仿宋"/>
                <w:color w:val="auto"/>
                <w:szCs w:val="21"/>
                <w:highlight w:val="none"/>
              </w:rPr>
            </w:pPr>
          </w:p>
        </w:tc>
        <w:tc>
          <w:tcPr>
            <w:tcW w:w="2297" w:type="dxa"/>
            <w:gridSpan w:val="2"/>
            <w:noWrap w:val="0"/>
            <w:vAlign w:val="top"/>
          </w:tcPr>
          <w:p w14:paraId="67DAB9B7">
            <w:pPr>
              <w:spacing w:line="440" w:lineRule="exact"/>
              <w:jc w:val="left"/>
              <w:rPr>
                <w:rFonts w:hint="eastAsia" w:ascii="仿宋" w:hAnsi="仿宋" w:eastAsia="仿宋" w:cs="仿宋"/>
                <w:color w:val="auto"/>
                <w:szCs w:val="21"/>
                <w:highlight w:val="none"/>
              </w:rPr>
            </w:pPr>
          </w:p>
        </w:tc>
      </w:tr>
      <w:tr w14:paraId="1666E3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trPr>
        <w:tc>
          <w:tcPr>
            <w:tcW w:w="1544" w:type="dxa"/>
            <w:gridSpan w:val="2"/>
            <w:noWrap w:val="0"/>
            <w:vAlign w:val="center"/>
          </w:tcPr>
          <w:p w14:paraId="77AF10A2">
            <w:pPr>
              <w:spacing w:line="440" w:lineRule="exact"/>
              <w:jc w:val="left"/>
              <w:rPr>
                <w:rFonts w:hint="eastAsia" w:ascii="仿宋" w:hAnsi="仿宋" w:eastAsia="仿宋" w:cs="仿宋"/>
                <w:color w:val="auto"/>
                <w:szCs w:val="21"/>
                <w:highlight w:val="none"/>
              </w:rPr>
            </w:pPr>
          </w:p>
        </w:tc>
        <w:tc>
          <w:tcPr>
            <w:tcW w:w="3420" w:type="dxa"/>
            <w:gridSpan w:val="4"/>
            <w:noWrap w:val="0"/>
            <w:vAlign w:val="center"/>
          </w:tcPr>
          <w:p w14:paraId="4B0B3152">
            <w:pPr>
              <w:spacing w:line="440" w:lineRule="exact"/>
              <w:jc w:val="left"/>
              <w:rPr>
                <w:rFonts w:hint="eastAsia" w:ascii="仿宋" w:hAnsi="仿宋" w:eastAsia="仿宋" w:cs="仿宋"/>
                <w:color w:val="auto"/>
                <w:szCs w:val="21"/>
                <w:highlight w:val="none"/>
              </w:rPr>
            </w:pPr>
          </w:p>
        </w:tc>
        <w:tc>
          <w:tcPr>
            <w:tcW w:w="1261" w:type="dxa"/>
            <w:noWrap w:val="0"/>
            <w:vAlign w:val="center"/>
          </w:tcPr>
          <w:p w14:paraId="1E4C2AC7">
            <w:pPr>
              <w:spacing w:line="440" w:lineRule="exact"/>
              <w:jc w:val="left"/>
              <w:rPr>
                <w:rFonts w:hint="eastAsia" w:ascii="仿宋" w:hAnsi="仿宋" w:eastAsia="仿宋" w:cs="仿宋"/>
                <w:color w:val="auto"/>
                <w:szCs w:val="21"/>
                <w:highlight w:val="none"/>
              </w:rPr>
            </w:pPr>
          </w:p>
        </w:tc>
        <w:tc>
          <w:tcPr>
            <w:tcW w:w="2297" w:type="dxa"/>
            <w:gridSpan w:val="2"/>
            <w:noWrap w:val="0"/>
            <w:vAlign w:val="center"/>
          </w:tcPr>
          <w:p w14:paraId="438B712E">
            <w:pPr>
              <w:spacing w:line="440" w:lineRule="exact"/>
              <w:jc w:val="left"/>
              <w:rPr>
                <w:rFonts w:hint="eastAsia" w:ascii="仿宋" w:hAnsi="仿宋" w:eastAsia="仿宋" w:cs="仿宋"/>
                <w:color w:val="auto"/>
                <w:szCs w:val="21"/>
                <w:highlight w:val="none"/>
              </w:rPr>
            </w:pPr>
          </w:p>
        </w:tc>
      </w:tr>
      <w:tr w14:paraId="52597C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trPr>
        <w:tc>
          <w:tcPr>
            <w:tcW w:w="1544" w:type="dxa"/>
            <w:gridSpan w:val="2"/>
            <w:noWrap w:val="0"/>
            <w:vAlign w:val="center"/>
          </w:tcPr>
          <w:p w14:paraId="29576572">
            <w:pPr>
              <w:spacing w:line="440" w:lineRule="exact"/>
              <w:jc w:val="left"/>
              <w:rPr>
                <w:rFonts w:hint="eastAsia" w:ascii="仿宋" w:hAnsi="仿宋" w:eastAsia="仿宋" w:cs="仿宋"/>
                <w:color w:val="auto"/>
                <w:szCs w:val="21"/>
                <w:highlight w:val="none"/>
              </w:rPr>
            </w:pPr>
          </w:p>
        </w:tc>
        <w:tc>
          <w:tcPr>
            <w:tcW w:w="3420" w:type="dxa"/>
            <w:gridSpan w:val="4"/>
            <w:noWrap w:val="0"/>
            <w:vAlign w:val="center"/>
          </w:tcPr>
          <w:p w14:paraId="14A51DC0">
            <w:pPr>
              <w:spacing w:line="440" w:lineRule="exact"/>
              <w:jc w:val="left"/>
              <w:rPr>
                <w:rFonts w:hint="eastAsia" w:ascii="仿宋" w:hAnsi="仿宋" w:eastAsia="仿宋" w:cs="仿宋"/>
                <w:color w:val="auto"/>
                <w:szCs w:val="21"/>
                <w:highlight w:val="none"/>
              </w:rPr>
            </w:pPr>
          </w:p>
        </w:tc>
        <w:tc>
          <w:tcPr>
            <w:tcW w:w="1261" w:type="dxa"/>
            <w:noWrap w:val="0"/>
            <w:vAlign w:val="center"/>
          </w:tcPr>
          <w:p w14:paraId="0BA9647A">
            <w:pPr>
              <w:spacing w:line="440" w:lineRule="exact"/>
              <w:jc w:val="left"/>
              <w:rPr>
                <w:rFonts w:hint="eastAsia" w:ascii="仿宋" w:hAnsi="仿宋" w:eastAsia="仿宋" w:cs="仿宋"/>
                <w:color w:val="auto"/>
                <w:szCs w:val="21"/>
                <w:highlight w:val="none"/>
              </w:rPr>
            </w:pPr>
          </w:p>
        </w:tc>
        <w:tc>
          <w:tcPr>
            <w:tcW w:w="2297" w:type="dxa"/>
            <w:gridSpan w:val="2"/>
            <w:noWrap w:val="0"/>
            <w:vAlign w:val="center"/>
          </w:tcPr>
          <w:p w14:paraId="1CF50314">
            <w:pPr>
              <w:spacing w:line="440" w:lineRule="exact"/>
              <w:jc w:val="left"/>
              <w:rPr>
                <w:rFonts w:hint="eastAsia" w:ascii="仿宋" w:hAnsi="仿宋" w:eastAsia="仿宋" w:cs="仿宋"/>
                <w:color w:val="auto"/>
                <w:szCs w:val="21"/>
                <w:highlight w:val="none"/>
              </w:rPr>
            </w:pPr>
          </w:p>
        </w:tc>
      </w:tr>
      <w:tr w14:paraId="11FE7E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trPr>
        <w:tc>
          <w:tcPr>
            <w:tcW w:w="1544" w:type="dxa"/>
            <w:gridSpan w:val="2"/>
            <w:noWrap w:val="0"/>
            <w:vAlign w:val="center"/>
          </w:tcPr>
          <w:p w14:paraId="7068C837">
            <w:pPr>
              <w:spacing w:line="440" w:lineRule="exact"/>
              <w:jc w:val="left"/>
              <w:rPr>
                <w:rFonts w:hint="eastAsia" w:ascii="仿宋" w:hAnsi="仿宋" w:eastAsia="仿宋" w:cs="仿宋"/>
                <w:color w:val="auto"/>
                <w:szCs w:val="21"/>
                <w:highlight w:val="none"/>
              </w:rPr>
            </w:pPr>
          </w:p>
        </w:tc>
        <w:tc>
          <w:tcPr>
            <w:tcW w:w="3420" w:type="dxa"/>
            <w:gridSpan w:val="4"/>
            <w:noWrap w:val="0"/>
            <w:vAlign w:val="center"/>
          </w:tcPr>
          <w:p w14:paraId="4912AED9">
            <w:pPr>
              <w:spacing w:line="440" w:lineRule="exact"/>
              <w:jc w:val="left"/>
              <w:rPr>
                <w:rFonts w:hint="eastAsia" w:ascii="仿宋" w:hAnsi="仿宋" w:eastAsia="仿宋" w:cs="仿宋"/>
                <w:color w:val="auto"/>
                <w:szCs w:val="21"/>
                <w:highlight w:val="none"/>
              </w:rPr>
            </w:pPr>
          </w:p>
        </w:tc>
        <w:tc>
          <w:tcPr>
            <w:tcW w:w="1261" w:type="dxa"/>
            <w:noWrap w:val="0"/>
            <w:vAlign w:val="center"/>
          </w:tcPr>
          <w:p w14:paraId="52219456">
            <w:pPr>
              <w:spacing w:line="440" w:lineRule="exact"/>
              <w:jc w:val="left"/>
              <w:rPr>
                <w:rFonts w:hint="eastAsia" w:ascii="仿宋" w:hAnsi="仿宋" w:eastAsia="仿宋" w:cs="仿宋"/>
                <w:color w:val="auto"/>
                <w:szCs w:val="21"/>
                <w:highlight w:val="none"/>
              </w:rPr>
            </w:pPr>
          </w:p>
        </w:tc>
        <w:tc>
          <w:tcPr>
            <w:tcW w:w="2297" w:type="dxa"/>
            <w:gridSpan w:val="2"/>
            <w:noWrap w:val="0"/>
            <w:vAlign w:val="center"/>
          </w:tcPr>
          <w:p w14:paraId="5858B851">
            <w:pPr>
              <w:spacing w:line="440" w:lineRule="exact"/>
              <w:jc w:val="left"/>
              <w:rPr>
                <w:rFonts w:hint="eastAsia" w:ascii="仿宋" w:hAnsi="仿宋" w:eastAsia="仿宋" w:cs="仿宋"/>
                <w:color w:val="auto"/>
                <w:szCs w:val="21"/>
                <w:highlight w:val="none"/>
              </w:rPr>
            </w:pPr>
          </w:p>
        </w:tc>
      </w:tr>
      <w:tr w14:paraId="792F44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trPr>
        <w:tc>
          <w:tcPr>
            <w:tcW w:w="1544" w:type="dxa"/>
            <w:gridSpan w:val="2"/>
            <w:noWrap w:val="0"/>
            <w:vAlign w:val="center"/>
          </w:tcPr>
          <w:p w14:paraId="1660B04D">
            <w:pPr>
              <w:spacing w:line="440" w:lineRule="exact"/>
              <w:jc w:val="left"/>
              <w:rPr>
                <w:rFonts w:hint="eastAsia" w:ascii="仿宋" w:hAnsi="仿宋" w:eastAsia="仿宋" w:cs="仿宋"/>
                <w:color w:val="auto"/>
                <w:szCs w:val="21"/>
                <w:highlight w:val="none"/>
              </w:rPr>
            </w:pPr>
          </w:p>
        </w:tc>
        <w:tc>
          <w:tcPr>
            <w:tcW w:w="3420" w:type="dxa"/>
            <w:gridSpan w:val="4"/>
            <w:noWrap w:val="0"/>
            <w:vAlign w:val="center"/>
          </w:tcPr>
          <w:p w14:paraId="55BBD3FC">
            <w:pPr>
              <w:spacing w:line="440" w:lineRule="exact"/>
              <w:jc w:val="left"/>
              <w:rPr>
                <w:rFonts w:hint="eastAsia" w:ascii="仿宋" w:hAnsi="仿宋" w:eastAsia="仿宋" w:cs="仿宋"/>
                <w:color w:val="auto"/>
                <w:szCs w:val="21"/>
                <w:highlight w:val="none"/>
              </w:rPr>
            </w:pPr>
          </w:p>
        </w:tc>
        <w:tc>
          <w:tcPr>
            <w:tcW w:w="1261" w:type="dxa"/>
            <w:noWrap w:val="0"/>
            <w:vAlign w:val="center"/>
          </w:tcPr>
          <w:p w14:paraId="415EB1EB">
            <w:pPr>
              <w:spacing w:line="440" w:lineRule="exact"/>
              <w:jc w:val="left"/>
              <w:rPr>
                <w:rFonts w:hint="eastAsia" w:ascii="仿宋" w:hAnsi="仿宋" w:eastAsia="仿宋" w:cs="仿宋"/>
                <w:color w:val="auto"/>
                <w:szCs w:val="21"/>
                <w:highlight w:val="none"/>
              </w:rPr>
            </w:pPr>
          </w:p>
        </w:tc>
        <w:tc>
          <w:tcPr>
            <w:tcW w:w="2297" w:type="dxa"/>
            <w:gridSpan w:val="2"/>
            <w:noWrap w:val="0"/>
            <w:vAlign w:val="center"/>
          </w:tcPr>
          <w:p w14:paraId="1CF7E615">
            <w:pPr>
              <w:spacing w:line="440" w:lineRule="exact"/>
              <w:jc w:val="left"/>
              <w:rPr>
                <w:rFonts w:hint="eastAsia" w:ascii="仿宋" w:hAnsi="仿宋" w:eastAsia="仿宋" w:cs="仿宋"/>
                <w:color w:val="auto"/>
                <w:szCs w:val="21"/>
                <w:highlight w:val="none"/>
              </w:rPr>
            </w:pPr>
          </w:p>
        </w:tc>
      </w:tr>
      <w:tr w14:paraId="5CAB5C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trPr>
        <w:tc>
          <w:tcPr>
            <w:tcW w:w="1544" w:type="dxa"/>
            <w:gridSpan w:val="2"/>
            <w:noWrap w:val="0"/>
            <w:vAlign w:val="center"/>
          </w:tcPr>
          <w:p w14:paraId="49475363">
            <w:pPr>
              <w:spacing w:line="440" w:lineRule="exact"/>
              <w:jc w:val="left"/>
              <w:rPr>
                <w:rFonts w:hint="eastAsia" w:ascii="仿宋" w:hAnsi="仿宋" w:eastAsia="仿宋" w:cs="仿宋"/>
                <w:color w:val="auto"/>
                <w:szCs w:val="21"/>
                <w:highlight w:val="none"/>
              </w:rPr>
            </w:pPr>
          </w:p>
        </w:tc>
        <w:tc>
          <w:tcPr>
            <w:tcW w:w="3420" w:type="dxa"/>
            <w:gridSpan w:val="4"/>
            <w:noWrap w:val="0"/>
            <w:vAlign w:val="center"/>
          </w:tcPr>
          <w:p w14:paraId="46779DFC">
            <w:pPr>
              <w:spacing w:line="440" w:lineRule="exact"/>
              <w:jc w:val="left"/>
              <w:rPr>
                <w:rFonts w:hint="eastAsia" w:ascii="仿宋" w:hAnsi="仿宋" w:eastAsia="仿宋" w:cs="仿宋"/>
                <w:color w:val="auto"/>
                <w:szCs w:val="21"/>
                <w:highlight w:val="none"/>
              </w:rPr>
            </w:pPr>
          </w:p>
        </w:tc>
        <w:tc>
          <w:tcPr>
            <w:tcW w:w="1261" w:type="dxa"/>
            <w:noWrap w:val="0"/>
            <w:vAlign w:val="center"/>
          </w:tcPr>
          <w:p w14:paraId="258F2F56">
            <w:pPr>
              <w:spacing w:line="440" w:lineRule="exact"/>
              <w:jc w:val="left"/>
              <w:rPr>
                <w:rFonts w:hint="eastAsia" w:ascii="仿宋" w:hAnsi="仿宋" w:eastAsia="仿宋" w:cs="仿宋"/>
                <w:color w:val="auto"/>
                <w:szCs w:val="21"/>
                <w:highlight w:val="none"/>
              </w:rPr>
            </w:pPr>
          </w:p>
        </w:tc>
        <w:tc>
          <w:tcPr>
            <w:tcW w:w="2297" w:type="dxa"/>
            <w:gridSpan w:val="2"/>
            <w:noWrap w:val="0"/>
            <w:vAlign w:val="center"/>
          </w:tcPr>
          <w:p w14:paraId="031F1129">
            <w:pPr>
              <w:spacing w:line="440" w:lineRule="exact"/>
              <w:jc w:val="left"/>
              <w:rPr>
                <w:rFonts w:hint="eastAsia" w:ascii="仿宋" w:hAnsi="仿宋" w:eastAsia="仿宋" w:cs="仿宋"/>
                <w:color w:val="auto"/>
                <w:szCs w:val="21"/>
                <w:highlight w:val="none"/>
              </w:rPr>
            </w:pPr>
          </w:p>
        </w:tc>
      </w:tr>
      <w:tr w14:paraId="1051B1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trPr>
        <w:tc>
          <w:tcPr>
            <w:tcW w:w="1544" w:type="dxa"/>
            <w:gridSpan w:val="2"/>
            <w:noWrap w:val="0"/>
            <w:vAlign w:val="center"/>
          </w:tcPr>
          <w:p w14:paraId="40CB36ED">
            <w:pPr>
              <w:spacing w:line="440" w:lineRule="exact"/>
              <w:jc w:val="left"/>
              <w:rPr>
                <w:rFonts w:hint="eastAsia" w:ascii="仿宋" w:hAnsi="仿宋" w:eastAsia="仿宋" w:cs="仿宋"/>
                <w:color w:val="auto"/>
                <w:szCs w:val="21"/>
                <w:highlight w:val="none"/>
              </w:rPr>
            </w:pPr>
          </w:p>
        </w:tc>
        <w:tc>
          <w:tcPr>
            <w:tcW w:w="3420" w:type="dxa"/>
            <w:gridSpan w:val="4"/>
            <w:noWrap w:val="0"/>
            <w:vAlign w:val="center"/>
          </w:tcPr>
          <w:p w14:paraId="6BCAFA7B">
            <w:pPr>
              <w:spacing w:line="440" w:lineRule="exact"/>
              <w:jc w:val="left"/>
              <w:rPr>
                <w:rFonts w:hint="eastAsia" w:ascii="仿宋" w:hAnsi="仿宋" w:eastAsia="仿宋" w:cs="仿宋"/>
                <w:color w:val="auto"/>
                <w:szCs w:val="21"/>
                <w:highlight w:val="none"/>
              </w:rPr>
            </w:pPr>
          </w:p>
        </w:tc>
        <w:tc>
          <w:tcPr>
            <w:tcW w:w="1261" w:type="dxa"/>
            <w:noWrap w:val="0"/>
            <w:vAlign w:val="center"/>
          </w:tcPr>
          <w:p w14:paraId="0C029573">
            <w:pPr>
              <w:spacing w:line="440" w:lineRule="exact"/>
              <w:jc w:val="left"/>
              <w:rPr>
                <w:rFonts w:hint="eastAsia" w:ascii="仿宋" w:hAnsi="仿宋" w:eastAsia="仿宋" w:cs="仿宋"/>
                <w:color w:val="auto"/>
                <w:szCs w:val="21"/>
                <w:highlight w:val="none"/>
              </w:rPr>
            </w:pPr>
          </w:p>
        </w:tc>
        <w:tc>
          <w:tcPr>
            <w:tcW w:w="2297" w:type="dxa"/>
            <w:gridSpan w:val="2"/>
            <w:noWrap w:val="0"/>
            <w:vAlign w:val="center"/>
          </w:tcPr>
          <w:p w14:paraId="41B42D7D">
            <w:pPr>
              <w:spacing w:line="440" w:lineRule="exact"/>
              <w:jc w:val="left"/>
              <w:rPr>
                <w:rFonts w:hint="eastAsia" w:ascii="仿宋" w:hAnsi="仿宋" w:eastAsia="仿宋" w:cs="仿宋"/>
                <w:color w:val="auto"/>
                <w:szCs w:val="21"/>
                <w:highlight w:val="none"/>
              </w:rPr>
            </w:pPr>
          </w:p>
        </w:tc>
      </w:tr>
    </w:tbl>
    <w:p w14:paraId="03471B33">
      <w:pPr>
        <w:topLinePunct/>
        <w:spacing w:line="440" w:lineRule="exact"/>
        <w:jc w:val="left"/>
        <w:rPr>
          <w:rFonts w:hint="eastAsia" w:ascii="仿宋" w:hAnsi="仿宋" w:eastAsia="仿宋" w:cs="仿宋"/>
          <w:color w:val="auto"/>
          <w:sz w:val="23"/>
          <w:szCs w:val="23"/>
          <w:highlight w:val="none"/>
        </w:rPr>
      </w:pPr>
    </w:p>
    <w:bookmarkEnd w:id="966"/>
    <w:bookmarkEnd w:id="967"/>
    <w:bookmarkEnd w:id="968"/>
    <w:bookmarkEnd w:id="969"/>
    <w:bookmarkEnd w:id="970"/>
    <w:bookmarkEnd w:id="971"/>
    <w:p w14:paraId="7BB95DDC">
      <w:pPr>
        <w:pStyle w:val="5"/>
        <w:ind w:firstLine="0" w:firstLineChars="0"/>
        <w:jc w:val="left"/>
        <w:rPr>
          <w:rFonts w:hint="eastAsia" w:ascii="仿宋" w:hAnsi="仿宋" w:eastAsia="仿宋" w:cs="仿宋"/>
          <w:color w:val="auto"/>
          <w:highlight w:val="none"/>
        </w:rPr>
      </w:pPr>
      <w:bookmarkStart w:id="992" w:name="_Toc507365351"/>
      <w:bookmarkStart w:id="993" w:name="_Toc106998233"/>
    </w:p>
    <w:p w14:paraId="3009EA17">
      <w:pPr>
        <w:jc w:val="left"/>
        <w:rPr>
          <w:rFonts w:hint="eastAsia" w:ascii="仿宋" w:hAnsi="仿宋" w:eastAsia="仿宋" w:cs="仿宋"/>
          <w:color w:val="auto"/>
          <w:highlight w:val="none"/>
        </w:rPr>
      </w:pPr>
    </w:p>
    <w:p w14:paraId="7934C4D3">
      <w:pPr>
        <w:rPr>
          <w:rFonts w:hint="eastAsia" w:ascii="仿宋" w:hAnsi="仿宋" w:eastAsia="仿宋" w:cs="仿宋"/>
          <w:color w:val="auto"/>
          <w:highlight w:val="none"/>
        </w:rPr>
      </w:pPr>
      <w:r>
        <w:rPr>
          <w:rFonts w:hint="eastAsia" w:ascii="仿宋" w:hAnsi="仿宋" w:eastAsia="仿宋" w:cs="仿宋"/>
          <w:color w:val="auto"/>
          <w:highlight w:val="none"/>
        </w:rPr>
        <w:br w:type="page"/>
      </w:r>
    </w:p>
    <w:bookmarkEnd w:id="992"/>
    <w:bookmarkEnd w:id="993"/>
    <w:p w14:paraId="47DE8597">
      <w:pPr>
        <w:pStyle w:val="4"/>
        <w:jc w:val="center"/>
        <w:rPr>
          <w:rFonts w:hint="eastAsia" w:ascii="仿宋" w:hAnsi="仿宋" w:eastAsia="仿宋" w:cs="仿宋"/>
          <w:color w:val="auto"/>
          <w:highlight w:val="none"/>
        </w:rPr>
      </w:pPr>
      <w:bookmarkStart w:id="994" w:name="_Toc507365357"/>
      <w:bookmarkStart w:id="995" w:name="_Toc271821942"/>
      <w:bookmarkStart w:id="996" w:name="_Toc300835233"/>
      <w:bookmarkStart w:id="997" w:name="_Toc409282150"/>
      <w:bookmarkStart w:id="998" w:name="_Toc106998234"/>
      <w:bookmarkStart w:id="999" w:name="_Toc9604016"/>
      <w:r>
        <w:rPr>
          <w:rFonts w:hint="eastAsia" w:ascii="仿宋" w:hAnsi="仿宋" w:eastAsia="仿宋" w:cs="仿宋"/>
          <w:color w:val="auto"/>
          <w:highlight w:val="none"/>
        </w:rPr>
        <w:t>九、</w:t>
      </w:r>
      <w:bookmarkEnd w:id="994"/>
      <w:bookmarkEnd w:id="995"/>
      <w:bookmarkEnd w:id="996"/>
      <w:bookmarkEnd w:id="997"/>
      <w:r>
        <w:rPr>
          <w:rFonts w:hint="eastAsia" w:ascii="仿宋" w:hAnsi="仿宋" w:eastAsia="仿宋" w:cs="仿宋"/>
          <w:color w:val="auto"/>
          <w:highlight w:val="none"/>
        </w:rPr>
        <w:t>企业其他资料</w:t>
      </w:r>
      <w:bookmarkEnd w:id="998"/>
    </w:p>
    <w:p w14:paraId="5CD54F8E">
      <w:pPr>
        <w:pStyle w:val="4"/>
        <w:jc w:val="center"/>
        <w:rPr>
          <w:rFonts w:hint="eastAsia" w:ascii="仿宋" w:hAnsi="仿宋" w:eastAsia="仿宋" w:cs="仿宋"/>
          <w:color w:val="auto"/>
          <w:highlight w:val="none"/>
        </w:rPr>
        <w:sectPr>
          <w:pgSz w:w="11906" w:h="16838"/>
          <w:pgMar w:top="1440" w:right="1800" w:bottom="1440" w:left="1800" w:header="851" w:footer="992" w:gutter="0"/>
          <w:pgNumType w:fmt="decimal"/>
          <w:cols w:space="720" w:num="1"/>
          <w:docGrid w:type="lines" w:linePitch="312" w:charSpace="0"/>
        </w:sectPr>
      </w:pPr>
      <w:bookmarkStart w:id="1000" w:name="_Toc106998235"/>
    </w:p>
    <w:p w14:paraId="3AE3046A">
      <w:pPr>
        <w:pStyle w:val="4"/>
        <w:jc w:val="center"/>
        <w:rPr>
          <w:rFonts w:hint="eastAsia" w:ascii="仿宋" w:hAnsi="仿宋" w:eastAsia="仿宋" w:cs="仿宋"/>
          <w:color w:val="auto"/>
          <w:highlight w:val="none"/>
        </w:rPr>
      </w:pPr>
      <w:r>
        <w:rPr>
          <w:rFonts w:hint="eastAsia" w:ascii="仿宋" w:hAnsi="仿宋" w:eastAsia="仿宋" w:cs="仿宋"/>
          <w:color w:val="auto"/>
          <w:highlight w:val="none"/>
        </w:rPr>
        <w:t>十、环保要求承诺书</w:t>
      </w:r>
      <w:bookmarkEnd w:id="999"/>
      <w:bookmarkEnd w:id="1000"/>
    </w:p>
    <w:p w14:paraId="2440AE84">
      <w:pPr>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环保要求承诺书</w:t>
      </w:r>
    </w:p>
    <w:p w14:paraId="7D555397">
      <w:pPr>
        <w:spacing w:line="360" w:lineRule="auto"/>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招标人：</w:t>
      </w:r>
    </w:p>
    <w:p w14:paraId="16E6DD73">
      <w:pPr>
        <w:spacing w:line="360" w:lineRule="auto"/>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我公司郑重承诺：</w:t>
      </w:r>
    </w:p>
    <w:p w14:paraId="65DADB3A">
      <w:pPr>
        <w:spacing w:line="360" w:lineRule="auto"/>
        <w:ind w:firstLine="48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如本公司中标，我公司将严格执行招标文件中关于环保方面的要求，并自愿接受甲方、环保部门的监督和管理。</w:t>
      </w:r>
    </w:p>
    <w:p w14:paraId="5B47A1F3">
      <w:pPr>
        <w:spacing w:line="360" w:lineRule="auto"/>
        <w:jc w:val="left"/>
        <w:rPr>
          <w:rFonts w:hint="eastAsia" w:ascii="仿宋" w:hAnsi="仿宋" w:eastAsia="仿宋" w:cs="仿宋"/>
          <w:color w:val="auto"/>
          <w:szCs w:val="21"/>
          <w:highlight w:val="none"/>
        </w:rPr>
      </w:pPr>
    </w:p>
    <w:p w14:paraId="73451F1B">
      <w:pPr>
        <w:spacing w:line="360" w:lineRule="auto"/>
        <w:jc w:val="left"/>
        <w:rPr>
          <w:rFonts w:hint="eastAsia" w:ascii="仿宋" w:hAnsi="仿宋" w:eastAsia="仿宋" w:cs="仿宋"/>
          <w:color w:val="auto"/>
          <w:szCs w:val="21"/>
          <w:highlight w:val="none"/>
        </w:rPr>
      </w:pPr>
    </w:p>
    <w:p w14:paraId="38D58E16">
      <w:pPr>
        <w:spacing w:line="360" w:lineRule="auto"/>
        <w:jc w:val="left"/>
        <w:rPr>
          <w:rFonts w:hint="eastAsia" w:ascii="仿宋" w:hAnsi="仿宋" w:eastAsia="仿宋" w:cs="仿宋"/>
          <w:color w:val="auto"/>
          <w:szCs w:val="21"/>
          <w:highlight w:val="none"/>
        </w:rPr>
      </w:pPr>
    </w:p>
    <w:p w14:paraId="782E9C40">
      <w:pPr>
        <w:spacing w:line="360" w:lineRule="auto"/>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特此承诺。</w:t>
      </w:r>
    </w:p>
    <w:p w14:paraId="765AC831">
      <w:pPr>
        <w:spacing w:line="360" w:lineRule="auto"/>
        <w:jc w:val="left"/>
        <w:rPr>
          <w:rFonts w:hint="eastAsia" w:ascii="仿宋" w:hAnsi="仿宋" w:eastAsia="仿宋" w:cs="仿宋"/>
          <w:color w:val="auto"/>
          <w:szCs w:val="21"/>
          <w:highlight w:val="none"/>
        </w:rPr>
      </w:pPr>
    </w:p>
    <w:p w14:paraId="579DD837">
      <w:pPr>
        <w:spacing w:line="360" w:lineRule="auto"/>
        <w:jc w:val="left"/>
        <w:rPr>
          <w:rFonts w:hint="eastAsia" w:ascii="仿宋" w:hAnsi="仿宋" w:eastAsia="仿宋" w:cs="仿宋"/>
          <w:color w:val="auto"/>
          <w:szCs w:val="21"/>
          <w:highlight w:val="none"/>
        </w:rPr>
      </w:pPr>
    </w:p>
    <w:p w14:paraId="0B8E1BD1">
      <w:pPr>
        <w:spacing w:line="360" w:lineRule="auto"/>
        <w:jc w:val="left"/>
        <w:rPr>
          <w:rFonts w:hint="eastAsia" w:ascii="仿宋" w:hAnsi="仿宋" w:eastAsia="仿宋" w:cs="仿宋"/>
          <w:color w:val="auto"/>
          <w:szCs w:val="21"/>
          <w:highlight w:val="none"/>
        </w:rPr>
      </w:pPr>
    </w:p>
    <w:p w14:paraId="14044CAE">
      <w:pPr>
        <w:spacing w:line="360" w:lineRule="auto"/>
        <w:jc w:val="left"/>
        <w:rPr>
          <w:rFonts w:hint="eastAsia" w:ascii="仿宋" w:hAnsi="仿宋" w:eastAsia="仿宋" w:cs="仿宋"/>
          <w:color w:val="auto"/>
          <w:szCs w:val="21"/>
          <w:highlight w:val="none"/>
        </w:rPr>
      </w:pPr>
    </w:p>
    <w:p w14:paraId="77FE1155">
      <w:pPr>
        <w:spacing w:line="360" w:lineRule="auto"/>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投标人：（盖章）</w:t>
      </w:r>
    </w:p>
    <w:p w14:paraId="70AE37F0">
      <w:pPr>
        <w:spacing w:line="360" w:lineRule="auto"/>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法定代表人（签字或盖章）</w:t>
      </w:r>
    </w:p>
    <w:p w14:paraId="582B97EF">
      <w:pPr>
        <w:jc w:val="left"/>
        <w:rPr>
          <w:rFonts w:hint="eastAsia" w:ascii="仿宋" w:hAnsi="仿宋" w:eastAsia="仿宋" w:cs="仿宋"/>
          <w:b/>
          <w:color w:val="auto"/>
          <w:szCs w:val="21"/>
          <w:highlight w:val="none"/>
        </w:rPr>
      </w:pPr>
    </w:p>
    <w:p w14:paraId="19C8BC4D">
      <w:pPr>
        <w:spacing w:line="360" w:lineRule="auto"/>
        <w:jc w:val="left"/>
        <w:rPr>
          <w:rFonts w:hint="eastAsia" w:ascii="仿宋" w:hAnsi="仿宋" w:eastAsia="仿宋" w:cs="仿宋"/>
          <w:color w:val="auto"/>
          <w:szCs w:val="21"/>
          <w:highlight w:val="none"/>
        </w:rPr>
      </w:pPr>
    </w:p>
    <w:p w14:paraId="4011CCB1">
      <w:pPr>
        <w:spacing w:line="360" w:lineRule="auto"/>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年月日</w:t>
      </w:r>
    </w:p>
    <w:p w14:paraId="208480BB">
      <w:pPr>
        <w:pStyle w:val="4"/>
        <w:jc w:val="left"/>
        <w:rPr>
          <w:rFonts w:hint="eastAsia" w:ascii="仿宋" w:hAnsi="仿宋" w:eastAsia="仿宋" w:cs="仿宋"/>
          <w:color w:val="auto"/>
          <w:highlight w:val="none"/>
        </w:rPr>
      </w:pPr>
    </w:p>
    <w:p w14:paraId="1932A745">
      <w:pPr>
        <w:jc w:val="left"/>
        <w:rPr>
          <w:rFonts w:hint="eastAsia" w:ascii="仿宋" w:hAnsi="仿宋" w:eastAsia="仿宋" w:cs="仿宋"/>
          <w:color w:val="auto"/>
          <w:highlight w:val="none"/>
        </w:rPr>
      </w:pPr>
    </w:p>
    <w:p w14:paraId="75D5F68D">
      <w:pPr>
        <w:jc w:val="left"/>
        <w:rPr>
          <w:rFonts w:hint="eastAsia" w:ascii="仿宋" w:hAnsi="仿宋" w:eastAsia="仿宋" w:cs="仿宋"/>
          <w:color w:val="auto"/>
          <w:highlight w:val="none"/>
        </w:rPr>
      </w:pPr>
    </w:p>
    <w:p w14:paraId="31F1C19B">
      <w:pPr>
        <w:jc w:val="left"/>
        <w:rPr>
          <w:rFonts w:hint="eastAsia" w:ascii="仿宋" w:hAnsi="仿宋" w:eastAsia="仿宋" w:cs="仿宋"/>
          <w:color w:val="auto"/>
          <w:highlight w:val="none"/>
        </w:rPr>
      </w:pPr>
    </w:p>
    <w:p w14:paraId="753E6554">
      <w:pPr>
        <w:jc w:val="left"/>
        <w:rPr>
          <w:rFonts w:hint="eastAsia" w:ascii="仿宋" w:hAnsi="仿宋" w:eastAsia="仿宋" w:cs="仿宋"/>
          <w:color w:val="auto"/>
          <w:highlight w:val="none"/>
        </w:rPr>
      </w:pPr>
    </w:p>
    <w:p w14:paraId="70D2D2D9">
      <w:pPr>
        <w:jc w:val="left"/>
        <w:rPr>
          <w:rFonts w:hint="eastAsia" w:ascii="仿宋" w:hAnsi="仿宋" w:eastAsia="仿宋" w:cs="仿宋"/>
          <w:color w:val="auto"/>
          <w:highlight w:val="none"/>
        </w:rPr>
      </w:pPr>
    </w:p>
    <w:p w14:paraId="52AE606C">
      <w:pPr>
        <w:jc w:val="left"/>
        <w:rPr>
          <w:rFonts w:hint="eastAsia" w:ascii="仿宋" w:hAnsi="仿宋" w:eastAsia="仿宋" w:cs="仿宋"/>
          <w:color w:val="auto"/>
          <w:highlight w:val="none"/>
        </w:rPr>
      </w:pPr>
    </w:p>
    <w:p w14:paraId="3A4286A1">
      <w:pPr>
        <w:jc w:val="left"/>
        <w:rPr>
          <w:rFonts w:hint="eastAsia" w:ascii="仿宋" w:hAnsi="仿宋" w:eastAsia="仿宋" w:cs="仿宋"/>
          <w:color w:val="auto"/>
          <w:highlight w:val="none"/>
        </w:rPr>
      </w:pPr>
    </w:p>
    <w:p w14:paraId="2DCB6DA5">
      <w:pPr>
        <w:pStyle w:val="4"/>
        <w:jc w:val="left"/>
        <w:rPr>
          <w:rFonts w:hint="eastAsia" w:ascii="仿宋" w:hAnsi="仿宋" w:eastAsia="仿宋" w:cs="仿宋"/>
          <w:color w:val="auto"/>
          <w:highlight w:val="none"/>
        </w:rPr>
        <w:sectPr>
          <w:pgSz w:w="11906" w:h="16838"/>
          <w:pgMar w:top="1440" w:right="1800" w:bottom="1440" w:left="1800" w:header="851" w:footer="992" w:gutter="0"/>
          <w:pgNumType w:fmt="decimal"/>
          <w:cols w:space="720" w:num="1"/>
          <w:docGrid w:type="lines" w:linePitch="312" w:charSpace="0"/>
        </w:sectPr>
      </w:pPr>
      <w:bookmarkStart w:id="1001" w:name="_Toc106998236"/>
      <w:bookmarkStart w:id="1002" w:name="_Toc9604017"/>
    </w:p>
    <w:p w14:paraId="4193509B">
      <w:pPr>
        <w:pStyle w:val="4"/>
        <w:jc w:val="center"/>
        <w:rPr>
          <w:rFonts w:hint="eastAsia" w:ascii="仿宋" w:hAnsi="仿宋" w:eastAsia="仿宋" w:cs="仿宋"/>
          <w:color w:val="auto"/>
          <w:highlight w:val="none"/>
        </w:rPr>
      </w:pPr>
      <w:r>
        <w:rPr>
          <w:rFonts w:hint="eastAsia" w:ascii="仿宋" w:hAnsi="仿宋" w:eastAsia="仿宋" w:cs="仿宋"/>
          <w:color w:val="auto"/>
          <w:highlight w:val="none"/>
        </w:rPr>
        <w:t>十一、项目经理驻场证明</w:t>
      </w:r>
      <w:bookmarkEnd w:id="1001"/>
      <w:bookmarkEnd w:id="1002"/>
    </w:p>
    <w:p w14:paraId="2A326166">
      <w:pPr>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项目经理驻场承诺</w:t>
      </w:r>
    </w:p>
    <w:p w14:paraId="2B84060D">
      <w:pPr>
        <w:spacing w:line="360" w:lineRule="auto"/>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招标人：</w:t>
      </w:r>
    </w:p>
    <w:p w14:paraId="6FE656E2">
      <w:pPr>
        <w:ind w:firstLine="465"/>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本人</w:t>
      </w:r>
      <w:r>
        <w:rPr>
          <w:rFonts w:hint="eastAsia" w:ascii="仿宋" w:hAnsi="仿宋" w:eastAsia="仿宋" w:cs="仿宋"/>
          <w:color w:val="auto"/>
          <w:szCs w:val="21"/>
          <w:highlight w:val="none"/>
          <w:u w:val="single"/>
        </w:rPr>
        <w:t xml:space="preserve">    （姓名）</w:t>
      </w:r>
      <w:r>
        <w:rPr>
          <w:rFonts w:hint="eastAsia" w:ascii="仿宋" w:hAnsi="仿宋" w:eastAsia="仿宋" w:cs="仿宋"/>
          <w:color w:val="auto"/>
          <w:szCs w:val="21"/>
          <w:highlight w:val="none"/>
        </w:rPr>
        <w:t>系</w:t>
      </w:r>
      <w:r>
        <w:rPr>
          <w:rFonts w:hint="eastAsia" w:ascii="仿宋" w:hAnsi="仿宋" w:eastAsia="仿宋" w:cs="仿宋"/>
          <w:color w:val="auto"/>
          <w:szCs w:val="21"/>
          <w:highlight w:val="none"/>
          <w:u w:val="single"/>
        </w:rPr>
        <w:t xml:space="preserve">    </w:t>
      </w:r>
      <w:r>
        <w:rPr>
          <w:rFonts w:hint="eastAsia" w:ascii="仿宋" w:hAnsi="仿宋" w:eastAsia="仿宋" w:cs="仿宋"/>
          <w:color w:val="auto"/>
          <w:szCs w:val="21"/>
          <w:highlight w:val="none"/>
        </w:rPr>
        <w:t>公司，拟派驻工程项目经理，注册号</w:t>
      </w:r>
      <w:r>
        <w:rPr>
          <w:rFonts w:hint="eastAsia" w:ascii="仿宋" w:hAnsi="仿宋" w:eastAsia="仿宋" w:cs="仿宋"/>
          <w:color w:val="auto"/>
          <w:szCs w:val="21"/>
          <w:highlight w:val="none"/>
          <w:u w:val="single"/>
        </w:rPr>
        <w:t xml:space="preserve">    </w:t>
      </w:r>
      <w:r>
        <w:rPr>
          <w:rFonts w:hint="eastAsia" w:ascii="仿宋" w:hAnsi="仿宋" w:eastAsia="仿宋" w:cs="仿宋"/>
          <w:color w:val="auto"/>
          <w:szCs w:val="21"/>
          <w:highlight w:val="none"/>
        </w:rPr>
        <w:t>。本人郑重承诺在工程建设期间严格遵守国家法律和政策，并严格执行招标文件中的相关要求，在施工现场驻扎。如果出现问题自愿接受招标人处罚。</w:t>
      </w:r>
    </w:p>
    <w:p w14:paraId="05C24D3C">
      <w:pPr>
        <w:ind w:firstLine="465"/>
        <w:jc w:val="left"/>
        <w:rPr>
          <w:rFonts w:hint="eastAsia" w:ascii="仿宋" w:hAnsi="仿宋" w:eastAsia="仿宋" w:cs="仿宋"/>
          <w:color w:val="auto"/>
          <w:szCs w:val="21"/>
          <w:highlight w:val="none"/>
        </w:rPr>
      </w:pPr>
    </w:p>
    <w:p w14:paraId="3A3EB304">
      <w:pPr>
        <w:ind w:firstLine="465"/>
        <w:jc w:val="left"/>
        <w:rPr>
          <w:rFonts w:hint="eastAsia" w:ascii="仿宋" w:hAnsi="仿宋" w:eastAsia="仿宋" w:cs="仿宋"/>
          <w:color w:val="auto"/>
          <w:szCs w:val="21"/>
          <w:highlight w:val="none"/>
        </w:rPr>
      </w:pPr>
    </w:p>
    <w:p w14:paraId="346924A4">
      <w:pPr>
        <w:ind w:firstLine="465"/>
        <w:jc w:val="left"/>
        <w:rPr>
          <w:rFonts w:hint="eastAsia" w:ascii="仿宋" w:hAnsi="仿宋" w:eastAsia="仿宋" w:cs="仿宋"/>
          <w:color w:val="auto"/>
          <w:szCs w:val="21"/>
          <w:highlight w:val="none"/>
        </w:rPr>
      </w:pPr>
    </w:p>
    <w:p w14:paraId="3335AF5C">
      <w:pPr>
        <w:ind w:firstLine="465"/>
        <w:jc w:val="left"/>
        <w:rPr>
          <w:rFonts w:hint="eastAsia" w:ascii="仿宋" w:hAnsi="仿宋" w:eastAsia="仿宋" w:cs="仿宋"/>
          <w:color w:val="auto"/>
          <w:szCs w:val="21"/>
          <w:highlight w:val="none"/>
        </w:rPr>
      </w:pPr>
    </w:p>
    <w:p w14:paraId="6D7E5A5E">
      <w:pPr>
        <w:ind w:firstLine="465"/>
        <w:jc w:val="left"/>
        <w:rPr>
          <w:rFonts w:hint="eastAsia" w:ascii="仿宋" w:hAnsi="仿宋" w:eastAsia="仿宋" w:cs="仿宋"/>
          <w:color w:val="auto"/>
          <w:szCs w:val="21"/>
          <w:highlight w:val="none"/>
        </w:rPr>
      </w:pPr>
    </w:p>
    <w:p w14:paraId="0199E2EF">
      <w:pPr>
        <w:ind w:firstLine="465"/>
        <w:jc w:val="left"/>
        <w:rPr>
          <w:rFonts w:hint="eastAsia" w:ascii="仿宋" w:hAnsi="仿宋" w:eastAsia="仿宋" w:cs="仿宋"/>
          <w:color w:val="auto"/>
          <w:szCs w:val="21"/>
          <w:highlight w:val="none"/>
        </w:rPr>
      </w:pPr>
    </w:p>
    <w:p w14:paraId="42678CDE">
      <w:pPr>
        <w:ind w:firstLine="465"/>
        <w:jc w:val="left"/>
        <w:rPr>
          <w:rFonts w:hint="eastAsia" w:ascii="仿宋" w:hAnsi="仿宋" w:eastAsia="仿宋" w:cs="仿宋"/>
          <w:color w:val="auto"/>
          <w:szCs w:val="21"/>
          <w:highlight w:val="none"/>
        </w:rPr>
      </w:pPr>
    </w:p>
    <w:p w14:paraId="1EC67978">
      <w:pPr>
        <w:ind w:firstLine="465"/>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承诺人：（签字）</w:t>
      </w:r>
    </w:p>
    <w:p w14:paraId="0096D849">
      <w:pPr>
        <w:ind w:firstLine="465"/>
        <w:jc w:val="left"/>
        <w:rPr>
          <w:rFonts w:hint="eastAsia" w:ascii="仿宋" w:hAnsi="仿宋" w:eastAsia="仿宋" w:cs="仿宋"/>
          <w:color w:val="auto"/>
          <w:szCs w:val="21"/>
          <w:highlight w:val="none"/>
        </w:rPr>
      </w:pPr>
    </w:p>
    <w:p w14:paraId="7C675794">
      <w:pPr>
        <w:ind w:firstLine="465"/>
        <w:jc w:val="left"/>
        <w:rPr>
          <w:rFonts w:hint="eastAsia" w:ascii="仿宋" w:hAnsi="仿宋" w:eastAsia="仿宋" w:cs="仿宋"/>
          <w:color w:val="auto"/>
          <w:szCs w:val="21"/>
          <w:highlight w:val="none"/>
        </w:rPr>
      </w:pPr>
    </w:p>
    <w:p w14:paraId="30CCC2D5">
      <w:pPr>
        <w:spacing w:line="360" w:lineRule="auto"/>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年月日</w:t>
      </w:r>
    </w:p>
    <w:p w14:paraId="20613A0A">
      <w:pPr>
        <w:spacing w:line="360" w:lineRule="auto"/>
        <w:jc w:val="left"/>
        <w:rPr>
          <w:rFonts w:hint="eastAsia" w:ascii="仿宋" w:hAnsi="仿宋" w:eastAsia="仿宋" w:cs="仿宋"/>
          <w:color w:val="auto"/>
          <w:sz w:val="24"/>
          <w:highlight w:val="none"/>
        </w:rPr>
      </w:pPr>
    </w:p>
    <w:p w14:paraId="5A00A6CA">
      <w:pPr>
        <w:spacing w:line="360" w:lineRule="auto"/>
        <w:jc w:val="left"/>
        <w:rPr>
          <w:rFonts w:hint="eastAsia" w:ascii="仿宋" w:hAnsi="仿宋" w:eastAsia="仿宋" w:cs="仿宋"/>
          <w:color w:val="auto"/>
          <w:sz w:val="24"/>
          <w:highlight w:val="none"/>
        </w:rPr>
      </w:pPr>
    </w:p>
    <w:p w14:paraId="38A5AFDB">
      <w:pPr>
        <w:spacing w:line="360" w:lineRule="auto"/>
        <w:jc w:val="left"/>
        <w:rPr>
          <w:rFonts w:hint="eastAsia" w:ascii="仿宋" w:hAnsi="仿宋" w:eastAsia="仿宋" w:cs="仿宋"/>
          <w:color w:val="auto"/>
          <w:sz w:val="24"/>
          <w:highlight w:val="none"/>
        </w:rPr>
      </w:pPr>
    </w:p>
    <w:p w14:paraId="3D3C4DCE">
      <w:pPr>
        <w:spacing w:line="360" w:lineRule="auto"/>
        <w:jc w:val="left"/>
        <w:rPr>
          <w:rFonts w:hint="eastAsia" w:ascii="仿宋" w:hAnsi="仿宋" w:eastAsia="仿宋" w:cs="仿宋"/>
          <w:color w:val="auto"/>
          <w:sz w:val="24"/>
          <w:highlight w:val="none"/>
        </w:rPr>
      </w:pPr>
    </w:p>
    <w:p w14:paraId="0A436C26">
      <w:pPr>
        <w:spacing w:line="360" w:lineRule="auto"/>
        <w:jc w:val="left"/>
        <w:rPr>
          <w:rFonts w:hint="eastAsia" w:ascii="仿宋" w:hAnsi="仿宋" w:eastAsia="仿宋" w:cs="仿宋"/>
          <w:color w:val="auto"/>
          <w:sz w:val="24"/>
          <w:highlight w:val="none"/>
        </w:rPr>
      </w:pPr>
    </w:p>
    <w:p w14:paraId="6B2E7ED5">
      <w:pPr>
        <w:spacing w:line="360" w:lineRule="auto"/>
        <w:jc w:val="left"/>
        <w:rPr>
          <w:rFonts w:hint="eastAsia" w:ascii="仿宋" w:hAnsi="仿宋" w:eastAsia="仿宋" w:cs="仿宋"/>
          <w:color w:val="auto"/>
          <w:sz w:val="24"/>
          <w:highlight w:val="none"/>
        </w:rPr>
      </w:pPr>
    </w:p>
    <w:p w14:paraId="1C587A07">
      <w:pPr>
        <w:pStyle w:val="4"/>
        <w:jc w:val="left"/>
        <w:rPr>
          <w:rFonts w:hint="eastAsia" w:ascii="仿宋" w:hAnsi="仿宋" w:eastAsia="仿宋" w:cs="仿宋"/>
          <w:color w:val="auto"/>
          <w:highlight w:val="none"/>
        </w:rPr>
        <w:sectPr>
          <w:pgSz w:w="11906" w:h="16838"/>
          <w:pgMar w:top="1440" w:right="1800" w:bottom="1440" w:left="1800" w:header="851" w:footer="992" w:gutter="0"/>
          <w:pgNumType w:fmt="decimal"/>
          <w:cols w:space="720" w:num="1"/>
          <w:docGrid w:type="lines" w:linePitch="312" w:charSpace="0"/>
        </w:sectPr>
      </w:pPr>
      <w:bookmarkStart w:id="1003" w:name="_Toc106998237"/>
    </w:p>
    <w:p w14:paraId="3803CCF0">
      <w:pPr>
        <w:pStyle w:val="4"/>
        <w:jc w:val="center"/>
        <w:rPr>
          <w:rFonts w:hint="eastAsia" w:ascii="仿宋" w:hAnsi="仿宋" w:eastAsia="仿宋" w:cs="仿宋"/>
          <w:color w:val="auto"/>
          <w:highlight w:val="none"/>
        </w:rPr>
      </w:pPr>
      <w:r>
        <w:rPr>
          <w:rFonts w:hint="eastAsia" w:ascii="仿宋" w:hAnsi="仿宋" w:eastAsia="仿宋" w:cs="仿宋"/>
          <w:color w:val="auto"/>
          <w:highlight w:val="none"/>
        </w:rPr>
        <w:t>十二、投标人告知承诺函</w:t>
      </w:r>
      <w:bookmarkEnd w:id="1003"/>
    </w:p>
    <w:p w14:paraId="5A68242D">
      <w:pPr>
        <w:spacing w:line="600" w:lineRule="exact"/>
        <w:jc w:val="left"/>
        <w:rPr>
          <w:rFonts w:hint="eastAsia" w:ascii="仿宋" w:hAnsi="仿宋" w:eastAsia="仿宋" w:cs="仿宋"/>
          <w:color w:val="auto"/>
          <w:sz w:val="30"/>
          <w:szCs w:val="30"/>
          <w:highlight w:val="none"/>
          <w:u w:val="single"/>
        </w:rPr>
      </w:pPr>
    </w:p>
    <w:p w14:paraId="400C6B18">
      <w:pPr>
        <w:spacing w:line="600" w:lineRule="exact"/>
        <w:ind w:left="0" w:leftChars="0" w:firstLine="0" w:firstLineChars="0"/>
        <w:jc w:val="left"/>
        <w:rPr>
          <w:rFonts w:hint="eastAsia" w:ascii="仿宋" w:hAnsi="仿宋" w:eastAsia="仿宋" w:cs="仿宋"/>
          <w:color w:val="auto"/>
          <w:szCs w:val="21"/>
          <w:highlight w:val="none"/>
          <w:u w:val="single"/>
        </w:rPr>
      </w:pPr>
      <w:r>
        <w:rPr>
          <w:rFonts w:hint="eastAsia" w:ascii="仿宋" w:hAnsi="仿宋" w:eastAsia="仿宋" w:cs="仿宋"/>
          <w:color w:val="auto"/>
          <w:szCs w:val="21"/>
          <w:highlight w:val="none"/>
          <w:u w:val="single"/>
        </w:rPr>
        <w:t>招标人名称、行政监管部门：</w:t>
      </w:r>
    </w:p>
    <w:p w14:paraId="14DDA3BF">
      <w:pPr>
        <w:spacing w:line="600" w:lineRule="exact"/>
        <w:ind w:firstLine="48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我单位参与</w:t>
      </w:r>
      <w:r>
        <w:rPr>
          <w:rFonts w:hint="eastAsia" w:ascii="仿宋" w:hAnsi="仿宋" w:eastAsia="仿宋" w:cs="仿宋"/>
          <w:color w:val="auto"/>
          <w:szCs w:val="21"/>
          <w:highlight w:val="none"/>
          <w:u w:val="single"/>
        </w:rPr>
        <w:t>（招标项目名称）</w:t>
      </w:r>
      <w:r>
        <w:rPr>
          <w:rFonts w:hint="eastAsia" w:ascii="仿宋" w:hAnsi="仿宋" w:eastAsia="仿宋" w:cs="仿宋"/>
          <w:color w:val="auto"/>
          <w:szCs w:val="21"/>
          <w:highlight w:val="none"/>
        </w:rPr>
        <w:t>的投标。根据《中华人民共和国招标投标法》等法律法规的规定，我已知悉本单位相关权利义务，作为法定代表人（或授权委托人），本人清楚知晓我单位在本项目投标活动的情况。本人已详细阅读告知承诺函的内容，并在此郑重承诺：</w:t>
      </w:r>
    </w:p>
    <w:p w14:paraId="5783ABD3">
      <w:pPr>
        <w:spacing w:line="600" w:lineRule="exact"/>
        <w:ind w:firstLine="48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一、我单位和我本人遵循公开、公平、公正、诚实守信的原则，依法依规参与本项目投标。</w:t>
      </w:r>
    </w:p>
    <w:p w14:paraId="580C012B">
      <w:pPr>
        <w:spacing w:line="600" w:lineRule="exact"/>
        <w:ind w:firstLine="48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二、我单位具有参与本次投标的资质和能力，公司运营状况良好，不存在挂靠投标、不受让、租借、出租、出借资格或资质证书，无处罚期内的不良行为。</w:t>
      </w:r>
    </w:p>
    <w:p w14:paraId="36024F0A">
      <w:pPr>
        <w:spacing w:line="600" w:lineRule="exact"/>
        <w:ind w:firstLine="48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三、我单位在本项目投标过程中从招标公告/投标邀请书列明的渠道获取招标文件，没有通过其他不正当渠道获取招标文件。</w:t>
      </w:r>
    </w:p>
    <w:p w14:paraId="05EC0DF6">
      <w:pPr>
        <w:spacing w:line="600" w:lineRule="exact"/>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 xml:space="preserve">    四、我单位承诺投标文件由本单位员工独立编制，严格遵守保密义务。所提供的一切投标相关材料都是真实、有效、合法的。</w:t>
      </w:r>
    </w:p>
    <w:p w14:paraId="0F18E18B">
      <w:pPr>
        <w:spacing w:line="600" w:lineRule="exact"/>
        <w:ind w:firstLine="48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五、我单位不与其他投标人相互串通投标报价，不恶意压低或抬高投标报价，不排挤其他投标人的公平竞争，不损害招标人或其他投标人的合法权益。</w:t>
      </w:r>
    </w:p>
    <w:p w14:paraId="360580DC">
      <w:pPr>
        <w:spacing w:line="600" w:lineRule="exact"/>
        <w:ind w:firstLine="48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六、我单位不与招标人或招标代理机构串通投标，损害国家利益、社会公共利益或者他人的合法权益。</w:t>
      </w:r>
    </w:p>
    <w:p w14:paraId="26090313">
      <w:pPr>
        <w:spacing w:line="600" w:lineRule="exact"/>
        <w:ind w:firstLine="48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七、我单位不向招标人或者评标委员会成员行贿以牟取中标，不在开标后进行虚假恶意投诉。</w:t>
      </w:r>
    </w:p>
    <w:p w14:paraId="6808C191">
      <w:pPr>
        <w:spacing w:line="600" w:lineRule="exact"/>
        <w:ind w:firstLine="48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八、我单位和我个人清楚并知晓《中华人民共和国刑法》第二百二十三条“投标人相互串通投标报价，损害招标人或者其他投标人利益，情节严重的，处三年以下有期徒刑或者拘役，并处或者单处罚金。投标人与招标人串通投标，损害国家、集体、公民的合法利益的，依照前款的规定处罚”的规定。</w:t>
      </w:r>
    </w:p>
    <w:p w14:paraId="09016256">
      <w:pPr>
        <w:spacing w:line="600" w:lineRule="exact"/>
        <w:ind w:firstLine="48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九、我单位如在本项目招标投标活动评标工作中存在串通投标、弄虚作假等行为的，本单位及本人自愿承担法律责任，接受相应刑事、纪律和行政处罚以及失信惩戒。</w:t>
      </w:r>
    </w:p>
    <w:p w14:paraId="02716A29">
      <w:pPr>
        <w:spacing w:line="600" w:lineRule="exact"/>
        <w:ind w:firstLine="48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十、本承诺函由我单位盖章及法定代表人（授权委托人）本人亲自签字确认。</w:t>
      </w:r>
    </w:p>
    <w:p w14:paraId="60600F1B">
      <w:pPr>
        <w:spacing w:line="600" w:lineRule="exact"/>
        <w:ind w:firstLine="480" w:firstLineChars="200"/>
        <w:jc w:val="left"/>
        <w:rPr>
          <w:rFonts w:hint="eastAsia" w:ascii="仿宋" w:hAnsi="仿宋" w:eastAsia="仿宋" w:cs="仿宋"/>
          <w:color w:val="auto"/>
          <w:szCs w:val="21"/>
          <w:highlight w:val="none"/>
          <w:shd w:val="clear" w:color="auto" w:fill="FFFFFF"/>
        </w:rPr>
      </w:pPr>
    </w:p>
    <w:p w14:paraId="248DD9C2">
      <w:pPr>
        <w:spacing w:line="600" w:lineRule="exact"/>
        <w:ind w:firstLine="480" w:firstLineChars="200"/>
        <w:jc w:val="left"/>
        <w:rPr>
          <w:rFonts w:hint="eastAsia" w:ascii="仿宋" w:hAnsi="仿宋" w:eastAsia="仿宋" w:cs="仿宋"/>
          <w:color w:val="auto"/>
          <w:szCs w:val="21"/>
          <w:highlight w:val="none"/>
          <w:shd w:val="clear" w:color="auto" w:fill="FFFFFF"/>
        </w:rPr>
      </w:pPr>
    </w:p>
    <w:p w14:paraId="43260297">
      <w:pPr>
        <w:spacing w:line="600" w:lineRule="exact"/>
        <w:ind w:firstLine="360" w:firstLineChars="15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承诺单位：     （盖单位公章）</w:t>
      </w:r>
    </w:p>
    <w:p w14:paraId="2E83EDD2">
      <w:pPr>
        <w:spacing w:line="600" w:lineRule="exact"/>
        <w:jc w:val="left"/>
        <w:rPr>
          <w:rFonts w:hint="eastAsia" w:ascii="仿宋" w:hAnsi="仿宋" w:eastAsia="仿宋" w:cs="仿宋"/>
          <w:color w:val="auto"/>
          <w:szCs w:val="21"/>
          <w:highlight w:val="none"/>
        </w:rPr>
      </w:pPr>
    </w:p>
    <w:p w14:paraId="338801CD">
      <w:pPr>
        <w:spacing w:line="600" w:lineRule="exact"/>
        <w:ind w:firstLine="360" w:firstLineChars="15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法定代表人（或授权委托人）：        （签字或盖章）</w:t>
      </w:r>
    </w:p>
    <w:p w14:paraId="27B569B6">
      <w:pPr>
        <w:spacing w:line="600" w:lineRule="exact"/>
        <w:jc w:val="left"/>
        <w:rPr>
          <w:rFonts w:hint="eastAsia" w:ascii="仿宋" w:hAnsi="仿宋" w:eastAsia="仿宋" w:cs="仿宋"/>
          <w:color w:val="auto"/>
          <w:szCs w:val="21"/>
          <w:highlight w:val="none"/>
        </w:rPr>
      </w:pPr>
    </w:p>
    <w:p w14:paraId="4818E566">
      <w:pPr>
        <w:spacing w:line="600" w:lineRule="exact"/>
        <w:jc w:val="left"/>
        <w:rPr>
          <w:rFonts w:hint="eastAsia" w:ascii="仿宋" w:hAnsi="仿宋" w:eastAsia="仿宋" w:cs="仿宋"/>
          <w:color w:val="auto"/>
          <w:szCs w:val="21"/>
          <w:highlight w:val="none"/>
        </w:rPr>
      </w:pPr>
    </w:p>
    <w:p w14:paraId="6CAE5D5A">
      <w:pPr>
        <w:pStyle w:val="15"/>
        <w:jc w:val="lef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承诺时间：    年   月  日</w:t>
      </w:r>
    </w:p>
    <w:p w14:paraId="47A564F3">
      <w:pPr>
        <w:pStyle w:val="4"/>
        <w:jc w:val="left"/>
        <w:rPr>
          <w:rFonts w:hint="eastAsia" w:ascii="仿宋" w:hAnsi="仿宋" w:eastAsia="仿宋" w:cs="仿宋"/>
          <w:bCs/>
          <w:color w:val="auto"/>
          <w:sz w:val="36"/>
          <w:szCs w:val="36"/>
          <w:highlight w:val="none"/>
        </w:rPr>
      </w:pPr>
    </w:p>
    <w:p w14:paraId="0217F178">
      <w:pPr>
        <w:pStyle w:val="2"/>
        <w:jc w:val="left"/>
        <w:rPr>
          <w:rFonts w:hint="eastAsia" w:ascii="仿宋" w:hAnsi="仿宋" w:eastAsia="仿宋" w:cs="仿宋"/>
          <w:color w:val="auto"/>
          <w:highlight w:val="none"/>
        </w:rPr>
      </w:pPr>
    </w:p>
    <w:sectPr>
      <w:pgSz w:w="11906" w:h="16838"/>
      <w:pgMar w:top="1440" w:right="1800" w:bottom="1440" w:left="1800" w:header="851" w:footer="992" w:gutter="0"/>
      <w:pgNumType w:fmt="decimal"/>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7E913DB2-1D7C-4EDB-85C6-23126063B630}"/>
  </w:font>
  <w:font w:name="黑体">
    <w:panose1 w:val="02010609060101010101"/>
    <w:charset w:val="86"/>
    <w:family w:val="auto"/>
    <w:pitch w:val="default"/>
    <w:sig w:usb0="800002BF" w:usb1="38CF7CFA" w:usb2="00000016" w:usb3="00000000" w:csb0="00040001" w:csb1="00000000"/>
    <w:embedRegular r:id="rId2" w:fontKey="{0EA3F72D-0AFE-4469-AF3A-8E4DBD7207E5}"/>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3" w:fontKey="{92D2E2B2-BF57-4D6C-9D27-E0350E5C96DB}"/>
  </w:font>
  <w:font w:name="仿宋">
    <w:panose1 w:val="02010609060101010101"/>
    <w:charset w:val="86"/>
    <w:family w:val="modern"/>
    <w:pitch w:val="default"/>
    <w:sig w:usb0="800002BF" w:usb1="38CF7CFA" w:usb2="00000016" w:usb3="00000000" w:csb0="00040001" w:csb1="00000000"/>
    <w:embedRegular r:id="rId4" w:fontKey="{6DB08474-BFB1-4714-9DD3-623D8815F80E}"/>
  </w:font>
  <w:font w:name="Cambria">
    <w:panose1 w:val="02040503050406030204"/>
    <w:charset w:val="00"/>
    <w:family w:val="roman"/>
    <w:pitch w:val="default"/>
    <w:sig w:usb0="E00006FF" w:usb1="420024FF" w:usb2="02000000" w:usb3="00000000" w:csb0="2000019F" w:csb1="00000000"/>
  </w:font>
  <w:font w:name="楷体_GB2312">
    <w:altName w:val="楷体"/>
    <w:panose1 w:val="02010609030101010101"/>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TimesNewRomanPSMT">
    <w:altName w:val="Times New Roman"/>
    <w:panose1 w:val="00000000000000000000"/>
    <w:charset w:val="00"/>
    <w:family w:val="roman"/>
    <w:pitch w:val="default"/>
    <w:sig w:usb0="00000000" w:usb1="00000000" w:usb2="00000000" w:usb3="00000000" w:csb0="00000001" w:csb1="00000000"/>
  </w:font>
  <w:font w:name="楷书_2312">
    <w:altName w:val="宋体"/>
    <w:panose1 w:val="00000000000000000000"/>
    <w:charset w:val="86"/>
    <w:family w:val="roman"/>
    <w:pitch w:val="default"/>
    <w:sig w:usb0="00000000" w:usb1="00000000" w:usb2="00000804" w:usb3="00000000" w:csb0="0000000D" w:csb1="FFFFFFFF"/>
  </w:font>
  <w:font w:name="仿宋_GB2312">
    <w:altName w:val="仿宋"/>
    <w:panose1 w:val="02010609030101010101"/>
    <w:charset w:val="86"/>
    <w:family w:val="modern"/>
    <w:pitch w:val="default"/>
    <w:sig w:usb0="00000000" w:usb1="00000000" w:usb2="00000010" w:usb3="00000000" w:csb0="00040000" w:csb1="00000000"/>
    <w:embedRegular r:id="rId5" w:fontKey="{F300FAA0-891A-400C-B85C-5B06705D5ADC}"/>
  </w:font>
  <w:font w:name="Arial Unicode MS">
    <w:altName w:val="宋体"/>
    <w:panose1 w:val="020B0604020202020204"/>
    <w:charset w:val="86"/>
    <w:family w:val="swiss"/>
    <w:pitch w:val="default"/>
    <w:sig w:usb0="00000000" w:usb1="00000000" w:usb2="0000003F" w:usb3="00000000" w:csb0="603F01FF" w:csb1="FFFF0000"/>
  </w:font>
  <w:font w:name="Helvetica Neue">
    <w:altName w:val="宋体"/>
    <w:panose1 w:val="00000000000000000000"/>
    <w:charset w:val="86"/>
    <w:family w:val="roman"/>
    <w:pitch w:val="default"/>
    <w:sig w:usb0="00000000" w:usb1="00000000" w:usb2="00000000" w:usb3="00000000" w:csb0="00000000" w:csb1="00000000"/>
  </w:font>
  <w:font w:name="等线">
    <w:panose1 w:val="02010600030101010101"/>
    <w:charset w:val="86"/>
    <w:family w:val="auto"/>
    <w:pitch w:val="default"/>
    <w:sig w:usb0="A00002BF" w:usb1="38CF7CFA" w:usb2="00000016" w:usb3="00000000" w:csb0="0004000F" w:csb1="00000000"/>
    <w:embedRegular r:id="rId6" w:fontKey="{5AE1C677-BCFA-4E00-98A6-F1D9E4F668D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BBD021">
    <w:r>
      <w:rPr>
        <w:sz w:val="24"/>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B9C3F79">
                          <w:pPr>
                            <w:pStyle w:val="26"/>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1B9C3F79">
                    <w:pPr>
                      <w:pStyle w:val="26"/>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2A6A53">
    <w:pPr>
      <w:pStyle w:val="105"/>
      <w:framePr w:wrap="auto" w:vAnchor="margin" w:hAnchor="text" w:yAlign="inline"/>
      <w:ind w:firstLine="360"/>
      <w:rPr>
        <w:rFonts w:hint="default"/>
      </w:rPr>
    </w:pPr>
    <w:r>
      <w:rPr>
        <w:sz w:val="18"/>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52BE33A">
                          <w:pPr>
                            <w:pStyle w:val="26"/>
                          </w:pPr>
                          <w:r>
                            <w:fldChar w:fldCharType="begin"/>
                          </w:r>
                          <w:r>
                            <w:instrText xml:space="preserve"> PAGE  \* MERGEFORMAT </w:instrText>
                          </w:r>
                          <w:r>
                            <w:fldChar w:fldCharType="separate"/>
                          </w:r>
                          <w:r>
                            <w:t>41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3z1oQ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upumEbFL9+/XX78&#10;uvz8SnAGgWoX5ojbOUTG5q1tEDycBxwm3k3pdfqCEYEf8p6v8oomEp4uzaaz2RguDt+wAX72eN35&#10;EN8Jq0kycupRv1ZWdtqG2IUOISmbsRupVFtDZUid05vXb8bthasH4MogRyLRPTZZsdk3PbO9Lc4g&#10;5m3XG8HxjUTyLQvxgXk0Ax6McYn3WEplkcT2FiWV9V/+dZ7iUSN4KanRXDk1mCVK1HuD2gEwDoYf&#10;jP1gmKO+s+jWCcbQ8dbEBR/VYJbe6s+YoVXKARczHJlyGgfzLnYNjhnkYrVqg47Oy0PVXUDnORa3&#10;Zud4SpOEDG51jBCz1TgJ1KnS64bea6vUz0lq7j/3bdTjv2H5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989aEMQIAAGMEAAAOAAAAAAAAAAEAIAAAAB8BAABkcnMvZTJvRG9jLnhtbFBLBQYA&#10;AAAABgAGAFkBAADCBQAAAAA=&#10;">
              <v:fill on="f" focussize="0,0"/>
              <v:stroke on="f" weight="0.5pt"/>
              <v:imagedata o:title=""/>
              <o:lock v:ext="edit" aspectratio="f"/>
              <v:textbox inset="0mm,0mm,0mm,0mm" style="mso-fit-shape-to-text:t;">
                <w:txbxContent>
                  <w:p w14:paraId="352BE33A">
                    <w:pPr>
                      <w:pStyle w:val="26"/>
                    </w:pPr>
                    <w:r>
                      <w:fldChar w:fldCharType="begin"/>
                    </w:r>
                    <w:r>
                      <w:instrText xml:space="preserve"> PAGE  \* MERGEFORMAT </w:instrText>
                    </w:r>
                    <w:r>
                      <w:fldChar w:fldCharType="separate"/>
                    </w:r>
                    <w:r>
                      <w:t>41</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A32A28">
    <w:pPr>
      <w:pStyle w:val="26"/>
      <w:rPr>
        <w:rFonts w:hint="eastAsia" w:cs="宋体"/>
      </w:rPr>
    </w:pPr>
    <w:r>
      <w:rPr>
        <w:sz w:val="18"/>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C611FD3">
                          <w:pPr>
                            <w:pStyle w:val="26"/>
                          </w:pPr>
                          <w:r>
                            <w:fldChar w:fldCharType="begin"/>
                          </w:r>
                          <w:r>
                            <w:instrText xml:space="preserve"> PAGE  \* MERGEFORMAT </w:instrText>
                          </w:r>
                          <w:r>
                            <w:fldChar w:fldCharType="separate"/>
                          </w:r>
                          <w:r>
                            <w:t>59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9bQWsy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tBazICAABjBAAADgAAAAAAAAABACAAAAAfAQAAZHJzL2Uyb0RvYy54bWxQSwUG&#10;AAAAAAYABgBZAQAAwwUAAAAA&#10;">
              <v:fill on="f" focussize="0,0"/>
              <v:stroke on="f" weight="0.5pt"/>
              <v:imagedata o:title=""/>
              <o:lock v:ext="edit" aspectratio="f"/>
              <v:textbox inset="0mm,0mm,0mm,0mm" style="mso-fit-shape-to-text:t;">
                <w:txbxContent>
                  <w:p w14:paraId="2C611FD3">
                    <w:pPr>
                      <w:pStyle w:val="26"/>
                    </w:pPr>
                    <w:r>
                      <w:fldChar w:fldCharType="begin"/>
                    </w:r>
                    <w:r>
                      <w:instrText xml:space="preserve"> PAGE  \* MERGEFORMAT </w:instrText>
                    </w:r>
                    <w:r>
                      <w:fldChar w:fldCharType="separate"/>
                    </w:r>
                    <w:r>
                      <w:t>59</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FA53B3">
    <w:pPr>
      <w:pStyle w:val="26"/>
      <w:jc w:val="center"/>
    </w:pPr>
    <w:r>
      <w:fldChar w:fldCharType="begin"/>
    </w:r>
    <w:r>
      <w:instrText xml:space="preserve">PAGE   \* MERGEFORMAT</w:instrText>
    </w:r>
    <w:r>
      <w:fldChar w:fldCharType="separate"/>
    </w:r>
    <w:r>
      <w:rPr>
        <w:lang w:val="zh-CN"/>
      </w:rPr>
      <w:t>3</w:t>
    </w:r>
    <w:r>
      <w:fldChar w:fldCharType="end"/>
    </w:r>
  </w:p>
  <w:p w14:paraId="4A804537">
    <w:pPr>
      <w:pStyle w:val="2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112657">
    <w:pPr>
      <w:pStyle w:val="26"/>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A02ACC7">
                          <w:pPr>
                            <w:pStyle w:val="26"/>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A02ACC7">
                    <w:pPr>
                      <w:pStyle w:val="26"/>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AF1224">
    <w:pPr>
      <w:pStyle w:val="26"/>
      <w:tabs>
        <w:tab w:val="clear" w:pos="4153"/>
        <w:tab w:val="clear" w:pos="8306"/>
      </w:tabs>
      <w:ind w:firstLine="480"/>
      <w:rPr>
        <w:rFonts w:ascii="Times New Roman" w:hAnsi="Times New Roman" w:eastAsia="仿宋_GB2312"/>
        <w:sz w:val="24"/>
      </w:rPr>
    </w:pPr>
    <w:r>
      <w:rPr>
        <w:sz w:val="24"/>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CB304AD">
                          <w:pPr>
                            <w:pStyle w:val="26"/>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14:paraId="3CB304AD">
                    <w:pPr>
                      <w:pStyle w:val="26"/>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E37B21">
    <w:pPr>
      <w:pStyle w:val="26"/>
      <w:ind w:firstLine="360"/>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7A47902">
                          <w:pPr>
                            <w:pStyle w:val="26"/>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14:paraId="77A47902">
                    <w:pPr>
                      <w:pStyle w:val="26"/>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0502D0">
    <w:pPr>
      <w:pStyle w:val="26"/>
      <w:tabs>
        <w:tab w:val="clear" w:pos="4153"/>
        <w:tab w:val="clear" w:pos="8306"/>
      </w:tabs>
      <w:ind w:firstLine="480"/>
      <w:rPr>
        <w:rFonts w:ascii="Times New Roman" w:hAnsi="Times New Roman" w:eastAsia="仿宋_GB2312"/>
        <w:sz w:val="24"/>
      </w:rPr>
    </w:pPr>
    <w:r>
      <w:rPr>
        <w:sz w:val="24"/>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66FA06B">
                          <w:pPr>
                            <w:pStyle w:val="26"/>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MFE50y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QYphGxU8/vp9+&#10;Ppx+fSM4g0CNCzPE3TtExvadbRE8nAccJt5t5XX6ghGBH/IeL/KKNhKeLk0n02kOF4dv2AA/e7zu&#10;fIjvhdUkGQX1qF8nKztsQuxDh5CUzdi1VKqroTKkKejV67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IwUTnTICAABjBAAADgAAAAAAAAABACAAAAAfAQAAZHJzL2Uyb0RvYy54bWxQSwUG&#10;AAAAAAYABgBZAQAAwwUAAAAA&#10;">
              <v:fill on="f" focussize="0,0"/>
              <v:stroke on="f" weight="0.5pt"/>
              <v:imagedata o:title=""/>
              <o:lock v:ext="edit" aspectratio="f"/>
              <v:textbox inset="0mm,0mm,0mm,0mm" style="mso-fit-shape-to-text:t;">
                <w:txbxContent>
                  <w:p w14:paraId="166FA06B">
                    <w:pPr>
                      <w:pStyle w:val="26"/>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406D3C">
    <w:pPr>
      <w:pStyle w:val="26"/>
      <w:ind w:firstLine="360"/>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DA44450">
                          <w:pPr>
                            <w:pStyle w:val="26"/>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GthHIzAgAAY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Wgg3X1vuouoPMs&#10;C1v9YHlME4X0dnUIEDNpHAXqVOl1Q++lKvVzEpv7z32Kevo3LB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GthHIzAgAAYwQAAA4AAAAAAAAAAQAgAAAAHwEAAGRycy9lMm9Eb2MueG1sUEsF&#10;BgAAAAAGAAYAWQEAAMQFAAAAAA==&#10;">
              <v:fill on="f" focussize="0,0"/>
              <v:stroke on="f" weight="0.5pt"/>
              <v:imagedata o:title=""/>
              <o:lock v:ext="edit" aspectratio="f"/>
              <v:textbox inset="0mm,0mm,0mm,0mm" style="mso-fit-shape-to-text:t;">
                <w:txbxContent>
                  <w:p w14:paraId="0DA44450">
                    <w:pPr>
                      <w:pStyle w:val="26"/>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38AA48">
    <w:pPr>
      <w:pStyle w:val="105"/>
      <w:framePr w:wrap="auto" w:vAnchor="margin" w:hAnchor="text" w:yAlign="inline"/>
      <w:tabs>
        <w:tab w:val="left" w:pos="697"/>
        <w:tab w:val="clear" w:pos="4153"/>
      </w:tabs>
      <w:ind w:firstLine="360"/>
      <w:rPr>
        <w:rFonts w:hint="default"/>
      </w:rPr>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0D771D8">
                          <w:pPr>
                            <w:pStyle w:val="26"/>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ZTTZk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gt0wowSwzQqfvn+7fLj&#10;1+XnV4IzCFS7sEDcg0NkbN7aBsHDecBh4t2UXqcvGBH4Ie/5Kq9oIuHp0nw6n4/h4vANG+Bnj9ed&#10;D/GdsJokI6ce9WtlZaddiF3oEJKyGbuVSrU1VIbUOZ29fjNuL1w9AFcGORKJ7rHJis2+6ZntbXEG&#10;MW+73giObyWS71iI98yjGfBgjEu8w1IqiyS2tyiprP/yr/MUjxrBS0mN5sqpwSxRot4b1A6AcTD8&#10;YOwHwxz1rUW3TjCGjrcmLvioBrP0Vn/GDK1TDriY4ciU0ziYt7FrcMwgF+t1G3R0Xh6q7gI6z7G4&#10;Mw+OpzRJyODWxwgxW42TQJ0qvW7ovbZK/Zyk5v5z30Y9/ht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5lNNmTICAABjBAAADgAAAAAAAAABACAAAAAfAQAAZHJzL2Uyb0RvYy54bWxQSwUG&#10;AAAAAAYABgBZAQAAwwUAAAAA&#10;">
              <v:fill on="f" focussize="0,0"/>
              <v:stroke on="f" weight="0.5pt"/>
              <v:imagedata o:title=""/>
              <o:lock v:ext="edit" aspectratio="f"/>
              <v:textbox inset="0mm,0mm,0mm,0mm" style="mso-fit-shape-to-text:t;">
                <w:txbxContent>
                  <w:p w14:paraId="30D771D8">
                    <w:pPr>
                      <w:pStyle w:val="26"/>
                    </w:pPr>
                    <w:r>
                      <w:fldChar w:fldCharType="begin"/>
                    </w:r>
                    <w:r>
                      <w:instrText xml:space="preserve"> PAGE  \* MERGEFORMAT </w:instrText>
                    </w:r>
                    <w:r>
                      <w:fldChar w:fldCharType="separate"/>
                    </w:r>
                    <w:r>
                      <w:t>1</w:t>
                    </w:r>
                    <w:r>
                      <w:fldChar w:fldCharType="end"/>
                    </w:r>
                  </w:p>
                </w:txbxContent>
              </v:textbox>
            </v:shape>
          </w:pict>
        </mc:Fallback>
      </mc:AlternateContent>
    </w:r>
    <w:r>
      <w:rPr>
        <w:rFonts w:eastAsia="宋体"/>
      </w:rPr>
      <w:tab/>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2D9D94">
    <w:pPr>
      <w:pStyle w:val="105"/>
      <w:framePr w:wrap="auto" w:vAnchor="margin" w:hAnchor="text" w:yAlign="inline"/>
      <w:tabs>
        <w:tab w:val="left" w:pos="697"/>
        <w:tab w:val="clear" w:pos="4153"/>
      </w:tabs>
      <w:ind w:firstLine="360"/>
      <w:rPr>
        <w:rFonts w:hint="default"/>
      </w:rPr>
    </w:pPr>
    <w:r>
      <w:rPr>
        <w:sz w:val="18"/>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2B43B3C">
                          <w:pPr>
                            <w:pStyle w:val="26"/>
                          </w:pPr>
                          <w:r>
                            <w:fldChar w:fldCharType="begin"/>
                          </w:r>
                          <w:r>
                            <w:instrText xml:space="preserve"> PAGE  \* MERGEFORMAT </w:instrText>
                          </w:r>
                          <w:r>
                            <w:fldChar w:fldCharType="separate"/>
                          </w:r>
                          <w:r>
                            <w:t>42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T72nYy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pPvadjICAABjBAAADgAAAAAAAAABACAAAAAfAQAAZHJzL2Uyb0RvYy54bWxQSwUG&#10;AAAAAAYABgBZAQAAwwUAAAAA&#10;">
              <v:fill on="f" focussize="0,0"/>
              <v:stroke on="f" weight="0.5pt"/>
              <v:imagedata o:title=""/>
              <o:lock v:ext="edit" aspectratio="f"/>
              <v:textbox inset="0mm,0mm,0mm,0mm" style="mso-fit-shape-to-text:t;">
                <w:txbxContent>
                  <w:p w14:paraId="02B43B3C">
                    <w:pPr>
                      <w:pStyle w:val="26"/>
                    </w:pPr>
                    <w:r>
                      <w:fldChar w:fldCharType="begin"/>
                    </w:r>
                    <w:r>
                      <w:instrText xml:space="preserve"> PAGE  \* MERGEFORMAT </w:instrText>
                    </w:r>
                    <w:r>
                      <w:fldChar w:fldCharType="separate"/>
                    </w:r>
                    <w:r>
                      <w:t>42</w:t>
                    </w:r>
                    <w:r>
                      <w:fldChar w:fldCharType="end"/>
                    </w:r>
                  </w:p>
                </w:txbxContent>
              </v:textbox>
            </v:shape>
          </w:pict>
        </mc:Fallback>
      </mc:AlternateContent>
    </w:r>
    <w:r>
      <w:rPr>
        <w:rFonts w:eastAsia="宋体"/>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B6DF47">
    <w:pPr>
      <w:pStyle w:val="104"/>
      <w:framePr w:wrap="auto" w:vAnchor="margin" w:hAnchor="text" w:yAlign="inline"/>
      <w:ind w:firstLine="318"/>
      <w:rPr>
        <w:rFonts w:hint="eastAsia"/>
      </w:rPr>
    </w:pPr>
    <w:r>
      <mc:AlternateContent>
        <mc:Choice Requires="wps">
          <w:drawing>
            <wp:anchor distT="152400" distB="152400" distL="152400" distR="152400" simplePos="0" relativeHeight="251659264" behindDoc="1" locked="0" layoutInCell="1" allowOverlap="1">
              <wp:simplePos x="0" y="0"/>
              <wp:positionH relativeFrom="page">
                <wp:posOffset>2901315</wp:posOffset>
              </wp:positionH>
              <wp:positionV relativeFrom="page">
                <wp:posOffset>9833610</wp:posOffset>
              </wp:positionV>
              <wp:extent cx="1828800" cy="1828800"/>
              <wp:effectExtent l="0" t="0" r="0" b="0"/>
              <wp:wrapNone/>
              <wp:docPr id="1073741827" name="officeArt object"/>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2700" cap="flat">
                        <a:noFill/>
                        <a:miter lim="400000"/>
                      </a:ln>
                      <a:effectLst/>
                    </wps:spPr>
                    <wps:txbx>
                      <w:txbxContent>
                        <w:p w14:paraId="3C008486">
                          <w:pPr>
                            <w:pStyle w:val="105"/>
                            <w:ind w:firstLine="360"/>
                            <w:rPr>
                              <w:rFonts w:hint="default"/>
                            </w:rPr>
                          </w:pPr>
                        </w:p>
                      </w:txbxContent>
                    </wps:txbx>
                    <wps:bodyPr wrap="square" lIns="0" tIns="0" rIns="0" bIns="0" numCol="1" anchor="t">
                      <a:noAutofit/>
                    </wps:bodyPr>
                  </wps:wsp>
                </a:graphicData>
              </a:graphic>
            </wp:anchor>
          </w:drawing>
        </mc:Choice>
        <mc:Fallback>
          <w:pict>
            <v:shape id="officeArt object" o:spid="_x0000_s1026" o:spt="202" type="#_x0000_t202" style="position:absolute;left:0pt;margin-left:228.45pt;margin-top:774.3pt;height:144pt;width:144pt;mso-position-horizontal-relative:page;mso-position-vertical-relative:page;z-index:-251657216;mso-width-relative:page;mso-height-relative:page;" filled="f" stroked="f" coordsize="21600,21600" o:gfxdata="UEsDBAoAAAAAAIdO4kAAAAAAAAAAAAAAAAAEAAAAZHJzL1BLAwQUAAAACACHTuJAqfAXqtkAAAAN&#10;AQAADwAAAGRycy9kb3ducmV2LnhtbE2PzU6EQBCE7ya+w6RNvLnDroCIDHvQmBg1JqwePPYyLRCZ&#10;HsLM/r297UmPXfWluqpaH92o9jSHwbOB5SIBRdx6O3Bn4OP98aoAFSKyxdEzGThRgHV9flZhaf2B&#10;G9pvYqckhEOJBvoYp1Lr0PbkMCz8RCzel58dRjnnTtsZDxLuRr1Kklw7HFg+9DjRfU/t92bnDDw3&#10;+PqCTbbygwv280m/nR48GXN5sUzuQEU6xj8YfutLdail09bv2AY1Gkiz/FZQMbK0yEEJcpOmIm1F&#10;Kq7zHHRd6f8r6h9QSwMEFAAAAAgAh07iQAd/psTrAQAA7QMAAA4AAABkcnMvZTJvRG9jLnhtbK1T&#10;wY7TMBC9I/EPlu80aVjRKmq6WqgWISFAWvgAx7EbI9tjbKdJ/56x07Sr5bIHckjG9sybec8vu/vJ&#10;aHISPiiwDV2vSkqE5dApe2zor5+P77aUhMhsxzRY0dCzCPR+//bNbnS1qKAH3QlPEMSGenQN7WN0&#10;dVEE3gvDwgqcsHgowRsWcemPRefZiOhGF1VZfihG8J3zwEUIuHuYD+kF0b8GEKRUXByAD0bYOKN6&#10;oVlESqFXLtB9nlZKweN3KYOIRDcUmcb8xiYYt+ld7HesPnrmesUvI7DXjPCCk2HKYtMr1IFFRgav&#10;/oEyinsIIOOKgylmIlkRZLEuX2jz1DMnMheUOrir6OH/wfJvpx+eqA6dUG7eb+7W22pDiWUGb36e&#10;7sFHAu1vVDKJNbpQY82Tw6o4fYQJC5f9gJtJg0l6k75YT/AcpT5fpRZTJDwVbavttsQjjmfLAvGL&#10;W7nzIX4WYEgKGurTBAmWnb6GOKcuKWnbwqPSOt+ntmRE1GqTGzA0qURz5OJnWUZFNLJWpqF3ZXoS&#10;D+yvbYIT2TyXTon1zC5FcWonTE1hC90ZlRjRQA0NfwbmBSX6i8UbSm5bAr8E7RLYwXwC9OSaEmZ5&#10;D2jJZcCHIYJUmeGtBU6WFuiCPOPFsclmz9c56/aX7v8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qfAXqtkAAAANAQAADwAAAAAAAAABACAAAAAiAAAAZHJzL2Rvd25yZXYueG1sUEsBAhQAFAAAAAgA&#10;h07iQAd/psTrAQAA7QMAAA4AAAAAAAAAAQAgAAAAKAEAAGRycy9lMm9Eb2MueG1sUEsFBgAAAAAG&#10;AAYAWQEAAIUFAAAAAA==&#10;">
              <v:fill on="f" focussize="0,0"/>
              <v:stroke on="f" weight="1pt" miterlimit="4" joinstyle="miter"/>
              <v:imagedata o:title=""/>
              <o:lock v:ext="edit" aspectratio="f"/>
              <v:textbox inset="0mm,0mm,0mm,0mm">
                <w:txbxContent>
                  <w:p w14:paraId="3C008486">
                    <w:pPr>
                      <w:pStyle w:val="105"/>
                      <w:ind w:firstLine="360"/>
                      <w:rPr>
                        <w:rFonts w:hint="default"/>
                      </w:rPr>
                    </w:pPr>
                  </w:p>
                </w:txbxContent>
              </v:textbox>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331293">
    <w:pPr>
      <w:pStyle w:val="104"/>
      <w:framePr w:wrap="auto" w:vAnchor="margin" w:hAnchor="text" w:yAlign="inline"/>
      <w:ind w:firstLine="318"/>
      <w:rPr>
        <w:rFonts w:hint="eastAsia"/>
      </w:rPr>
    </w:pPr>
    <w:r>
      <mc:AlternateContent>
        <mc:Choice Requires="wps">
          <w:drawing>
            <wp:anchor distT="152400" distB="152400" distL="152400" distR="152400" simplePos="0" relativeHeight="251660288" behindDoc="1" locked="0" layoutInCell="1" allowOverlap="1">
              <wp:simplePos x="0" y="0"/>
              <wp:positionH relativeFrom="page">
                <wp:posOffset>2901315</wp:posOffset>
              </wp:positionH>
              <wp:positionV relativeFrom="page">
                <wp:posOffset>9833610</wp:posOffset>
              </wp:positionV>
              <wp:extent cx="1828800" cy="1828800"/>
              <wp:effectExtent l="0" t="0" r="0" b="0"/>
              <wp:wrapNone/>
              <wp:docPr id="33" name="officeArt object"/>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2700" cap="flat">
                        <a:noFill/>
                        <a:miter lim="400000"/>
                      </a:ln>
                      <a:effectLst/>
                    </wps:spPr>
                    <wps:txbx>
                      <w:txbxContent>
                        <w:p w14:paraId="44AEF1D5">
                          <w:pPr>
                            <w:pStyle w:val="105"/>
                            <w:ind w:firstLine="360"/>
                            <w:rPr>
                              <w:rFonts w:hint="default"/>
                            </w:rPr>
                          </w:pPr>
                        </w:p>
                      </w:txbxContent>
                    </wps:txbx>
                    <wps:bodyPr wrap="square" lIns="0" tIns="0" rIns="0" bIns="0" numCol="1" anchor="t">
                      <a:noAutofit/>
                    </wps:bodyPr>
                  </wps:wsp>
                </a:graphicData>
              </a:graphic>
            </wp:anchor>
          </w:drawing>
        </mc:Choice>
        <mc:Fallback>
          <w:pict>
            <v:shape id="officeArt object" o:spid="_x0000_s1026" o:spt="202" type="#_x0000_t202" style="position:absolute;left:0pt;margin-left:228.45pt;margin-top:774.3pt;height:144pt;width:144pt;mso-position-horizontal-relative:page;mso-position-vertical-relative:page;z-index:-251656192;mso-width-relative:page;mso-height-relative:page;" filled="f" stroked="f" coordsize="21600,21600" o:gfxdata="UEsDBAoAAAAAAIdO4kAAAAAAAAAAAAAAAAAEAAAAZHJzL1BLAwQUAAAACACHTuJAqfAXqtkAAAAN&#10;AQAADwAAAGRycy9kb3ducmV2LnhtbE2PzU6EQBCE7ya+w6RNvLnDroCIDHvQmBg1JqwePPYyLRCZ&#10;HsLM/r297UmPXfWluqpaH92o9jSHwbOB5SIBRdx6O3Bn4OP98aoAFSKyxdEzGThRgHV9flZhaf2B&#10;G9pvYqckhEOJBvoYp1Lr0PbkMCz8RCzel58dRjnnTtsZDxLuRr1Kklw7HFg+9DjRfU/t92bnDDw3&#10;+PqCTbbygwv280m/nR48GXN5sUzuQEU6xj8YfutLdail09bv2AY1Gkiz/FZQMbK0yEEJcpOmIm1F&#10;Kq7zHHRd6f8r6h9QSwMEFAAAAAgAh07iQGa+8DblAQAA5QMAAA4AAABkcnMvZTJvRG9jLnhtbK1T&#10;0W7bIBR9n9R/QLw3dtJqi6w4Vbeo06Rpm9TuAzCGmAq4FHDs/P0uOE6q7qUP9YN94V7OvedwvLkb&#10;jSYH4YMCW9PloqREWA6tsvua/n16uF5TEiKzLdNgRU2PItC77dWnzeAqsYIOdCs8QRAbqsHVtIvR&#10;VUUReCcMCwtwwmJSgjcs4tLvi9azAdGNLlZl+bkYwLfOAxch4O5uStITon8PIEipuNgB742wcUL1&#10;QrOIlEKnXKDbPK2UgsffUgYRia4pMo35jU0wbtK72G5YtffMdYqfRmDvGeENJ8OUxaZnqB2LjPRe&#10;/QdlFPcQQMYFB1NMRLIiyGJZvtHmsWNOZC4odXBn0cPHwfJfhz+eqLamNzeUWGbwxqep7n0k0Dyj&#10;gkmkwYUKax8dVsfxK4xonXk/4GbiPkpv0hfPE8yjxMezxGKMhKdD69V6XWKKY25eIH5xOe58iN8F&#10;GJKCmvo0QYJlh58hTqVzSdq28KC0zveoLRkQdfUlN2BoTommyIdfVRkV0cBamZrelulJPLC/tglO&#10;ZNOcOiXWE7sUxbEZsTSFDbRHVGJA49Q0vPTMC0r0D4s3k1w2B34OmjmwvfkG6MUlJczyDtCK84D3&#10;fQSpMsNLC5wsLfD284wnpyZ7vV7nqsvfuf0H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qfAXqtkA&#10;AAANAQAADwAAAAAAAAABACAAAAAiAAAAZHJzL2Rvd25yZXYueG1sUEsBAhQAFAAAAAgAh07iQGa+&#10;8DblAQAA5QMAAA4AAAAAAAAAAQAgAAAAKAEAAGRycy9lMm9Eb2MueG1sUEsFBgAAAAAGAAYAWQEA&#10;AH8FAAAAAA==&#10;">
              <v:fill on="f" focussize="0,0"/>
              <v:stroke on="f" weight="1pt" miterlimit="4" joinstyle="miter"/>
              <v:imagedata o:title=""/>
              <o:lock v:ext="edit" aspectratio="f"/>
              <v:textbox inset="0mm,0mm,0mm,0mm">
                <w:txbxContent>
                  <w:p w14:paraId="44AEF1D5">
                    <w:pPr>
                      <w:pStyle w:val="105"/>
                      <w:ind w:firstLine="360"/>
                      <w:rPr>
                        <w:rFonts w:hint="default"/>
                      </w:rPr>
                    </w:pPr>
                  </w:p>
                </w:txbxContent>
              </v:textbox>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3B309B">
    <w:pPr>
      <w:pStyle w:val="2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503D991"/>
    <w:multiLevelType w:val="singleLevel"/>
    <w:tmpl w:val="E503D991"/>
    <w:lvl w:ilvl="0" w:tentative="0">
      <w:start w:val="3"/>
      <w:numFmt w:val="chineseCounting"/>
      <w:suff w:val="space"/>
      <w:lvlText w:val="第%1章"/>
      <w:lvlJc w:val="left"/>
      <w:rPr>
        <w:rFonts w:hint="eastAsia"/>
      </w:rPr>
    </w:lvl>
  </w:abstractNum>
  <w:abstractNum w:abstractNumId="1">
    <w:nsid w:val="0A2D34F7"/>
    <w:multiLevelType w:val="singleLevel"/>
    <w:tmpl w:val="0A2D34F7"/>
    <w:lvl w:ilvl="0" w:tentative="0">
      <w:start w:val="2"/>
      <w:numFmt w:val="decimal"/>
      <w:lvlText w:val="%1."/>
      <w:lvlJc w:val="left"/>
      <w:pPr>
        <w:tabs>
          <w:tab w:val="left" w:pos="312"/>
        </w:tabs>
      </w:pPr>
    </w:lvl>
  </w:abstractNum>
  <w:abstractNum w:abstractNumId="2">
    <w:nsid w:val="352C1810"/>
    <w:multiLevelType w:val="multilevel"/>
    <w:tmpl w:val="352C1810"/>
    <w:lvl w:ilvl="0" w:tentative="0">
      <w:start w:val="1"/>
      <w:numFmt w:val="japaneseCounting"/>
      <w:lvlText w:val="%1、"/>
      <w:lvlJc w:val="left"/>
      <w:pPr>
        <w:ind w:left="420" w:hanging="420"/>
      </w:pPr>
      <w:rPr>
        <w:rFonts w:hint="default" w:hAnsi="宋体"/>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56F69FCE"/>
    <w:multiLevelType w:val="singleLevel"/>
    <w:tmpl w:val="56F69FCE"/>
    <w:lvl w:ilvl="0" w:tentative="0">
      <w:start w:val="1"/>
      <w:numFmt w:val="chineseCounting"/>
      <w:suff w:val="nothing"/>
      <w:lvlText w:val="%1、"/>
      <w:lvlJc w:val="left"/>
      <w:rPr>
        <w:rFonts w:hint="eastAsia"/>
      </w:rPr>
    </w:lvl>
  </w:abstractNum>
  <w:abstractNum w:abstractNumId="4">
    <w:nsid w:val="6C653396"/>
    <w:multiLevelType w:val="singleLevel"/>
    <w:tmpl w:val="6C653396"/>
    <w:lvl w:ilvl="0" w:tentative="0">
      <w:start w:val="2"/>
      <w:numFmt w:val="decimal"/>
      <w:lvlText w:val="%1."/>
      <w:lvlJc w:val="left"/>
      <w:pPr>
        <w:tabs>
          <w:tab w:val="left" w:pos="312"/>
        </w:tabs>
      </w:pPr>
      <w:rPr>
        <w:rFonts w:cs="Times New Roman"/>
      </w:rPr>
    </w:lvl>
  </w:abstractNum>
  <w:num w:numId="1">
    <w:abstractNumId w:val="2"/>
  </w:num>
  <w:num w:numId="2">
    <w:abstractNumId w:val="1"/>
  </w:num>
  <w:num w:numId="3">
    <w:abstractNumId w:val="3"/>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1"/>
  <w:bordersDoNotSurroundFooter w:val="1"/>
  <w:documentProtection w:enforcement="0"/>
  <w:defaultTabStop w:val="420"/>
  <w:displayHorizontalDrawingGridEvery w:val="0"/>
  <w:displayVerticalDrawingGridEvery w:val="2"/>
  <w:characterSpacingControl w:val="compressPunctuation"/>
  <w:hdrShapeDefaults>
    <o:shapelayout v:ext="edit">
      <o:idmap v:ext="edit" data="3"/>
    </o:shapelayout>
  </w:hdrShapeDefaults>
  <w:footnotePr>
    <w:footnote w:id="0"/>
    <w:footnote w:id="1"/>
  </w:footnotePr>
  <w:endnotePr>
    <w:endnote w:id="0"/>
    <w:endnote w:id="1"/>
  </w:endnotePr>
  <w:compat>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A603D"/>
    <w:rsid w:val="0001079C"/>
    <w:rsid w:val="00037440"/>
    <w:rsid w:val="00060C63"/>
    <w:rsid w:val="000C6DE9"/>
    <w:rsid w:val="000F103D"/>
    <w:rsid w:val="000F23BE"/>
    <w:rsid w:val="00117AA7"/>
    <w:rsid w:val="00177106"/>
    <w:rsid w:val="00192A63"/>
    <w:rsid w:val="001F08F3"/>
    <w:rsid w:val="002129A7"/>
    <w:rsid w:val="0022200F"/>
    <w:rsid w:val="00242856"/>
    <w:rsid w:val="0025663C"/>
    <w:rsid w:val="002A4816"/>
    <w:rsid w:val="002B1EE0"/>
    <w:rsid w:val="002F20B6"/>
    <w:rsid w:val="00305E0D"/>
    <w:rsid w:val="0039299C"/>
    <w:rsid w:val="003E2D36"/>
    <w:rsid w:val="003E6723"/>
    <w:rsid w:val="00464035"/>
    <w:rsid w:val="00465B2B"/>
    <w:rsid w:val="00471C12"/>
    <w:rsid w:val="00550D27"/>
    <w:rsid w:val="0056513D"/>
    <w:rsid w:val="005E228F"/>
    <w:rsid w:val="00616230"/>
    <w:rsid w:val="006522FC"/>
    <w:rsid w:val="006548A9"/>
    <w:rsid w:val="006950EE"/>
    <w:rsid w:val="006A08C8"/>
    <w:rsid w:val="006F479C"/>
    <w:rsid w:val="006F590A"/>
    <w:rsid w:val="00706A02"/>
    <w:rsid w:val="0074784C"/>
    <w:rsid w:val="00773AAE"/>
    <w:rsid w:val="0084063B"/>
    <w:rsid w:val="00891354"/>
    <w:rsid w:val="008A603D"/>
    <w:rsid w:val="008C3440"/>
    <w:rsid w:val="008D4338"/>
    <w:rsid w:val="008F6DAB"/>
    <w:rsid w:val="008F7009"/>
    <w:rsid w:val="009049D8"/>
    <w:rsid w:val="009443C4"/>
    <w:rsid w:val="009B4C6C"/>
    <w:rsid w:val="009C4652"/>
    <w:rsid w:val="00A0658D"/>
    <w:rsid w:val="00B13BA9"/>
    <w:rsid w:val="00B61F9A"/>
    <w:rsid w:val="00BD65EC"/>
    <w:rsid w:val="00C5740B"/>
    <w:rsid w:val="00C62A72"/>
    <w:rsid w:val="00C867E6"/>
    <w:rsid w:val="00CA63F7"/>
    <w:rsid w:val="00CD7F20"/>
    <w:rsid w:val="00D22C45"/>
    <w:rsid w:val="00D56966"/>
    <w:rsid w:val="00D90F06"/>
    <w:rsid w:val="00E31226"/>
    <w:rsid w:val="00E55160"/>
    <w:rsid w:val="00E614C6"/>
    <w:rsid w:val="00E72533"/>
    <w:rsid w:val="00E8528F"/>
    <w:rsid w:val="00EB3E72"/>
    <w:rsid w:val="00EC3307"/>
    <w:rsid w:val="00F573AE"/>
    <w:rsid w:val="00F66929"/>
    <w:rsid w:val="00F74061"/>
    <w:rsid w:val="00FF65DC"/>
    <w:rsid w:val="013815A4"/>
    <w:rsid w:val="01EC0334"/>
    <w:rsid w:val="022C4C14"/>
    <w:rsid w:val="05322502"/>
    <w:rsid w:val="054F06BB"/>
    <w:rsid w:val="059B2E2B"/>
    <w:rsid w:val="061F13A4"/>
    <w:rsid w:val="07C16B97"/>
    <w:rsid w:val="07E223C9"/>
    <w:rsid w:val="090735E5"/>
    <w:rsid w:val="0AA441C1"/>
    <w:rsid w:val="0BA80E28"/>
    <w:rsid w:val="0CD97CCF"/>
    <w:rsid w:val="0E662C53"/>
    <w:rsid w:val="0F064A44"/>
    <w:rsid w:val="0FAE09D7"/>
    <w:rsid w:val="10173421"/>
    <w:rsid w:val="1017657C"/>
    <w:rsid w:val="116A724E"/>
    <w:rsid w:val="11B91307"/>
    <w:rsid w:val="12E97671"/>
    <w:rsid w:val="14131750"/>
    <w:rsid w:val="15CA22E2"/>
    <w:rsid w:val="17423DAE"/>
    <w:rsid w:val="17820767"/>
    <w:rsid w:val="18AF5EEB"/>
    <w:rsid w:val="19966DA6"/>
    <w:rsid w:val="1B6E78F3"/>
    <w:rsid w:val="1BF13101"/>
    <w:rsid w:val="1E95117F"/>
    <w:rsid w:val="1EBF4F16"/>
    <w:rsid w:val="1EDF3710"/>
    <w:rsid w:val="1FF55002"/>
    <w:rsid w:val="211E4BB4"/>
    <w:rsid w:val="22BC551F"/>
    <w:rsid w:val="235C0A5D"/>
    <w:rsid w:val="2454708F"/>
    <w:rsid w:val="280C0A52"/>
    <w:rsid w:val="297939AC"/>
    <w:rsid w:val="2A856751"/>
    <w:rsid w:val="2A88659C"/>
    <w:rsid w:val="2A9860B3"/>
    <w:rsid w:val="2AD64EC6"/>
    <w:rsid w:val="2C7B23E6"/>
    <w:rsid w:val="2C9D0CDF"/>
    <w:rsid w:val="2E0E6A8A"/>
    <w:rsid w:val="2E36202E"/>
    <w:rsid w:val="2FC07B82"/>
    <w:rsid w:val="304E59DB"/>
    <w:rsid w:val="30591643"/>
    <w:rsid w:val="3277381F"/>
    <w:rsid w:val="34FF7BFB"/>
    <w:rsid w:val="37D26F29"/>
    <w:rsid w:val="380204D9"/>
    <w:rsid w:val="380A32C1"/>
    <w:rsid w:val="385E7306"/>
    <w:rsid w:val="38A96A91"/>
    <w:rsid w:val="3A98057F"/>
    <w:rsid w:val="3ACC1406"/>
    <w:rsid w:val="3C4711F9"/>
    <w:rsid w:val="3C5C5193"/>
    <w:rsid w:val="40055ED4"/>
    <w:rsid w:val="40F52986"/>
    <w:rsid w:val="413F61F7"/>
    <w:rsid w:val="415F600D"/>
    <w:rsid w:val="43A86F10"/>
    <w:rsid w:val="45BC3430"/>
    <w:rsid w:val="45E61083"/>
    <w:rsid w:val="466E2510"/>
    <w:rsid w:val="48016B28"/>
    <w:rsid w:val="4812529F"/>
    <w:rsid w:val="48705D22"/>
    <w:rsid w:val="48A56114"/>
    <w:rsid w:val="49235D7F"/>
    <w:rsid w:val="4ABB6D66"/>
    <w:rsid w:val="4AFA79CE"/>
    <w:rsid w:val="4C1B6C8A"/>
    <w:rsid w:val="4CF945AC"/>
    <w:rsid w:val="4E064E15"/>
    <w:rsid w:val="4E7A195A"/>
    <w:rsid w:val="50067498"/>
    <w:rsid w:val="50DA23D5"/>
    <w:rsid w:val="51FA1A7C"/>
    <w:rsid w:val="5207181B"/>
    <w:rsid w:val="52C50BB1"/>
    <w:rsid w:val="54172CC9"/>
    <w:rsid w:val="548C0FC4"/>
    <w:rsid w:val="58093FC9"/>
    <w:rsid w:val="59A94CB6"/>
    <w:rsid w:val="5B1C5F27"/>
    <w:rsid w:val="604330D8"/>
    <w:rsid w:val="60B42F40"/>
    <w:rsid w:val="60C30678"/>
    <w:rsid w:val="61342AAD"/>
    <w:rsid w:val="64FB113D"/>
    <w:rsid w:val="65104BDB"/>
    <w:rsid w:val="65DE4480"/>
    <w:rsid w:val="6884144A"/>
    <w:rsid w:val="68F21BF5"/>
    <w:rsid w:val="6F3D385E"/>
    <w:rsid w:val="6FD44A65"/>
    <w:rsid w:val="6FF356A3"/>
    <w:rsid w:val="6FFD3FBC"/>
    <w:rsid w:val="70707286"/>
    <w:rsid w:val="70DA4586"/>
    <w:rsid w:val="718F50E7"/>
    <w:rsid w:val="72BB7F0C"/>
    <w:rsid w:val="732D2E0A"/>
    <w:rsid w:val="736B583A"/>
    <w:rsid w:val="74F9214F"/>
    <w:rsid w:val="77AF09C7"/>
    <w:rsid w:val="7863308A"/>
    <w:rsid w:val="787E6E6D"/>
    <w:rsid w:val="797C64A0"/>
    <w:rsid w:val="79AE68F6"/>
    <w:rsid w:val="7B3F7BEA"/>
    <w:rsid w:val="7BB75966"/>
    <w:rsid w:val="7BD618FA"/>
    <w:rsid w:val="7BE73D72"/>
    <w:rsid w:val="7D2B742D"/>
    <w:rsid w:val="7D896EEB"/>
    <w:rsid w:val="7E0768DF"/>
    <w:rsid w:val="7F6E4730"/>
    <w:rsid w:val="7FEA45B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nhideWhenUsed="0" w:uiPriority="0" w:semiHidden="0" w:name="index 1"/>
    <w:lsdException w:unhideWhenUsed="0" w:uiPriority="0" w:semiHidden="0" w:name="index 2"/>
    <w:lsdException w:unhideWhenUsed="0" w:uiPriority="0" w:semiHidden="0" w:name="index 3"/>
    <w:lsdException w:qFormat="1"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99"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spacing w:line="360" w:lineRule="auto"/>
      <w:ind w:firstLine="803" w:firstLineChars="200"/>
    </w:pPr>
    <w:rPr>
      <w:rFonts w:ascii="Calibri" w:hAnsi="Calibri" w:eastAsia="仿宋" w:cs="Times New Roman"/>
      <w:kern w:val="2"/>
      <w:sz w:val="24"/>
      <w:szCs w:val="22"/>
      <w:lang w:val="en-US" w:eastAsia="zh-CN" w:bidi="ar-SA"/>
    </w:rPr>
  </w:style>
  <w:style w:type="paragraph" w:styleId="3">
    <w:name w:val="heading 1"/>
    <w:basedOn w:val="1"/>
    <w:next w:val="1"/>
    <w:link w:val="78"/>
    <w:qFormat/>
    <w:uiPriority w:val="0"/>
    <w:pPr>
      <w:keepNext/>
      <w:keepLines/>
      <w:spacing w:line="360" w:lineRule="auto"/>
      <w:outlineLvl w:val="0"/>
    </w:pPr>
    <w:rPr>
      <w:rFonts w:eastAsia="仿宋"/>
      <w:b/>
      <w:bCs/>
      <w:kern w:val="44"/>
      <w:sz w:val="24"/>
      <w:szCs w:val="44"/>
    </w:rPr>
  </w:style>
  <w:style w:type="paragraph" w:styleId="4">
    <w:name w:val="heading 2"/>
    <w:basedOn w:val="1"/>
    <w:next w:val="2"/>
    <w:link w:val="47"/>
    <w:qFormat/>
    <w:uiPriority w:val="0"/>
    <w:pPr>
      <w:keepNext/>
      <w:keepLines/>
      <w:spacing w:line="360" w:lineRule="auto"/>
      <w:jc w:val="center"/>
      <w:outlineLvl w:val="1"/>
    </w:pPr>
    <w:rPr>
      <w:rFonts w:ascii="Cambria" w:hAnsi="Cambria" w:eastAsia="仿宋"/>
      <w:b/>
      <w:bCs/>
      <w:sz w:val="24"/>
      <w:szCs w:val="32"/>
    </w:rPr>
  </w:style>
  <w:style w:type="paragraph" w:styleId="5">
    <w:name w:val="heading 3"/>
    <w:basedOn w:val="1"/>
    <w:next w:val="1"/>
    <w:link w:val="52"/>
    <w:qFormat/>
    <w:uiPriority w:val="0"/>
    <w:pPr>
      <w:keepNext/>
      <w:keepLines/>
      <w:spacing w:line="360" w:lineRule="auto"/>
      <w:ind w:firstLine="803" w:firstLineChars="200"/>
      <w:outlineLvl w:val="2"/>
    </w:pPr>
    <w:rPr>
      <w:rFonts w:eastAsia="仿宋"/>
      <w:b/>
      <w:bCs/>
      <w:sz w:val="24"/>
      <w:szCs w:val="32"/>
    </w:rPr>
  </w:style>
  <w:style w:type="paragraph" w:styleId="6">
    <w:name w:val="heading 4"/>
    <w:basedOn w:val="1"/>
    <w:next w:val="1"/>
    <w:link w:val="79"/>
    <w:qFormat/>
    <w:uiPriority w:val="0"/>
    <w:pPr>
      <w:keepNext/>
      <w:keepLines/>
      <w:spacing w:before="280" w:after="290" w:line="372" w:lineRule="auto"/>
      <w:outlineLvl w:val="3"/>
    </w:pPr>
    <w:rPr>
      <w:rFonts w:ascii="Cambria" w:hAnsi="Cambria"/>
      <w:b/>
      <w:bCs/>
      <w:sz w:val="28"/>
      <w:szCs w:val="28"/>
    </w:rPr>
  </w:style>
  <w:style w:type="paragraph" w:styleId="7">
    <w:name w:val="heading 5"/>
    <w:basedOn w:val="1"/>
    <w:next w:val="1"/>
    <w:link w:val="53"/>
    <w:qFormat/>
    <w:uiPriority w:val="0"/>
    <w:pPr>
      <w:keepNext/>
      <w:keepLines/>
      <w:spacing w:before="280" w:after="290" w:line="372" w:lineRule="auto"/>
      <w:outlineLvl w:val="4"/>
    </w:pPr>
    <w:rPr>
      <w:b/>
      <w:bCs/>
      <w:sz w:val="28"/>
      <w:szCs w:val="28"/>
    </w:rPr>
  </w:style>
  <w:style w:type="paragraph" w:styleId="8">
    <w:name w:val="heading 6"/>
    <w:basedOn w:val="1"/>
    <w:next w:val="1"/>
    <w:link w:val="69"/>
    <w:qFormat/>
    <w:uiPriority w:val="0"/>
    <w:pPr>
      <w:keepNext/>
      <w:keepLines/>
      <w:spacing w:before="240" w:after="64" w:line="317" w:lineRule="auto"/>
      <w:outlineLvl w:val="5"/>
    </w:pPr>
    <w:rPr>
      <w:rFonts w:ascii="Cambria" w:hAnsi="Cambria"/>
      <w:b/>
      <w:bCs/>
      <w:sz w:val="24"/>
      <w:szCs w:val="24"/>
    </w:rPr>
  </w:style>
  <w:style w:type="paragraph" w:styleId="9">
    <w:name w:val="heading 7"/>
    <w:basedOn w:val="1"/>
    <w:next w:val="1"/>
    <w:link w:val="74"/>
    <w:qFormat/>
    <w:uiPriority w:val="0"/>
    <w:pPr>
      <w:keepNext/>
      <w:keepLines/>
      <w:spacing w:before="240" w:after="64" w:line="317" w:lineRule="auto"/>
      <w:outlineLvl w:val="6"/>
    </w:pPr>
    <w:rPr>
      <w:b/>
      <w:bCs/>
      <w:sz w:val="24"/>
      <w:szCs w:val="24"/>
    </w:rPr>
  </w:style>
  <w:style w:type="paragraph" w:styleId="10">
    <w:name w:val="heading 8"/>
    <w:basedOn w:val="1"/>
    <w:next w:val="1"/>
    <w:link w:val="49"/>
    <w:qFormat/>
    <w:uiPriority w:val="0"/>
    <w:pPr>
      <w:keepNext/>
      <w:keepLines/>
      <w:spacing w:before="240" w:after="64" w:line="317" w:lineRule="auto"/>
      <w:outlineLvl w:val="7"/>
    </w:pPr>
    <w:rPr>
      <w:rFonts w:ascii="Cambria" w:hAnsi="Cambria"/>
      <w:sz w:val="24"/>
      <w:szCs w:val="24"/>
    </w:rPr>
  </w:style>
  <w:style w:type="paragraph" w:styleId="11">
    <w:name w:val="heading 9"/>
    <w:basedOn w:val="1"/>
    <w:next w:val="1"/>
    <w:link w:val="88"/>
    <w:qFormat/>
    <w:uiPriority w:val="0"/>
    <w:pPr>
      <w:keepNext/>
      <w:keepLines/>
      <w:spacing w:before="240" w:after="64" w:line="317" w:lineRule="auto"/>
      <w:outlineLvl w:val="8"/>
    </w:pPr>
    <w:rPr>
      <w:rFonts w:ascii="Cambria" w:hAnsi="Cambria"/>
      <w:szCs w:val="21"/>
    </w:rPr>
  </w:style>
  <w:style w:type="character" w:default="1" w:styleId="41">
    <w:name w:val="Default Paragraph Font"/>
    <w:semiHidden/>
    <w:unhideWhenUsed/>
    <w:qFormat/>
    <w:uiPriority w:val="1"/>
  </w:style>
  <w:style w:type="table" w:default="1" w:styleId="39">
    <w:name w:val="Normal Table"/>
    <w:semiHidden/>
    <w:unhideWhenUsed/>
    <w:qFormat/>
    <w:uiPriority w:val="99"/>
    <w:tblPr>
      <w:tblCellMar>
        <w:top w:w="0" w:type="dxa"/>
        <w:left w:w="108" w:type="dxa"/>
        <w:bottom w:w="0" w:type="dxa"/>
        <w:right w:w="108" w:type="dxa"/>
      </w:tblCellMar>
    </w:tblPr>
  </w:style>
  <w:style w:type="paragraph" w:styleId="2">
    <w:name w:val="Normal Indent"/>
    <w:basedOn w:val="1"/>
    <w:next w:val="1"/>
    <w:qFormat/>
    <w:uiPriority w:val="0"/>
    <w:pPr>
      <w:spacing w:line="360" w:lineRule="atLeast"/>
      <w:ind w:firstLine="482"/>
    </w:pPr>
    <w:rPr>
      <w:rFonts w:ascii="Times New Roman" w:hAnsi="Times New Roman"/>
      <w:kern w:val="0"/>
      <w:sz w:val="24"/>
      <w:szCs w:val="20"/>
    </w:rPr>
  </w:style>
  <w:style w:type="paragraph" w:styleId="12">
    <w:name w:val="toc 7"/>
    <w:basedOn w:val="1"/>
    <w:next w:val="1"/>
    <w:qFormat/>
    <w:uiPriority w:val="0"/>
    <w:pPr>
      <w:ind w:left="2520" w:leftChars="1200"/>
    </w:pPr>
  </w:style>
  <w:style w:type="paragraph" w:styleId="13">
    <w:name w:val="caption"/>
    <w:basedOn w:val="1"/>
    <w:next w:val="1"/>
    <w:qFormat/>
    <w:uiPriority w:val="0"/>
    <w:rPr>
      <w:rFonts w:ascii="Cambria" w:hAnsi="Cambria" w:eastAsia="黑体"/>
      <w:sz w:val="20"/>
      <w:szCs w:val="20"/>
    </w:rPr>
  </w:style>
  <w:style w:type="paragraph" w:styleId="14">
    <w:name w:val="Document Map"/>
    <w:basedOn w:val="1"/>
    <w:link w:val="90"/>
    <w:qFormat/>
    <w:uiPriority w:val="0"/>
    <w:pPr>
      <w:shd w:val="clear" w:color="auto" w:fill="000080"/>
    </w:pPr>
    <w:rPr>
      <w:rFonts w:ascii="Times New Roman" w:hAnsi="Times New Roman"/>
      <w:kern w:val="0"/>
      <w:sz w:val="20"/>
      <w:szCs w:val="24"/>
      <w:shd w:val="clear" w:color="auto" w:fill="000080"/>
    </w:rPr>
  </w:style>
  <w:style w:type="paragraph" w:styleId="15">
    <w:name w:val="annotation text"/>
    <w:basedOn w:val="1"/>
    <w:link w:val="54"/>
    <w:qFormat/>
    <w:uiPriority w:val="0"/>
  </w:style>
  <w:style w:type="paragraph" w:styleId="16">
    <w:name w:val="Body Text 3"/>
    <w:basedOn w:val="1"/>
    <w:qFormat/>
    <w:uiPriority w:val="99"/>
    <w:rPr>
      <w:rFonts w:ascii="宋体"/>
      <w:sz w:val="24"/>
      <w:szCs w:val="20"/>
    </w:rPr>
  </w:style>
  <w:style w:type="paragraph" w:styleId="17">
    <w:name w:val="Body Text"/>
    <w:basedOn w:val="1"/>
    <w:link w:val="68"/>
    <w:qFormat/>
    <w:uiPriority w:val="0"/>
    <w:pPr>
      <w:spacing w:after="60" w:line="360" w:lineRule="atLeast"/>
      <w:ind w:left="72" w:leftChars="30" w:right="30" w:rightChars="30"/>
      <w:jc w:val="center"/>
    </w:pPr>
    <w:rPr>
      <w:rFonts w:ascii="Times New Roman" w:hAnsi="Times New Roman"/>
      <w:kern w:val="0"/>
      <w:sz w:val="20"/>
      <w:szCs w:val="20"/>
    </w:rPr>
  </w:style>
  <w:style w:type="paragraph" w:styleId="18">
    <w:name w:val="Body Text Indent"/>
    <w:basedOn w:val="1"/>
    <w:next w:val="1"/>
    <w:qFormat/>
    <w:uiPriority w:val="99"/>
    <w:pPr>
      <w:ind w:firstLine="630"/>
    </w:pPr>
    <w:rPr>
      <w:rFonts w:ascii="宋体"/>
      <w:sz w:val="20"/>
      <w:szCs w:val="20"/>
      <w:lang w:val="zh-CN"/>
    </w:rPr>
  </w:style>
  <w:style w:type="paragraph" w:styleId="19">
    <w:name w:val="index 4"/>
    <w:basedOn w:val="1"/>
    <w:next w:val="1"/>
    <w:qFormat/>
    <w:uiPriority w:val="0"/>
    <w:pPr>
      <w:ind w:left="600" w:leftChars="600"/>
    </w:pPr>
    <w:rPr>
      <w:rFonts w:ascii="Times New Roman" w:hAnsi="Times New Roman"/>
      <w:szCs w:val="24"/>
    </w:rPr>
  </w:style>
  <w:style w:type="paragraph" w:styleId="20">
    <w:name w:val="toc 5"/>
    <w:basedOn w:val="1"/>
    <w:next w:val="1"/>
    <w:qFormat/>
    <w:uiPriority w:val="0"/>
    <w:pPr>
      <w:tabs>
        <w:tab w:val="right" w:leader="dot" w:pos="8296"/>
      </w:tabs>
      <w:ind w:left="1050" w:leftChars="500"/>
    </w:pPr>
  </w:style>
  <w:style w:type="paragraph" w:styleId="21">
    <w:name w:val="toc 3"/>
    <w:basedOn w:val="1"/>
    <w:next w:val="1"/>
    <w:qFormat/>
    <w:uiPriority w:val="0"/>
    <w:pPr>
      <w:ind w:left="840" w:leftChars="400"/>
    </w:pPr>
  </w:style>
  <w:style w:type="paragraph" w:styleId="22">
    <w:name w:val="toc 8"/>
    <w:basedOn w:val="1"/>
    <w:next w:val="1"/>
    <w:qFormat/>
    <w:uiPriority w:val="0"/>
    <w:pPr>
      <w:ind w:left="2940" w:leftChars="1400"/>
    </w:pPr>
  </w:style>
  <w:style w:type="paragraph" w:styleId="23">
    <w:name w:val="Date"/>
    <w:basedOn w:val="1"/>
    <w:next w:val="1"/>
    <w:link w:val="50"/>
    <w:qFormat/>
    <w:uiPriority w:val="0"/>
    <w:pPr>
      <w:ind w:left="100" w:leftChars="2500"/>
    </w:pPr>
    <w:rPr>
      <w:rFonts w:ascii="宋体" w:hAnsi="Times New Roman"/>
      <w:kern w:val="0"/>
      <w:sz w:val="28"/>
      <w:szCs w:val="20"/>
    </w:rPr>
  </w:style>
  <w:style w:type="paragraph" w:styleId="24">
    <w:name w:val="endnote text"/>
    <w:basedOn w:val="1"/>
    <w:qFormat/>
    <w:uiPriority w:val="0"/>
    <w:pPr>
      <w:snapToGrid w:val="0"/>
    </w:pPr>
    <w:rPr>
      <w:szCs w:val="20"/>
    </w:rPr>
  </w:style>
  <w:style w:type="paragraph" w:styleId="25">
    <w:name w:val="Balloon Text"/>
    <w:basedOn w:val="1"/>
    <w:link w:val="82"/>
    <w:qFormat/>
    <w:uiPriority w:val="0"/>
    <w:rPr>
      <w:rFonts w:ascii="宋体" w:hAnsi="Times New Roman"/>
      <w:kern w:val="0"/>
      <w:sz w:val="18"/>
      <w:szCs w:val="18"/>
    </w:rPr>
  </w:style>
  <w:style w:type="paragraph" w:styleId="26">
    <w:name w:val="footer"/>
    <w:basedOn w:val="1"/>
    <w:link w:val="84"/>
    <w:qFormat/>
    <w:uiPriority w:val="0"/>
    <w:pPr>
      <w:tabs>
        <w:tab w:val="center" w:pos="4153"/>
        <w:tab w:val="right" w:pos="8306"/>
      </w:tabs>
    </w:pPr>
    <w:rPr>
      <w:sz w:val="18"/>
      <w:szCs w:val="18"/>
    </w:rPr>
  </w:style>
  <w:style w:type="paragraph" w:styleId="27">
    <w:name w:val="header"/>
    <w:basedOn w:val="1"/>
    <w:link w:val="81"/>
    <w:qFormat/>
    <w:uiPriority w:val="0"/>
    <w:pPr>
      <w:pBdr>
        <w:bottom w:val="single" w:color="000000" w:sz="6" w:space="1"/>
      </w:pBdr>
      <w:tabs>
        <w:tab w:val="center" w:pos="4153"/>
        <w:tab w:val="right" w:pos="8306"/>
      </w:tabs>
      <w:jc w:val="center"/>
    </w:pPr>
    <w:rPr>
      <w:sz w:val="18"/>
      <w:szCs w:val="18"/>
    </w:rPr>
  </w:style>
  <w:style w:type="paragraph" w:styleId="28">
    <w:name w:val="toc 1"/>
    <w:basedOn w:val="1"/>
    <w:next w:val="1"/>
    <w:qFormat/>
    <w:uiPriority w:val="0"/>
    <w:pPr>
      <w:tabs>
        <w:tab w:val="right" w:leader="dot" w:pos="8296"/>
      </w:tabs>
    </w:pPr>
    <w:rPr>
      <w:rFonts w:ascii="宋体" w:hAnsi="Times New Roman" w:eastAsia="楷体_GB2312" w:cs="TimesNewRomanPSMT"/>
      <w:b/>
      <w:kern w:val="0"/>
      <w:sz w:val="28"/>
      <w:szCs w:val="20"/>
    </w:rPr>
  </w:style>
  <w:style w:type="paragraph" w:styleId="29">
    <w:name w:val="toc 4"/>
    <w:basedOn w:val="1"/>
    <w:next w:val="1"/>
    <w:qFormat/>
    <w:uiPriority w:val="0"/>
    <w:pPr>
      <w:tabs>
        <w:tab w:val="left" w:pos="1890"/>
        <w:tab w:val="right" w:leader="dot" w:pos="8296"/>
      </w:tabs>
      <w:ind w:left="630" w:leftChars="300"/>
    </w:pPr>
  </w:style>
  <w:style w:type="paragraph" w:styleId="30">
    <w:name w:val="Subtitle"/>
    <w:basedOn w:val="1"/>
    <w:next w:val="1"/>
    <w:link w:val="92"/>
    <w:qFormat/>
    <w:uiPriority w:val="0"/>
    <w:pPr>
      <w:spacing w:before="240" w:after="60" w:line="312" w:lineRule="auto"/>
      <w:jc w:val="center"/>
      <w:outlineLvl w:val="1"/>
    </w:pPr>
    <w:rPr>
      <w:rFonts w:ascii="Cambria" w:hAnsi="Cambria"/>
      <w:b/>
      <w:bCs/>
      <w:kern w:val="28"/>
      <w:sz w:val="32"/>
      <w:szCs w:val="32"/>
    </w:rPr>
  </w:style>
  <w:style w:type="paragraph" w:styleId="31">
    <w:name w:val="toc 6"/>
    <w:basedOn w:val="1"/>
    <w:next w:val="1"/>
    <w:qFormat/>
    <w:uiPriority w:val="0"/>
    <w:pPr>
      <w:ind w:left="2100" w:leftChars="1000"/>
    </w:pPr>
  </w:style>
  <w:style w:type="paragraph" w:styleId="32">
    <w:name w:val="toc 2"/>
    <w:basedOn w:val="1"/>
    <w:next w:val="1"/>
    <w:qFormat/>
    <w:uiPriority w:val="0"/>
    <w:pPr>
      <w:ind w:left="420" w:leftChars="200"/>
    </w:pPr>
    <w:rPr>
      <w:rFonts w:ascii="宋体" w:hAnsi="Times New Roman"/>
      <w:b/>
      <w:sz w:val="28"/>
      <w:szCs w:val="20"/>
    </w:rPr>
  </w:style>
  <w:style w:type="paragraph" w:styleId="33">
    <w:name w:val="toc 9"/>
    <w:basedOn w:val="1"/>
    <w:next w:val="1"/>
    <w:qFormat/>
    <w:uiPriority w:val="0"/>
    <w:pPr>
      <w:ind w:left="3360" w:leftChars="1600"/>
    </w:pPr>
  </w:style>
  <w:style w:type="paragraph" w:styleId="34">
    <w:name w:val="Body Text 2"/>
    <w:basedOn w:val="1"/>
    <w:qFormat/>
    <w:uiPriority w:val="0"/>
    <w:pPr>
      <w:widowControl/>
      <w:spacing w:before="240"/>
      <w:ind w:right="301"/>
    </w:pPr>
    <w:rPr>
      <w:rFonts w:ascii="宋体" w:hAnsi="楷书_2312"/>
    </w:rPr>
  </w:style>
  <w:style w:type="paragraph" w:styleId="35">
    <w:name w:val="Normal (Web)"/>
    <w:basedOn w:val="1"/>
    <w:qFormat/>
    <w:uiPriority w:val="0"/>
    <w:pPr>
      <w:spacing w:before="100" w:beforeAutospacing="1" w:after="100" w:afterAutospacing="1" w:line="320" w:lineRule="atLeast"/>
    </w:pPr>
    <w:rPr>
      <w:rFonts w:ascii="宋体" w:hAnsi="宋体"/>
      <w:kern w:val="0"/>
      <w:sz w:val="18"/>
      <w:szCs w:val="18"/>
    </w:rPr>
  </w:style>
  <w:style w:type="paragraph" w:styleId="36">
    <w:name w:val="Title"/>
    <w:basedOn w:val="1"/>
    <w:next w:val="1"/>
    <w:link w:val="89"/>
    <w:qFormat/>
    <w:uiPriority w:val="0"/>
    <w:pPr>
      <w:spacing w:before="240" w:after="60"/>
      <w:jc w:val="center"/>
      <w:outlineLvl w:val="0"/>
    </w:pPr>
    <w:rPr>
      <w:rFonts w:ascii="Cambria" w:hAnsi="Cambria"/>
      <w:b/>
      <w:bCs/>
      <w:sz w:val="32"/>
      <w:szCs w:val="32"/>
    </w:rPr>
  </w:style>
  <w:style w:type="paragraph" w:styleId="37">
    <w:name w:val="annotation subject"/>
    <w:basedOn w:val="15"/>
    <w:next w:val="15"/>
    <w:link w:val="62"/>
    <w:qFormat/>
    <w:uiPriority w:val="0"/>
    <w:rPr>
      <w:rFonts w:ascii="宋体" w:hAnsi="Times New Roman"/>
      <w:b/>
      <w:bCs/>
      <w:kern w:val="0"/>
      <w:sz w:val="28"/>
      <w:szCs w:val="20"/>
    </w:rPr>
  </w:style>
  <w:style w:type="paragraph" w:styleId="38">
    <w:name w:val="Body Text First Indent 2"/>
    <w:basedOn w:val="18"/>
    <w:qFormat/>
    <w:uiPriority w:val="0"/>
    <w:pPr>
      <w:tabs>
        <w:tab w:val="left" w:pos="567"/>
      </w:tabs>
      <w:ind w:firstLine="420" w:firstLineChars="200"/>
    </w:pPr>
  </w:style>
  <w:style w:type="table" w:styleId="40">
    <w:name w:val="Table Grid"/>
    <w:basedOn w:val="39"/>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2">
    <w:name w:val="Strong"/>
    <w:qFormat/>
    <w:uiPriority w:val="0"/>
    <w:rPr>
      <w:b/>
      <w:bCs/>
    </w:rPr>
  </w:style>
  <w:style w:type="character" w:styleId="43">
    <w:name w:val="page number"/>
    <w:qFormat/>
    <w:uiPriority w:val="0"/>
    <w:rPr>
      <w:rFonts w:cs="Times New Roman"/>
    </w:rPr>
  </w:style>
  <w:style w:type="character" w:styleId="44">
    <w:name w:val="Emphasis"/>
    <w:qFormat/>
    <w:uiPriority w:val="0"/>
    <w:rPr>
      <w:i/>
      <w:iCs/>
    </w:rPr>
  </w:style>
  <w:style w:type="character" w:styleId="45">
    <w:name w:val="Hyperlink"/>
    <w:basedOn w:val="41"/>
    <w:qFormat/>
    <w:uiPriority w:val="0"/>
    <w:rPr>
      <w:rFonts w:cs="Times New Roman"/>
      <w:color w:val="0000FF"/>
      <w:u w:val="single"/>
    </w:rPr>
  </w:style>
  <w:style w:type="character" w:styleId="46">
    <w:name w:val="annotation reference"/>
    <w:qFormat/>
    <w:uiPriority w:val="0"/>
    <w:rPr>
      <w:rFonts w:cs="Times New Roman"/>
      <w:sz w:val="21"/>
      <w:szCs w:val="21"/>
    </w:rPr>
  </w:style>
  <w:style w:type="character" w:customStyle="1" w:styleId="47">
    <w:name w:val="标题 2 字符"/>
    <w:link w:val="4"/>
    <w:qFormat/>
    <w:uiPriority w:val="0"/>
    <w:rPr>
      <w:rFonts w:ascii="Cambria" w:hAnsi="Cambria" w:eastAsia="仿宋"/>
      <w:b/>
      <w:bCs/>
      <w:kern w:val="2"/>
      <w:sz w:val="24"/>
      <w:szCs w:val="32"/>
    </w:rPr>
  </w:style>
  <w:style w:type="character" w:customStyle="1" w:styleId="48">
    <w:name w:val="正文文本 Char1"/>
    <w:qFormat/>
    <w:uiPriority w:val="0"/>
    <w:rPr>
      <w:kern w:val="2"/>
      <w:sz w:val="21"/>
      <w:szCs w:val="22"/>
    </w:rPr>
  </w:style>
  <w:style w:type="character" w:customStyle="1" w:styleId="49">
    <w:name w:val="标题 8 字符"/>
    <w:link w:val="10"/>
    <w:qFormat/>
    <w:uiPriority w:val="0"/>
    <w:rPr>
      <w:rFonts w:ascii="Cambria" w:hAnsi="Cambria" w:eastAsia="宋体" w:cs="Times New Roman"/>
      <w:kern w:val="2"/>
      <w:sz w:val="24"/>
      <w:szCs w:val="24"/>
    </w:rPr>
  </w:style>
  <w:style w:type="character" w:customStyle="1" w:styleId="50">
    <w:name w:val="日期 字符"/>
    <w:link w:val="23"/>
    <w:qFormat/>
    <w:uiPriority w:val="0"/>
    <w:rPr>
      <w:rFonts w:ascii="宋体" w:hAnsi="Times New Roman"/>
      <w:sz w:val="28"/>
    </w:rPr>
  </w:style>
  <w:style w:type="character" w:customStyle="1" w:styleId="51">
    <w:name w:val="明显强调1"/>
    <w:qFormat/>
    <w:uiPriority w:val="0"/>
    <w:rPr>
      <w:b/>
      <w:bCs/>
      <w:i/>
      <w:iCs/>
      <w:color w:val="4F81BD"/>
    </w:rPr>
  </w:style>
  <w:style w:type="character" w:customStyle="1" w:styleId="52">
    <w:name w:val="标题 3 字符"/>
    <w:link w:val="5"/>
    <w:qFormat/>
    <w:uiPriority w:val="0"/>
    <w:rPr>
      <w:rFonts w:eastAsia="仿宋"/>
      <w:b/>
      <w:bCs/>
      <w:kern w:val="2"/>
      <w:sz w:val="24"/>
      <w:szCs w:val="32"/>
    </w:rPr>
  </w:style>
  <w:style w:type="character" w:customStyle="1" w:styleId="53">
    <w:name w:val="标题 5 字符"/>
    <w:link w:val="7"/>
    <w:qFormat/>
    <w:uiPriority w:val="0"/>
    <w:rPr>
      <w:b/>
      <w:bCs/>
      <w:kern w:val="2"/>
      <w:sz w:val="28"/>
      <w:szCs w:val="28"/>
    </w:rPr>
  </w:style>
  <w:style w:type="character" w:customStyle="1" w:styleId="54">
    <w:name w:val="批注文字 字符"/>
    <w:link w:val="15"/>
    <w:qFormat/>
    <w:uiPriority w:val="0"/>
    <w:rPr>
      <w:kern w:val="2"/>
      <w:sz w:val="21"/>
      <w:szCs w:val="22"/>
    </w:rPr>
  </w:style>
  <w:style w:type="character" w:customStyle="1" w:styleId="55">
    <w:name w:val="日期 Char1"/>
    <w:qFormat/>
    <w:uiPriority w:val="0"/>
    <w:rPr>
      <w:kern w:val="2"/>
      <w:sz w:val="21"/>
      <w:szCs w:val="22"/>
    </w:rPr>
  </w:style>
  <w:style w:type="character" w:customStyle="1" w:styleId="56">
    <w:name w:val="批注框文本 Char1"/>
    <w:qFormat/>
    <w:uiPriority w:val="0"/>
    <w:rPr>
      <w:kern w:val="2"/>
      <w:sz w:val="18"/>
      <w:szCs w:val="18"/>
    </w:rPr>
  </w:style>
  <w:style w:type="character" w:customStyle="1" w:styleId="57">
    <w:name w:val="文档结构图 Char1"/>
    <w:qFormat/>
    <w:uiPriority w:val="0"/>
    <w:rPr>
      <w:rFonts w:ascii="宋体"/>
      <w:kern w:val="2"/>
      <w:sz w:val="18"/>
      <w:szCs w:val="18"/>
    </w:rPr>
  </w:style>
  <w:style w:type="character" w:customStyle="1" w:styleId="58">
    <w:name w:val="引用 Char"/>
    <w:link w:val="59"/>
    <w:qFormat/>
    <w:uiPriority w:val="0"/>
    <w:rPr>
      <w:i/>
      <w:iCs/>
      <w:color w:val="000000"/>
      <w:kern w:val="2"/>
      <w:sz w:val="21"/>
      <w:szCs w:val="22"/>
    </w:rPr>
  </w:style>
  <w:style w:type="paragraph" w:customStyle="1" w:styleId="59">
    <w:name w:val="引用1"/>
    <w:basedOn w:val="1"/>
    <w:next w:val="1"/>
    <w:link w:val="58"/>
    <w:qFormat/>
    <w:uiPriority w:val="0"/>
    <w:rPr>
      <w:i/>
      <w:iCs/>
      <w:color w:val="000000"/>
    </w:rPr>
  </w:style>
  <w:style w:type="character" w:customStyle="1" w:styleId="60">
    <w:name w:val="书籍标题1"/>
    <w:qFormat/>
    <w:uiPriority w:val="0"/>
    <w:rPr>
      <w:b/>
      <w:bCs/>
      <w:smallCaps/>
      <w:spacing w:val="5"/>
    </w:rPr>
  </w:style>
  <w:style w:type="paragraph" w:customStyle="1" w:styleId="61">
    <w:name w:val="列出段落"/>
    <w:basedOn w:val="1"/>
    <w:qFormat/>
    <w:uiPriority w:val="0"/>
    <w:pPr>
      <w:ind w:firstLine="420" w:firstLineChars="200"/>
    </w:pPr>
  </w:style>
  <w:style w:type="character" w:customStyle="1" w:styleId="62">
    <w:name w:val="批注主题 字符"/>
    <w:link w:val="37"/>
    <w:qFormat/>
    <w:uiPriority w:val="0"/>
    <w:rPr>
      <w:rFonts w:ascii="宋体" w:hAnsi="Times New Roman"/>
      <w:b/>
      <w:bCs/>
      <w:sz w:val="28"/>
    </w:rPr>
  </w:style>
  <w:style w:type="character" w:customStyle="1" w:styleId="63">
    <w:name w:val="标题5 Char Char"/>
    <w:link w:val="64"/>
    <w:qFormat/>
    <w:uiPriority w:val="0"/>
    <w:rPr>
      <w:rFonts w:ascii="Arial" w:hAnsi="Arial"/>
      <w:b/>
      <w:bCs/>
      <w:sz w:val="24"/>
      <w:szCs w:val="32"/>
    </w:rPr>
  </w:style>
  <w:style w:type="paragraph" w:customStyle="1" w:styleId="64">
    <w:name w:val="标题5"/>
    <w:basedOn w:val="5"/>
    <w:link w:val="63"/>
    <w:qFormat/>
    <w:uiPriority w:val="0"/>
    <w:pPr>
      <w:spacing w:line="413" w:lineRule="auto"/>
    </w:pPr>
    <w:rPr>
      <w:rFonts w:ascii="Arial" w:hAnsi="Arial"/>
      <w:kern w:val="0"/>
    </w:rPr>
  </w:style>
  <w:style w:type="paragraph" w:customStyle="1" w:styleId="65">
    <w:name w:val="明显引用1"/>
    <w:basedOn w:val="1"/>
    <w:next w:val="1"/>
    <w:link w:val="85"/>
    <w:qFormat/>
    <w:uiPriority w:val="0"/>
    <w:pPr>
      <w:pBdr>
        <w:bottom w:val="single" w:color="4F81BD" w:sz="4" w:space="4"/>
      </w:pBdr>
      <w:spacing w:before="200" w:after="280"/>
      <w:ind w:left="936" w:right="936"/>
    </w:pPr>
    <w:rPr>
      <w:b/>
      <w:bCs/>
      <w:i/>
      <w:iCs/>
      <w:color w:val="4F81BD"/>
    </w:rPr>
  </w:style>
  <w:style w:type="paragraph" w:customStyle="1" w:styleId="66">
    <w:name w:val="无间隔1"/>
    <w:qFormat/>
    <w:uiPriority w:val="0"/>
    <w:pPr>
      <w:widowControl w:val="0"/>
      <w:jc w:val="both"/>
    </w:pPr>
    <w:rPr>
      <w:rFonts w:ascii="Calibri" w:hAnsi="Calibri" w:eastAsia="宋体" w:cs="Times New Roman"/>
      <w:kern w:val="2"/>
      <w:sz w:val="21"/>
      <w:szCs w:val="22"/>
      <w:lang w:val="en-US" w:eastAsia="zh-CN" w:bidi="ar-SA"/>
    </w:rPr>
  </w:style>
  <w:style w:type="paragraph" w:customStyle="1" w:styleId="67">
    <w:name w:val="flNote"/>
    <w:basedOn w:val="1"/>
    <w:qFormat/>
    <w:uiPriority w:val="0"/>
    <w:pPr>
      <w:spacing w:before="320" w:after="160" w:line="360" w:lineRule="atLeast"/>
      <w:jc w:val="center"/>
    </w:pPr>
    <w:rPr>
      <w:rFonts w:ascii="Arial" w:hAnsi="Times New Roman" w:eastAsia="黑体"/>
      <w:kern w:val="0"/>
      <w:sz w:val="30"/>
      <w:szCs w:val="20"/>
    </w:rPr>
  </w:style>
  <w:style w:type="character" w:customStyle="1" w:styleId="68">
    <w:name w:val="正文文本 字符"/>
    <w:link w:val="17"/>
    <w:qFormat/>
    <w:uiPriority w:val="0"/>
    <w:rPr>
      <w:rFonts w:ascii="Times New Roman" w:hAnsi="Times New Roman"/>
    </w:rPr>
  </w:style>
  <w:style w:type="character" w:customStyle="1" w:styleId="69">
    <w:name w:val="标题 6 字符"/>
    <w:link w:val="8"/>
    <w:qFormat/>
    <w:uiPriority w:val="0"/>
    <w:rPr>
      <w:rFonts w:ascii="Cambria" w:hAnsi="Cambria" w:eastAsia="宋体" w:cs="Times New Roman"/>
      <w:b/>
      <w:bCs/>
      <w:kern w:val="2"/>
      <w:sz w:val="24"/>
      <w:szCs w:val="24"/>
    </w:rPr>
  </w:style>
  <w:style w:type="paragraph" w:customStyle="1" w:styleId="70">
    <w:name w:val="样式 标题 3 + (中文) 黑体 小四 非加粗 段前: 7.8 磅 段后: 0 磅 行距: 固定值 20 磅"/>
    <w:basedOn w:val="5"/>
    <w:qFormat/>
    <w:uiPriority w:val="0"/>
    <w:pPr>
      <w:spacing w:line="400" w:lineRule="exact"/>
    </w:pPr>
    <w:rPr>
      <w:rFonts w:ascii="Times New Roman" w:hAnsi="Times New Roman" w:eastAsia="黑体" w:cs="宋体"/>
      <w:b w:val="0"/>
      <w:bCs w:val="0"/>
      <w:szCs w:val="20"/>
    </w:rPr>
  </w:style>
  <w:style w:type="character" w:customStyle="1" w:styleId="71">
    <w:name w:val="不明显参考1"/>
    <w:qFormat/>
    <w:uiPriority w:val="0"/>
    <w:rPr>
      <w:smallCaps/>
      <w:color w:val="C0504D"/>
      <w:u w:val="single"/>
    </w:rPr>
  </w:style>
  <w:style w:type="character" w:customStyle="1" w:styleId="72">
    <w:name w:val="批注文字 Char Char"/>
    <w:qFormat/>
    <w:uiPriority w:val="0"/>
    <w:rPr>
      <w:rFonts w:ascii="宋体" w:hAnsi="Times New Roman" w:eastAsia="宋体" w:cs="Times New Roman"/>
      <w:sz w:val="28"/>
      <w:szCs w:val="20"/>
    </w:rPr>
  </w:style>
  <w:style w:type="paragraph" w:customStyle="1" w:styleId="73">
    <w:name w:val="空半行"/>
    <w:basedOn w:val="1"/>
    <w:qFormat/>
    <w:uiPriority w:val="0"/>
    <w:pPr>
      <w:spacing w:line="120" w:lineRule="exact"/>
    </w:pPr>
    <w:rPr>
      <w:rFonts w:ascii="Times New Roman" w:hAnsi="Times New Roman" w:eastAsia="仿宋_GB2312"/>
      <w:color w:val="FFFFFF"/>
      <w:kern w:val="0"/>
      <w:sz w:val="30"/>
      <w:szCs w:val="20"/>
    </w:rPr>
  </w:style>
  <w:style w:type="character" w:customStyle="1" w:styleId="74">
    <w:name w:val="标题 7 字符"/>
    <w:link w:val="9"/>
    <w:qFormat/>
    <w:uiPriority w:val="0"/>
    <w:rPr>
      <w:b/>
      <w:bCs/>
      <w:kern w:val="2"/>
      <w:sz w:val="24"/>
      <w:szCs w:val="24"/>
    </w:rPr>
  </w:style>
  <w:style w:type="character" w:customStyle="1" w:styleId="75">
    <w:name w:val="标题4 Char Char"/>
    <w:link w:val="76"/>
    <w:qFormat/>
    <w:uiPriority w:val="0"/>
    <w:rPr>
      <w:rFonts w:ascii="Arial" w:hAnsi="Arial"/>
      <w:b/>
      <w:bCs/>
      <w:sz w:val="24"/>
      <w:szCs w:val="32"/>
    </w:rPr>
  </w:style>
  <w:style w:type="paragraph" w:customStyle="1" w:styleId="76">
    <w:name w:val="标题4"/>
    <w:basedOn w:val="4"/>
    <w:next w:val="19"/>
    <w:link w:val="75"/>
    <w:qFormat/>
    <w:uiPriority w:val="0"/>
    <w:pPr>
      <w:spacing w:line="413" w:lineRule="auto"/>
    </w:pPr>
    <w:rPr>
      <w:rFonts w:ascii="Arial" w:hAnsi="Arial"/>
      <w:kern w:val="0"/>
    </w:rPr>
  </w:style>
  <w:style w:type="paragraph" w:customStyle="1" w:styleId="77">
    <w:name w:val="样式 标题 2 + Times New Roman 四号 非加粗 段前: 5 磅 段后: 0 磅 行距: 固定值 20..."/>
    <w:basedOn w:val="4"/>
    <w:qFormat/>
    <w:uiPriority w:val="0"/>
    <w:pPr>
      <w:spacing w:before="100" w:line="400" w:lineRule="exact"/>
    </w:pPr>
    <w:rPr>
      <w:rFonts w:ascii="Times New Roman" w:hAnsi="Times New Roman" w:eastAsia="黑体" w:cs="宋体"/>
      <w:b w:val="0"/>
      <w:bCs w:val="0"/>
      <w:kern w:val="0"/>
      <w:sz w:val="28"/>
      <w:szCs w:val="20"/>
    </w:rPr>
  </w:style>
  <w:style w:type="character" w:customStyle="1" w:styleId="78">
    <w:name w:val="标题 1 字符"/>
    <w:link w:val="3"/>
    <w:qFormat/>
    <w:uiPriority w:val="0"/>
    <w:rPr>
      <w:rFonts w:eastAsia="仿宋"/>
      <w:b/>
      <w:bCs/>
      <w:kern w:val="44"/>
      <w:sz w:val="24"/>
      <w:szCs w:val="44"/>
    </w:rPr>
  </w:style>
  <w:style w:type="character" w:customStyle="1" w:styleId="79">
    <w:name w:val="标题 4 字符"/>
    <w:link w:val="6"/>
    <w:qFormat/>
    <w:uiPriority w:val="0"/>
    <w:rPr>
      <w:rFonts w:ascii="Cambria" w:hAnsi="Cambria" w:eastAsia="宋体" w:cs="Times New Roman"/>
      <w:b/>
      <w:bCs/>
      <w:kern w:val="2"/>
      <w:sz w:val="28"/>
      <w:szCs w:val="28"/>
    </w:rPr>
  </w:style>
  <w:style w:type="character" w:customStyle="1" w:styleId="80">
    <w:name w:val="明显参考1"/>
    <w:qFormat/>
    <w:uiPriority w:val="0"/>
    <w:rPr>
      <w:b/>
      <w:bCs/>
      <w:smallCaps/>
      <w:color w:val="C0504D"/>
      <w:spacing w:val="5"/>
      <w:u w:val="single"/>
    </w:rPr>
  </w:style>
  <w:style w:type="character" w:customStyle="1" w:styleId="81">
    <w:name w:val="页眉 字符"/>
    <w:link w:val="27"/>
    <w:qFormat/>
    <w:uiPriority w:val="0"/>
    <w:rPr>
      <w:kern w:val="2"/>
      <w:sz w:val="18"/>
      <w:szCs w:val="18"/>
    </w:rPr>
  </w:style>
  <w:style w:type="character" w:customStyle="1" w:styleId="82">
    <w:name w:val="批注框文本 字符"/>
    <w:link w:val="25"/>
    <w:qFormat/>
    <w:uiPriority w:val="0"/>
    <w:rPr>
      <w:rFonts w:ascii="宋体" w:hAnsi="Times New Roman"/>
      <w:sz w:val="18"/>
      <w:szCs w:val="18"/>
    </w:rPr>
  </w:style>
  <w:style w:type="paragraph" w:customStyle="1" w:styleId="83">
    <w:name w:val="TOC 标题1"/>
    <w:basedOn w:val="3"/>
    <w:next w:val="1"/>
    <w:qFormat/>
    <w:uiPriority w:val="0"/>
    <w:pPr>
      <w:outlineLvl w:val="9"/>
    </w:pPr>
  </w:style>
  <w:style w:type="character" w:customStyle="1" w:styleId="84">
    <w:name w:val="页脚 字符"/>
    <w:link w:val="26"/>
    <w:qFormat/>
    <w:uiPriority w:val="0"/>
    <w:rPr>
      <w:kern w:val="2"/>
      <w:sz w:val="18"/>
      <w:szCs w:val="18"/>
    </w:rPr>
  </w:style>
  <w:style w:type="character" w:customStyle="1" w:styleId="85">
    <w:name w:val="明显引用 Char"/>
    <w:link w:val="65"/>
    <w:qFormat/>
    <w:uiPriority w:val="0"/>
    <w:rPr>
      <w:b/>
      <w:bCs/>
      <w:i/>
      <w:iCs/>
      <w:color w:val="4F81BD"/>
      <w:kern w:val="2"/>
      <w:sz w:val="21"/>
      <w:szCs w:val="22"/>
    </w:rPr>
  </w:style>
  <w:style w:type="character" w:customStyle="1" w:styleId="86">
    <w:name w:val="textcontents"/>
    <w:qFormat/>
    <w:uiPriority w:val="0"/>
    <w:rPr>
      <w:rFonts w:cs="Times New Roman"/>
    </w:rPr>
  </w:style>
  <w:style w:type="character" w:customStyle="1" w:styleId="87">
    <w:name w:val="不明显强调1"/>
    <w:qFormat/>
    <w:uiPriority w:val="0"/>
    <w:rPr>
      <w:i/>
      <w:iCs/>
      <w:color w:val="808080"/>
    </w:rPr>
  </w:style>
  <w:style w:type="character" w:customStyle="1" w:styleId="88">
    <w:name w:val="标题 9 字符"/>
    <w:link w:val="11"/>
    <w:qFormat/>
    <w:uiPriority w:val="0"/>
    <w:rPr>
      <w:rFonts w:ascii="Cambria" w:hAnsi="Cambria" w:eastAsia="宋体" w:cs="Times New Roman"/>
      <w:kern w:val="2"/>
      <w:sz w:val="21"/>
      <w:szCs w:val="21"/>
    </w:rPr>
  </w:style>
  <w:style w:type="character" w:customStyle="1" w:styleId="89">
    <w:name w:val="标题 字符"/>
    <w:link w:val="36"/>
    <w:qFormat/>
    <w:uiPriority w:val="0"/>
    <w:rPr>
      <w:rFonts w:ascii="Cambria" w:hAnsi="Cambria" w:cs="Times New Roman"/>
      <w:b/>
      <w:bCs/>
      <w:kern w:val="2"/>
      <w:sz w:val="32"/>
      <w:szCs w:val="32"/>
    </w:rPr>
  </w:style>
  <w:style w:type="character" w:customStyle="1" w:styleId="90">
    <w:name w:val="文档结构图 字符"/>
    <w:link w:val="14"/>
    <w:qFormat/>
    <w:uiPriority w:val="0"/>
    <w:rPr>
      <w:rFonts w:ascii="Times New Roman" w:hAnsi="Times New Roman"/>
      <w:szCs w:val="24"/>
      <w:shd w:val="clear" w:color="auto" w:fill="000080"/>
    </w:rPr>
  </w:style>
  <w:style w:type="paragraph" w:customStyle="1" w:styleId="91">
    <w:name w:val="修订1"/>
    <w:qFormat/>
    <w:uiPriority w:val="0"/>
    <w:rPr>
      <w:rFonts w:ascii="Times New Roman" w:hAnsi="Times New Roman" w:eastAsia="宋体" w:cs="Times New Roman"/>
      <w:kern w:val="2"/>
      <w:sz w:val="21"/>
      <w:szCs w:val="24"/>
      <w:lang w:val="en-US" w:eastAsia="zh-CN" w:bidi="ar-SA"/>
    </w:rPr>
  </w:style>
  <w:style w:type="character" w:customStyle="1" w:styleId="92">
    <w:name w:val="副标题 字符"/>
    <w:link w:val="30"/>
    <w:qFormat/>
    <w:uiPriority w:val="0"/>
    <w:rPr>
      <w:rFonts w:ascii="Cambria" w:hAnsi="Cambria" w:cs="Times New Roman"/>
      <w:b/>
      <w:bCs/>
      <w:kern w:val="28"/>
      <w:sz w:val="32"/>
      <w:szCs w:val="32"/>
    </w:rPr>
  </w:style>
  <w:style w:type="character" w:customStyle="1" w:styleId="93">
    <w:name w:val="批注主题 Char1"/>
    <w:qFormat/>
    <w:uiPriority w:val="0"/>
    <w:rPr>
      <w:b/>
      <w:bCs/>
      <w:kern w:val="2"/>
      <w:sz w:val="21"/>
      <w:szCs w:val="22"/>
    </w:rPr>
  </w:style>
  <w:style w:type="paragraph" w:customStyle="1" w:styleId="94">
    <w:name w:val="正文new"/>
    <w:basedOn w:val="1"/>
    <w:link w:val="111"/>
    <w:autoRedefine/>
    <w:qFormat/>
    <w:uiPriority w:val="0"/>
    <w:pPr>
      <w:ind w:firstLine="600" w:firstLineChars="200"/>
    </w:pPr>
    <w:rPr>
      <w:rFonts w:ascii="Times New Roman" w:hAnsi="Times New Roman" w:eastAsia="仿宋"/>
      <w:sz w:val="30"/>
      <w:szCs w:val="30"/>
    </w:rPr>
  </w:style>
  <w:style w:type="paragraph" w:customStyle="1" w:styleId="95">
    <w:name w:val="正文 A"/>
    <w:link w:val="112"/>
    <w:qFormat/>
    <w:uiPriority w:val="0"/>
    <w:pPr>
      <w:widowControl w:val="0"/>
      <w:adjustRightInd w:val="0"/>
      <w:snapToGrid w:val="0"/>
      <w:spacing w:line="360" w:lineRule="auto"/>
      <w:ind w:firstLine="803" w:firstLineChars="200"/>
      <w:jc w:val="both"/>
      <w:outlineLvl w:val="9"/>
    </w:pPr>
    <w:rPr>
      <w:rFonts w:ascii="Times New Roman" w:hAnsi="Times New Roman" w:eastAsia="仿宋" w:cs="Arial Unicode MS"/>
      <w:color w:val="000000"/>
      <w:kern w:val="2"/>
      <w:sz w:val="24"/>
      <w:szCs w:val="21"/>
      <w:u w:color="000000"/>
      <w:lang w:val="en-US" w:eastAsia="zh-CN" w:bidi="ar-SA"/>
    </w:rPr>
  </w:style>
  <w:style w:type="paragraph" w:customStyle="1" w:styleId="96">
    <w:name w:val="正文文本1"/>
    <w:qFormat/>
    <w:uiPriority w:val="0"/>
    <w:pPr>
      <w:framePr w:wrap="around" w:vAnchor="margin" w:hAnchor="text" w:y="1"/>
      <w:widowControl w:val="0"/>
      <w:spacing w:after="12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97">
    <w:name w:val="_Style 9"/>
    <w:next w:val="95"/>
    <w:qFormat/>
    <w:uiPriority w:val="0"/>
    <w:pPr>
      <w:keepNext/>
      <w:keepLines/>
      <w:framePr w:wrap="around" w:vAnchor="margin" w:hAnchor="text" w:y="1"/>
      <w:widowControl w:val="0"/>
      <w:tabs>
        <w:tab w:val="left" w:pos="432"/>
      </w:tabs>
      <w:spacing w:before="340" w:after="330" w:line="578" w:lineRule="auto"/>
      <w:jc w:val="both"/>
    </w:pPr>
    <w:rPr>
      <w:rFonts w:ascii="Times New Roman" w:hAnsi="Times New Roman" w:eastAsia="Times New Roman" w:cs="Times New Roman"/>
      <w:b/>
      <w:bCs/>
      <w:color w:val="000000"/>
      <w:kern w:val="44"/>
      <w:sz w:val="44"/>
      <w:szCs w:val="44"/>
      <w:u w:color="000000"/>
      <w:lang w:val="en-US" w:eastAsia="zh-CN" w:bidi="ar-SA"/>
    </w:rPr>
  </w:style>
  <w:style w:type="paragraph" w:customStyle="1" w:styleId="98">
    <w:name w:val="标题 31"/>
    <w:next w:val="95"/>
    <w:qFormat/>
    <w:uiPriority w:val="0"/>
    <w:pPr>
      <w:keepNext/>
      <w:keepLines/>
      <w:framePr w:wrap="around" w:vAnchor="margin" w:hAnchor="text" w:y="1"/>
      <w:widowControl w:val="0"/>
      <w:spacing w:before="260" w:after="260" w:line="415" w:lineRule="auto"/>
      <w:ind w:firstLine="137"/>
      <w:jc w:val="both"/>
      <w:outlineLvl w:val="2"/>
    </w:pPr>
    <w:rPr>
      <w:rFonts w:ascii="黑体" w:hAnsi="黑体" w:eastAsia="黑体" w:cs="黑体"/>
      <w:color w:val="000000"/>
      <w:kern w:val="2"/>
      <w:sz w:val="28"/>
      <w:szCs w:val="28"/>
      <w:u w:color="000000"/>
      <w:lang w:val="en-US" w:eastAsia="zh-CN" w:bidi="ar-SA"/>
    </w:rPr>
  </w:style>
  <w:style w:type="paragraph" w:customStyle="1" w:styleId="99">
    <w:name w:val="标题 41"/>
    <w:next w:val="95"/>
    <w:qFormat/>
    <w:uiPriority w:val="0"/>
    <w:pPr>
      <w:keepNext/>
      <w:keepLines/>
      <w:framePr w:wrap="around" w:vAnchor="margin" w:hAnchor="text" w:y="1"/>
      <w:widowControl w:val="0"/>
      <w:spacing w:before="280" w:after="290" w:line="374" w:lineRule="auto"/>
      <w:jc w:val="both"/>
      <w:outlineLvl w:val="3"/>
    </w:pPr>
    <w:rPr>
      <w:rFonts w:ascii="Arial" w:hAnsi="Arial" w:eastAsia="Arial Unicode MS" w:cs="Arial Unicode MS"/>
      <w:b/>
      <w:bCs/>
      <w:color w:val="000000"/>
      <w:kern w:val="2"/>
      <w:sz w:val="28"/>
      <w:szCs w:val="28"/>
      <w:u w:color="000000"/>
      <w:lang w:val="en-US" w:eastAsia="zh-CN" w:bidi="ar-SA"/>
    </w:rPr>
  </w:style>
  <w:style w:type="character" w:customStyle="1" w:styleId="100">
    <w:name w:val="无"/>
    <w:qFormat/>
    <w:uiPriority w:val="0"/>
  </w:style>
  <w:style w:type="paragraph" w:customStyle="1" w:styleId="101">
    <w:name w:val="正文缩进1"/>
    <w:qFormat/>
    <w:uiPriority w:val="0"/>
    <w:pPr>
      <w:framePr w:wrap="around" w:vAnchor="margin" w:hAnchor="text" w:y="1"/>
      <w:widowControl w:val="0"/>
      <w:ind w:firstLine="420"/>
      <w:jc w:val="both"/>
    </w:pPr>
    <w:rPr>
      <w:rFonts w:hint="eastAsia" w:ascii="Arial Unicode MS" w:hAnsi="Arial Unicode MS" w:eastAsia="Times New Roman" w:cs="Arial Unicode MS"/>
      <w:color w:val="000000"/>
      <w:kern w:val="2"/>
      <w:sz w:val="21"/>
      <w:szCs w:val="21"/>
      <w:u w:color="000000"/>
      <w:lang w:val="en-US" w:eastAsia="zh-CN" w:bidi="ar-SA"/>
    </w:rPr>
  </w:style>
  <w:style w:type="paragraph" w:customStyle="1" w:styleId="102">
    <w:name w:val="标题 51"/>
    <w:qFormat/>
    <w:uiPriority w:val="0"/>
    <w:pPr>
      <w:keepNext/>
      <w:keepLines/>
      <w:framePr w:wrap="around" w:vAnchor="margin" w:hAnchor="text" w:y="1"/>
      <w:widowControl w:val="0"/>
      <w:spacing w:before="156" w:after="156" w:line="240" w:lineRule="exact"/>
      <w:ind w:left="284" w:hanging="284"/>
      <w:jc w:val="center"/>
      <w:outlineLvl w:val="4"/>
    </w:pPr>
    <w:rPr>
      <w:rFonts w:ascii="Arial" w:hAnsi="Arial" w:eastAsia="Arial Unicode MS" w:cs="Arial Unicode MS"/>
      <w:color w:val="000000"/>
      <w:kern w:val="2"/>
      <w:sz w:val="24"/>
      <w:szCs w:val="24"/>
      <w:u w:color="000000"/>
      <w:lang w:val="en-US" w:eastAsia="zh-CN" w:bidi="ar-SA"/>
    </w:rPr>
  </w:style>
  <w:style w:type="paragraph" w:customStyle="1" w:styleId="103">
    <w:name w:val="正文文本缩进 21"/>
    <w:qFormat/>
    <w:uiPriority w:val="0"/>
    <w:pPr>
      <w:framePr w:wrap="around" w:vAnchor="margin" w:hAnchor="text" w:y="1"/>
      <w:spacing w:line="360" w:lineRule="auto"/>
      <w:ind w:firstLine="555"/>
      <w:jc w:val="both"/>
    </w:pPr>
    <w:rPr>
      <w:rFonts w:ascii="宋体" w:hAnsi="宋体" w:eastAsia="宋体" w:cs="宋体"/>
      <w:color w:val="000000"/>
      <w:spacing w:val="12"/>
      <w:sz w:val="24"/>
      <w:szCs w:val="24"/>
      <w:u w:color="000000"/>
      <w:lang w:val="en-US" w:eastAsia="zh-CN" w:bidi="ar-SA"/>
    </w:rPr>
  </w:style>
  <w:style w:type="paragraph" w:customStyle="1" w:styleId="104">
    <w:name w:val="页眉与页脚"/>
    <w:qFormat/>
    <w:uiPriority w:val="0"/>
    <w:pPr>
      <w:framePr w:wrap="around" w:vAnchor="margin" w:hAnchor="text" w:y="1"/>
      <w:tabs>
        <w:tab w:val="right" w:pos="9020"/>
      </w:tabs>
    </w:pPr>
    <w:rPr>
      <w:rFonts w:ascii="Helvetica Neue" w:hAnsi="Helvetica Neue" w:eastAsia="Arial Unicode MS" w:cs="Arial Unicode MS"/>
      <w:color w:val="000000"/>
      <w:sz w:val="24"/>
      <w:szCs w:val="24"/>
      <w:lang w:val="en-US" w:eastAsia="zh-CN" w:bidi="ar-SA"/>
    </w:rPr>
  </w:style>
  <w:style w:type="paragraph" w:customStyle="1" w:styleId="105">
    <w:name w:val="页脚1"/>
    <w:qFormat/>
    <w:uiPriority w:val="0"/>
    <w:pPr>
      <w:framePr w:wrap="around" w:vAnchor="margin" w:hAnchor="text" w:y="1"/>
      <w:widowControl w:val="0"/>
      <w:tabs>
        <w:tab w:val="center" w:pos="4153"/>
        <w:tab w:val="right" w:pos="8306"/>
      </w:tabs>
    </w:pPr>
    <w:rPr>
      <w:rFonts w:hint="eastAsia" w:ascii="Arial Unicode MS" w:hAnsi="Arial Unicode MS" w:eastAsia="Times New Roman" w:cs="Arial Unicode MS"/>
      <w:color w:val="000000"/>
      <w:kern w:val="2"/>
      <w:sz w:val="18"/>
      <w:szCs w:val="18"/>
      <w:u w:color="000000"/>
      <w:lang w:val="en-US" w:eastAsia="zh-CN" w:bidi="ar-SA"/>
    </w:rPr>
  </w:style>
  <w:style w:type="paragraph" w:customStyle="1" w:styleId="106">
    <w:name w:val="列出段落1"/>
    <w:basedOn w:val="1"/>
    <w:qFormat/>
    <w:uiPriority w:val="0"/>
    <w:pPr>
      <w:ind w:firstLine="420" w:firstLineChars="200"/>
    </w:pPr>
  </w:style>
  <w:style w:type="paragraph" w:customStyle="1" w:styleId="107">
    <w:name w:val="Revision"/>
    <w:hidden/>
    <w:unhideWhenUsed/>
    <w:qFormat/>
    <w:uiPriority w:val="99"/>
    <w:rPr>
      <w:rFonts w:ascii="Calibri" w:hAnsi="Calibri" w:eastAsia="宋体" w:cs="Times New Roman"/>
      <w:kern w:val="2"/>
      <w:sz w:val="21"/>
      <w:szCs w:val="22"/>
      <w:lang w:val="en-US" w:eastAsia="zh-CN" w:bidi="ar-SA"/>
    </w:rPr>
  </w:style>
  <w:style w:type="paragraph" w:customStyle="1" w:styleId="108">
    <w:name w:val="WPSOffice手动目录 1"/>
    <w:qFormat/>
    <w:uiPriority w:val="0"/>
    <w:pPr>
      <w:ind w:leftChars="0"/>
    </w:pPr>
    <w:rPr>
      <w:rFonts w:ascii="Calibri" w:hAnsi="Calibri" w:eastAsia="宋体" w:cs="Times New Roman"/>
      <w:sz w:val="20"/>
      <w:szCs w:val="20"/>
    </w:rPr>
  </w:style>
  <w:style w:type="paragraph" w:customStyle="1" w:styleId="109">
    <w:name w:val="WPSOffice手动目录 2"/>
    <w:qFormat/>
    <w:uiPriority w:val="0"/>
    <w:pPr>
      <w:ind w:leftChars="200"/>
    </w:pPr>
    <w:rPr>
      <w:rFonts w:ascii="Calibri" w:hAnsi="Calibri" w:eastAsia="宋体" w:cs="Times New Roman"/>
      <w:sz w:val="20"/>
      <w:szCs w:val="20"/>
    </w:rPr>
  </w:style>
  <w:style w:type="paragraph" w:customStyle="1" w:styleId="110">
    <w:name w:val="WPSOffice手动目录 3"/>
    <w:qFormat/>
    <w:uiPriority w:val="0"/>
    <w:pPr>
      <w:ind w:leftChars="400"/>
    </w:pPr>
    <w:rPr>
      <w:rFonts w:ascii="Calibri" w:hAnsi="Calibri" w:eastAsia="宋体" w:cs="Times New Roman"/>
      <w:sz w:val="20"/>
      <w:szCs w:val="20"/>
    </w:rPr>
  </w:style>
  <w:style w:type="character" w:customStyle="1" w:styleId="111">
    <w:name w:val="正文new Char"/>
    <w:link w:val="94"/>
    <w:qFormat/>
    <w:uiPriority w:val="0"/>
    <w:rPr>
      <w:rFonts w:ascii="Times New Roman" w:hAnsi="Times New Roman" w:eastAsia="仿宋"/>
      <w:sz w:val="30"/>
      <w:szCs w:val="30"/>
    </w:rPr>
  </w:style>
  <w:style w:type="character" w:customStyle="1" w:styleId="112">
    <w:name w:val="正文 A Char"/>
    <w:link w:val="95"/>
    <w:qFormat/>
    <w:uiPriority w:val="0"/>
    <w:rPr>
      <w:rFonts w:ascii="Times New Roman" w:hAnsi="Times New Roman" w:eastAsia="仿宋" w:cs="Arial Unicode MS"/>
      <w:color w:val="000000"/>
      <w:kern w:val="2"/>
      <w:sz w:val="24"/>
      <w:szCs w:val="21"/>
      <w:u w:color="000000"/>
      <w:lang w:val="en-US" w:eastAsia="zh-CN" w:bidi="ar-SA"/>
    </w:rPr>
  </w:style>
  <w:style w:type="paragraph" w:styleId="113">
    <w:name w:val="List Paragraph"/>
    <w:basedOn w:val="1"/>
    <w:qFormat/>
    <w:uiPriority w:val="34"/>
    <w:pPr>
      <w:ind w:firstLine="420" w:firstLineChars="200"/>
    </w:pPr>
    <w:rPr>
      <w:rFonts w:ascii="Calibri" w:hAnsi="Calibri"/>
      <w:szCs w:val="22"/>
    </w:rPr>
  </w:style>
  <w:style w:type="paragraph" w:customStyle="1" w:styleId="114">
    <w:name w:val="正文_1"/>
    <w:qFormat/>
    <w:uiPriority w:val="99"/>
    <w:pPr>
      <w:widowControl w:val="0"/>
      <w:jc w:val="both"/>
    </w:pPr>
    <w:rPr>
      <w:rFonts w:ascii="Times New Roman" w:hAnsi="Times New Roman" w:eastAsia="宋体" w:cs="Times New Roman"/>
      <w:szCs w:val="24"/>
      <w:lang w:val="en-US" w:eastAsia="zh-CN" w:bidi="ar-SA"/>
    </w:rPr>
  </w:style>
  <w:style w:type="paragraph" w:customStyle="1" w:styleId="115">
    <w:name w:val="正文一"/>
    <w:basedOn w:val="1"/>
    <w:qFormat/>
    <w:uiPriority w:val="99"/>
    <w:pPr>
      <w:adjustRightInd w:val="0"/>
      <w:snapToGrid w:val="0"/>
      <w:spacing w:line="360" w:lineRule="auto"/>
      <w:ind w:firstLine="200" w:firstLineChars="200"/>
    </w:pPr>
    <w:rPr>
      <w:sz w:val="28"/>
      <w:szCs w:val="22"/>
    </w:rPr>
  </w:style>
  <w:style w:type="paragraph" w:customStyle="1" w:styleId="116">
    <w:name w:val="正文_1_0_0"/>
    <w:qFormat/>
    <w:uiPriority w:val="99"/>
    <w:pPr>
      <w:widowControl w:val="0"/>
      <w:jc w:val="both"/>
    </w:pPr>
    <w:rPr>
      <w:rFonts w:ascii="Times New Roman" w:hAnsi="Times New Roman" w:eastAsia="宋体" w:cs="Times New Roman"/>
      <w:kern w:val="2"/>
      <w:sz w:val="21"/>
      <w:szCs w:val="24"/>
      <w:lang w:val="en-US" w:eastAsia="zh-CN" w:bidi="ar-SA"/>
    </w:rPr>
  </w:style>
  <w:style w:type="paragraph" w:customStyle="1" w:styleId="117">
    <w:name w:val="正文文本缩进 2_0"/>
    <w:basedOn w:val="116"/>
    <w:qFormat/>
    <w:uiPriority w:val="99"/>
    <w:pPr>
      <w:ind w:firstLine="680"/>
    </w:pPr>
    <w:rPr>
      <w:rFonts w:ascii="仿宋_GB2312"/>
      <w:kern w:val="0"/>
      <w:sz w:val="30"/>
      <w:szCs w:val="20"/>
    </w:rPr>
  </w:style>
  <w:style w:type="paragraph" w:customStyle="1" w:styleId="118">
    <w:name w:val="正文_2"/>
    <w:qFormat/>
    <w:uiPriority w:val="99"/>
    <w:pPr>
      <w:widowControl w:val="0"/>
      <w:jc w:val="both"/>
    </w:pPr>
    <w:rPr>
      <w:rFonts w:ascii="Times New Roman" w:hAnsi="Times New Roman" w:eastAsia="宋体" w:cs="Times New Roman"/>
      <w:kern w:val="2"/>
      <w:sz w:val="21"/>
      <w:szCs w:val="22"/>
      <w:lang w:val="en-US" w:eastAsia="zh-CN" w:bidi="ar-SA"/>
    </w:rPr>
  </w:style>
  <w:style w:type="paragraph" w:customStyle="1" w:styleId="119">
    <w:name w:val="标题 3_1"/>
    <w:basedOn w:val="114"/>
    <w:next w:val="114"/>
    <w:qFormat/>
    <w:uiPriority w:val="99"/>
    <w:pPr>
      <w:keepNext/>
      <w:keepLines/>
      <w:spacing w:before="20" w:after="20"/>
      <w:outlineLvl w:val="2"/>
    </w:pPr>
    <w:rPr>
      <w:rFonts w:eastAsia="黑体"/>
      <w:bCs/>
      <w:sz w:val="32"/>
      <w:szCs w:val="32"/>
    </w:rPr>
  </w:style>
  <w:style w:type="paragraph" w:customStyle="1" w:styleId="120">
    <w:name w:val="Normal_0"/>
    <w:qFormat/>
    <w:uiPriority w:val="99"/>
    <w:pPr>
      <w:widowControl w:val="0"/>
      <w:jc w:val="both"/>
    </w:pPr>
    <w:rPr>
      <w:rFonts w:ascii="Times New Roman" w:hAnsi="Times New Roman" w:eastAsia="宋体" w:cs="Times New Roman"/>
      <w:lang w:val="en-US" w:eastAsia="zh-CN" w:bidi="ar-SA"/>
    </w:rPr>
  </w:style>
  <w:style w:type="paragraph" w:customStyle="1" w:styleId="121">
    <w:name w:val="table of authorities"/>
    <w:basedOn w:val="1"/>
    <w:next w:val="1"/>
    <w:qFormat/>
    <w:uiPriority w:val="0"/>
    <w:pPr>
      <w:ind w:left="420" w:leftChars="200"/>
    </w:pPr>
    <w:rPr>
      <w:rFonts w:ascii="Times New Roman" w:hAnsi="Times New Roman" w:eastAsia="仿宋"/>
    </w:rPr>
  </w:style>
  <w:style w:type="paragraph" w:customStyle="1" w:styleId="122">
    <w:name w:val="标题 4_0"/>
    <w:basedOn w:val="123"/>
    <w:next w:val="123"/>
    <w:qFormat/>
    <w:uiPriority w:val="0"/>
    <w:pPr>
      <w:keepNext/>
      <w:keepLines/>
      <w:spacing w:before="280" w:after="290" w:line="372" w:lineRule="auto"/>
      <w:outlineLvl w:val="3"/>
    </w:pPr>
    <w:rPr>
      <w:rFonts w:ascii="Cambria" w:hAnsi="Cambria"/>
      <w:b/>
      <w:bCs/>
      <w:sz w:val="28"/>
      <w:szCs w:val="28"/>
    </w:rPr>
  </w:style>
  <w:style w:type="paragraph" w:customStyle="1" w:styleId="123">
    <w:name w:val="正文_1_0"/>
    <w:next w:val="124"/>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124">
    <w:name w:val="样式 正文001 + 首行缩进:  2 字符1"/>
    <w:basedOn w:val="123"/>
    <w:qFormat/>
    <w:uiPriority w:val="0"/>
    <w:pPr>
      <w:spacing w:before="60" w:line="460" w:lineRule="exact"/>
      <w:ind w:firstLine="480" w:firstLineChars="200"/>
    </w:pPr>
    <w:rPr>
      <w:rFonts w:ascii="宋体" w:hAnsi="宋体"/>
      <w:sz w:val="24"/>
    </w:rPr>
  </w:style>
  <w:style w:type="paragraph" w:customStyle="1" w:styleId="125">
    <w:name w:val="正文_0"/>
    <w:qFormat/>
    <w:uiPriority w:val="0"/>
    <w:pPr>
      <w:widowControl w:val="0"/>
      <w:jc w:val="both"/>
    </w:pPr>
    <w:rPr>
      <w:rFonts w:ascii="Calibri" w:hAnsi="Calibri" w:eastAsia="宋体" w:cs="Times New Roman"/>
      <w:kern w:val="2"/>
      <w:sz w:val="21"/>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2" Type="http://schemas.openxmlformats.org/officeDocument/2006/relationships/fontTable" Target="fontTable.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theme" Target="theme/theme1.xml"/><Relationship Id="rId18" Type="http://schemas.openxmlformats.org/officeDocument/2006/relationships/footer" Target="footer11.xml"/><Relationship Id="rId17" Type="http://schemas.openxmlformats.org/officeDocument/2006/relationships/header" Target="header3.xml"/><Relationship Id="rId16" Type="http://schemas.openxmlformats.org/officeDocument/2006/relationships/footer" Target="footer10.xml"/><Relationship Id="rId15" Type="http://schemas.openxmlformats.org/officeDocument/2006/relationships/footer" Target="footer9.xml"/><Relationship Id="rId14" Type="http://schemas.openxmlformats.org/officeDocument/2006/relationships/header" Target="header2.xml"/><Relationship Id="rId13" Type="http://schemas.openxmlformats.org/officeDocument/2006/relationships/footer" Target="footer8.xml"/><Relationship Id="rId12" Type="http://schemas.openxmlformats.org/officeDocument/2006/relationships/header" Target="header1.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171</Pages>
  <Words>20173</Words>
  <Characters>21590</Characters>
  <Lines>1008</Lines>
  <Paragraphs>283</Paragraphs>
  <TotalTime>18</TotalTime>
  <ScaleCrop>false</ScaleCrop>
  <LinksUpToDate>false</LinksUpToDate>
  <CharactersWithSpaces>21914</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2025-02-16T15:08:00Z</dcterms:created>
  <dc:creator>ke</dc:creator>
  <cp:lastModifiedBy>Administrator</cp:lastModifiedBy>
  <cp:lastPrinted>2025-02-28T07:30:00Z</cp:lastPrinted>
  <dcterms:modified xsi:type="dcterms:W3CDTF">2025-02-28T08:07:57Z</dcterms:modified>
  <cp:revision>61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B4B5E75A305E43C6BB88D258889FE336_13</vt:lpwstr>
  </property>
  <property fmtid="{D5CDD505-2E9C-101B-9397-08002B2CF9AE}" pid="4" name="KSOTemplateDocerSaveRecord">
    <vt:lpwstr>eyJoZGlkIjoiOTk4NDc5NTBjOWRmMGJlNjE3YTkxMjIxMzYxNmM1NmIiLCJ1c2VySWQiOiI0MzU0NjI5MjAifQ==</vt:lpwstr>
  </property>
</Properties>
</file>