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6C5C7">
      <w:pPr>
        <w:pStyle w:val="11"/>
        <w:ind w:left="0" w:leftChars="0" w:firstLine="0" w:firstLineChars="0"/>
        <w:rPr>
          <w:sz w:val="20"/>
          <w:szCs w:val="20"/>
          <w:highlight w:val="none"/>
        </w:rPr>
      </w:pPr>
      <w:bookmarkStart w:id="1080" w:name="_GoBack"/>
      <w:bookmarkEnd w:id="1080"/>
    </w:p>
    <w:p w14:paraId="6597B2AE">
      <w:pPr>
        <w:spacing w:line="400" w:lineRule="exact"/>
        <w:rPr>
          <w:rFonts w:hint="eastAsia"/>
          <w:highlight w:val="none"/>
        </w:rPr>
      </w:pPr>
    </w:p>
    <w:p w14:paraId="73740CCC">
      <w:pPr>
        <w:spacing w:line="400" w:lineRule="exact"/>
        <w:rPr>
          <w:rFonts w:hint="eastAsia"/>
          <w:highlight w:val="none"/>
        </w:rPr>
      </w:pPr>
    </w:p>
    <w:p w14:paraId="2492652A">
      <w:pPr>
        <w:spacing w:line="400" w:lineRule="exact"/>
        <w:rPr>
          <w:rFonts w:hint="eastAsia"/>
          <w:highlight w:val="none"/>
        </w:rPr>
      </w:pPr>
    </w:p>
    <w:p w14:paraId="0B4C8752">
      <w:pPr>
        <w:spacing w:line="400" w:lineRule="exact"/>
        <w:rPr>
          <w:rFonts w:hint="eastAsia"/>
          <w:highlight w:val="none"/>
        </w:rPr>
      </w:pPr>
    </w:p>
    <w:p w14:paraId="686AF162">
      <w:pPr>
        <w:spacing w:line="400" w:lineRule="exact"/>
        <w:rPr>
          <w:highlight w:val="none"/>
        </w:rPr>
      </w:pPr>
    </w:p>
    <w:p w14:paraId="382AD6D4">
      <w:pPr>
        <w:spacing w:line="400" w:lineRule="exact"/>
        <w:rPr>
          <w:rFonts w:hint="eastAsia"/>
          <w:highlight w:val="none"/>
        </w:rPr>
      </w:pPr>
    </w:p>
    <w:p w14:paraId="29E723CD">
      <w:pPr>
        <w:spacing w:line="400" w:lineRule="exact"/>
        <w:ind w:firstLine="420" w:firstLineChars="0"/>
        <w:rPr>
          <w:highlight w:val="none"/>
        </w:rPr>
      </w:pPr>
    </w:p>
    <w:p w14:paraId="412CC873">
      <w:pPr>
        <w:jc w:val="center"/>
        <w:rPr>
          <w:rFonts w:hint="eastAsia" w:ascii="黑体" w:eastAsia="黑体"/>
          <w:sz w:val="28"/>
          <w:szCs w:val="28"/>
          <w:highlight w:val="none"/>
        </w:rPr>
      </w:pPr>
      <w:bookmarkStart w:id="0" w:name="OLE_LINK23"/>
      <w:bookmarkStart w:id="1" w:name="OLE_LINK1"/>
      <w:r>
        <w:rPr>
          <w:rFonts w:hint="eastAsia" w:ascii="黑体" w:eastAsia="黑体"/>
          <w:sz w:val="28"/>
          <w:szCs w:val="28"/>
          <w:highlight w:val="none"/>
          <w:u w:val="single"/>
        </w:rPr>
        <w:t>辽宁省营口市海洋生态保护修复工程项目</w:t>
      </w:r>
      <w:bookmarkEnd w:id="0"/>
      <w:r>
        <w:rPr>
          <w:rFonts w:hint="eastAsia" w:ascii="黑体" w:eastAsia="黑体"/>
          <w:sz w:val="28"/>
          <w:szCs w:val="28"/>
          <w:highlight w:val="none"/>
        </w:rPr>
        <w:t>（项目名称）</w:t>
      </w:r>
    </w:p>
    <w:p w14:paraId="11962022">
      <w:pPr>
        <w:jc w:val="center"/>
        <w:rPr>
          <w:rFonts w:hint="eastAsia" w:ascii="黑体" w:eastAsia="黑体"/>
          <w:sz w:val="28"/>
          <w:szCs w:val="28"/>
          <w:highlight w:val="none"/>
        </w:rPr>
      </w:pPr>
      <w:bookmarkStart w:id="2" w:name="OLE_LINK36"/>
      <w:r>
        <w:rPr>
          <w:rFonts w:hint="eastAsia" w:ascii="黑体" w:eastAsia="黑体"/>
          <w:sz w:val="28"/>
          <w:szCs w:val="28"/>
          <w:highlight w:val="none"/>
          <w:u w:val="single"/>
        </w:rPr>
        <w:t>辽宁省营口市海洋生态保护修复工程项目施工</w:t>
      </w:r>
      <w:bookmarkEnd w:id="2"/>
      <w:r>
        <w:rPr>
          <w:rFonts w:hint="eastAsia" w:ascii="黑体" w:eastAsia="黑体"/>
          <w:sz w:val="28"/>
          <w:szCs w:val="28"/>
          <w:highlight w:val="none"/>
        </w:rPr>
        <w:t>标段施工招标</w:t>
      </w:r>
      <w:bookmarkEnd w:id="1"/>
    </w:p>
    <w:p w14:paraId="66FF12BB">
      <w:pPr>
        <w:rPr>
          <w:sz w:val="28"/>
          <w:szCs w:val="28"/>
          <w:highlight w:val="none"/>
        </w:rPr>
      </w:pPr>
    </w:p>
    <w:p w14:paraId="5465FD49">
      <w:pPr>
        <w:rPr>
          <w:sz w:val="28"/>
          <w:szCs w:val="28"/>
          <w:highlight w:val="none"/>
        </w:rPr>
      </w:pPr>
    </w:p>
    <w:p w14:paraId="7E87D84F">
      <w:pPr>
        <w:jc w:val="center"/>
        <w:rPr>
          <w:rFonts w:hint="eastAsia" w:ascii="黑体" w:eastAsia="黑体"/>
          <w:sz w:val="44"/>
          <w:szCs w:val="44"/>
          <w:highlight w:val="none"/>
        </w:rPr>
      </w:pPr>
      <w:r>
        <w:rPr>
          <w:rFonts w:hint="eastAsia" w:ascii="黑体" w:eastAsia="黑体"/>
          <w:sz w:val="44"/>
          <w:szCs w:val="44"/>
          <w:highlight w:val="none"/>
        </w:rPr>
        <w:t>招标文件</w:t>
      </w:r>
    </w:p>
    <w:p w14:paraId="2BBB13EF">
      <w:pPr>
        <w:spacing w:line="400" w:lineRule="exact"/>
        <w:rPr>
          <w:highlight w:val="none"/>
        </w:rPr>
      </w:pPr>
    </w:p>
    <w:p w14:paraId="7A8CA2E6">
      <w:pPr>
        <w:spacing w:line="400" w:lineRule="exact"/>
        <w:rPr>
          <w:highlight w:val="none"/>
        </w:rPr>
      </w:pPr>
    </w:p>
    <w:p w14:paraId="70860363">
      <w:pPr>
        <w:spacing w:line="400" w:lineRule="exact"/>
        <w:rPr>
          <w:highlight w:val="none"/>
        </w:rPr>
      </w:pPr>
    </w:p>
    <w:p w14:paraId="3ADB4D79">
      <w:pPr>
        <w:spacing w:line="400" w:lineRule="exact"/>
        <w:rPr>
          <w:highlight w:val="none"/>
        </w:rPr>
      </w:pPr>
    </w:p>
    <w:p w14:paraId="5D96B937">
      <w:pPr>
        <w:spacing w:line="400" w:lineRule="exact"/>
        <w:rPr>
          <w:highlight w:val="none"/>
        </w:rPr>
      </w:pPr>
      <w:r>
        <w:rPr>
          <w:highlight w:val="none"/>
        </w:rPr>
        <w:t xml:space="preserve"> </w:t>
      </w:r>
    </w:p>
    <w:p w14:paraId="20D3E15D">
      <w:pPr>
        <w:spacing w:line="400" w:lineRule="exact"/>
        <w:rPr>
          <w:highlight w:val="none"/>
        </w:rPr>
      </w:pPr>
    </w:p>
    <w:p w14:paraId="7FC6F1AE">
      <w:pPr>
        <w:spacing w:line="400" w:lineRule="exact"/>
        <w:rPr>
          <w:highlight w:val="none"/>
        </w:rPr>
      </w:pPr>
    </w:p>
    <w:p w14:paraId="4F19080F">
      <w:pPr>
        <w:spacing w:line="400" w:lineRule="exact"/>
        <w:rPr>
          <w:highlight w:val="none"/>
        </w:rPr>
      </w:pPr>
    </w:p>
    <w:p w14:paraId="7A69F6A8">
      <w:pPr>
        <w:spacing w:line="400" w:lineRule="exact"/>
        <w:rPr>
          <w:highlight w:val="none"/>
        </w:rPr>
      </w:pPr>
    </w:p>
    <w:p w14:paraId="74620927">
      <w:pPr>
        <w:spacing w:line="400" w:lineRule="exact"/>
        <w:rPr>
          <w:highlight w:val="none"/>
        </w:rPr>
      </w:pPr>
    </w:p>
    <w:p w14:paraId="4FD2D211">
      <w:pPr>
        <w:spacing w:line="400" w:lineRule="exact"/>
        <w:rPr>
          <w:highlight w:val="none"/>
        </w:rPr>
      </w:pPr>
    </w:p>
    <w:p w14:paraId="57CC4621">
      <w:pPr>
        <w:spacing w:line="400" w:lineRule="exact"/>
        <w:rPr>
          <w:highlight w:val="none"/>
        </w:rPr>
      </w:pPr>
    </w:p>
    <w:p w14:paraId="3816CFD0">
      <w:pPr>
        <w:jc w:val="center"/>
        <w:rPr>
          <w:rFonts w:hint="eastAsia" w:ascii="黑体" w:eastAsia="黑体"/>
          <w:sz w:val="28"/>
          <w:szCs w:val="28"/>
          <w:highlight w:val="none"/>
        </w:rPr>
      </w:pPr>
      <w:r>
        <w:rPr>
          <w:rFonts w:hint="eastAsia" w:ascii="黑体" w:eastAsia="黑体"/>
          <w:sz w:val="28"/>
          <w:szCs w:val="28"/>
          <w:highlight w:val="none"/>
        </w:rPr>
        <w:t>招标人：</w:t>
      </w:r>
      <w:bookmarkStart w:id="3" w:name="OLE_LINK24"/>
      <w:bookmarkStart w:id="4" w:name="OLE_LINK37"/>
      <w:r>
        <w:rPr>
          <w:rFonts w:hint="eastAsia" w:ascii="黑体" w:eastAsia="黑体"/>
          <w:sz w:val="28"/>
          <w:szCs w:val="28"/>
          <w:highlight w:val="none"/>
          <w:u w:val="single"/>
        </w:rPr>
        <w:t>营口市海洋与渔业局</w:t>
      </w:r>
      <w:bookmarkEnd w:id="3"/>
      <w:r>
        <w:rPr>
          <w:rFonts w:hint="eastAsia" w:ascii="黑体" w:eastAsia="黑体"/>
          <w:sz w:val="28"/>
          <w:szCs w:val="28"/>
          <w:highlight w:val="none"/>
        </w:rPr>
        <w:t>（盖单位章）</w:t>
      </w:r>
      <w:bookmarkEnd w:id="4"/>
    </w:p>
    <w:p w14:paraId="733751B1">
      <w:pPr>
        <w:jc w:val="center"/>
        <w:rPr>
          <w:rFonts w:hint="eastAsia" w:ascii="黑体" w:eastAsia="黑体"/>
          <w:sz w:val="28"/>
          <w:szCs w:val="28"/>
          <w:highlight w:val="none"/>
          <w:lang w:val="en-US" w:eastAsia="zh-CN"/>
        </w:rPr>
      </w:pPr>
      <w:r>
        <w:rPr>
          <w:rFonts w:hint="eastAsia" w:ascii="黑体" w:eastAsia="黑体"/>
          <w:sz w:val="28"/>
          <w:szCs w:val="28"/>
          <w:highlight w:val="none"/>
          <w:lang w:val="en-US" w:eastAsia="zh-CN"/>
        </w:rPr>
        <w:t>招标代理机构：</w:t>
      </w:r>
      <w:r>
        <w:rPr>
          <w:rFonts w:hint="eastAsia" w:ascii="黑体" w:eastAsia="黑体"/>
          <w:sz w:val="28"/>
          <w:szCs w:val="28"/>
          <w:highlight w:val="none"/>
          <w:u w:val="single"/>
          <w:lang w:val="en-US" w:eastAsia="zh-CN"/>
        </w:rPr>
        <w:t>大连机械设备成套有限公司</w:t>
      </w:r>
      <w:r>
        <w:rPr>
          <w:rFonts w:hint="eastAsia" w:ascii="黑体" w:eastAsia="黑体"/>
          <w:sz w:val="28"/>
          <w:szCs w:val="28"/>
          <w:highlight w:val="none"/>
        </w:rPr>
        <w:t>（盖单位章）</w:t>
      </w:r>
    </w:p>
    <w:p w14:paraId="223993C3">
      <w:pPr>
        <w:jc w:val="center"/>
        <w:rPr>
          <w:rFonts w:hint="eastAsia" w:ascii="黑体" w:eastAsia="黑体"/>
          <w:sz w:val="28"/>
          <w:szCs w:val="28"/>
          <w:highlight w:val="none"/>
        </w:rPr>
      </w:pPr>
      <w:r>
        <w:rPr>
          <w:rFonts w:hint="eastAsia" w:ascii="黑体" w:eastAsia="黑体"/>
          <w:sz w:val="28"/>
          <w:szCs w:val="28"/>
          <w:highlight w:val="none"/>
          <w:u w:val="single"/>
          <w:lang w:val="en-US" w:eastAsia="zh-CN"/>
        </w:rPr>
        <w:t>2025</w:t>
      </w: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u w:val="single"/>
          <w:lang w:val="en-US" w:eastAsia="zh-CN"/>
        </w:rPr>
        <w:t>02</w:t>
      </w:r>
      <w:r>
        <w:rPr>
          <w:rFonts w:hint="eastAsia" w:ascii="黑体" w:eastAsia="黑体"/>
          <w:sz w:val="28"/>
          <w:szCs w:val="28"/>
          <w:highlight w:val="none"/>
          <w:u w:val="single"/>
        </w:rPr>
        <w:t xml:space="preserve"> </w:t>
      </w:r>
      <w:r>
        <w:rPr>
          <w:rFonts w:hint="eastAsia" w:ascii="黑体" w:eastAsia="黑体"/>
          <w:sz w:val="28"/>
          <w:szCs w:val="28"/>
          <w:highlight w:val="none"/>
        </w:rPr>
        <w:t>月</w:t>
      </w:r>
    </w:p>
    <w:p w14:paraId="19F26339">
      <w:pPr>
        <w:spacing w:line="400" w:lineRule="exact"/>
        <w:jc w:val="center"/>
        <w:rPr>
          <w:rFonts w:hint="eastAsia" w:ascii="黑体" w:hAnsi="黑体" w:eastAsia="黑体"/>
          <w:b/>
          <w:bCs/>
          <w:sz w:val="32"/>
          <w:highlight w:val="none"/>
        </w:rPr>
      </w:pPr>
      <w:r>
        <w:rPr>
          <w:highlight w:val="none"/>
        </w:rPr>
        <w:br w:type="page"/>
      </w:r>
      <w:bookmarkStart w:id="5" w:name="_Toc144974478"/>
      <w:bookmarkStart w:id="6" w:name="_Toc152042286"/>
      <w:r>
        <w:rPr>
          <w:rFonts w:hint="eastAsia" w:ascii="黑体" w:hAnsi="黑体" w:eastAsia="黑体"/>
          <w:b/>
          <w:bCs/>
          <w:sz w:val="32"/>
          <w:highlight w:val="none"/>
        </w:rPr>
        <w:t>目     录</w:t>
      </w:r>
      <w:bookmarkEnd w:id="5"/>
      <w:bookmarkEnd w:id="6"/>
    </w:p>
    <w:p w14:paraId="0A3F7A4F">
      <w:pPr>
        <w:pStyle w:val="22"/>
        <w:rPr>
          <w:rFonts w:hint="eastAsia"/>
          <w:highlight w:val="none"/>
          <w:lang/>
        </w:rPr>
      </w:pPr>
    </w:p>
    <w:p w14:paraId="4FEF1C75">
      <w:pPr>
        <w:pStyle w:val="22"/>
        <w:tabs>
          <w:tab w:val="right" w:leader="dot" w:pos="8306"/>
        </w:tabs>
        <w:rPr>
          <w:highlight w:val="none"/>
        </w:rPr>
      </w:pPr>
      <w:r>
        <w:rPr>
          <w:highlight w:val="none"/>
        </w:rPr>
        <w:fldChar w:fldCharType="begin"/>
      </w:r>
      <w:r>
        <w:rPr>
          <w:highlight w:val="none"/>
        </w:rPr>
        <w:instrText xml:space="preserve"> </w:instrText>
      </w:r>
      <w:r>
        <w:rPr>
          <w:rFonts w:hint="eastAsia"/>
          <w:highlight w:val="none"/>
        </w:rPr>
        <w:instrText xml:space="preserve">TOC \o "1-3" \h \z \u</w:instrText>
      </w:r>
      <w:r>
        <w:rPr>
          <w:highlight w:val="none"/>
        </w:rPr>
        <w:instrText xml:space="preserve"> </w:instrText>
      </w:r>
      <w:r>
        <w:rPr>
          <w:highlight w:val="none"/>
        </w:rPr>
        <w:fldChar w:fldCharType="separate"/>
      </w:r>
      <w:r>
        <w:rPr>
          <w:highlight w:val="none"/>
        </w:rPr>
        <w:fldChar w:fldCharType="begin"/>
      </w:r>
      <w:r>
        <w:rPr>
          <w:highlight w:val="none"/>
        </w:rPr>
        <w:instrText xml:space="preserve"> HYPERLINK \l _Toc4247 </w:instrText>
      </w:r>
      <w:r>
        <w:rPr>
          <w:highlight w:val="none"/>
        </w:rPr>
        <w:fldChar w:fldCharType="separate"/>
      </w:r>
      <w:r>
        <w:rPr>
          <w:rFonts w:hint="eastAsia" w:ascii="黑体" w:hAnsi="黑体" w:eastAsia="黑体"/>
          <w:bCs w:val="0"/>
          <w:highlight w:val="none"/>
        </w:rPr>
        <w:t>第一卷</w:t>
      </w:r>
      <w:r>
        <w:rPr>
          <w:highlight w:val="none"/>
        </w:rPr>
        <w:tab/>
      </w:r>
      <w:r>
        <w:rPr>
          <w:highlight w:val="none"/>
        </w:rPr>
        <w:fldChar w:fldCharType="begin"/>
      </w:r>
      <w:r>
        <w:rPr>
          <w:highlight w:val="none"/>
        </w:rPr>
        <w:instrText xml:space="preserve"> PAGEREF _Toc4247 \h </w:instrText>
      </w:r>
      <w:r>
        <w:rPr>
          <w:highlight w:val="none"/>
        </w:rPr>
        <w:fldChar w:fldCharType="separate"/>
      </w:r>
      <w:r>
        <w:rPr>
          <w:highlight w:val="none"/>
        </w:rPr>
        <w:t>9</w:t>
      </w:r>
      <w:r>
        <w:rPr>
          <w:highlight w:val="none"/>
        </w:rPr>
        <w:fldChar w:fldCharType="end"/>
      </w:r>
      <w:r>
        <w:rPr>
          <w:highlight w:val="none"/>
        </w:rPr>
        <w:fldChar w:fldCharType="end"/>
      </w:r>
    </w:p>
    <w:p w14:paraId="74250E57">
      <w:pPr>
        <w:pStyle w:val="22"/>
        <w:tabs>
          <w:tab w:val="right" w:leader="dot" w:pos="8306"/>
        </w:tabs>
        <w:rPr>
          <w:highlight w:val="none"/>
        </w:rPr>
      </w:pPr>
      <w:r>
        <w:rPr>
          <w:highlight w:val="none"/>
        </w:rPr>
        <w:fldChar w:fldCharType="begin"/>
      </w:r>
      <w:r>
        <w:rPr>
          <w:highlight w:val="none"/>
        </w:rPr>
        <w:instrText xml:space="preserve"> HYPERLINK \l _Toc4953 </w:instrText>
      </w:r>
      <w:r>
        <w:rPr>
          <w:highlight w:val="none"/>
        </w:rPr>
        <w:fldChar w:fldCharType="separate"/>
      </w:r>
      <w:r>
        <w:rPr>
          <w:rFonts w:hint="eastAsia" w:ascii="黑体" w:hAnsi="黑体" w:eastAsia="黑体"/>
          <w:bCs w:val="0"/>
          <w:highlight w:val="none"/>
        </w:rPr>
        <w:t>第一章 招标公告</w:t>
      </w:r>
      <w:r>
        <w:rPr>
          <w:highlight w:val="none"/>
        </w:rPr>
        <w:tab/>
      </w:r>
      <w:r>
        <w:rPr>
          <w:highlight w:val="none"/>
        </w:rPr>
        <w:fldChar w:fldCharType="begin"/>
      </w:r>
      <w:r>
        <w:rPr>
          <w:highlight w:val="none"/>
        </w:rPr>
        <w:instrText xml:space="preserve"> PAGEREF _Toc4953 \h </w:instrText>
      </w:r>
      <w:r>
        <w:rPr>
          <w:highlight w:val="none"/>
        </w:rPr>
        <w:fldChar w:fldCharType="separate"/>
      </w:r>
      <w:r>
        <w:rPr>
          <w:highlight w:val="none"/>
        </w:rPr>
        <w:t>10</w:t>
      </w:r>
      <w:r>
        <w:rPr>
          <w:highlight w:val="none"/>
        </w:rPr>
        <w:fldChar w:fldCharType="end"/>
      </w:r>
      <w:r>
        <w:rPr>
          <w:highlight w:val="none"/>
        </w:rPr>
        <w:fldChar w:fldCharType="end"/>
      </w:r>
    </w:p>
    <w:p w14:paraId="7CB16815">
      <w:pPr>
        <w:pStyle w:val="24"/>
        <w:tabs>
          <w:tab w:val="right" w:leader="dot" w:pos="8306"/>
        </w:tabs>
        <w:rPr>
          <w:highlight w:val="none"/>
        </w:rPr>
      </w:pPr>
      <w:r>
        <w:rPr>
          <w:highlight w:val="none"/>
        </w:rPr>
        <w:fldChar w:fldCharType="begin"/>
      </w:r>
      <w:r>
        <w:rPr>
          <w:highlight w:val="none"/>
        </w:rPr>
        <w:instrText xml:space="preserve"> HYPERLINK \l _Toc32133 </w:instrText>
      </w:r>
      <w:r>
        <w:rPr>
          <w:highlight w:val="none"/>
        </w:rPr>
        <w:fldChar w:fldCharType="separate"/>
      </w:r>
      <w:r>
        <w:rPr>
          <w:highlight w:val="none"/>
        </w:rPr>
        <w:t>1. 招标条件</w:t>
      </w:r>
      <w:r>
        <w:rPr>
          <w:highlight w:val="none"/>
        </w:rPr>
        <w:tab/>
      </w:r>
      <w:r>
        <w:rPr>
          <w:highlight w:val="none"/>
        </w:rPr>
        <w:fldChar w:fldCharType="begin"/>
      </w:r>
      <w:r>
        <w:rPr>
          <w:highlight w:val="none"/>
        </w:rPr>
        <w:instrText xml:space="preserve"> PAGEREF _Toc32133 \h </w:instrText>
      </w:r>
      <w:r>
        <w:rPr>
          <w:highlight w:val="none"/>
        </w:rPr>
        <w:fldChar w:fldCharType="separate"/>
      </w:r>
      <w:r>
        <w:rPr>
          <w:highlight w:val="none"/>
        </w:rPr>
        <w:t>10</w:t>
      </w:r>
      <w:r>
        <w:rPr>
          <w:highlight w:val="none"/>
        </w:rPr>
        <w:fldChar w:fldCharType="end"/>
      </w:r>
      <w:r>
        <w:rPr>
          <w:highlight w:val="none"/>
        </w:rPr>
        <w:fldChar w:fldCharType="end"/>
      </w:r>
    </w:p>
    <w:p w14:paraId="3134942B">
      <w:pPr>
        <w:pStyle w:val="24"/>
        <w:tabs>
          <w:tab w:val="right" w:leader="dot" w:pos="8306"/>
        </w:tabs>
        <w:rPr>
          <w:highlight w:val="none"/>
        </w:rPr>
      </w:pPr>
      <w:r>
        <w:rPr>
          <w:highlight w:val="none"/>
        </w:rPr>
        <w:fldChar w:fldCharType="begin"/>
      </w:r>
      <w:r>
        <w:rPr>
          <w:highlight w:val="none"/>
        </w:rPr>
        <w:instrText xml:space="preserve"> HYPERLINK \l _Toc12888 </w:instrText>
      </w:r>
      <w:r>
        <w:rPr>
          <w:highlight w:val="none"/>
        </w:rPr>
        <w:fldChar w:fldCharType="separate"/>
      </w:r>
      <w:r>
        <w:rPr>
          <w:highlight w:val="none"/>
        </w:rPr>
        <w:t>2. 项目概况与招标范围</w:t>
      </w:r>
      <w:r>
        <w:rPr>
          <w:highlight w:val="none"/>
        </w:rPr>
        <w:tab/>
      </w:r>
      <w:r>
        <w:rPr>
          <w:highlight w:val="none"/>
        </w:rPr>
        <w:fldChar w:fldCharType="begin"/>
      </w:r>
      <w:r>
        <w:rPr>
          <w:highlight w:val="none"/>
        </w:rPr>
        <w:instrText xml:space="preserve"> PAGEREF _Toc12888 \h </w:instrText>
      </w:r>
      <w:r>
        <w:rPr>
          <w:highlight w:val="none"/>
        </w:rPr>
        <w:fldChar w:fldCharType="separate"/>
      </w:r>
      <w:r>
        <w:rPr>
          <w:highlight w:val="none"/>
        </w:rPr>
        <w:t>10</w:t>
      </w:r>
      <w:r>
        <w:rPr>
          <w:highlight w:val="none"/>
        </w:rPr>
        <w:fldChar w:fldCharType="end"/>
      </w:r>
      <w:r>
        <w:rPr>
          <w:highlight w:val="none"/>
        </w:rPr>
        <w:fldChar w:fldCharType="end"/>
      </w:r>
    </w:p>
    <w:p w14:paraId="693B19AF">
      <w:pPr>
        <w:pStyle w:val="24"/>
        <w:tabs>
          <w:tab w:val="right" w:leader="dot" w:pos="8306"/>
        </w:tabs>
        <w:rPr>
          <w:highlight w:val="none"/>
        </w:rPr>
      </w:pPr>
      <w:r>
        <w:rPr>
          <w:highlight w:val="none"/>
        </w:rPr>
        <w:fldChar w:fldCharType="begin"/>
      </w:r>
      <w:r>
        <w:rPr>
          <w:highlight w:val="none"/>
        </w:rPr>
        <w:instrText xml:space="preserve"> HYPERLINK \l _Toc6601 </w:instrText>
      </w:r>
      <w:r>
        <w:rPr>
          <w:highlight w:val="none"/>
        </w:rPr>
        <w:fldChar w:fldCharType="separate"/>
      </w:r>
      <w:r>
        <w:rPr>
          <w:highlight w:val="none"/>
        </w:rPr>
        <w:t>3. 投标人资格要求</w:t>
      </w:r>
      <w:r>
        <w:rPr>
          <w:highlight w:val="none"/>
        </w:rPr>
        <w:tab/>
      </w:r>
      <w:r>
        <w:rPr>
          <w:highlight w:val="none"/>
        </w:rPr>
        <w:fldChar w:fldCharType="begin"/>
      </w:r>
      <w:r>
        <w:rPr>
          <w:highlight w:val="none"/>
        </w:rPr>
        <w:instrText xml:space="preserve"> PAGEREF _Toc6601 \h </w:instrText>
      </w:r>
      <w:r>
        <w:rPr>
          <w:highlight w:val="none"/>
        </w:rPr>
        <w:fldChar w:fldCharType="separate"/>
      </w:r>
      <w:r>
        <w:rPr>
          <w:highlight w:val="none"/>
        </w:rPr>
        <w:t>10</w:t>
      </w:r>
      <w:r>
        <w:rPr>
          <w:highlight w:val="none"/>
        </w:rPr>
        <w:fldChar w:fldCharType="end"/>
      </w:r>
      <w:r>
        <w:rPr>
          <w:highlight w:val="none"/>
        </w:rPr>
        <w:fldChar w:fldCharType="end"/>
      </w:r>
    </w:p>
    <w:p w14:paraId="38A32B27">
      <w:pPr>
        <w:pStyle w:val="24"/>
        <w:tabs>
          <w:tab w:val="right" w:leader="dot" w:pos="8306"/>
        </w:tabs>
        <w:rPr>
          <w:highlight w:val="none"/>
        </w:rPr>
      </w:pPr>
      <w:r>
        <w:rPr>
          <w:highlight w:val="none"/>
        </w:rPr>
        <w:fldChar w:fldCharType="begin"/>
      </w:r>
      <w:r>
        <w:rPr>
          <w:highlight w:val="none"/>
        </w:rPr>
        <w:instrText xml:space="preserve"> HYPERLINK \l _Toc29159 </w:instrText>
      </w:r>
      <w:r>
        <w:rPr>
          <w:highlight w:val="none"/>
        </w:rPr>
        <w:fldChar w:fldCharType="separate"/>
      </w:r>
      <w:r>
        <w:rPr>
          <w:highlight w:val="none"/>
        </w:rPr>
        <w:t>4. 招标文件的获取</w:t>
      </w:r>
      <w:r>
        <w:rPr>
          <w:highlight w:val="none"/>
        </w:rPr>
        <w:tab/>
      </w:r>
      <w:r>
        <w:rPr>
          <w:highlight w:val="none"/>
        </w:rPr>
        <w:fldChar w:fldCharType="begin"/>
      </w:r>
      <w:r>
        <w:rPr>
          <w:highlight w:val="none"/>
        </w:rPr>
        <w:instrText xml:space="preserve"> PAGEREF _Toc29159 \h </w:instrText>
      </w:r>
      <w:r>
        <w:rPr>
          <w:highlight w:val="none"/>
        </w:rPr>
        <w:fldChar w:fldCharType="separate"/>
      </w:r>
      <w:r>
        <w:rPr>
          <w:highlight w:val="none"/>
        </w:rPr>
        <w:t>11</w:t>
      </w:r>
      <w:r>
        <w:rPr>
          <w:highlight w:val="none"/>
        </w:rPr>
        <w:fldChar w:fldCharType="end"/>
      </w:r>
      <w:r>
        <w:rPr>
          <w:highlight w:val="none"/>
        </w:rPr>
        <w:fldChar w:fldCharType="end"/>
      </w:r>
    </w:p>
    <w:p w14:paraId="0B79DE51">
      <w:pPr>
        <w:pStyle w:val="24"/>
        <w:tabs>
          <w:tab w:val="right" w:leader="dot" w:pos="8306"/>
        </w:tabs>
        <w:rPr>
          <w:highlight w:val="none"/>
        </w:rPr>
      </w:pPr>
      <w:r>
        <w:rPr>
          <w:highlight w:val="none"/>
        </w:rPr>
        <w:fldChar w:fldCharType="begin"/>
      </w:r>
      <w:r>
        <w:rPr>
          <w:highlight w:val="none"/>
        </w:rPr>
        <w:instrText xml:space="preserve"> HYPERLINK \l _Toc7596 </w:instrText>
      </w:r>
      <w:r>
        <w:rPr>
          <w:highlight w:val="none"/>
        </w:rPr>
        <w:fldChar w:fldCharType="separate"/>
      </w:r>
      <w:r>
        <w:rPr>
          <w:highlight w:val="none"/>
        </w:rPr>
        <w:t>5. 投标文件的递交</w:t>
      </w:r>
      <w:r>
        <w:rPr>
          <w:highlight w:val="none"/>
        </w:rPr>
        <w:tab/>
      </w:r>
      <w:r>
        <w:rPr>
          <w:highlight w:val="none"/>
        </w:rPr>
        <w:fldChar w:fldCharType="begin"/>
      </w:r>
      <w:r>
        <w:rPr>
          <w:highlight w:val="none"/>
        </w:rPr>
        <w:instrText xml:space="preserve"> PAGEREF _Toc7596 \h </w:instrText>
      </w:r>
      <w:r>
        <w:rPr>
          <w:highlight w:val="none"/>
        </w:rPr>
        <w:fldChar w:fldCharType="separate"/>
      </w:r>
      <w:r>
        <w:rPr>
          <w:highlight w:val="none"/>
        </w:rPr>
        <w:t>11</w:t>
      </w:r>
      <w:r>
        <w:rPr>
          <w:highlight w:val="none"/>
        </w:rPr>
        <w:fldChar w:fldCharType="end"/>
      </w:r>
      <w:r>
        <w:rPr>
          <w:highlight w:val="none"/>
        </w:rPr>
        <w:fldChar w:fldCharType="end"/>
      </w:r>
    </w:p>
    <w:p w14:paraId="381E65B3">
      <w:pPr>
        <w:pStyle w:val="24"/>
        <w:tabs>
          <w:tab w:val="right" w:leader="dot" w:pos="8306"/>
        </w:tabs>
        <w:rPr>
          <w:highlight w:val="none"/>
        </w:rPr>
      </w:pPr>
      <w:r>
        <w:rPr>
          <w:highlight w:val="none"/>
        </w:rPr>
        <w:fldChar w:fldCharType="begin"/>
      </w:r>
      <w:r>
        <w:rPr>
          <w:highlight w:val="none"/>
        </w:rPr>
        <w:instrText xml:space="preserve"> HYPERLINK \l _Toc8118 </w:instrText>
      </w:r>
      <w:r>
        <w:rPr>
          <w:highlight w:val="none"/>
        </w:rPr>
        <w:fldChar w:fldCharType="separate"/>
      </w:r>
      <w:r>
        <w:rPr>
          <w:rFonts w:hint="eastAsia"/>
          <w:highlight w:val="none"/>
        </w:rPr>
        <w:t>6. 发布公告的媒介</w:t>
      </w:r>
      <w:r>
        <w:rPr>
          <w:highlight w:val="none"/>
        </w:rPr>
        <w:tab/>
      </w:r>
      <w:r>
        <w:rPr>
          <w:highlight w:val="none"/>
        </w:rPr>
        <w:fldChar w:fldCharType="begin"/>
      </w:r>
      <w:r>
        <w:rPr>
          <w:highlight w:val="none"/>
        </w:rPr>
        <w:instrText xml:space="preserve"> PAGEREF _Toc8118 \h </w:instrText>
      </w:r>
      <w:r>
        <w:rPr>
          <w:highlight w:val="none"/>
        </w:rPr>
        <w:fldChar w:fldCharType="separate"/>
      </w:r>
      <w:r>
        <w:rPr>
          <w:highlight w:val="none"/>
        </w:rPr>
        <w:t>11</w:t>
      </w:r>
      <w:r>
        <w:rPr>
          <w:highlight w:val="none"/>
        </w:rPr>
        <w:fldChar w:fldCharType="end"/>
      </w:r>
      <w:r>
        <w:rPr>
          <w:highlight w:val="none"/>
        </w:rPr>
        <w:fldChar w:fldCharType="end"/>
      </w:r>
    </w:p>
    <w:p w14:paraId="636E894F">
      <w:pPr>
        <w:pStyle w:val="24"/>
        <w:tabs>
          <w:tab w:val="right" w:leader="dot" w:pos="8306"/>
        </w:tabs>
        <w:rPr>
          <w:highlight w:val="none"/>
        </w:rPr>
      </w:pPr>
      <w:r>
        <w:rPr>
          <w:highlight w:val="none"/>
        </w:rPr>
        <w:fldChar w:fldCharType="begin"/>
      </w:r>
      <w:r>
        <w:rPr>
          <w:highlight w:val="none"/>
        </w:rPr>
        <w:instrText xml:space="preserve"> HYPERLINK \l _Toc25721 </w:instrText>
      </w:r>
      <w:r>
        <w:rPr>
          <w:highlight w:val="none"/>
        </w:rPr>
        <w:fldChar w:fldCharType="separate"/>
      </w:r>
      <w:r>
        <w:rPr>
          <w:rFonts w:hint="eastAsia"/>
          <w:highlight w:val="none"/>
        </w:rPr>
        <w:t>7</w:t>
      </w:r>
      <w:r>
        <w:rPr>
          <w:highlight w:val="none"/>
        </w:rPr>
        <w:t>. 联系方式</w:t>
      </w:r>
      <w:r>
        <w:rPr>
          <w:highlight w:val="none"/>
        </w:rPr>
        <w:tab/>
      </w:r>
      <w:r>
        <w:rPr>
          <w:highlight w:val="none"/>
        </w:rPr>
        <w:fldChar w:fldCharType="begin"/>
      </w:r>
      <w:r>
        <w:rPr>
          <w:highlight w:val="none"/>
        </w:rPr>
        <w:instrText xml:space="preserve"> PAGEREF _Toc25721 \h </w:instrText>
      </w:r>
      <w:r>
        <w:rPr>
          <w:highlight w:val="none"/>
        </w:rPr>
        <w:fldChar w:fldCharType="separate"/>
      </w:r>
      <w:r>
        <w:rPr>
          <w:highlight w:val="none"/>
        </w:rPr>
        <w:t>11</w:t>
      </w:r>
      <w:r>
        <w:rPr>
          <w:highlight w:val="none"/>
        </w:rPr>
        <w:fldChar w:fldCharType="end"/>
      </w:r>
      <w:r>
        <w:rPr>
          <w:highlight w:val="none"/>
        </w:rPr>
        <w:fldChar w:fldCharType="end"/>
      </w:r>
    </w:p>
    <w:p w14:paraId="150E0EA0">
      <w:pPr>
        <w:pStyle w:val="22"/>
        <w:tabs>
          <w:tab w:val="right" w:leader="dot" w:pos="8306"/>
        </w:tabs>
        <w:rPr>
          <w:highlight w:val="none"/>
        </w:rPr>
      </w:pPr>
      <w:r>
        <w:rPr>
          <w:highlight w:val="none"/>
        </w:rPr>
        <w:fldChar w:fldCharType="begin"/>
      </w:r>
      <w:r>
        <w:rPr>
          <w:highlight w:val="none"/>
        </w:rPr>
        <w:instrText xml:space="preserve"> HYPERLINK \l _Toc25786 </w:instrText>
      </w:r>
      <w:r>
        <w:rPr>
          <w:highlight w:val="none"/>
        </w:rPr>
        <w:fldChar w:fldCharType="separate"/>
      </w:r>
      <w:r>
        <w:rPr>
          <w:rFonts w:hint="eastAsia" w:ascii="黑体" w:hAnsi="黑体" w:eastAsia="黑体"/>
          <w:bCs w:val="0"/>
          <w:highlight w:val="none"/>
        </w:rPr>
        <w:t>第二章 投标人须知</w:t>
      </w:r>
      <w:r>
        <w:rPr>
          <w:highlight w:val="none"/>
        </w:rPr>
        <w:tab/>
      </w:r>
      <w:r>
        <w:rPr>
          <w:highlight w:val="none"/>
        </w:rPr>
        <w:fldChar w:fldCharType="begin"/>
      </w:r>
      <w:r>
        <w:rPr>
          <w:highlight w:val="none"/>
        </w:rPr>
        <w:instrText xml:space="preserve"> PAGEREF _Toc25786 \h </w:instrText>
      </w:r>
      <w:r>
        <w:rPr>
          <w:highlight w:val="none"/>
        </w:rPr>
        <w:fldChar w:fldCharType="separate"/>
      </w:r>
      <w:r>
        <w:rPr>
          <w:highlight w:val="none"/>
        </w:rPr>
        <w:t>13</w:t>
      </w:r>
      <w:r>
        <w:rPr>
          <w:highlight w:val="none"/>
        </w:rPr>
        <w:fldChar w:fldCharType="end"/>
      </w:r>
      <w:r>
        <w:rPr>
          <w:highlight w:val="none"/>
        </w:rPr>
        <w:fldChar w:fldCharType="end"/>
      </w:r>
    </w:p>
    <w:p w14:paraId="5D5CE2D7">
      <w:pPr>
        <w:pStyle w:val="24"/>
        <w:tabs>
          <w:tab w:val="right" w:leader="dot" w:pos="8306"/>
        </w:tabs>
        <w:rPr>
          <w:highlight w:val="none"/>
        </w:rPr>
      </w:pPr>
      <w:r>
        <w:rPr>
          <w:highlight w:val="none"/>
        </w:rPr>
        <w:fldChar w:fldCharType="begin"/>
      </w:r>
      <w:r>
        <w:rPr>
          <w:highlight w:val="none"/>
        </w:rPr>
        <w:instrText xml:space="preserve"> HYPERLINK \l _Toc10954 </w:instrText>
      </w:r>
      <w:r>
        <w:rPr>
          <w:highlight w:val="none"/>
        </w:rPr>
        <w:fldChar w:fldCharType="separate"/>
      </w:r>
      <w:r>
        <w:rPr>
          <w:rFonts w:hint="eastAsia"/>
          <w:highlight w:val="none"/>
        </w:rPr>
        <w:t>投标人须知前附表</w:t>
      </w:r>
      <w:r>
        <w:rPr>
          <w:highlight w:val="none"/>
        </w:rPr>
        <w:tab/>
      </w:r>
      <w:r>
        <w:rPr>
          <w:highlight w:val="none"/>
        </w:rPr>
        <w:fldChar w:fldCharType="begin"/>
      </w:r>
      <w:r>
        <w:rPr>
          <w:highlight w:val="none"/>
        </w:rPr>
        <w:instrText xml:space="preserve"> PAGEREF _Toc10954 \h </w:instrText>
      </w:r>
      <w:r>
        <w:rPr>
          <w:highlight w:val="none"/>
        </w:rPr>
        <w:fldChar w:fldCharType="separate"/>
      </w:r>
      <w:r>
        <w:rPr>
          <w:highlight w:val="none"/>
        </w:rPr>
        <w:t>13</w:t>
      </w:r>
      <w:r>
        <w:rPr>
          <w:highlight w:val="none"/>
        </w:rPr>
        <w:fldChar w:fldCharType="end"/>
      </w:r>
      <w:r>
        <w:rPr>
          <w:highlight w:val="none"/>
        </w:rPr>
        <w:fldChar w:fldCharType="end"/>
      </w:r>
    </w:p>
    <w:p w14:paraId="09A2399E">
      <w:pPr>
        <w:pStyle w:val="24"/>
        <w:tabs>
          <w:tab w:val="right" w:leader="dot" w:pos="8306"/>
        </w:tabs>
        <w:rPr>
          <w:highlight w:val="none"/>
        </w:rPr>
      </w:pPr>
      <w:r>
        <w:rPr>
          <w:highlight w:val="none"/>
        </w:rPr>
        <w:fldChar w:fldCharType="begin"/>
      </w:r>
      <w:r>
        <w:rPr>
          <w:highlight w:val="none"/>
        </w:rPr>
        <w:instrText xml:space="preserve"> HYPERLINK \l _Toc11475 </w:instrText>
      </w:r>
      <w:r>
        <w:rPr>
          <w:highlight w:val="none"/>
        </w:rPr>
        <w:fldChar w:fldCharType="separate"/>
      </w:r>
      <w:r>
        <w:rPr>
          <w:rFonts w:hint="eastAsia"/>
          <w:highlight w:val="none"/>
        </w:rPr>
        <w:t>1. 总则</w:t>
      </w:r>
      <w:r>
        <w:rPr>
          <w:highlight w:val="none"/>
        </w:rPr>
        <w:tab/>
      </w:r>
      <w:r>
        <w:rPr>
          <w:highlight w:val="none"/>
        </w:rPr>
        <w:fldChar w:fldCharType="begin"/>
      </w:r>
      <w:r>
        <w:rPr>
          <w:highlight w:val="none"/>
        </w:rPr>
        <w:instrText xml:space="preserve"> PAGEREF _Toc11475 \h </w:instrText>
      </w:r>
      <w:r>
        <w:rPr>
          <w:highlight w:val="none"/>
        </w:rPr>
        <w:fldChar w:fldCharType="separate"/>
      </w:r>
      <w:r>
        <w:rPr>
          <w:highlight w:val="none"/>
        </w:rPr>
        <w:t>18</w:t>
      </w:r>
      <w:r>
        <w:rPr>
          <w:highlight w:val="none"/>
        </w:rPr>
        <w:fldChar w:fldCharType="end"/>
      </w:r>
      <w:r>
        <w:rPr>
          <w:highlight w:val="none"/>
        </w:rPr>
        <w:fldChar w:fldCharType="end"/>
      </w:r>
    </w:p>
    <w:p w14:paraId="60C80A28">
      <w:pPr>
        <w:pStyle w:val="17"/>
        <w:tabs>
          <w:tab w:val="right" w:leader="dot" w:pos="8306"/>
        </w:tabs>
        <w:rPr>
          <w:highlight w:val="none"/>
        </w:rPr>
      </w:pPr>
      <w:r>
        <w:rPr>
          <w:highlight w:val="none"/>
        </w:rPr>
        <w:fldChar w:fldCharType="begin"/>
      </w:r>
      <w:r>
        <w:rPr>
          <w:highlight w:val="none"/>
        </w:rPr>
        <w:instrText xml:space="preserve"> HYPERLINK \l _Toc28669 </w:instrText>
      </w:r>
      <w:r>
        <w:rPr>
          <w:highlight w:val="none"/>
        </w:rPr>
        <w:fldChar w:fldCharType="separate"/>
      </w:r>
      <w:r>
        <w:rPr>
          <w:rFonts w:hint="eastAsia"/>
          <w:highlight w:val="none"/>
        </w:rPr>
        <w:t>1.1 项目概况</w:t>
      </w:r>
      <w:r>
        <w:rPr>
          <w:highlight w:val="none"/>
        </w:rPr>
        <w:tab/>
      </w:r>
      <w:r>
        <w:rPr>
          <w:highlight w:val="none"/>
        </w:rPr>
        <w:fldChar w:fldCharType="begin"/>
      </w:r>
      <w:r>
        <w:rPr>
          <w:highlight w:val="none"/>
        </w:rPr>
        <w:instrText xml:space="preserve"> PAGEREF _Toc28669 \h </w:instrText>
      </w:r>
      <w:r>
        <w:rPr>
          <w:highlight w:val="none"/>
        </w:rPr>
        <w:fldChar w:fldCharType="separate"/>
      </w:r>
      <w:r>
        <w:rPr>
          <w:highlight w:val="none"/>
        </w:rPr>
        <w:t>18</w:t>
      </w:r>
      <w:r>
        <w:rPr>
          <w:highlight w:val="none"/>
        </w:rPr>
        <w:fldChar w:fldCharType="end"/>
      </w:r>
      <w:r>
        <w:rPr>
          <w:highlight w:val="none"/>
        </w:rPr>
        <w:fldChar w:fldCharType="end"/>
      </w:r>
    </w:p>
    <w:p w14:paraId="17C5761D">
      <w:pPr>
        <w:pStyle w:val="17"/>
        <w:tabs>
          <w:tab w:val="right" w:leader="dot" w:pos="8306"/>
        </w:tabs>
        <w:rPr>
          <w:highlight w:val="none"/>
        </w:rPr>
      </w:pPr>
      <w:r>
        <w:rPr>
          <w:highlight w:val="none"/>
        </w:rPr>
        <w:fldChar w:fldCharType="begin"/>
      </w:r>
      <w:r>
        <w:rPr>
          <w:highlight w:val="none"/>
        </w:rPr>
        <w:instrText xml:space="preserve"> HYPERLINK \l _Toc14557 </w:instrText>
      </w:r>
      <w:r>
        <w:rPr>
          <w:highlight w:val="none"/>
        </w:rPr>
        <w:fldChar w:fldCharType="separate"/>
      </w:r>
      <w:r>
        <w:rPr>
          <w:rFonts w:hint="eastAsia"/>
          <w:highlight w:val="none"/>
        </w:rPr>
        <w:t>1.2 资金来源和落实情况</w:t>
      </w:r>
      <w:r>
        <w:rPr>
          <w:highlight w:val="none"/>
        </w:rPr>
        <w:tab/>
      </w:r>
      <w:r>
        <w:rPr>
          <w:highlight w:val="none"/>
        </w:rPr>
        <w:fldChar w:fldCharType="begin"/>
      </w:r>
      <w:r>
        <w:rPr>
          <w:highlight w:val="none"/>
        </w:rPr>
        <w:instrText xml:space="preserve"> PAGEREF _Toc14557 \h </w:instrText>
      </w:r>
      <w:r>
        <w:rPr>
          <w:highlight w:val="none"/>
        </w:rPr>
        <w:fldChar w:fldCharType="separate"/>
      </w:r>
      <w:r>
        <w:rPr>
          <w:highlight w:val="none"/>
        </w:rPr>
        <w:t>18</w:t>
      </w:r>
      <w:r>
        <w:rPr>
          <w:highlight w:val="none"/>
        </w:rPr>
        <w:fldChar w:fldCharType="end"/>
      </w:r>
      <w:r>
        <w:rPr>
          <w:highlight w:val="none"/>
        </w:rPr>
        <w:fldChar w:fldCharType="end"/>
      </w:r>
    </w:p>
    <w:p w14:paraId="5432604B">
      <w:pPr>
        <w:pStyle w:val="17"/>
        <w:tabs>
          <w:tab w:val="right" w:leader="dot" w:pos="8306"/>
        </w:tabs>
        <w:rPr>
          <w:highlight w:val="none"/>
        </w:rPr>
      </w:pPr>
      <w:r>
        <w:rPr>
          <w:highlight w:val="none"/>
        </w:rPr>
        <w:fldChar w:fldCharType="begin"/>
      </w:r>
      <w:r>
        <w:rPr>
          <w:highlight w:val="none"/>
        </w:rPr>
        <w:instrText xml:space="preserve"> HYPERLINK \l _Toc7315 </w:instrText>
      </w:r>
      <w:r>
        <w:rPr>
          <w:highlight w:val="none"/>
        </w:rPr>
        <w:fldChar w:fldCharType="separate"/>
      </w:r>
      <w:r>
        <w:rPr>
          <w:rFonts w:hint="eastAsia"/>
          <w:highlight w:val="none"/>
        </w:rPr>
        <w:t>1.3 招标范围、计划工期和质量要求</w:t>
      </w:r>
      <w:r>
        <w:rPr>
          <w:highlight w:val="none"/>
        </w:rPr>
        <w:tab/>
      </w:r>
      <w:r>
        <w:rPr>
          <w:highlight w:val="none"/>
        </w:rPr>
        <w:fldChar w:fldCharType="begin"/>
      </w:r>
      <w:r>
        <w:rPr>
          <w:highlight w:val="none"/>
        </w:rPr>
        <w:instrText xml:space="preserve"> PAGEREF _Toc7315 \h </w:instrText>
      </w:r>
      <w:r>
        <w:rPr>
          <w:highlight w:val="none"/>
        </w:rPr>
        <w:fldChar w:fldCharType="separate"/>
      </w:r>
      <w:r>
        <w:rPr>
          <w:highlight w:val="none"/>
        </w:rPr>
        <w:t>18</w:t>
      </w:r>
      <w:r>
        <w:rPr>
          <w:highlight w:val="none"/>
        </w:rPr>
        <w:fldChar w:fldCharType="end"/>
      </w:r>
      <w:r>
        <w:rPr>
          <w:highlight w:val="none"/>
        </w:rPr>
        <w:fldChar w:fldCharType="end"/>
      </w:r>
    </w:p>
    <w:p w14:paraId="0449AA24">
      <w:pPr>
        <w:pStyle w:val="17"/>
        <w:tabs>
          <w:tab w:val="right" w:leader="dot" w:pos="8306"/>
        </w:tabs>
        <w:rPr>
          <w:highlight w:val="none"/>
        </w:rPr>
      </w:pPr>
      <w:r>
        <w:rPr>
          <w:highlight w:val="none"/>
        </w:rPr>
        <w:fldChar w:fldCharType="begin"/>
      </w:r>
      <w:r>
        <w:rPr>
          <w:highlight w:val="none"/>
        </w:rPr>
        <w:instrText xml:space="preserve"> HYPERLINK \l _Toc5668 </w:instrText>
      </w:r>
      <w:r>
        <w:rPr>
          <w:highlight w:val="none"/>
        </w:rPr>
        <w:fldChar w:fldCharType="separate"/>
      </w:r>
      <w:r>
        <w:rPr>
          <w:rFonts w:hint="eastAsia"/>
          <w:highlight w:val="none"/>
        </w:rPr>
        <w:t>1.4 投标人资格要求</w:t>
      </w:r>
      <w:r>
        <w:rPr>
          <w:highlight w:val="none"/>
        </w:rPr>
        <w:tab/>
      </w:r>
      <w:r>
        <w:rPr>
          <w:highlight w:val="none"/>
        </w:rPr>
        <w:fldChar w:fldCharType="begin"/>
      </w:r>
      <w:r>
        <w:rPr>
          <w:highlight w:val="none"/>
        </w:rPr>
        <w:instrText xml:space="preserve"> PAGEREF _Toc5668 \h </w:instrText>
      </w:r>
      <w:r>
        <w:rPr>
          <w:highlight w:val="none"/>
        </w:rPr>
        <w:fldChar w:fldCharType="separate"/>
      </w:r>
      <w:r>
        <w:rPr>
          <w:highlight w:val="none"/>
        </w:rPr>
        <w:t>18</w:t>
      </w:r>
      <w:r>
        <w:rPr>
          <w:highlight w:val="none"/>
        </w:rPr>
        <w:fldChar w:fldCharType="end"/>
      </w:r>
      <w:r>
        <w:rPr>
          <w:highlight w:val="none"/>
        </w:rPr>
        <w:fldChar w:fldCharType="end"/>
      </w:r>
    </w:p>
    <w:p w14:paraId="2BC314E7">
      <w:pPr>
        <w:pStyle w:val="17"/>
        <w:tabs>
          <w:tab w:val="right" w:leader="dot" w:pos="8306"/>
        </w:tabs>
        <w:rPr>
          <w:highlight w:val="none"/>
        </w:rPr>
      </w:pPr>
      <w:r>
        <w:rPr>
          <w:highlight w:val="none"/>
        </w:rPr>
        <w:fldChar w:fldCharType="begin"/>
      </w:r>
      <w:r>
        <w:rPr>
          <w:highlight w:val="none"/>
        </w:rPr>
        <w:instrText xml:space="preserve"> HYPERLINK \l _Toc23623 </w:instrText>
      </w:r>
      <w:r>
        <w:rPr>
          <w:highlight w:val="none"/>
        </w:rPr>
        <w:fldChar w:fldCharType="separate"/>
      </w:r>
      <w:r>
        <w:rPr>
          <w:rFonts w:hint="eastAsia"/>
          <w:highlight w:val="none"/>
        </w:rPr>
        <w:t>1.5 费用承担</w:t>
      </w:r>
      <w:r>
        <w:rPr>
          <w:highlight w:val="none"/>
        </w:rPr>
        <w:tab/>
      </w:r>
      <w:r>
        <w:rPr>
          <w:highlight w:val="none"/>
        </w:rPr>
        <w:fldChar w:fldCharType="begin"/>
      </w:r>
      <w:r>
        <w:rPr>
          <w:highlight w:val="none"/>
        </w:rPr>
        <w:instrText xml:space="preserve"> PAGEREF _Toc23623 \h </w:instrText>
      </w:r>
      <w:r>
        <w:rPr>
          <w:highlight w:val="none"/>
        </w:rPr>
        <w:fldChar w:fldCharType="separate"/>
      </w:r>
      <w:r>
        <w:rPr>
          <w:highlight w:val="none"/>
        </w:rPr>
        <w:t>19</w:t>
      </w:r>
      <w:r>
        <w:rPr>
          <w:highlight w:val="none"/>
        </w:rPr>
        <w:fldChar w:fldCharType="end"/>
      </w:r>
      <w:r>
        <w:rPr>
          <w:highlight w:val="none"/>
        </w:rPr>
        <w:fldChar w:fldCharType="end"/>
      </w:r>
    </w:p>
    <w:p w14:paraId="70E43F75">
      <w:pPr>
        <w:pStyle w:val="17"/>
        <w:tabs>
          <w:tab w:val="right" w:leader="dot" w:pos="8306"/>
        </w:tabs>
        <w:rPr>
          <w:highlight w:val="none"/>
        </w:rPr>
      </w:pPr>
      <w:r>
        <w:rPr>
          <w:highlight w:val="none"/>
        </w:rPr>
        <w:fldChar w:fldCharType="begin"/>
      </w:r>
      <w:r>
        <w:rPr>
          <w:highlight w:val="none"/>
        </w:rPr>
        <w:instrText xml:space="preserve"> HYPERLINK \l _Toc20108 </w:instrText>
      </w:r>
      <w:r>
        <w:rPr>
          <w:highlight w:val="none"/>
        </w:rPr>
        <w:fldChar w:fldCharType="separate"/>
      </w:r>
      <w:r>
        <w:rPr>
          <w:rFonts w:hint="eastAsia"/>
          <w:highlight w:val="none"/>
        </w:rPr>
        <w:t>1.6 保密</w:t>
      </w:r>
      <w:r>
        <w:rPr>
          <w:highlight w:val="none"/>
        </w:rPr>
        <w:tab/>
      </w:r>
      <w:r>
        <w:rPr>
          <w:highlight w:val="none"/>
        </w:rPr>
        <w:fldChar w:fldCharType="begin"/>
      </w:r>
      <w:r>
        <w:rPr>
          <w:highlight w:val="none"/>
        </w:rPr>
        <w:instrText xml:space="preserve"> PAGEREF _Toc20108 \h </w:instrText>
      </w:r>
      <w:r>
        <w:rPr>
          <w:highlight w:val="none"/>
        </w:rPr>
        <w:fldChar w:fldCharType="separate"/>
      </w:r>
      <w:r>
        <w:rPr>
          <w:highlight w:val="none"/>
        </w:rPr>
        <w:t>19</w:t>
      </w:r>
      <w:r>
        <w:rPr>
          <w:highlight w:val="none"/>
        </w:rPr>
        <w:fldChar w:fldCharType="end"/>
      </w:r>
      <w:r>
        <w:rPr>
          <w:highlight w:val="none"/>
        </w:rPr>
        <w:fldChar w:fldCharType="end"/>
      </w:r>
    </w:p>
    <w:p w14:paraId="235FB743">
      <w:pPr>
        <w:pStyle w:val="17"/>
        <w:tabs>
          <w:tab w:val="right" w:leader="dot" w:pos="8306"/>
        </w:tabs>
        <w:rPr>
          <w:highlight w:val="none"/>
        </w:rPr>
      </w:pPr>
      <w:r>
        <w:rPr>
          <w:highlight w:val="none"/>
        </w:rPr>
        <w:fldChar w:fldCharType="begin"/>
      </w:r>
      <w:r>
        <w:rPr>
          <w:highlight w:val="none"/>
        </w:rPr>
        <w:instrText xml:space="preserve"> HYPERLINK \l _Toc21022 </w:instrText>
      </w:r>
      <w:r>
        <w:rPr>
          <w:highlight w:val="none"/>
        </w:rPr>
        <w:fldChar w:fldCharType="separate"/>
      </w:r>
      <w:r>
        <w:rPr>
          <w:rFonts w:hint="eastAsia"/>
          <w:highlight w:val="none"/>
        </w:rPr>
        <w:t>1.7 语言文字</w:t>
      </w:r>
      <w:r>
        <w:rPr>
          <w:highlight w:val="none"/>
        </w:rPr>
        <w:tab/>
      </w:r>
      <w:r>
        <w:rPr>
          <w:highlight w:val="none"/>
        </w:rPr>
        <w:fldChar w:fldCharType="begin"/>
      </w:r>
      <w:r>
        <w:rPr>
          <w:highlight w:val="none"/>
        </w:rPr>
        <w:instrText xml:space="preserve"> PAGEREF _Toc21022 \h </w:instrText>
      </w:r>
      <w:r>
        <w:rPr>
          <w:highlight w:val="none"/>
        </w:rPr>
        <w:fldChar w:fldCharType="separate"/>
      </w:r>
      <w:r>
        <w:rPr>
          <w:highlight w:val="none"/>
        </w:rPr>
        <w:t>19</w:t>
      </w:r>
      <w:r>
        <w:rPr>
          <w:highlight w:val="none"/>
        </w:rPr>
        <w:fldChar w:fldCharType="end"/>
      </w:r>
      <w:r>
        <w:rPr>
          <w:highlight w:val="none"/>
        </w:rPr>
        <w:fldChar w:fldCharType="end"/>
      </w:r>
    </w:p>
    <w:p w14:paraId="323CC684">
      <w:pPr>
        <w:pStyle w:val="17"/>
        <w:tabs>
          <w:tab w:val="right" w:leader="dot" w:pos="8306"/>
        </w:tabs>
        <w:rPr>
          <w:highlight w:val="none"/>
        </w:rPr>
      </w:pPr>
      <w:r>
        <w:rPr>
          <w:highlight w:val="none"/>
        </w:rPr>
        <w:fldChar w:fldCharType="begin"/>
      </w:r>
      <w:r>
        <w:rPr>
          <w:highlight w:val="none"/>
        </w:rPr>
        <w:instrText xml:space="preserve"> HYPERLINK \l _Toc32500 </w:instrText>
      </w:r>
      <w:r>
        <w:rPr>
          <w:highlight w:val="none"/>
        </w:rPr>
        <w:fldChar w:fldCharType="separate"/>
      </w:r>
      <w:r>
        <w:rPr>
          <w:rFonts w:hint="eastAsia"/>
          <w:highlight w:val="none"/>
        </w:rPr>
        <w:t>1.8 计量单位</w:t>
      </w:r>
      <w:r>
        <w:rPr>
          <w:highlight w:val="none"/>
        </w:rPr>
        <w:tab/>
      </w:r>
      <w:r>
        <w:rPr>
          <w:highlight w:val="none"/>
        </w:rPr>
        <w:fldChar w:fldCharType="begin"/>
      </w:r>
      <w:r>
        <w:rPr>
          <w:highlight w:val="none"/>
        </w:rPr>
        <w:instrText xml:space="preserve"> PAGEREF _Toc32500 \h </w:instrText>
      </w:r>
      <w:r>
        <w:rPr>
          <w:highlight w:val="none"/>
        </w:rPr>
        <w:fldChar w:fldCharType="separate"/>
      </w:r>
      <w:r>
        <w:rPr>
          <w:highlight w:val="none"/>
        </w:rPr>
        <w:t>19</w:t>
      </w:r>
      <w:r>
        <w:rPr>
          <w:highlight w:val="none"/>
        </w:rPr>
        <w:fldChar w:fldCharType="end"/>
      </w:r>
      <w:r>
        <w:rPr>
          <w:highlight w:val="none"/>
        </w:rPr>
        <w:fldChar w:fldCharType="end"/>
      </w:r>
    </w:p>
    <w:p w14:paraId="5FFDB4CF">
      <w:pPr>
        <w:pStyle w:val="17"/>
        <w:tabs>
          <w:tab w:val="right" w:leader="dot" w:pos="8306"/>
        </w:tabs>
        <w:rPr>
          <w:highlight w:val="none"/>
        </w:rPr>
      </w:pPr>
      <w:r>
        <w:rPr>
          <w:highlight w:val="none"/>
        </w:rPr>
        <w:fldChar w:fldCharType="begin"/>
      </w:r>
      <w:r>
        <w:rPr>
          <w:highlight w:val="none"/>
        </w:rPr>
        <w:instrText xml:space="preserve"> HYPERLINK \l _Toc15812 </w:instrText>
      </w:r>
      <w:r>
        <w:rPr>
          <w:highlight w:val="none"/>
        </w:rPr>
        <w:fldChar w:fldCharType="separate"/>
      </w:r>
      <w:r>
        <w:rPr>
          <w:rFonts w:hint="eastAsia"/>
          <w:highlight w:val="none"/>
        </w:rPr>
        <w:t>1.9 踏勘现场</w:t>
      </w:r>
      <w:r>
        <w:rPr>
          <w:highlight w:val="none"/>
        </w:rPr>
        <w:tab/>
      </w:r>
      <w:r>
        <w:rPr>
          <w:highlight w:val="none"/>
        </w:rPr>
        <w:fldChar w:fldCharType="begin"/>
      </w:r>
      <w:r>
        <w:rPr>
          <w:highlight w:val="none"/>
        </w:rPr>
        <w:instrText xml:space="preserve"> PAGEREF _Toc15812 \h </w:instrText>
      </w:r>
      <w:r>
        <w:rPr>
          <w:highlight w:val="none"/>
        </w:rPr>
        <w:fldChar w:fldCharType="separate"/>
      </w:r>
      <w:r>
        <w:rPr>
          <w:highlight w:val="none"/>
        </w:rPr>
        <w:t>19</w:t>
      </w:r>
      <w:r>
        <w:rPr>
          <w:highlight w:val="none"/>
        </w:rPr>
        <w:fldChar w:fldCharType="end"/>
      </w:r>
      <w:r>
        <w:rPr>
          <w:highlight w:val="none"/>
        </w:rPr>
        <w:fldChar w:fldCharType="end"/>
      </w:r>
    </w:p>
    <w:p w14:paraId="3A3C0BC9">
      <w:pPr>
        <w:pStyle w:val="17"/>
        <w:tabs>
          <w:tab w:val="right" w:leader="dot" w:pos="8306"/>
        </w:tabs>
        <w:rPr>
          <w:highlight w:val="none"/>
        </w:rPr>
      </w:pPr>
      <w:r>
        <w:rPr>
          <w:highlight w:val="none"/>
        </w:rPr>
        <w:fldChar w:fldCharType="begin"/>
      </w:r>
      <w:r>
        <w:rPr>
          <w:highlight w:val="none"/>
        </w:rPr>
        <w:instrText xml:space="preserve"> HYPERLINK \l _Toc11663 </w:instrText>
      </w:r>
      <w:r>
        <w:rPr>
          <w:highlight w:val="none"/>
        </w:rPr>
        <w:fldChar w:fldCharType="separate"/>
      </w:r>
      <w:r>
        <w:rPr>
          <w:rFonts w:hint="eastAsia"/>
          <w:highlight w:val="none"/>
        </w:rPr>
        <w:t>1.10 投标预备会</w:t>
      </w:r>
      <w:r>
        <w:rPr>
          <w:highlight w:val="none"/>
        </w:rPr>
        <w:tab/>
      </w:r>
      <w:r>
        <w:rPr>
          <w:highlight w:val="none"/>
        </w:rPr>
        <w:fldChar w:fldCharType="begin"/>
      </w:r>
      <w:r>
        <w:rPr>
          <w:highlight w:val="none"/>
        </w:rPr>
        <w:instrText xml:space="preserve"> PAGEREF _Toc11663 \h </w:instrText>
      </w:r>
      <w:r>
        <w:rPr>
          <w:highlight w:val="none"/>
        </w:rPr>
        <w:fldChar w:fldCharType="separate"/>
      </w:r>
      <w:r>
        <w:rPr>
          <w:highlight w:val="none"/>
        </w:rPr>
        <w:t>19</w:t>
      </w:r>
      <w:r>
        <w:rPr>
          <w:highlight w:val="none"/>
        </w:rPr>
        <w:fldChar w:fldCharType="end"/>
      </w:r>
      <w:r>
        <w:rPr>
          <w:highlight w:val="none"/>
        </w:rPr>
        <w:fldChar w:fldCharType="end"/>
      </w:r>
    </w:p>
    <w:p w14:paraId="5C9E0CF1">
      <w:pPr>
        <w:pStyle w:val="17"/>
        <w:tabs>
          <w:tab w:val="right" w:leader="dot" w:pos="8306"/>
        </w:tabs>
        <w:rPr>
          <w:highlight w:val="none"/>
        </w:rPr>
      </w:pPr>
      <w:r>
        <w:rPr>
          <w:highlight w:val="none"/>
        </w:rPr>
        <w:fldChar w:fldCharType="begin"/>
      </w:r>
      <w:r>
        <w:rPr>
          <w:highlight w:val="none"/>
        </w:rPr>
        <w:instrText xml:space="preserve"> HYPERLINK \l _Toc9449 </w:instrText>
      </w:r>
      <w:r>
        <w:rPr>
          <w:highlight w:val="none"/>
        </w:rPr>
        <w:fldChar w:fldCharType="separate"/>
      </w:r>
      <w:r>
        <w:rPr>
          <w:rFonts w:hint="eastAsia"/>
          <w:highlight w:val="none"/>
        </w:rPr>
        <w:t>1.11 分包</w:t>
      </w:r>
      <w:r>
        <w:rPr>
          <w:highlight w:val="none"/>
        </w:rPr>
        <w:tab/>
      </w:r>
      <w:r>
        <w:rPr>
          <w:highlight w:val="none"/>
        </w:rPr>
        <w:fldChar w:fldCharType="begin"/>
      </w:r>
      <w:r>
        <w:rPr>
          <w:highlight w:val="none"/>
        </w:rPr>
        <w:instrText xml:space="preserve"> PAGEREF _Toc9449 \h </w:instrText>
      </w:r>
      <w:r>
        <w:rPr>
          <w:highlight w:val="none"/>
        </w:rPr>
        <w:fldChar w:fldCharType="separate"/>
      </w:r>
      <w:r>
        <w:rPr>
          <w:highlight w:val="none"/>
        </w:rPr>
        <w:t>19</w:t>
      </w:r>
      <w:r>
        <w:rPr>
          <w:highlight w:val="none"/>
        </w:rPr>
        <w:fldChar w:fldCharType="end"/>
      </w:r>
      <w:r>
        <w:rPr>
          <w:highlight w:val="none"/>
        </w:rPr>
        <w:fldChar w:fldCharType="end"/>
      </w:r>
    </w:p>
    <w:p w14:paraId="079BF1BD">
      <w:pPr>
        <w:pStyle w:val="17"/>
        <w:tabs>
          <w:tab w:val="right" w:leader="dot" w:pos="8306"/>
        </w:tabs>
        <w:rPr>
          <w:highlight w:val="none"/>
        </w:rPr>
      </w:pPr>
      <w:r>
        <w:rPr>
          <w:highlight w:val="none"/>
        </w:rPr>
        <w:fldChar w:fldCharType="begin"/>
      </w:r>
      <w:r>
        <w:rPr>
          <w:highlight w:val="none"/>
        </w:rPr>
        <w:instrText xml:space="preserve"> HYPERLINK \l _Toc18520 </w:instrText>
      </w:r>
      <w:r>
        <w:rPr>
          <w:highlight w:val="none"/>
        </w:rPr>
        <w:fldChar w:fldCharType="separate"/>
      </w:r>
      <w:r>
        <w:rPr>
          <w:rFonts w:hint="eastAsia"/>
          <w:highlight w:val="none"/>
        </w:rPr>
        <w:t>1.12 偏离</w:t>
      </w:r>
      <w:r>
        <w:rPr>
          <w:highlight w:val="none"/>
        </w:rPr>
        <w:tab/>
      </w:r>
      <w:r>
        <w:rPr>
          <w:highlight w:val="none"/>
        </w:rPr>
        <w:fldChar w:fldCharType="begin"/>
      </w:r>
      <w:r>
        <w:rPr>
          <w:highlight w:val="none"/>
        </w:rPr>
        <w:instrText xml:space="preserve"> PAGEREF _Toc18520 \h </w:instrText>
      </w:r>
      <w:r>
        <w:rPr>
          <w:highlight w:val="none"/>
        </w:rPr>
        <w:fldChar w:fldCharType="separate"/>
      </w:r>
      <w:r>
        <w:rPr>
          <w:highlight w:val="none"/>
        </w:rPr>
        <w:t>20</w:t>
      </w:r>
      <w:r>
        <w:rPr>
          <w:highlight w:val="none"/>
        </w:rPr>
        <w:fldChar w:fldCharType="end"/>
      </w:r>
      <w:r>
        <w:rPr>
          <w:highlight w:val="none"/>
        </w:rPr>
        <w:fldChar w:fldCharType="end"/>
      </w:r>
    </w:p>
    <w:p w14:paraId="7CB11665">
      <w:pPr>
        <w:pStyle w:val="24"/>
        <w:tabs>
          <w:tab w:val="right" w:leader="dot" w:pos="8306"/>
        </w:tabs>
        <w:rPr>
          <w:highlight w:val="none"/>
        </w:rPr>
      </w:pPr>
      <w:r>
        <w:rPr>
          <w:highlight w:val="none"/>
        </w:rPr>
        <w:fldChar w:fldCharType="begin"/>
      </w:r>
      <w:r>
        <w:rPr>
          <w:highlight w:val="none"/>
        </w:rPr>
        <w:instrText xml:space="preserve"> HYPERLINK \l _Toc26755 </w:instrText>
      </w:r>
      <w:r>
        <w:rPr>
          <w:highlight w:val="none"/>
        </w:rPr>
        <w:fldChar w:fldCharType="separate"/>
      </w:r>
      <w:r>
        <w:rPr>
          <w:rFonts w:hint="eastAsia"/>
          <w:highlight w:val="none"/>
        </w:rPr>
        <w:t>2. 招标文件</w:t>
      </w:r>
      <w:r>
        <w:rPr>
          <w:highlight w:val="none"/>
        </w:rPr>
        <w:tab/>
      </w:r>
      <w:r>
        <w:rPr>
          <w:highlight w:val="none"/>
        </w:rPr>
        <w:fldChar w:fldCharType="begin"/>
      </w:r>
      <w:r>
        <w:rPr>
          <w:highlight w:val="none"/>
        </w:rPr>
        <w:instrText xml:space="preserve"> PAGEREF _Toc26755 \h </w:instrText>
      </w:r>
      <w:r>
        <w:rPr>
          <w:highlight w:val="none"/>
        </w:rPr>
        <w:fldChar w:fldCharType="separate"/>
      </w:r>
      <w:r>
        <w:rPr>
          <w:highlight w:val="none"/>
        </w:rPr>
        <w:t>20</w:t>
      </w:r>
      <w:r>
        <w:rPr>
          <w:highlight w:val="none"/>
        </w:rPr>
        <w:fldChar w:fldCharType="end"/>
      </w:r>
      <w:r>
        <w:rPr>
          <w:highlight w:val="none"/>
        </w:rPr>
        <w:fldChar w:fldCharType="end"/>
      </w:r>
    </w:p>
    <w:p w14:paraId="05CC5D3F">
      <w:pPr>
        <w:pStyle w:val="17"/>
        <w:tabs>
          <w:tab w:val="right" w:leader="dot" w:pos="8306"/>
        </w:tabs>
        <w:rPr>
          <w:highlight w:val="none"/>
        </w:rPr>
      </w:pPr>
      <w:r>
        <w:rPr>
          <w:highlight w:val="none"/>
        </w:rPr>
        <w:fldChar w:fldCharType="begin"/>
      </w:r>
      <w:r>
        <w:rPr>
          <w:highlight w:val="none"/>
        </w:rPr>
        <w:instrText xml:space="preserve"> HYPERLINK \l _Toc13255 </w:instrText>
      </w:r>
      <w:r>
        <w:rPr>
          <w:highlight w:val="none"/>
        </w:rPr>
        <w:fldChar w:fldCharType="separate"/>
      </w:r>
      <w:r>
        <w:rPr>
          <w:rFonts w:hint="eastAsia"/>
          <w:highlight w:val="none"/>
        </w:rPr>
        <w:t>2.1 招标文件的组成</w:t>
      </w:r>
      <w:r>
        <w:rPr>
          <w:highlight w:val="none"/>
        </w:rPr>
        <w:tab/>
      </w:r>
      <w:r>
        <w:rPr>
          <w:highlight w:val="none"/>
        </w:rPr>
        <w:fldChar w:fldCharType="begin"/>
      </w:r>
      <w:r>
        <w:rPr>
          <w:highlight w:val="none"/>
        </w:rPr>
        <w:instrText xml:space="preserve"> PAGEREF _Toc13255 \h </w:instrText>
      </w:r>
      <w:r>
        <w:rPr>
          <w:highlight w:val="none"/>
        </w:rPr>
        <w:fldChar w:fldCharType="separate"/>
      </w:r>
      <w:r>
        <w:rPr>
          <w:highlight w:val="none"/>
        </w:rPr>
        <w:t>20</w:t>
      </w:r>
      <w:r>
        <w:rPr>
          <w:highlight w:val="none"/>
        </w:rPr>
        <w:fldChar w:fldCharType="end"/>
      </w:r>
      <w:r>
        <w:rPr>
          <w:highlight w:val="none"/>
        </w:rPr>
        <w:fldChar w:fldCharType="end"/>
      </w:r>
    </w:p>
    <w:p w14:paraId="22CFD035">
      <w:pPr>
        <w:pStyle w:val="17"/>
        <w:tabs>
          <w:tab w:val="right" w:leader="dot" w:pos="8306"/>
        </w:tabs>
        <w:rPr>
          <w:highlight w:val="none"/>
        </w:rPr>
      </w:pPr>
      <w:r>
        <w:rPr>
          <w:highlight w:val="none"/>
        </w:rPr>
        <w:fldChar w:fldCharType="begin"/>
      </w:r>
      <w:r>
        <w:rPr>
          <w:highlight w:val="none"/>
        </w:rPr>
        <w:instrText xml:space="preserve"> HYPERLINK \l _Toc11550 </w:instrText>
      </w:r>
      <w:r>
        <w:rPr>
          <w:highlight w:val="none"/>
        </w:rPr>
        <w:fldChar w:fldCharType="separate"/>
      </w:r>
      <w:r>
        <w:rPr>
          <w:rFonts w:hint="eastAsia"/>
          <w:highlight w:val="none"/>
        </w:rPr>
        <w:t>2.2 招标文件的澄清</w:t>
      </w:r>
      <w:r>
        <w:rPr>
          <w:highlight w:val="none"/>
        </w:rPr>
        <w:tab/>
      </w:r>
      <w:r>
        <w:rPr>
          <w:highlight w:val="none"/>
        </w:rPr>
        <w:fldChar w:fldCharType="begin"/>
      </w:r>
      <w:r>
        <w:rPr>
          <w:highlight w:val="none"/>
        </w:rPr>
        <w:instrText xml:space="preserve"> PAGEREF _Toc11550 \h </w:instrText>
      </w:r>
      <w:r>
        <w:rPr>
          <w:highlight w:val="none"/>
        </w:rPr>
        <w:fldChar w:fldCharType="separate"/>
      </w:r>
      <w:r>
        <w:rPr>
          <w:highlight w:val="none"/>
        </w:rPr>
        <w:t>20</w:t>
      </w:r>
      <w:r>
        <w:rPr>
          <w:highlight w:val="none"/>
        </w:rPr>
        <w:fldChar w:fldCharType="end"/>
      </w:r>
      <w:r>
        <w:rPr>
          <w:highlight w:val="none"/>
        </w:rPr>
        <w:fldChar w:fldCharType="end"/>
      </w:r>
    </w:p>
    <w:p w14:paraId="0DE2FCF1">
      <w:pPr>
        <w:pStyle w:val="17"/>
        <w:tabs>
          <w:tab w:val="right" w:leader="dot" w:pos="8306"/>
        </w:tabs>
        <w:rPr>
          <w:highlight w:val="none"/>
        </w:rPr>
      </w:pPr>
      <w:r>
        <w:rPr>
          <w:highlight w:val="none"/>
        </w:rPr>
        <w:fldChar w:fldCharType="begin"/>
      </w:r>
      <w:r>
        <w:rPr>
          <w:highlight w:val="none"/>
        </w:rPr>
        <w:instrText xml:space="preserve"> HYPERLINK \l _Toc21606 </w:instrText>
      </w:r>
      <w:r>
        <w:rPr>
          <w:highlight w:val="none"/>
        </w:rPr>
        <w:fldChar w:fldCharType="separate"/>
      </w:r>
      <w:r>
        <w:rPr>
          <w:rFonts w:hint="eastAsia"/>
          <w:highlight w:val="none"/>
        </w:rPr>
        <w:t>2.3 招标文件的修改</w:t>
      </w:r>
      <w:r>
        <w:rPr>
          <w:highlight w:val="none"/>
        </w:rPr>
        <w:tab/>
      </w:r>
      <w:r>
        <w:rPr>
          <w:highlight w:val="none"/>
        </w:rPr>
        <w:fldChar w:fldCharType="begin"/>
      </w:r>
      <w:r>
        <w:rPr>
          <w:highlight w:val="none"/>
        </w:rPr>
        <w:instrText xml:space="preserve"> PAGEREF _Toc21606 \h </w:instrText>
      </w:r>
      <w:r>
        <w:rPr>
          <w:highlight w:val="none"/>
        </w:rPr>
        <w:fldChar w:fldCharType="separate"/>
      </w:r>
      <w:r>
        <w:rPr>
          <w:highlight w:val="none"/>
        </w:rPr>
        <w:t>20</w:t>
      </w:r>
      <w:r>
        <w:rPr>
          <w:highlight w:val="none"/>
        </w:rPr>
        <w:fldChar w:fldCharType="end"/>
      </w:r>
      <w:r>
        <w:rPr>
          <w:highlight w:val="none"/>
        </w:rPr>
        <w:fldChar w:fldCharType="end"/>
      </w:r>
    </w:p>
    <w:p w14:paraId="57D9B01A">
      <w:pPr>
        <w:pStyle w:val="24"/>
        <w:tabs>
          <w:tab w:val="right" w:leader="dot" w:pos="8306"/>
        </w:tabs>
        <w:rPr>
          <w:highlight w:val="none"/>
        </w:rPr>
      </w:pPr>
      <w:r>
        <w:rPr>
          <w:highlight w:val="none"/>
        </w:rPr>
        <w:fldChar w:fldCharType="begin"/>
      </w:r>
      <w:r>
        <w:rPr>
          <w:highlight w:val="none"/>
        </w:rPr>
        <w:instrText xml:space="preserve"> HYPERLINK \l _Toc30362 </w:instrText>
      </w:r>
      <w:r>
        <w:rPr>
          <w:highlight w:val="none"/>
        </w:rPr>
        <w:fldChar w:fldCharType="separate"/>
      </w:r>
      <w:r>
        <w:rPr>
          <w:rFonts w:hint="eastAsia"/>
          <w:highlight w:val="none"/>
        </w:rPr>
        <w:t>3. 投标文件</w:t>
      </w:r>
      <w:r>
        <w:rPr>
          <w:highlight w:val="none"/>
        </w:rPr>
        <w:tab/>
      </w:r>
      <w:r>
        <w:rPr>
          <w:highlight w:val="none"/>
        </w:rPr>
        <w:fldChar w:fldCharType="begin"/>
      </w:r>
      <w:r>
        <w:rPr>
          <w:highlight w:val="none"/>
        </w:rPr>
        <w:instrText xml:space="preserve"> PAGEREF _Toc30362 \h </w:instrText>
      </w:r>
      <w:r>
        <w:rPr>
          <w:highlight w:val="none"/>
        </w:rPr>
        <w:fldChar w:fldCharType="separate"/>
      </w:r>
      <w:r>
        <w:rPr>
          <w:highlight w:val="none"/>
        </w:rPr>
        <w:t>20</w:t>
      </w:r>
      <w:r>
        <w:rPr>
          <w:highlight w:val="none"/>
        </w:rPr>
        <w:fldChar w:fldCharType="end"/>
      </w:r>
      <w:r>
        <w:rPr>
          <w:highlight w:val="none"/>
        </w:rPr>
        <w:fldChar w:fldCharType="end"/>
      </w:r>
    </w:p>
    <w:p w14:paraId="51F52A04">
      <w:pPr>
        <w:pStyle w:val="17"/>
        <w:tabs>
          <w:tab w:val="right" w:leader="dot" w:pos="8306"/>
        </w:tabs>
        <w:rPr>
          <w:highlight w:val="none"/>
        </w:rPr>
      </w:pPr>
      <w:r>
        <w:rPr>
          <w:highlight w:val="none"/>
        </w:rPr>
        <w:fldChar w:fldCharType="begin"/>
      </w:r>
      <w:r>
        <w:rPr>
          <w:highlight w:val="none"/>
        </w:rPr>
        <w:instrText xml:space="preserve"> HYPERLINK \l _Toc4615 </w:instrText>
      </w:r>
      <w:r>
        <w:rPr>
          <w:highlight w:val="none"/>
        </w:rPr>
        <w:fldChar w:fldCharType="separate"/>
      </w:r>
      <w:r>
        <w:rPr>
          <w:rFonts w:hint="eastAsia"/>
          <w:highlight w:val="none"/>
        </w:rPr>
        <w:t>3.1 投标文件的组成</w:t>
      </w:r>
      <w:r>
        <w:rPr>
          <w:highlight w:val="none"/>
        </w:rPr>
        <w:tab/>
      </w:r>
      <w:r>
        <w:rPr>
          <w:highlight w:val="none"/>
        </w:rPr>
        <w:fldChar w:fldCharType="begin"/>
      </w:r>
      <w:r>
        <w:rPr>
          <w:highlight w:val="none"/>
        </w:rPr>
        <w:instrText xml:space="preserve"> PAGEREF _Toc4615 \h </w:instrText>
      </w:r>
      <w:r>
        <w:rPr>
          <w:highlight w:val="none"/>
        </w:rPr>
        <w:fldChar w:fldCharType="separate"/>
      </w:r>
      <w:r>
        <w:rPr>
          <w:highlight w:val="none"/>
        </w:rPr>
        <w:t>20</w:t>
      </w:r>
      <w:r>
        <w:rPr>
          <w:highlight w:val="none"/>
        </w:rPr>
        <w:fldChar w:fldCharType="end"/>
      </w:r>
      <w:r>
        <w:rPr>
          <w:highlight w:val="none"/>
        </w:rPr>
        <w:fldChar w:fldCharType="end"/>
      </w:r>
    </w:p>
    <w:p w14:paraId="3F9720C5">
      <w:pPr>
        <w:pStyle w:val="17"/>
        <w:tabs>
          <w:tab w:val="right" w:leader="dot" w:pos="8306"/>
        </w:tabs>
        <w:rPr>
          <w:highlight w:val="none"/>
        </w:rPr>
      </w:pPr>
      <w:r>
        <w:rPr>
          <w:highlight w:val="none"/>
        </w:rPr>
        <w:fldChar w:fldCharType="begin"/>
      </w:r>
      <w:r>
        <w:rPr>
          <w:highlight w:val="none"/>
        </w:rPr>
        <w:instrText xml:space="preserve"> HYPERLINK \l _Toc6932 </w:instrText>
      </w:r>
      <w:r>
        <w:rPr>
          <w:highlight w:val="none"/>
        </w:rPr>
        <w:fldChar w:fldCharType="separate"/>
      </w:r>
      <w:r>
        <w:rPr>
          <w:rFonts w:hint="eastAsia"/>
          <w:highlight w:val="none"/>
        </w:rPr>
        <w:t>3.2 投标报价</w:t>
      </w:r>
      <w:r>
        <w:rPr>
          <w:highlight w:val="none"/>
        </w:rPr>
        <w:tab/>
      </w:r>
      <w:r>
        <w:rPr>
          <w:highlight w:val="none"/>
        </w:rPr>
        <w:fldChar w:fldCharType="begin"/>
      </w:r>
      <w:r>
        <w:rPr>
          <w:highlight w:val="none"/>
        </w:rPr>
        <w:instrText xml:space="preserve"> PAGEREF _Toc6932 \h </w:instrText>
      </w:r>
      <w:r>
        <w:rPr>
          <w:highlight w:val="none"/>
        </w:rPr>
        <w:fldChar w:fldCharType="separate"/>
      </w:r>
      <w:r>
        <w:rPr>
          <w:highlight w:val="none"/>
        </w:rPr>
        <w:t>21</w:t>
      </w:r>
      <w:r>
        <w:rPr>
          <w:highlight w:val="none"/>
        </w:rPr>
        <w:fldChar w:fldCharType="end"/>
      </w:r>
      <w:r>
        <w:rPr>
          <w:highlight w:val="none"/>
        </w:rPr>
        <w:fldChar w:fldCharType="end"/>
      </w:r>
    </w:p>
    <w:p w14:paraId="7C10FBDB">
      <w:pPr>
        <w:pStyle w:val="17"/>
        <w:tabs>
          <w:tab w:val="right" w:leader="dot" w:pos="8306"/>
        </w:tabs>
        <w:rPr>
          <w:highlight w:val="none"/>
        </w:rPr>
      </w:pPr>
      <w:r>
        <w:rPr>
          <w:highlight w:val="none"/>
        </w:rPr>
        <w:fldChar w:fldCharType="begin"/>
      </w:r>
      <w:r>
        <w:rPr>
          <w:highlight w:val="none"/>
        </w:rPr>
        <w:instrText xml:space="preserve"> HYPERLINK \l _Toc2466 </w:instrText>
      </w:r>
      <w:r>
        <w:rPr>
          <w:highlight w:val="none"/>
        </w:rPr>
        <w:fldChar w:fldCharType="separate"/>
      </w:r>
      <w:r>
        <w:rPr>
          <w:rFonts w:hint="eastAsia"/>
          <w:highlight w:val="none"/>
        </w:rPr>
        <w:t>3.3 投标有效期</w:t>
      </w:r>
      <w:r>
        <w:rPr>
          <w:highlight w:val="none"/>
        </w:rPr>
        <w:tab/>
      </w:r>
      <w:r>
        <w:rPr>
          <w:highlight w:val="none"/>
        </w:rPr>
        <w:fldChar w:fldCharType="begin"/>
      </w:r>
      <w:r>
        <w:rPr>
          <w:highlight w:val="none"/>
        </w:rPr>
        <w:instrText xml:space="preserve"> PAGEREF _Toc2466 \h </w:instrText>
      </w:r>
      <w:r>
        <w:rPr>
          <w:highlight w:val="none"/>
        </w:rPr>
        <w:fldChar w:fldCharType="separate"/>
      </w:r>
      <w:r>
        <w:rPr>
          <w:highlight w:val="none"/>
        </w:rPr>
        <w:t>21</w:t>
      </w:r>
      <w:r>
        <w:rPr>
          <w:highlight w:val="none"/>
        </w:rPr>
        <w:fldChar w:fldCharType="end"/>
      </w:r>
      <w:r>
        <w:rPr>
          <w:highlight w:val="none"/>
        </w:rPr>
        <w:fldChar w:fldCharType="end"/>
      </w:r>
    </w:p>
    <w:p w14:paraId="3E047E65">
      <w:pPr>
        <w:pStyle w:val="17"/>
        <w:tabs>
          <w:tab w:val="right" w:leader="dot" w:pos="8306"/>
        </w:tabs>
        <w:rPr>
          <w:highlight w:val="none"/>
        </w:rPr>
      </w:pPr>
      <w:r>
        <w:rPr>
          <w:highlight w:val="none"/>
        </w:rPr>
        <w:fldChar w:fldCharType="begin"/>
      </w:r>
      <w:r>
        <w:rPr>
          <w:highlight w:val="none"/>
        </w:rPr>
        <w:instrText xml:space="preserve"> HYPERLINK \l _Toc3526 </w:instrText>
      </w:r>
      <w:r>
        <w:rPr>
          <w:highlight w:val="none"/>
        </w:rPr>
        <w:fldChar w:fldCharType="separate"/>
      </w:r>
      <w:r>
        <w:rPr>
          <w:rFonts w:hint="eastAsia"/>
          <w:highlight w:val="none"/>
        </w:rPr>
        <w:t>3.4 投标保证金</w:t>
      </w:r>
      <w:r>
        <w:rPr>
          <w:highlight w:val="none"/>
        </w:rPr>
        <w:tab/>
      </w:r>
      <w:r>
        <w:rPr>
          <w:highlight w:val="none"/>
        </w:rPr>
        <w:fldChar w:fldCharType="begin"/>
      </w:r>
      <w:r>
        <w:rPr>
          <w:highlight w:val="none"/>
        </w:rPr>
        <w:instrText xml:space="preserve"> PAGEREF _Toc3526 \h </w:instrText>
      </w:r>
      <w:r>
        <w:rPr>
          <w:highlight w:val="none"/>
        </w:rPr>
        <w:fldChar w:fldCharType="separate"/>
      </w:r>
      <w:r>
        <w:rPr>
          <w:highlight w:val="none"/>
        </w:rPr>
        <w:t>21</w:t>
      </w:r>
      <w:r>
        <w:rPr>
          <w:highlight w:val="none"/>
        </w:rPr>
        <w:fldChar w:fldCharType="end"/>
      </w:r>
      <w:r>
        <w:rPr>
          <w:highlight w:val="none"/>
        </w:rPr>
        <w:fldChar w:fldCharType="end"/>
      </w:r>
    </w:p>
    <w:p w14:paraId="65787A87">
      <w:pPr>
        <w:pStyle w:val="17"/>
        <w:tabs>
          <w:tab w:val="right" w:leader="dot" w:pos="8306"/>
        </w:tabs>
        <w:rPr>
          <w:highlight w:val="none"/>
        </w:rPr>
      </w:pPr>
      <w:r>
        <w:rPr>
          <w:highlight w:val="none"/>
        </w:rPr>
        <w:fldChar w:fldCharType="begin"/>
      </w:r>
      <w:r>
        <w:rPr>
          <w:highlight w:val="none"/>
        </w:rPr>
        <w:instrText xml:space="preserve"> HYPERLINK \l _Toc2853 </w:instrText>
      </w:r>
      <w:r>
        <w:rPr>
          <w:highlight w:val="none"/>
        </w:rPr>
        <w:fldChar w:fldCharType="separate"/>
      </w:r>
      <w:r>
        <w:rPr>
          <w:rFonts w:hint="eastAsia"/>
          <w:highlight w:val="none"/>
        </w:rPr>
        <w:t>3.5 资格审查资料</w:t>
      </w:r>
      <w:r>
        <w:rPr>
          <w:highlight w:val="none"/>
        </w:rPr>
        <w:tab/>
      </w:r>
      <w:r>
        <w:rPr>
          <w:highlight w:val="none"/>
        </w:rPr>
        <w:fldChar w:fldCharType="begin"/>
      </w:r>
      <w:r>
        <w:rPr>
          <w:highlight w:val="none"/>
        </w:rPr>
        <w:instrText xml:space="preserve"> PAGEREF _Toc2853 \h </w:instrText>
      </w:r>
      <w:r>
        <w:rPr>
          <w:highlight w:val="none"/>
        </w:rPr>
        <w:fldChar w:fldCharType="separate"/>
      </w:r>
      <w:r>
        <w:rPr>
          <w:highlight w:val="none"/>
        </w:rPr>
        <w:t>21</w:t>
      </w:r>
      <w:r>
        <w:rPr>
          <w:highlight w:val="none"/>
        </w:rPr>
        <w:fldChar w:fldCharType="end"/>
      </w:r>
      <w:r>
        <w:rPr>
          <w:highlight w:val="none"/>
        </w:rPr>
        <w:fldChar w:fldCharType="end"/>
      </w:r>
    </w:p>
    <w:p w14:paraId="0CD01BA5">
      <w:pPr>
        <w:pStyle w:val="17"/>
        <w:tabs>
          <w:tab w:val="right" w:leader="dot" w:pos="8306"/>
        </w:tabs>
        <w:rPr>
          <w:highlight w:val="none"/>
        </w:rPr>
      </w:pPr>
      <w:r>
        <w:rPr>
          <w:highlight w:val="none"/>
        </w:rPr>
        <w:fldChar w:fldCharType="begin"/>
      </w:r>
      <w:r>
        <w:rPr>
          <w:highlight w:val="none"/>
        </w:rPr>
        <w:instrText xml:space="preserve"> HYPERLINK \l _Toc18969 </w:instrText>
      </w:r>
      <w:r>
        <w:rPr>
          <w:highlight w:val="none"/>
        </w:rPr>
        <w:fldChar w:fldCharType="separate"/>
      </w:r>
      <w:r>
        <w:rPr>
          <w:rFonts w:hint="eastAsia"/>
          <w:highlight w:val="none"/>
        </w:rPr>
        <w:t>3.6 备选投标方案</w:t>
      </w:r>
      <w:r>
        <w:rPr>
          <w:highlight w:val="none"/>
        </w:rPr>
        <w:tab/>
      </w:r>
      <w:r>
        <w:rPr>
          <w:highlight w:val="none"/>
        </w:rPr>
        <w:fldChar w:fldCharType="begin"/>
      </w:r>
      <w:r>
        <w:rPr>
          <w:highlight w:val="none"/>
        </w:rPr>
        <w:instrText xml:space="preserve"> PAGEREF _Toc18969 \h </w:instrText>
      </w:r>
      <w:r>
        <w:rPr>
          <w:highlight w:val="none"/>
        </w:rPr>
        <w:fldChar w:fldCharType="separate"/>
      </w:r>
      <w:r>
        <w:rPr>
          <w:highlight w:val="none"/>
        </w:rPr>
        <w:t>22</w:t>
      </w:r>
      <w:r>
        <w:rPr>
          <w:highlight w:val="none"/>
        </w:rPr>
        <w:fldChar w:fldCharType="end"/>
      </w:r>
      <w:r>
        <w:rPr>
          <w:highlight w:val="none"/>
        </w:rPr>
        <w:fldChar w:fldCharType="end"/>
      </w:r>
    </w:p>
    <w:p w14:paraId="50EEF300">
      <w:pPr>
        <w:pStyle w:val="17"/>
        <w:tabs>
          <w:tab w:val="right" w:leader="dot" w:pos="8306"/>
        </w:tabs>
        <w:rPr>
          <w:highlight w:val="none"/>
        </w:rPr>
      </w:pPr>
      <w:r>
        <w:rPr>
          <w:highlight w:val="none"/>
        </w:rPr>
        <w:fldChar w:fldCharType="begin"/>
      </w:r>
      <w:r>
        <w:rPr>
          <w:highlight w:val="none"/>
        </w:rPr>
        <w:instrText xml:space="preserve"> HYPERLINK \l _Toc10937 </w:instrText>
      </w:r>
      <w:r>
        <w:rPr>
          <w:highlight w:val="none"/>
        </w:rPr>
        <w:fldChar w:fldCharType="separate"/>
      </w:r>
      <w:r>
        <w:rPr>
          <w:rFonts w:hint="eastAsia"/>
          <w:highlight w:val="none"/>
        </w:rPr>
        <w:t>3.7 投标文件的编制</w:t>
      </w:r>
      <w:r>
        <w:rPr>
          <w:highlight w:val="none"/>
        </w:rPr>
        <w:tab/>
      </w:r>
      <w:r>
        <w:rPr>
          <w:highlight w:val="none"/>
        </w:rPr>
        <w:fldChar w:fldCharType="begin"/>
      </w:r>
      <w:r>
        <w:rPr>
          <w:highlight w:val="none"/>
        </w:rPr>
        <w:instrText xml:space="preserve"> PAGEREF _Toc10937 \h </w:instrText>
      </w:r>
      <w:r>
        <w:rPr>
          <w:highlight w:val="none"/>
        </w:rPr>
        <w:fldChar w:fldCharType="separate"/>
      </w:r>
      <w:r>
        <w:rPr>
          <w:highlight w:val="none"/>
        </w:rPr>
        <w:t>22</w:t>
      </w:r>
      <w:r>
        <w:rPr>
          <w:highlight w:val="none"/>
        </w:rPr>
        <w:fldChar w:fldCharType="end"/>
      </w:r>
      <w:r>
        <w:rPr>
          <w:highlight w:val="none"/>
        </w:rPr>
        <w:fldChar w:fldCharType="end"/>
      </w:r>
    </w:p>
    <w:p w14:paraId="08AEC854">
      <w:pPr>
        <w:pStyle w:val="24"/>
        <w:tabs>
          <w:tab w:val="right" w:leader="dot" w:pos="8306"/>
        </w:tabs>
        <w:rPr>
          <w:highlight w:val="none"/>
        </w:rPr>
      </w:pPr>
      <w:r>
        <w:rPr>
          <w:highlight w:val="none"/>
        </w:rPr>
        <w:fldChar w:fldCharType="begin"/>
      </w:r>
      <w:r>
        <w:rPr>
          <w:highlight w:val="none"/>
        </w:rPr>
        <w:instrText xml:space="preserve"> HYPERLINK \l _Toc10321 </w:instrText>
      </w:r>
      <w:r>
        <w:rPr>
          <w:highlight w:val="none"/>
        </w:rPr>
        <w:fldChar w:fldCharType="separate"/>
      </w:r>
      <w:r>
        <w:rPr>
          <w:rFonts w:hint="eastAsia"/>
          <w:highlight w:val="none"/>
        </w:rPr>
        <w:t>4. 投标</w:t>
      </w:r>
      <w:r>
        <w:rPr>
          <w:highlight w:val="none"/>
        </w:rPr>
        <w:tab/>
      </w:r>
      <w:r>
        <w:rPr>
          <w:highlight w:val="none"/>
        </w:rPr>
        <w:fldChar w:fldCharType="begin"/>
      </w:r>
      <w:r>
        <w:rPr>
          <w:highlight w:val="none"/>
        </w:rPr>
        <w:instrText xml:space="preserve"> PAGEREF _Toc10321 \h </w:instrText>
      </w:r>
      <w:r>
        <w:rPr>
          <w:highlight w:val="none"/>
        </w:rPr>
        <w:fldChar w:fldCharType="separate"/>
      </w:r>
      <w:r>
        <w:rPr>
          <w:highlight w:val="none"/>
        </w:rPr>
        <w:t>22</w:t>
      </w:r>
      <w:r>
        <w:rPr>
          <w:highlight w:val="none"/>
        </w:rPr>
        <w:fldChar w:fldCharType="end"/>
      </w:r>
      <w:r>
        <w:rPr>
          <w:highlight w:val="none"/>
        </w:rPr>
        <w:fldChar w:fldCharType="end"/>
      </w:r>
    </w:p>
    <w:p w14:paraId="5627852B">
      <w:pPr>
        <w:pStyle w:val="17"/>
        <w:tabs>
          <w:tab w:val="right" w:leader="dot" w:pos="8306"/>
        </w:tabs>
        <w:rPr>
          <w:highlight w:val="none"/>
        </w:rPr>
      </w:pPr>
      <w:r>
        <w:rPr>
          <w:highlight w:val="none"/>
        </w:rPr>
        <w:fldChar w:fldCharType="begin"/>
      </w:r>
      <w:r>
        <w:rPr>
          <w:highlight w:val="none"/>
        </w:rPr>
        <w:instrText xml:space="preserve"> HYPERLINK \l _Toc10576 </w:instrText>
      </w:r>
      <w:r>
        <w:rPr>
          <w:highlight w:val="none"/>
        </w:rPr>
        <w:fldChar w:fldCharType="separate"/>
      </w:r>
      <w:r>
        <w:rPr>
          <w:rFonts w:hint="eastAsia"/>
          <w:highlight w:val="none"/>
        </w:rPr>
        <w:t>4.1 投标文件的密封和标记</w:t>
      </w:r>
      <w:r>
        <w:rPr>
          <w:highlight w:val="none"/>
        </w:rPr>
        <w:tab/>
      </w:r>
      <w:r>
        <w:rPr>
          <w:highlight w:val="none"/>
        </w:rPr>
        <w:fldChar w:fldCharType="begin"/>
      </w:r>
      <w:r>
        <w:rPr>
          <w:highlight w:val="none"/>
        </w:rPr>
        <w:instrText xml:space="preserve"> PAGEREF _Toc10576 \h </w:instrText>
      </w:r>
      <w:r>
        <w:rPr>
          <w:highlight w:val="none"/>
        </w:rPr>
        <w:fldChar w:fldCharType="separate"/>
      </w:r>
      <w:r>
        <w:rPr>
          <w:highlight w:val="none"/>
        </w:rPr>
        <w:t>22</w:t>
      </w:r>
      <w:r>
        <w:rPr>
          <w:highlight w:val="none"/>
        </w:rPr>
        <w:fldChar w:fldCharType="end"/>
      </w:r>
      <w:r>
        <w:rPr>
          <w:highlight w:val="none"/>
        </w:rPr>
        <w:fldChar w:fldCharType="end"/>
      </w:r>
    </w:p>
    <w:p w14:paraId="35A5B310">
      <w:pPr>
        <w:pStyle w:val="17"/>
        <w:tabs>
          <w:tab w:val="right" w:leader="dot" w:pos="8306"/>
        </w:tabs>
        <w:rPr>
          <w:highlight w:val="none"/>
        </w:rPr>
      </w:pPr>
      <w:r>
        <w:rPr>
          <w:highlight w:val="none"/>
        </w:rPr>
        <w:fldChar w:fldCharType="begin"/>
      </w:r>
      <w:r>
        <w:rPr>
          <w:highlight w:val="none"/>
        </w:rPr>
        <w:instrText xml:space="preserve"> HYPERLINK \l _Toc28783 </w:instrText>
      </w:r>
      <w:r>
        <w:rPr>
          <w:highlight w:val="none"/>
        </w:rPr>
        <w:fldChar w:fldCharType="separate"/>
      </w:r>
      <w:r>
        <w:rPr>
          <w:rFonts w:hint="eastAsia"/>
          <w:highlight w:val="none"/>
        </w:rPr>
        <w:t>4.2 投标文件的递交</w:t>
      </w:r>
      <w:r>
        <w:rPr>
          <w:highlight w:val="none"/>
        </w:rPr>
        <w:tab/>
      </w:r>
      <w:r>
        <w:rPr>
          <w:highlight w:val="none"/>
        </w:rPr>
        <w:fldChar w:fldCharType="begin"/>
      </w:r>
      <w:r>
        <w:rPr>
          <w:highlight w:val="none"/>
        </w:rPr>
        <w:instrText xml:space="preserve"> PAGEREF _Toc28783 \h </w:instrText>
      </w:r>
      <w:r>
        <w:rPr>
          <w:highlight w:val="none"/>
        </w:rPr>
        <w:fldChar w:fldCharType="separate"/>
      </w:r>
      <w:r>
        <w:rPr>
          <w:highlight w:val="none"/>
        </w:rPr>
        <w:t>22</w:t>
      </w:r>
      <w:r>
        <w:rPr>
          <w:highlight w:val="none"/>
        </w:rPr>
        <w:fldChar w:fldCharType="end"/>
      </w:r>
      <w:r>
        <w:rPr>
          <w:highlight w:val="none"/>
        </w:rPr>
        <w:fldChar w:fldCharType="end"/>
      </w:r>
    </w:p>
    <w:p w14:paraId="6051A90A">
      <w:pPr>
        <w:pStyle w:val="17"/>
        <w:tabs>
          <w:tab w:val="right" w:leader="dot" w:pos="8306"/>
        </w:tabs>
        <w:rPr>
          <w:highlight w:val="none"/>
        </w:rPr>
      </w:pPr>
      <w:r>
        <w:rPr>
          <w:highlight w:val="none"/>
        </w:rPr>
        <w:fldChar w:fldCharType="begin"/>
      </w:r>
      <w:r>
        <w:rPr>
          <w:highlight w:val="none"/>
        </w:rPr>
        <w:instrText xml:space="preserve"> HYPERLINK \l _Toc22130 </w:instrText>
      </w:r>
      <w:r>
        <w:rPr>
          <w:highlight w:val="none"/>
        </w:rPr>
        <w:fldChar w:fldCharType="separate"/>
      </w:r>
      <w:r>
        <w:rPr>
          <w:rFonts w:hint="eastAsia"/>
          <w:highlight w:val="none"/>
        </w:rPr>
        <w:t>4.3 投标文件的修改与撤回</w:t>
      </w:r>
      <w:r>
        <w:rPr>
          <w:highlight w:val="none"/>
        </w:rPr>
        <w:tab/>
      </w:r>
      <w:r>
        <w:rPr>
          <w:highlight w:val="none"/>
        </w:rPr>
        <w:fldChar w:fldCharType="begin"/>
      </w:r>
      <w:r>
        <w:rPr>
          <w:highlight w:val="none"/>
        </w:rPr>
        <w:instrText xml:space="preserve"> PAGEREF _Toc22130 \h </w:instrText>
      </w:r>
      <w:r>
        <w:rPr>
          <w:highlight w:val="none"/>
        </w:rPr>
        <w:fldChar w:fldCharType="separate"/>
      </w:r>
      <w:r>
        <w:rPr>
          <w:highlight w:val="none"/>
        </w:rPr>
        <w:t>23</w:t>
      </w:r>
      <w:r>
        <w:rPr>
          <w:highlight w:val="none"/>
        </w:rPr>
        <w:fldChar w:fldCharType="end"/>
      </w:r>
      <w:r>
        <w:rPr>
          <w:highlight w:val="none"/>
        </w:rPr>
        <w:fldChar w:fldCharType="end"/>
      </w:r>
    </w:p>
    <w:p w14:paraId="7B323099">
      <w:pPr>
        <w:pStyle w:val="24"/>
        <w:tabs>
          <w:tab w:val="right" w:leader="dot" w:pos="8306"/>
        </w:tabs>
        <w:rPr>
          <w:highlight w:val="none"/>
        </w:rPr>
      </w:pPr>
      <w:r>
        <w:rPr>
          <w:highlight w:val="none"/>
        </w:rPr>
        <w:fldChar w:fldCharType="begin"/>
      </w:r>
      <w:r>
        <w:rPr>
          <w:highlight w:val="none"/>
        </w:rPr>
        <w:instrText xml:space="preserve"> HYPERLINK \l _Toc25913 </w:instrText>
      </w:r>
      <w:r>
        <w:rPr>
          <w:highlight w:val="none"/>
        </w:rPr>
        <w:fldChar w:fldCharType="separate"/>
      </w:r>
      <w:r>
        <w:rPr>
          <w:rFonts w:hint="eastAsia"/>
          <w:highlight w:val="none"/>
        </w:rPr>
        <w:t>5. 开标</w:t>
      </w:r>
      <w:r>
        <w:rPr>
          <w:highlight w:val="none"/>
        </w:rPr>
        <w:tab/>
      </w:r>
      <w:r>
        <w:rPr>
          <w:highlight w:val="none"/>
        </w:rPr>
        <w:fldChar w:fldCharType="begin"/>
      </w:r>
      <w:r>
        <w:rPr>
          <w:highlight w:val="none"/>
        </w:rPr>
        <w:instrText xml:space="preserve"> PAGEREF _Toc25913 \h </w:instrText>
      </w:r>
      <w:r>
        <w:rPr>
          <w:highlight w:val="none"/>
        </w:rPr>
        <w:fldChar w:fldCharType="separate"/>
      </w:r>
      <w:r>
        <w:rPr>
          <w:highlight w:val="none"/>
        </w:rPr>
        <w:t>23</w:t>
      </w:r>
      <w:r>
        <w:rPr>
          <w:highlight w:val="none"/>
        </w:rPr>
        <w:fldChar w:fldCharType="end"/>
      </w:r>
      <w:r>
        <w:rPr>
          <w:highlight w:val="none"/>
        </w:rPr>
        <w:fldChar w:fldCharType="end"/>
      </w:r>
    </w:p>
    <w:p w14:paraId="28A8E37A">
      <w:pPr>
        <w:pStyle w:val="17"/>
        <w:tabs>
          <w:tab w:val="right" w:leader="dot" w:pos="8306"/>
        </w:tabs>
        <w:rPr>
          <w:highlight w:val="none"/>
        </w:rPr>
      </w:pPr>
      <w:r>
        <w:rPr>
          <w:highlight w:val="none"/>
        </w:rPr>
        <w:fldChar w:fldCharType="begin"/>
      </w:r>
      <w:r>
        <w:rPr>
          <w:highlight w:val="none"/>
        </w:rPr>
        <w:instrText xml:space="preserve"> HYPERLINK \l _Toc23971 </w:instrText>
      </w:r>
      <w:r>
        <w:rPr>
          <w:highlight w:val="none"/>
        </w:rPr>
        <w:fldChar w:fldCharType="separate"/>
      </w:r>
      <w:r>
        <w:rPr>
          <w:rFonts w:hint="eastAsia"/>
          <w:highlight w:val="none"/>
        </w:rPr>
        <w:t>5.1 开标时间和地点</w:t>
      </w:r>
      <w:r>
        <w:rPr>
          <w:highlight w:val="none"/>
        </w:rPr>
        <w:tab/>
      </w:r>
      <w:r>
        <w:rPr>
          <w:highlight w:val="none"/>
        </w:rPr>
        <w:fldChar w:fldCharType="begin"/>
      </w:r>
      <w:r>
        <w:rPr>
          <w:highlight w:val="none"/>
        </w:rPr>
        <w:instrText xml:space="preserve"> PAGEREF _Toc23971 \h </w:instrText>
      </w:r>
      <w:r>
        <w:rPr>
          <w:highlight w:val="none"/>
        </w:rPr>
        <w:fldChar w:fldCharType="separate"/>
      </w:r>
      <w:r>
        <w:rPr>
          <w:highlight w:val="none"/>
        </w:rPr>
        <w:t>23</w:t>
      </w:r>
      <w:r>
        <w:rPr>
          <w:highlight w:val="none"/>
        </w:rPr>
        <w:fldChar w:fldCharType="end"/>
      </w:r>
      <w:r>
        <w:rPr>
          <w:highlight w:val="none"/>
        </w:rPr>
        <w:fldChar w:fldCharType="end"/>
      </w:r>
    </w:p>
    <w:p w14:paraId="64D9ADAC">
      <w:pPr>
        <w:pStyle w:val="17"/>
        <w:tabs>
          <w:tab w:val="right" w:leader="dot" w:pos="8306"/>
        </w:tabs>
        <w:rPr>
          <w:highlight w:val="none"/>
        </w:rPr>
      </w:pPr>
      <w:r>
        <w:rPr>
          <w:highlight w:val="none"/>
        </w:rPr>
        <w:fldChar w:fldCharType="begin"/>
      </w:r>
      <w:r>
        <w:rPr>
          <w:highlight w:val="none"/>
        </w:rPr>
        <w:instrText xml:space="preserve"> HYPERLINK \l _Toc4244 </w:instrText>
      </w:r>
      <w:r>
        <w:rPr>
          <w:highlight w:val="none"/>
        </w:rPr>
        <w:fldChar w:fldCharType="separate"/>
      </w:r>
      <w:r>
        <w:rPr>
          <w:rFonts w:hint="eastAsia"/>
          <w:highlight w:val="none"/>
        </w:rPr>
        <w:t>5.2 开标程序</w:t>
      </w:r>
      <w:r>
        <w:rPr>
          <w:highlight w:val="none"/>
        </w:rPr>
        <w:tab/>
      </w:r>
      <w:r>
        <w:rPr>
          <w:highlight w:val="none"/>
        </w:rPr>
        <w:fldChar w:fldCharType="begin"/>
      </w:r>
      <w:r>
        <w:rPr>
          <w:highlight w:val="none"/>
        </w:rPr>
        <w:instrText xml:space="preserve"> PAGEREF _Toc4244 \h </w:instrText>
      </w:r>
      <w:r>
        <w:rPr>
          <w:highlight w:val="none"/>
        </w:rPr>
        <w:fldChar w:fldCharType="separate"/>
      </w:r>
      <w:r>
        <w:rPr>
          <w:highlight w:val="none"/>
        </w:rPr>
        <w:t>23</w:t>
      </w:r>
      <w:r>
        <w:rPr>
          <w:highlight w:val="none"/>
        </w:rPr>
        <w:fldChar w:fldCharType="end"/>
      </w:r>
      <w:r>
        <w:rPr>
          <w:highlight w:val="none"/>
        </w:rPr>
        <w:fldChar w:fldCharType="end"/>
      </w:r>
    </w:p>
    <w:p w14:paraId="08154FAF">
      <w:pPr>
        <w:pStyle w:val="24"/>
        <w:tabs>
          <w:tab w:val="right" w:leader="dot" w:pos="8306"/>
        </w:tabs>
        <w:rPr>
          <w:highlight w:val="none"/>
        </w:rPr>
      </w:pPr>
      <w:r>
        <w:rPr>
          <w:highlight w:val="none"/>
        </w:rPr>
        <w:fldChar w:fldCharType="begin"/>
      </w:r>
      <w:r>
        <w:rPr>
          <w:highlight w:val="none"/>
        </w:rPr>
        <w:instrText xml:space="preserve"> HYPERLINK \l _Toc17377 </w:instrText>
      </w:r>
      <w:r>
        <w:rPr>
          <w:highlight w:val="none"/>
        </w:rPr>
        <w:fldChar w:fldCharType="separate"/>
      </w:r>
      <w:r>
        <w:rPr>
          <w:rFonts w:hint="eastAsia"/>
          <w:highlight w:val="none"/>
        </w:rPr>
        <w:t>6. 评标</w:t>
      </w:r>
      <w:r>
        <w:rPr>
          <w:highlight w:val="none"/>
        </w:rPr>
        <w:tab/>
      </w:r>
      <w:r>
        <w:rPr>
          <w:highlight w:val="none"/>
        </w:rPr>
        <w:fldChar w:fldCharType="begin"/>
      </w:r>
      <w:r>
        <w:rPr>
          <w:highlight w:val="none"/>
        </w:rPr>
        <w:instrText xml:space="preserve"> PAGEREF _Toc17377 \h </w:instrText>
      </w:r>
      <w:r>
        <w:rPr>
          <w:highlight w:val="none"/>
        </w:rPr>
        <w:fldChar w:fldCharType="separate"/>
      </w:r>
      <w:r>
        <w:rPr>
          <w:highlight w:val="none"/>
        </w:rPr>
        <w:t>23</w:t>
      </w:r>
      <w:r>
        <w:rPr>
          <w:highlight w:val="none"/>
        </w:rPr>
        <w:fldChar w:fldCharType="end"/>
      </w:r>
      <w:r>
        <w:rPr>
          <w:highlight w:val="none"/>
        </w:rPr>
        <w:fldChar w:fldCharType="end"/>
      </w:r>
    </w:p>
    <w:p w14:paraId="69B99338">
      <w:pPr>
        <w:pStyle w:val="17"/>
        <w:tabs>
          <w:tab w:val="right" w:leader="dot" w:pos="8306"/>
        </w:tabs>
        <w:rPr>
          <w:highlight w:val="none"/>
        </w:rPr>
      </w:pPr>
      <w:r>
        <w:rPr>
          <w:highlight w:val="none"/>
        </w:rPr>
        <w:fldChar w:fldCharType="begin"/>
      </w:r>
      <w:r>
        <w:rPr>
          <w:highlight w:val="none"/>
        </w:rPr>
        <w:instrText xml:space="preserve"> HYPERLINK \l _Toc9102 </w:instrText>
      </w:r>
      <w:r>
        <w:rPr>
          <w:highlight w:val="none"/>
        </w:rPr>
        <w:fldChar w:fldCharType="separate"/>
      </w:r>
      <w:r>
        <w:rPr>
          <w:rFonts w:hint="eastAsia"/>
          <w:highlight w:val="none"/>
        </w:rPr>
        <w:t>6.1 评标委员会</w:t>
      </w:r>
      <w:r>
        <w:rPr>
          <w:highlight w:val="none"/>
        </w:rPr>
        <w:tab/>
      </w:r>
      <w:r>
        <w:rPr>
          <w:highlight w:val="none"/>
        </w:rPr>
        <w:fldChar w:fldCharType="begin"/>
      </w:r>
      <w:r>
        <w:rPr>
          <w:highlight w:val="none"/>
        </w:rPr>
        <w:instrText xml:space="preserve"> PAGEREF _Toc9102 \h </w:instrText>
      </w:r>
      <w:r>
        <w:rPr>
          <w:highlight w:val="none"/>
        </w:rPr>
        <w:fldChar w:fldCharType="separate"/>
      </w:r>
      <w:r>
        <w:rPr>
          <w:highlight w:val="none"/>
        </w:rPr>
        <w:t>23</w:t>
      </w:r>
      <w:r>
        <w:rPr>
          <w:highlight w:val="none"/>
        </w:rPr>
        <w:fldChar w:fldCharType="end"/>
      </w:r>
      <w:r>
        <w:rPr>
          <w:highlight w:val="none"/>
        </w:rPr>
        <w:fldChar w:fldCharType="end"/>
      </w:r>
    </w:p>
    <w:p w14:paraId="38CE8828">
      <w:pPr>
        <w:pStyle w:val="17"/>
        <w:tabs>
          <w:tab w:val="right" w:leader="dot" w:pos="8306"/>
        </w:tabs>
        <w:rPr>
          <w:highlight w:val="none"/>
        </w:rPr>
      </w:pPr>
      <w:r>
        <w:rPr>
          <w:highlight w:val="none"/>
        </w:rPr>
        <w:fldChar w:fldCharType="begin"/>
      </w:r>
      <w:r>
        <w:rPr>
          <w:highlight w:val="none"/>
        </w:rPr>
        <w:instrText xml:space="preserve"> HYPERLINK \l _Toc15867 </w:instrText>
      </w:r>
      <w:r>
        <w:rPr>
          <w:highlight w:val="none"/>
        </w:rPr>
        <w:fldChar w:fldCharType="separate"/>
      </w:r>
      <w:r>
        <w:rPr>
          <w:rFonts w:hint="eastAsia"/>
          <w:highlight w:val="none"/>
        </w:rPr>
        <w:t>6.2 评标原则</w:t>
      </w:r>
      <w:r>
        <w:rPr>
          <w:highlight w:val="none"/>
        </w:rPr>
        <w:tab/>
      </w:r>
      <w:r>
        <w:rPr>
          <w:highlight w:val="none"/>
        </w:rPr>
        <w:fldChar w:fldCharType="begin"/>
      </w:r>
      <w:r>
        <w:rPr>
          <w:highlight w:val="none"/>
        </w:rPr>
        <w:instrText xml:space="preserve"> PAGEREF _Toc15867 \h </w:instrText>
      </w:r>
      <w:r>
        <w:rPr>
          <w:highlight w:val="none"/>
        </w:rPr>
        <w:fldChar w:fldCharType="separate"/>
      </w:r>
      <w:r>
        <w:rPr>
          <w:highlight w:val="none"/>
        </w:rPr>
        <w:t>23</w:t>
      </w:r>
      <w:r>
        <w:rPr>
          <w:highlight w:val="none"/>
        </w:rPr>
        <w:fldChar w:fldCharType="end"/>
      </w:r>
      <w:r>
        <w:rPr>
          <w:highlight w:val="none"/>
        </w:rPr>
        <w:fldChar w:fldCharType="end"/>
      </w:r>
    </w:p>
    <w:p w14:paraId="402C77BC">
      <w:pPr>
        <w:pStyle w:val="17"/>
        <w:tabs>
          <w:tab w:val="right" w:leader="dot" w:pos="8306"/>
        </w:tabs>
        <w:rPr>
          <w:highlight w:val="none"/>
        </w:rPr>
      </w:pPr>
      <w:r>
        <w:rPr>
          <w:highlight w:val="none"/>
        </w:rPr>
        <w:fldChar w:fldCharType="begin"/>
      </w:r>
      <w:r>
        <w:rPr>
          <w:highlight w:val="none"/>
        </w:rPr>
        <w:instrText xml:space="preserve"> HYPERLINK \l _Toc4038 </w:instrText>
      </w:r>
      <w:r>
        <w:rPr>
          <w:highlight w:val="none"/>
        </w:rPr>
        <w:fldChar w:fldCharType="separate"/>
      </w:r>
      <w:r>
        <w:rPr>
          <w:rFonts w:hint="eastAsia"/>
          <w:highlight w:val="none"/>
        </w:rPr>
        <w:t>6.3 评标</w:t>
      </w:r>
      <w:r>
        <w:rPr>
          <w:highlight w:val="none"/>
        </w:rPr>
        <w:tab/>
      </w:r>
      <w:r>
        <w:rPr>
          <w:highlight w:val="none"/>
        </w:rPr>
        <w:fldChar w:fldCharType="begin"/>
      </w:r>
      <w:r>
        <w:rPr>
          <w:highlight w:val="none"/>
        </w:rPr>
        <w:instrText xml:space="preserve"> PAGEREF _Toc4038 \h </w:instrText>
      </w:r>
      <w:r>
        <w:rPr>
          <w:highlight w:val="none"/>
        </w:rPr>
        <w:fldChar w:fldCharType="separate"/>
      </w:r>
      <w:r>
        <w:rPr>
          <w:highlight w:val="none"/>
        </w:rPr>
        <w:t>23</w:t>
      </w:r>
      <w:r>
        <w:rPr>
          <w:highlight w:val="none"/>
        </w:rPr>
        <w:fldChar w:fldCharType="end"/>
      </w:r>
      <w:r>
        <w:rPr>
          <w:highlight w:val="none"/>
        </w:rPr>
        <w:fldChar w:fldCharType="end"/>
      </w:r>
    </w:p>
    <w:p w14:paraId="2FC3932E">
      <w:pPr>
        <w:pStyle w:val="24"/>
        <w:tabs>
          <w:tab w:val="right" w:leader="dot" w:pos="8306"/>
        </w:tabs>
        <w:rPr>
          <w:highlight w:val="none"/>
        </w:rPr>
      </w:pPr>
      <w:r>
        <w:rPr>
          <w:highlight w:val="none"/>
        </w:rPr>
        <w:fldChar w:fldCharType="begin"/>
      </w:r>
      <w:r>
        <w:rPr>
          <w:highlight w:val="none"/>
        </w:rPr>
        <w:instrText xml:space="preserve"> HYPERLINK \l _Toc3806 </w:instrText>
      </w:r>
      <w:r>
        <w:rPr>
          <w:highlight w:val="none"/>
        </w:rPr>
        <w:fldChar w:fldCharType="separate"/>
      </w:r>
      <w:r>
        <w:rPr>
          <w:rFonts w:hint="eastAsia"/>
          <w:highlight w:val="none"/>
        </w:rPr>
        <w:t>7. 合同授予</w:t>
      </w:r>
      <w:r>
        <w:rPr>
          <w:highlight w:val="none"/>
        </w:rPr>
        <w:tab/>
      </w:r>
      <w:r>
        <w:rPr>
          <w:highlight w:val="none"/>
        </w:rPr>
        <w:fldChar w:fldCharType="begin"/>
      </w:r>
      <w:r>
        <w:rPr>
          <w:highlight w:val="none"/>
        </w:rPr>
        <w:instrText xml:space="preserve"> PAGEREF _Toc3806 \h </w:instrText>
      </w:r>
      <w:r>
        <w:rPr>
          <w:highlight w:val="none"/>
        </w:rPr>
        <w:fldChar w:fldCharType="separate"/>
      </w:r>
      <w:r>
        <w:rPr>
          <w:highlight w:val="none"/>
        </w:rPr>
        <w:t>23</w:t>
      </w:r>
      <w:r>
        <w:rPr>
          <w:highlight w:val="none"/>
        </w:rPr>
        <w:fldChar w:fldCharType="end"/>
      </w:r>
      <w:r>
        <w:rPr>
          <w:highlight w:val="none"/>
        </w:rPr>
        <w:fldChar w:fldCharType="end"/>
      </w:r>
    </w:p>
    <w:p w14:paraId="1249F868">
      <w:pPr>
        <w:pStyle w:val="17"/>
        <w:tabs>
          <w:tab w:val="right" w:leader="dot" w:pos="8306"/>
        </w:tabs>
        <w:rPr>
          <w:highlight w:val="none"/>
        </w:rPr>
      </w:pPr>
      <w:r>
        <w:rPr>
          <w:highlight w:val="none"/>
        </w:rPr>
        <w:fldChar w:fldCharType="begin"/>
      </w:r>
      <w:r>
        <w:rPr>
          <w:highlight w:val="none"/>
        </w:rPr>
        <w:instrText xml:space="preserve"> HYPERLINK \l _Toc27932 </w:instrText>
      </w:r>
      <w:r>
        <w:rPr>
          <w:highlight w:val="none"/>
        </w:rPr>
        <w:fldChar w:fldCharType="separate"/>
      </w:r>
      <w:r>
        <w:rPr>
          <w:rFonts w:hint="eastAsia"/>
          <w:highlight w:val="none"/>
        </w:rPr>
        <w:t>7.1 定标方式</w:t>
      </w:r>
      <w:r>
        <w:rPr>
          <w:highlight w:val="none"/>
        </w:rPr>
        <w:tab/>
      </w:r>
      <w:r>
        <w:rPr>
          <w:highlight w:val="none"/>
        </w:rPr>
        <w:fldChar w:fldCharType="begin"/>
      </w:r>
      <w:r>
        <w:rPr>
          <w:highlight w:val="none"/>
        </w:rPr>
        <w:instrText xml:space="preserve"> PAGEREF _Toc27932 \h </w:instrText>
      </w:r>
      <w:r>
        <w:rPr>
          <w:highlight w:val="none"/>
        </w:rPr>
        <w:fldChar w:fldCharType="separate"/>
      </w:r>
      <w:r>
        <w:rPr>
          <w:highlight w:val="none"/>
        </w:rPr>
        <w:t>23</w:t>
      </w:r>
      <w:r>
        <w:rPr>
          <w:highlight w:val="none"/>
        </w:rPr>
        <w:fldChar w:fldCharType="end"/>
      </w:r>
      <w:r>
        <w:rPr>
          <w:highlight w:val="none"/>
        </w:rPr>
        <w:fldChar w:fldCharType="end"/>
      </w:r>
    </w:p>
    <w:p w14:paraId="631D9193">
      <w:pPr>
        <w:pStyle w:val="17"/>
        <w:tabs>
          <w:tab w:val="right" w:leader="dot" w:pos="8306"/>
        </w:tabs>
        <w:rPr>
          <w:highlight w:val="none"/>
        </w:rPr>
      </w:pPr>
      <w:r>
        <w:rPr>
          <w:highlight w:val="none"/>
        </w:rPr>
        <w:fldChar w:fldCharType="begin"/>
      </w:r>
      <w:r>
        <w:rPr>
          <w:highlight w:val="none"/>
        </w:rPr>
        <w:instrText xml:space="preserve"> HYPERLINK \l _Toc21766 </w:instrText>
      </w:r>
      <w:r>
        <w:rPr>
          <w:highlight w:val="none"/>
        </w:rPr>
        <w:fldChar w:fldCharType="separate"/>
      </w:r>
      <w:r>
        <w:rPr>
          <w:rFonts w:hint="eastAsia"/>
          <w:highlight w:val="none"/>
        </w:rPr>
        <w:t>7.2 中标通知</w:t>
      </w:r>
      <w:r>
        <w:rPr>
          <w:highlight w:val="none"/>
        </w:rPr>
        <w:tab/>
      </w:r>
      <w:r>
        <w:rPr>
          <w:highlight w:val="none"/>
        </w:rPr>
        <w:fldChar w:fldCharType="begin"/>
      </w:r>
      <w:r>
        <w:rPr>
          <w:highlight w:val="none"/>
        </w:rPr>
        <w:instrText xml:space="preserve"> PAGEREF _Toc21766 \h </w:instrText>
      </w:r>
      <w:r>
        <w:rPr>
          <w:highlight w:val="none"/>
        </w:rPr>
        <w:fldChar w:fldCharType="separate"/>
      </w:r>
      <w:r>
        <w:rPr>
          <w:highlight w:val="none"/>
        </w:rPr>
        <w:t>24</w:t>
      </w:r>
      <w:r>
        <w:rPr>
          <w:highlight w:val="none"/>
        </w:rPr>
        <w:fldChar w:fldCharType="end"/>
      </w:r>
      <w:r>
        <w:rPr>
          <w:highlight w:val="none"/>
        </w:rPr>
        <w:fldChar w:fldCharType="end"/>
      </w:r>
    </w:p>
    <w:p w14:paraId="4A2C683C">
      <w:pPr>
        <w:pStyle w:val="17"/>
        <w:tabs>
          <w:tab w:val="right" w:leader="dot" w:pos="8306"/>
        </w:tabs>
        <w:rPr>
          <w:highlight w:val="none"/>
        </w:rPr>
      </w:pPr>
      <w:r>
        <w:rPr>
          <w:highlight w:val="none"/>
        </w:rPr>
        <w:fldChar w:fldCharType="begin"/>
      </w:r>
      <w:r>
        <w:rPr>
          <w:highlight w:val="none"/>
        </w:rPr>
        <w:instrText xml:space="preserve"> HYPERLINK \l _Toc5575 </w:instrText>
      </w:r>
      <w:r>
        <w:rPr>
          <w:highlight w:val="none"/>
        </w:rPr>
        <w:fldChar w:fldCharType="separate"/>
      </w:r>
      <w:r>
        <w:rPr>
          <w:rFonts w:hint="eastAsia"/>
          <w:highlight w:val="none"/>
        </w:rPr>
        <w:t>7.3 履约担保</w:t>
      </w:r>
      <w:r>
        <w:rPr>
          <w:highlight w:val="none"/>
        </w:rPr>
        <w:tab/>
      </w:r>
      <w:r>
        <w:rPr>
          <w:highlight w:val="none"/>
        </w:rPr>
        <w:fldChar w:fldCharType="begin"/>
      </w:r>
      <w:r>
        <w:rPr>
          <w:highlight w:val="none"/>
        </w:rPr>
        <w:instrText xml:space="preserve"> PAGEREF _Toc5575 \h </w:instrText>
      </w:r>
      <w:r>
        <w:rPr>
          <w:highlight w:val="none"/>
        </w:rPr>
        <w:fldChar w:fldCharType="separate"/>
      </w:r>
      <w:r>
        <w:rPr>
          <w:highlight w:val="none"/>
        </w:rPr>
        <w:t>24</w:t>
      </w:r>
      <w:r>
        <w:rPr>
          <w:highlight w:val="none"/>
        </w:rPr>
        <w:fldChar w:fldCharType="end"/>
      </w:r>
      <w:r>
        <w:rPr>
          <w:highlight w:val="none"/>
        </w:rPr>
        <w:fldChar w:fldCharType="end"/>
      </w:r>
    </w:p>
    <w:p w14:paraId="03FD265F">
      <w:pPr>
        <w:pStyle w:val="17"/>
        <w:tabs>
          <w:tab w:val="right" w:leader="dot" w:pos="8306"/>
        </w:tabs>
        <w:rPr>
          <w:highlight w:val="none"/>
        </w:rPr>
      </w:pPr>
      <w:r>
        <w:rPr>
          <w:highlight w:val="none"/>
        </w:rPr>
        <w:fldChar w:fldCharType="begin"/>
      </w:r>
      <w:r>
        <w:rPr>
          <w:highlight w:val="none"/>
        </w:rPr>
        <w:instrText xml:space="preserve"> HYPERLINK \l _Toc10421 </w:instrText>
      </w:r>
      <w:r>
        <w:rPr>
          <w:highlight w:val="none"/>
        </w:rPr>
        <w:fldChar w:fldCharType="separate"/>
      </w:r>
      <w:r>
        <w:rPr>
          <w:rFonts w:hint="eastAsia"/>
          <w:highlight w:val="none"/>
        </w:rPr>
        <w:t>7.4 签订合同</w:t>
      </w:r>
      <w:r>
        <w:rPr>
          <w:highlight w:val="none"/>
        </w:rPr>
        <w:tab/>
      </w:r>
      <w:r>
        <w:rPr>
          <w:highlight w:val="none"/>
        </w:rPr>
        <w:fldChar w:fldCharType="begin"/>
      </w:r>
      <w:r>
        <w:rPr>
          <w:highlight w:val="none"/>
        </w:rPr>
        <w:instrText xml:space="preserve"> PAGEREF _Toc10421 \h </w:instrText>
      </w:r>
      <w:r>
        <w:rPr>
          <w:highlight w:val="none"/>
        </w:rPr>
        <w:fldChar w:fldCharType="separate"/>
      </w:r>
      <w:r>
        <w:rPr>
          <w:highlight w:val="none"/>
        </w:rPr>
        <w:t>24</w:t>
      </w:r>
      <w:r>
        <w:rPr>
          <w:highlight w:val="none"/>
        </w:rPr>
        <w:fldChar w:fldCharType="end"/>
      </w:r>
      <w:r>
        <w:rPr>
          <w:highlight w:val="none"/>
        </w:rPr>
        <w:fldChar w:fldCharType="end"/>
      </w:r>
    </w:p>
    <w:p w14:paraId="22F34DD2">
      <w:pPr>
        <w:pStyle w:val="24"/>
        <w:tabs>
          <w:tab w:val="right" w:leader="dot" w:pos="8306"/>
        </w:tabs>
        <w:rPr>
          <w:highlight w:val="none"/>
        </w:rPr>
      </w:pPr>
      <w:r>
        <w:rPr>
          <w:highlight w:val="none"/>
        </w:rPr>
        <w:fldChar w:fldCharType="begin"/>
      </w:r>
      <w:r>
        <w:rPr>
          <w:highlight w:val="none"/>
        </w:rPr>
        <w:instrText xml:space="preserve"> HYPERLINK \l _Toc29770 </w:instrText>
      </w:r>
      <w:r>
        <w:rPr>
          <w:highlight w:val="none"/>
        </w:rPr>
        <w:fldChar w:fldCharType="separate"/>
      </w:r>
      <w:r>
        <w:rPr>
          <w:rFonts w:hint="eastAsia"/>
          <w:highlight w:val="none"/>
        </w:rPr>
        <w:t>8. 重新招标和不再招标</w:t>
      </w:r>
      <w:r>
        <w:rPr>
          <w:highlight w:val="none"/>
        </w:rPr>
        <w:tab/>
      </w:r>
      <w:r>
        <w:rPr>
          <w:highlight w:val="none"/>
        </w:rPr>
        <w:fldChar w:fldCharType="begin"/>
      </w:r>
      <w:r>
        <w:rPr>
          <w:highlight w:val="none"/>
        </w:rPr>
        <w:instrText xml:space="preserve"> PAGEREF _Toc29770 \h </w:instrText>
      </w:r>
      <w:r>
        <w:rPr>
          <w:highlight w:val="none"/>
        </w:rPr>
        <w:fldChar w:fldCharType="separate"/>
      </w:r>
      <w:r>
        <w:rPr>
          <w:highlight w:val="none"/>
        </w:rPr>
        <w:t>24</w:t>
      </w:r>
      <w:r>
        <w:rPr>
          <w:highlight w:val="none"/>
        </w:rPr>
        <w:fldChar w:fldCharType="end"/>
      </w:r>
      <w:r>
        <w:rPr>
          <w:highlight w:val="none"/>
        </w:rPr>
        <w:fldChar w:fldCharType="end"/>
      </w:r>
    </w:p>
    <w:p w14:paraId="40CE2C00">
      <w:pPr>
        <w:pStyle w:val="17"/>
        <w:tabs>
          <w:tab w:val="right" w:leader="dot" w:pos="8306"/>
        </w:tabs>
        <w:rPr>
          <w:highlight w:val="none"/>
        </w:rPr>
      </w:pPr>
      <w:r>
        <w:rPr>
          <w:highlight w:val="none"/>
        </w:rPr>
        <w:fldChar w:fldCharType="begin"/>
      </w:r>
      <w:r>
        <w:rPr>
          <w:highlight w:val="none"/>
        </w:rPr>
        <w:instrText xml:space="preserve"> HYPERLINK \l _Toc14493 </w:instrText>
      </w:r>
      <w:r>
        <w:rPr>
          <w:highlight w:val="none"/>
        </w:rPr>
        <w:fldChar w:fldCharType="separate"/>
      </w:r>
      <w:r>
        <w:rPr>
          <w:rFonts w:hint="eastAsia"/>
          <w:highlight w:val="none"/>
        </w:rPr>
        <w:t>8.1 重新招标</w:t>
      </w:r>
      <w:r>
        <w:rPr>
          <w:highlight w:val="none"/>
        </w:rPr>
        <w:tab/>
      </w:r>
      <w:r>
        <w:rPr>
          <w:highlight w:val="none"/>
        </w:rPr>
        <w:fldChar w:fldCharType="begin"/>
      </w:r>
      <w:r>
        <w:rPr>
          <w:highlight w:val="none"/>
        </w:rPr>
        <w:instrText xml:space="preserve"> PAGEREF _Toc14493 \h </w:instrText>
      </w:r>
      <w:r>
        <w:rPr>
          <w:highlight w:val="none"/>
        </w:rPr>
        <w:fldChar w:fldCharType="separate"/>
      </w:r>
      <w:r>
        <w:rPr>
          <w:highlight w:val="none"/>
        </w:rPr>
        <w:t>24</w:t>
      </w:r>
      <w:r>
        <w:rPr>
          <w:highlight w:val="none"/>
        </w:rPr>
        <w:fldChar w:fldCharType="end"/>
      </w:r>
      <w:r>
        <w:rPr>
          <w:highlight w:val="none"/>
        </w:rPr>
        <w:fldChar w:fldCharType="end"/>
      </w:r>
    </w:p>
    <w:p w14:paraId="673B5EB1">
      <w:pPr>
        <w:pStyle w:val="17"/>
        <w:tabs>
          <w:tab w:val="right" w:leader="dot" w:pos="8306"/>
        </w:tabs>
        <w:rPr>
          <w:highlight w:val="none"/>
        </w:rPr>
      </w:pPr>
      <w:r>
        <w:rPr>
          <w:highlight w:val="none"/>
        </w:rPr>
        <w:fldChar w:fldCharType="begin"/>
      </w:r>
      <w:r>
        <w:rPr>
          <w:highlight w:val="none"/>
        </w:rPr>
        <w:instrText xml:space="preserve"> HYPERLINK \l _Toc6622 </w:instrText>
      </w:r>
      <w:r>
        <w:rPr>
          <w:highlight w:val="none"/>
        </w:rPr>
        <w:fldChar w:fldCharType="separate"/>
      </w:r>
      <w:r>
        <w:rPr>
          <w:rFonts w:hint="eastAsia"/>
          <w:highlight w:val="none"/>
        </w:rPr>
        <w:t>8.2 不再招标</w:t>
      </w:r>
      <w:r>
        <w:rPr>
          <w:highlight w:val="none"/>
        </w:rPr>
        <w:tab/>
      </w:r>
      <w:r>
        <w:rPr>
          <w:highlight w:val="none"/>
        </w:rPr>
        <w:fldChar w:fldCharType="begin"/>
      </w:r>
      <w:r>
        <w:rPr>
          <w:highlight w:val="none"/>
        </w:rPr>
        <w:instrText xml:space="preserve"> PAGEREF _Toc6622 \h </w:instrText>
      </w:r>
      <w:r>
        <w:rPr>
          <w:highlight w:val="none"/>
        </w:rPr>
        <w:fldChar w:fldCharType="separate"/>
      </w:r>
      <w:r>
        <w:rPr>
          <w:highlight w:val="none"/>
        </w:rPr>
        <w:t>24</w:t>
      </w:r>
      <w:r>
        <w:rPr>
          <w:highlight w:val="none"/>
        </w:rPr>
        <w:fldChar w:fldCharType="end"/>
      </w:r>
      <w:r>
        <w:rPr>
          <w:highlight w:val="none"/>
        </w:rPr>
        <w:fldChar w:fldCharType="end"/>
      </w:r>
    </w:p>
    <w:p w14:paraId="0289AD96">
      <w:pPr>
        <w:pStyle w:val="24"/>
        <w:tabs>
          <w:tab w:val="right" w:leader="dot" w:pos="8306"/>
        </w:tabs>
        <w:rPr>
          <w:highlight w:val="none"/>
        </w:rPr>
      </w:pPr>
      <w:r>
        <w:rPr>
          <w:highlight w:val="none"/>
        </w:rPr>
        <w:fldChar w:fldCharType="begin"/>
      </w:r>
      <w:r>
        <w:rPr>
          <w:highlight w:val="none"/>
        </w:rPr>
        <w:instrText xml:space="preserve"> HYPERLINK \l _Toc16671 </w:instrText>
      </w:r>
      <w:r>
        <w:rPr>
          <w:highlight w:val="none"/>
        </w:rPr>
        <w:fldChar w:fldCharType="separate"/>
      </w:r>
      <w:r>
        <w:rPr>
          <w:rFonts w:hint="eastAsia"/>
          <w:highlight w:val="none"/>
        </w:rPr>
        <w:t>9. 纪律和监督</w:t>
      </w:r>
      <w:r>
        <w:rPr>
          <w:highlight w:val="none"/>
        </w:rPr>
        <w:tab/>
      </w:r>
      <w:r>
        <w:rPr>
          <w:highlight w:val="none"/>
        </w:rPr>
        <w:fldChar w:fldCharType="begin"/>
      </w:r>
      <w:r>
        <w:rPr>
          <w:highlight w:val="none"/>
        </w:rPr>
        <w:instrText xml:space="preserve"> PAGEREF _Toc16671 \h </w:instrText>
      </w:r>
      <w:r>
        <w:rPr>
          <w:highlight w:val="none"/>
        </w:rPr>
        <w:fldChar w:fldCharType="separate"/>
      </w:r>
      <w:r>
        <w:rPr>
          <w:highlight w:val="none"/>
        </w:rPr>
        <w:t>25</w:t>
      </w:r>
      <w:r>
        <w:rPr>
          <w:highlight w:val="none"/>
        </w:rPr>
        <w:fldChar w:fldCharType="end"/>
      </w:r>
      <w:r>
        <w:rPr>
          <w:highlight w:val="none"/>
        </w:rPr>
        <w:fldChar w:fldCharType="end"/>
      </w:r>
    </w:p>
    <w:p w14:paraId="7916DA1C">
      <w:pPr>
        <w:pStyle w:val="17"/>
        <w:tabs>
          <w:tab w:val="right" w:leader="dot" w:pos="8306"/>
        </w:tabs>
        <w:rPr>
          <w:highlight w:val="none"/>
        </w:rPr>
      </w:pPr>
      <w:r>
        <w:rPr>
          <w:highlight w:val="none"/>
        </w:rPr>
        <w:fldChar w:fldCharType="begin"/>
      </w:r>
      <w:r>
        <w:rPr>
          <w:highlight w:val="none"/>
        </w:rPr>
        <w:instrText xml:space="preserve"> HYPERLINK \l _Toc10562 </w:instrText>
      </w:r>
      <w:r>
        <w:rPr>
          <w:highlight w:val="none"/>
        </w:rPr>
        <w:fldChar w:fldCharType="separate"/>
      </w:r>
      <w:r>
        <w:rPr>
          <w:rFonts w:hint="eastAsia"/>
          <w:highlight w:val="none"/>
        </w:rPr>
        <w:t>9.1 对招标人的纪律要求</w:t>
      </w:r>
      <w:r>
        <w:rPr>
          <w:highlight w:val="none"/>
        </w:rPr>
        <w:tab/>
      </w:r>
      <w:r>
        <w:rPr>
          <w:highlight w:val="none"/>
        </w:rPr>
        <w:fldChar w:fldCharType="begin"/>
      </w:r>
      <w:r>
        <w:rPr>
          <w:highlight w:val="none"/>
        </w:rPr>
        <w:instrText xml:space="preserve"> PAGEREF _Toc10562 \h </w:instrText>
      </w:r>
      <w:r>
        <w:rPr>
          <w:highlight w:val="none"/>
        </w:rPr>
        <w:fldChar w:fldCharType="separate"/>
      </w:r>
      <w:r>
        <w:rPr>
          <w:highlight w:val="none"/>
        </w:rPr>
        <w:t>25</w:t>
      </w:r>
      <w:r>
        <w:rPr>
          <w:highlight w:val="none"/>
        </w:rPr>
        <w:fldChar w:fldCharType="end"/>
      </w:r>
      <w:r>
        <w:rPr>
          <w:highlight w:val="none"/>
        </w:rPr>
        <w:fldChar w:fldCharType="end"/>
      </w:r>
    </w:p>
    <w:p w14:paraId="3127378A">
      <w:pPr>
        <w:pStyle w:val="17"/>
        <w:tabs>
          <w:tab w:val="right" w:leader="dot" w:pos="8306"/>
        </w:tabs>
        <w:rPr>
          <w:highlight w:val="none"/>
        </w:rPr>
      </w:pPr>
      <w:r>
        <w:rPr>
          <w:highlight w:val="none"/>
        </w:rPr>
        <w:fldChar w:fldCharType="begin"/>
      </w:r>
      <w:r>
        <w:rPr>
          <w:highlight w:val="none"/>
        </w:rPr>
        <w:instrText xml:space="preserve"> HYPERLINK \l _Toc23124 </w:instrText>
      </w:r>
      <w:r>
        <w:rPr>
          <w:highlight w:val="none"/>
        </w:rPr>
        <w:fldChar w:fldCharType="separate"/>
      </w:r>
      <w:r>
        <w:rPr>
          <w:rFonts w:hint="eastAsia"/>
          <w:highlight w:val="none"/>
        </w:rPr>
        <w:t>9.2 对投标人的纪律要求</w:t>
      </w:r>
      <w:r>
        <w:rPr>
          <w:highlight w:val="none"/>
        </w:rPr>
        <w:tab/>
      </w:r>
      <w:r>
        <w:rPr>
          <w:highlight w:val="none"/>
        </w:rPr>
        <w:fldChar w:fldCharType="begin"/>
      </w:r>
      <w:r>
        <w:rPr>
          <w:highlight w:val="none"/>
        </w:rPr>
        <w:instrText xml:space="preserve"> PAGEREF _Toc23124 \h </w:instrText>
      </w:r>
      <w:r>
        <w:rPr>
          <w:highlight w:val="none"/>
        </w:rPr>
        <w:fldChar w:fldCharType="separate"/>
      </w:r>
      <w:r>
        <w:rPr>
          <w:highlight w:val="none"/>
        </w:rPr>
        <w:t>25</w:t>
      </w:r>
      <w:r>
        <w:rPr>
          <w:highlight w:val="none"/>
        </w:rPr>
        <w:fldChar w:fldCharType="end"/>
      </w:r>
      <w:r>
        <w:rPr>
          <w:highlight w:val="none"/>
        </w:rPr>
        <w:fldChar w:fldCharType="end"/>
      </w:r>
    </w:p>
    <w:p w14:paraId="5013E66A">
      <w:pPr>
        <w:pStyle w:val="17"/>
        <w:tabs>
          <w:tab w:val="right" w:leader="dot" w:pos="8306"/>
        </w:tabs>
        <w:rPr>
          <w:highlight w:val="none"/>
        </w:rPr>
      </w:pPr>
      <w:r>
        <w:rPr>
          <w:highlight w:val="none"/>
        </w:rPr>
        <w:fldChar w:fldCharType="begin"/>
      </w:r>
      <w:r>
        <w:rPr>
          <w:highlight w:val="none"/>
        </w:rPr>
        <w:instrText xml:space="preserve"> HYPERLINK \l _Toc16670 </w:instrText>
      </w:r>
      <w:r>
        <w:rPr>
          <w:highlight w:val="none"/>
        </w:rPr>
        <w:fldChar w:fldCharType="separate"/>
      </w:r>
      <w:r>
        <w:rPr>
          <w:rFonts w:hint="eastAsia"/>
          <w:highlight w:val="none"/>
        </w:rPr>
        <w:t>9.3 对评标委员会成员的纪律要求</w:t>
      </w:r>
      <w:r>
        <w:rPr>
          <w:highlight w:val="none"/>
        </w:rPr>
        <w:tab/>
      </w:r>
      <w:r>
        <w:rPr>
          <w:highlight w:val="none"/>
        </w:rPr>
        <w:fldChar w:fldCharType="begin"/>
      </w:r>
      <w:r>
        <w:rPr>
          <w:highlight w:val="none"/>
        </w:rPr>
        <w:instrText xml:space="preserve"> PAGEREF _Toc16670 \h </w:instrText>
      </w:r>
      <w:r>
        <w:rPr>
          <w:highlight w:val="none"/>
        </w:rPr>
        <w:fldChar w:fldCharType="separate"/>
      </w:r>
      <w:r>
        <w:rPr>
          <w:highlight w:val="none"/>
        </w:rPr>
        <w:t>25</w:t>
      </w:r>
      <w:r>
        <w:rPr>
          <w:highlight w:val="none"/>
        </w:rPr>
        <w:fldChar w:fldCharType="end"/>
      </w:r>
      <w:r>
        <w:rPr>
          <w:highlight w:val="none"/>
        </w:rPr>
        <w:fldChar w:fldCharType="end"/>
      </w:r>
    </w:p>
    <w:p w14:paraId="44549C13">
      <w:pPr>
        <w:pStyle w:val="17"/>
        <w:tabs>
          <w:tab w:val="right" w:leader="dot" w:pos="8306"/>
        </w:tabs>
        <w:rPr>
          <w:highlight w:val="none"/>
        </w:rPr>
      </w:pPr>
      <w:r>
        <w:rPr>
          <w:highlight w:val="none"/>
        </w:rPr>
        <w:fldChar w:fldCharType="begin"/>
      </w:r>
      <w:r>
        <w:rPr>
          <w:highlight w:val="none"/>
        </w:rPr>
        <w:instrText xml:space="preserve"> HYPERLINK \l _Toc15217 </w:instrText>
      </w:r>
      <w:r>
        <w:rPr>
          <w:highlight w:val="none"/>
        </w:rPr>
        <w:fldChar w:fldCharType="separate"/>
      </w:r>
      <w:r>
        <w:rPr>
          <w:rFonts w:hint="eastAsia"/>
          <w:highlight w:val="none"/>
        </w:rPr>
        <w:t>9.4 对与评标活动有关的工作人员的纪律要求</w:t>
      </w:r>
      <w:r>
        <w:rPr>
          <w:highlight w:val="none"/>
        </w:rPr>
        <w:tab/>
      </w:r>
      <w:r>
        <w:rPr>
          <w:highlight w:val="none"/>
        </w:rPr>
        <w:fldChar w:fldCharType="begin"/>
      </w:r>
      <w:r>
        <w:rPr>
          <w:highlight w:val="none"/>
        </w:rPr>
        <w:instrText xml:space="preserve"> PAGEREF _Toc15217 \h </w:instrText>
      </w:r>
      <w:r>
        <w:rPr>
          <w:highlight w:val="none"/>
        </w:rPr>
        <w:fldChar w:fldCharType="separate"/>
      </w:r>
      <w:r>
        <w:rPr>
          <w:highlight w:val="none"/>
        </w:rPr>
        <w:t>25</w:t>
      </w:r>
      <w:r>
        <w:rPr>
          <w:highlight w:val="none"/>
        </w:rPr>
        <w:fldChar w:fldCharType="end"/>
      </w:r>
      <w:r>
        <w:rPr>
          <w:highlight w:val="none"/>
        </w:rPr>
        <w:fldChar w:fldCharType="end"/>
      </w:r>
    </w:p>
    <w:p w14:paraId="7C014255">
      <w:pPr>
        <w:pStyle w:val="17"/>
        <w:tabs>
          <w:tab w:val="right" w:leader="dot" w:pos="8306"/>
        </w:tabs>
        <w:rPr>
          <w:highlight w:val="none"/>
        </w:rPr>
      </w:pPr>
      <w:r>
        <w:rPr>
          <w:highlight w:val="none"/>
        </w:rPr>
        <w:fldChar w:fldCharType="begin"/>
      </w:r>
      <w:r>
        <w:rPr>
          <w:highlight w:val="none"/>
        </w:rPr>
        <w:instrText xml:space="preserve"> HYPERLINK \l _Toc10834 </w:instrText>
      </w:r>
      <w:r>
        <w:rPr>
          <w:highlight w:val="none"/>
        </w:rPr>
        <w:fldChar w:fldCharType="separate"/>
      </w:r>
      <w:r>
        <w:rPr>
          <w:rFonts w:hint="eastAsia"/>
          <w:highlight w:val="none"/>
        </w:rPr>
        <w:t>9.5 投诉</w:t>
      </w:r>
      <w:r>
        <w:rPr>
          <w:highlight w:val="none"/>
        </w:rPr>
        <w:tab/>
      </w:r>
      <w:r>
        <w:rPr>
          <w:highlight w:val="none"/>
        </w:rPr>
        <w:fldChar w:fldCharType="begin"/>
      </w:r>
      <w:r>
        <w:rPr>
          <w:highlight w:val="none"/>
        </w:rPr>
        <w:instrText xml:space="preserve"> PAGEREF _Toc10834 \h </w:instrText>
      </w:r>
      <w:r>
        <w:rPr>
          <w:highlight w:val="none"/>
        </w:rPr>
        <w:fldChar w:fldCharType="separate"/>
      </w:r>
      <w:r>
        <w:rPr>
          <w:highlight w:val="none"/>
        </w:rPr>
        <w:t>25</w:t>
      </w:r>
      <w:r>
        <w:rPr>
          <w:highlight w:val="none"/>
        </w:rPr>
        <w:fldChar w:fldCharType="end"/>
      </w:r>
      <w:r>
        <w:rPr>
          <w:highlight w:val="none"/>
        </w:rPr>
        <w:fldChar w:fldCharType="end"/>
      </w:r>
    </w:p>
    <w:p w14:paraId="3F5037D5">
      <w:pPr>
        <w:pStyle w:val="24"/>
        <w:tabs>
          <w:tab w:val="right" w:leader="dot" w:pos="8306"/>
        </w:tabs>
        <w:rPr>
          <w:highlight w:val="none"/>
        </w:rPr>
      </w:pPr>
      <w:r>
        <w:rPr>
          <w:highlight w:val="none"/>
        </w:rPr>
        <w:fldChar w:fldCharType="begin"/>
      </w:r>
      <w:r>
        <w:rPr>
          <w:highlight w:val="none"/>
        </w:rPr>
        <w:instrText xml:space="preserve"> HYPERLINK \l _Toc17999 </w:instrText>
      </w:r>
      <w:r>
        <w:rPr>
          <w:highlight w:val="none"/>
        </w:rPr>
        <w:fldChar w:fldCharType="separate"/>
      </w:r>
      <w:r>
        <w:rPr>
          <w:rFonts w:hint="eastAsia"/>
          <w:highlight w:val="none"/>
        </w:rPr>
        <w:t>10. 需要补充的其他内容</w:t>
      </w:r>
      <w:r>
        <w:rPr>
          <w:highlight w:val="none"/>
        </w:rPr>
        <w:tab/>
      </w:r>
      <w:r>
        <w:rPr>
          <w:highlight w:val="none"/>
        </w:rPr>
        <w:fldChar w:fldCharType="begin"/>
      </w:r>
      <w:r>
        <w:rPr>
          <w:highlight w:val="none"/>
        </w:rPr>
        <w:instrText xml:space="preserve"> PAGEREF _Toc17999 \h </w:instrText>
      </w:r>
      <w:r>
        <w:rPr>
          <w:highlight w:val="none"/>
        </w:rPr>
        <w:fldChar w:fldCharType="separate"/>
      </w:r>
      <w:r>
        <w:rPr>
          <w:highlight w:val="none"/>
        </w:rPr>
        <w:t>25</w:t>
      </w:r>
      <w:r>
        <w:rPr>
          <w:highlight w:val="none"/>
        </w:rPr>
        <w:fldChar w:fldCharType="end"/>
      </w:r>
      <w:r>
        <w:rPr>
          <w:highlight w:val="none"/>
        </w:rPr>
        <w:fldChar w:fldCharType="end"/>
      </w:r>
    </w:p>
    <w:p w14:paraId="6676CCCE">
      <w:pPr>
        <w:pStyle w:val="17"/>
        <w:tabs>
          <w:tab w:val="right" w:leader="dot" w:pos="8306"/>
        </w:tabs>
        <w:rPr>
          <w:highlight w:val="none"/>
        </w:rPr>
      </w:pPr>
      <w:r>
        <w:rPr>
          <w:highlight w:val="none"/>
        </w:rPr>
        <w:fldChar w:fldCharType="begin"/>
      </w:r>
      <w:r>
        <w:rPr>
          <w:highlight w:val="none"/>
        </w:rPr>
        <w:instrText xml:space="preserve"> HYPERLINK \l _Toc29162 </w:instrText>
      </w:r>
      <w:r>
        <w:rPr>
          <w:highlight w:val="none"/>
        </w:rPr>
        <w:fldChar w:fldCharType="separate"/>
      </w:r>
      <w:r>
        <w:rPr>
          <w:highlight w:val="none"/>
        </w:rPr>
        <w:t>附表</w:t>
      </w:r>
      <w:r>
        <w:rPr>
          <w:rFonts w:hint="eastAsia"/>
          <w:highlight w:val="none"/>
          <w:lang w:val="en-US" w:eastAsia="zh-CN"/>
        </w:rPr>
        <w:t>一</w:t>
      </w:r>
      <w:r>
        <w:rPr>
          <w:highlight w:val="none"/>
        </w:rPr>
        <w:t>：问题澄清通知</w:t>
      </w:r>
      <w:r>
        <w:rPr>
          <w:highlight w:val="none"/>
        </w:rPr>
        <w:tab/>
      </w:r>
      <w:r>
        <w:rPr>
          <w:highlight w:val="none"/>
        </w:rPr>
        <w:fldChar w:fldCharType="begin"/>
      </w:r>
      <w:r>
        <w:rPr>
          <w:highlight w:val="none"/>
        </w:rPr>
        <w:instrText xml:space="preserve"> PAGEREF _Toc29162 \h </w:instrText>
      </w:r>
      <w:r>
        <w:rPr>
          <w:highlight w:val="none"/>
        </w:rPr>
        <w:fldChar w:fldCharType="separate"/>
      </w:r>
      <w:r>
        <w:rPr>
          <w:highlight w:val="none"/>
        </w:rPr>
        <w:t>30</w:t>
      </w:r>
      <w:r>
        <w:rPr>
          <w:highlight w:val="none"/>
        </w:rPr>
        <w:fldChar w:fldCharType="end"/>
      </w:r>
      <w:r>
        <w:rPr>
          <w:highlight w:val="none"/>
        </w:rPr>
        <w:fldChar w:fldCharType="end"/>
      </w:r>
    </w:p>
    <w:p w14:paraId="127F565A">
      <w:pPr>
        <w:pStyle w:val="17"/>
        <w:tabs>
          <w:tab w:val="right" w:leader="dot" w:pos="8306"/>
        </w:tabs>
        <w:rPr>
          <w:highlight w:val="none"/>
        </w:rPr>
      </w:pPr>
      <w:r>
        <w:rPr>
          <w:highlight w:val="none"/>
        </w:rPr>
        <w:fldChar w:fldCharType="begin"/>
      </w:r>
      <w:r>
        <w:rPr>
          <w:highlight w:val="none"/>
        </w:rPr>
        <w:instrText xml:space="preserve"> HYPERLINK \l _Toc1044 </w:instrText>
      </w:r>
      <w:r>
        <w:rPr>
          <w:highlight w:val="none"/>
        </w:rPr>
        <w:fldChar w:fldCharType="separate"/>
      </w:r>
      <w:r>
        <w:rPr>
          <w:rFonts w:hint="eastAsia"/>
          <w:highlight w:val="none"/>
        </w:rPr>
        <w:t>附表</w:t>
      </w:r>
      <w:r>
        <w:rPr>
          <w:rFonts w:hint="eastAsia"/>
          <w:highlight w:val="none"/>
          <w:lang w:val="en-US" w:eastAsia="zh-CN"/>
        </w:rPr>
        <w:t>二</w:t>
      </w:r>
      <w:r>
        <w:rPr>
          <w:rFonts w:hint="eastAsia"/>
          <w:highlight w:val="none"/>
        </w:rPr>
        <w:t>：问题的澄清</w:t>
      </w:r>
      <w:r>
        <w:rPr>
          <w:highlight w:val="none"/>
        </w:rPr>
        <w:tab/>
      </w:r>
      <w:r>
        <w:rPr>
          <w:highlight w:val="none"/>
        </w:rPr>
        <w:fldChar w:fldCharType="begin"/>
      </w:r>
      <w:r>
        <w:rPr>
          <w:highlight w:val="none"/>
        </w:rPr>
        <w:instrText xml:space="preserve"> PAGEREF _Toc1044 \h </w:instrText>
      </w:r>
      <w:r>
        <w:rPr>
          <w:highlight w:val="none"/>
        </w:rPr>
        <w:fldChar w:fldCharType="separate"/>
      </w:r>
      <w:r>
        <w:rPr>
          <w:highlight w:val="none"/>
        </w:rPr>
        <w:t>31</w:t>
      </w:r>
      <w:r>
        <w:rPr>
          <w:highlight w:val="none"/>
        </w:rPr>
        <w:fldChar w:fldCharType="end"/>
      </w:r>
      <w:r>
        <w:rPr>
          <w:highlight w:val="none"/>
        </w:rPr>
        <w:fldChar w:fldCharType="end"/>
      </w:r>
    </w:p>
    <w:p w14:paraId="1A794998">
      <w:pPr>
        <w:pStyle w:val="22"/>
        <w:tabs>
          <w:tab w:val="right" w:leader="dot" w:pos="8306"/>
        </w:tabs>
        <w:rPr>
          <w:highlight w:val="none"/>
        </w:rPr>
      </w:pPr>
      <w:r>
        <w:rPr>
          <w:highlight w:val="none"/>
        </w:rPr>
        <w:fldChar w:fldCharType="begin"/>
      </w:r>
      <w:r>
        <w:rPr>
          <w:highlight w:val="none"/>
        </w:rPr>
        <w:instrText xml:space="preserve"> HYPERLINK \l _Toc5010 </w:instrText>
      </w:r>
      <w:r>
        <w:rPr>
          <w:highlight w:val="none"/>
        </w:rPr>
        <w:fldChar w:fldCharType="separate"/>
      </w:r>
      <w:r>
        <w:rPr>
          <w:rFonts w:hint="eastAsia" w:ascii="黑体" w:hAnsi="黑体" w:eastAsia="黑体"/>
          <w:bCs w:val="0"/>
          <w:highlight w:val="none"/>
        </w:rPr>
        <w:t>第三章 评标办法（综合评估法）</w:t>
      </w:r>
      <w:r>
        <w:rPr>
          <w:highlight w:val="none"/>
        </w:rPr>
        <w:tab/>
      </w:r>
      <w:r>
        <w:rPr>
          <w:highlight w:val="none"/>
        </w:rPr>
        <w:fldChar w:fldCharType="begin"/>
      </w:r>
      <w:r>
        <w:rPr>
          <w:highlight w:val="none"/>
        </w:rPr>
        <w:instrText xml:space="preserve"> PAGEREF _Toc5010 \h </w:instrText>
      </w:r>
      <w:r>
        <w:rPr>
          <w:highlight w:val="none"/>
        </w:rPr>
        <w:fldChar w:fldCharType="separate"/>
      </w:r>
      <w:r>
        <w:rPr>
          <w:highlight w:val="none"/>
        </w:rPr>
        <w:t>32</w:t>
      </w:r>
      <w:r>
        <w:rPr>
          <w:highlight w:val="none"/>
        </w:rPr>
        <w:fldChar w:fldCharType="end"/>
      </w:r>
      <w:r>
        <w:rPr>
          <w:highlight w:val="none"/>
        </w:rPr>
        <w:fldChar w:fldCharType="end"/>
      </w:r>
    </w:p>
    <w:p w14:paraId="32DB71CC">
      <w:pPr>
        <w:pStyle w:val="24"/>
        <w:tabs>
          <w:tab w:val="right" w:leader="dot" w:pos="8306"/>
        </w:tabs>
        <w:rPr>
          <w:highlight w:val="none"/>
        </w:rPr>
      </w:pPr>
      <w:r>
        <w:rPr>
          <w:highlight w:val="none"/>
        </w:rPr>
        <w:fldChar w:fldCharType="begin"/>
      </w:r>
      <w:r>
        <w:rPr>
          <w:highlight w:val="none"/>
        </w:rPr>
        <w:instrText xml:space="preserve"> HYPERLINK \l _Toc17495 </w:instrText>
      </w:r>
      <w:r>
        <w:rPr>
          <w:highlight w:val="none"/>
        </w:rPr>
        <w:fldChar w:fldCharType="separate"/>
      </w:r>
      <w:r>
        <w:rPr>
          <w:rFonts w:hint="eastAsia"/>
          <w:highlight w:val="none"/>
        </w:rPr>
        <w:t>评标办法前附表</w:t>
      </w:r>
      <w:r>
        <w:rPr>
          <w:highlight w:val="none"/>
        </w:rPr>
        <w:tab/>
      </w:r>
      <w:r>
        <w:rPr>
          <w:highlight w:val="none"/>
        </w:rPr>
        <w:fldChar w:fldCharType="begin"/>
      </w:r>
      <w:r>
        <w:rPr>
          <w:highlight w:val="none"/>
        </w:rPr>
        <w:instrText xml:space="preserve"> PAGEREF _Toc17495 \h </w:instrText>
      </w:r>
      <w:r>
        <w:rPr>
          <w:highlight w:val="none"/>
        </w:rPr>
        <w:fldChar w:fldCharType="separate"/>
      </w:r>
      <w:r>
        <w:rPr>
          <w:highlight w:val="none"/>
        </w:rPr>
        <w:t>32</w:t>
      </w:r>
      <w:r>
        <w:rPr>
          <w:highlight w:val="none"/>
        </w:rPr>
        <w:fldChar w:fldCharType="end"/>
      </w:r>
      <w:r>
        <w:rPr>
          <w:highlight w:val="none"/>
        </w:rPr>
        <w:fldChar w:fldCharType="end"/>
      </w:r>
    </w:p>
    <w:p w14:paraId="7FEF72CE">
      <w:pPr>
        <w:pStyle w:val="24"/>
        <w:tabs>
          <w:tab w:val="right" w:leader="dot" w:pos="8306"/>
        </w:tabs>
        <w:rPr>
          <w:highlight w:val="none"/>
        </w:rPr>
      </w:pPr>
      <w:r>
        <w:rPr>
          <w:highlight w:val="none"/>
        </w:rPr>
        <w:fldChar w:fldCharType="begin"/>
      </w:r>
      <w:r>
        <w:rPr>
          <w:highlight w:val="none"/>
        </w:rPr>
        <w:instrText xml:space="preserve"> HYPERLINK \l _Toc16569 </w:instrText>
      </w:r>
      <w:r>
        <w:rPr>
          <w:highlight w:val="none"/>
        </w:rPr>
        <w:fldChar w:fldCharType="separate"/>
      </w:r>
      <w:r>
        <w:rPr>
          <w:rFonts w:hint="eastAsia"/>
          <w:highlight w:val="none"/>
        </w:rPr>
        <w:t>1. 评标方法</w:t>
      </w:r>
      <w:r>
        <w:rPr>
          <w:highlight w:val="none"/>
        </w:rPr>
        <w:tab/>
      </w:r>
      <w:r>
        <w:rPr>
          <w:highlight w:val="none"/>
        </w:rPr>
        <w:fldChar w:fldCharType="begin"/>
      </w:r>
      <w:r>
        <w:rPr>
          <w:highlight w:val="none"/>
        </w:rPr>
        <w:instrText xml:space="preserve"> PAGEREF _Toc16569 \h </w:instrText>
      </w:r>
      <w:r>
        <w:rPr>
          <w:highlight w:val="none"/>
        </w:rPr>
        <w:fldChar w:fldCharType="separate"/>
      </w:r>
      <w:r>
        <w:rPr>
          <w:highlight w:val="none"/>
        </w:rPr>
        <w:t>37</w:t>
      </w:r>
      <w:r>
        <w:rPr>
          <w:highlight w:val="none"/>
        </w:rPr>
        <w:fldChar w:fldCharType="end"/>
      </w:r>
      <w:r>
        <w:rPr>
          <w:highlight w:val="none"/>
        </w:rPr>
        <w:fldChar w:fldCharType="end"/>
      </w:r>
    </w:p>
    <w:p w14:paraId="55E5A20B">
      <w:pPr>
        <w:pStyle w:val="24"/>
        <w:tabs>
          <w:tab w:val="right" w:leader="dot" w:pos="8306"/>
        </w:tabs>
        <w:rPr>
          <w:highlight w:val="none"/>
        </w:rPr>
      </w:pPr>
      <w:r>
        <w:rPr>
          <w:highlight w:val="none"/>
        </w:rPr>
        <w:fldChar w:fldCharType="begin"/>
      </w:r>
      <w:r>
        <w:rPr>
          <w:highlight w:val="none"/>
        </w:rPr>
        <w:instrText xml:space="preserve"> HYPERLINK \l _Toc23093 </w:instrText>
      </w:r>
      <w:r>
        <w:rPr>
          <w:highlight w:val="none"/>
        </w:rPr>
        <w:fldChar w:fldCharType="separate"/>
      </w:r>
      <w:r>
        <w:rPr>
          <w:rFonts w:hint="eastAsia"/>
          <w:highlight w:val="none"/>
        </w:rPr>
        <w:t>2. 评审标准</w:t>
      </w:r>
      <w:r>
        <w:rPr>
          <w:highlight w:val="none"/>
        </w:rPr>
        <w:tab/>
      </w:r>
      <w:r>
        <w:rPr>
          <w:highlight w:val="none"/>
        </w:rPr>
        <w:fldChar w:fldCharType="begin"/>
      </w:r>
      <w:r>
        <w:rPr>
          <w:highlight w:val="none"/>
        </w:rPr>
        <w:instrText xml:space="preserve"> PAGEREF _Toc23093 \h </w:instrText>
      </w:r>
      <w:r>
        <w:rPr>
          <w:highlight w:val="none"/>
        </w:rPr>
        <w:fldChar w:fldCharType="separate"/>
      </w:r>
      <w:r>
        <w:rPr>
          <w:highlight w:val="none"/>
        </w:rPr>
        <w:t>37</w:t>
      </w:r>
      <w:r>
        <w:rPr>
          <w:highlight w:val="none"/>
        </w:rPr>
        <w:fldChar w:fldCharType="end"/>
      </w:r>
      <w:r>
        <w:rPr>
          <w:highlight w:val="none"/>
        </w:rPr>
        <w:fldChar w:fldCharType="end"/>
      </w:r>
    </w:p>
    <w:p w14:paraId="70B4222F">
      <w:pPr>
        <w:pStyle w:val="17"/>
        <w:tabs>
          <w:tab w:val="right" w:leader="dot" w:pos="8306"/>
        </w:tabs>
        <w:rPr>
          <w:highlight w:val="none"/>
        </w:rPr>
      </w:pPr>
      <w:r>
        <w:rPr>
          <w:highlight w:val="none"/>
        </w:rPr>
        <w:fldChar w:fldCharType="begin"/>
      </w:r>
      <w:r>
        <w:rPr>
          <w:highlight w:val="none"/>
        </w:rPr>
        <w:instrText xml:space="preserve"> HYPERLINK \l _Toc29128 </w:instrText>
      </w:r>
      <w:r>
        <w:rPr>
          <w:highlight w:val="none"/>
        </w:rPr>
        <w:fldChar w:fldCharType="separate"/>
      </w:r>
      <w:r>
        <w:rPr>
          <w:rFonts w:hint="eastAsia"/>
          <w:highlight w:val="none"/>
        </w:rPr>
        <w:t>2.1 初步评审标准</w:t>
      </w:r>
      <w:r>
        <w:rPr>
          <w:highlight w:val="none"/>
        </w:rPr>
        <w:tab/>
      </w:r>
      <w:r>
        <w:rPr>
          <w:highlight w:val="none"/>
        </w:rPr>
        <w:fldChar w:fldCharType="begin"/>
      </w:r>
      <w:r>
        <w:rPr>
          <w:highlight w:val="none"/>
        </w:rPr>
        <w:instrText xml:space="preserve"> PAGEREF _Toc29128 \h </w:instrText>
      </w:r>
      <w:r>
        <w:rPr>
          <w:highlight w:val="none"/>
        </w:rPr>
        <w:fldChar w:fldCharType="separate"/>
      </w:r>
      <w:r>
        <w:rPr>
          <w:highlight w:val="none"/>
        </w:rPr>
        <w:t>37</w:t>
      </w:r>
      <w:r>
        <w:rPr>
          <w:highlight w:val="none"/>
        </w:rPr>
        <w:fldChar w:fldCharType="end"/>
      </w:r>
      <w:r>
        <w:rPr>
          <w:highlight w:val="none"/>
        </w:rPr>
        <w:fldChar w:fldCharType="end"/>
      </w:r>
    </w:p>
    <w:p w14:paraId="36FB5724">
      <w:pPr>
        <w:pStyle w:val="17"/>
        <w:tabs>
          <w:tab w:val="right" w:leader="dot" w:pos="8306"/>
        </w:tabs>
        <w:rPr>
          <w:highlight w:val="none"/>
        </w:rPr>
      </w:pPr>
      <w:r>
        <w:rPr>
          <w:highlight w:val="none"/>
        </w:rPr>
        <w:fldChar w:fldCharType="begin"/>
      </w:r>
      <w:r>
        <w:rPr>
          <w:highlight w:val="none"/>
        </w:rPr>
        <w:instrText xml:space="preserve"> HYPERLINK \l _Toc3884 </w:instrText>
      </w:r>
      <w:r>
        <w:rPr>
          <w:highlight w:val="none"/>
        </w:rPr>
        <w:fldChar w:fldCharType="separate"/>
      </w:r>
      <w:r>
        <w:rPr>
          <w:rFonts w:hint="eastAsia"/>
          <w:highlight w:val="none"/>
        </w:rPr>
        <w:t>2.2 分值构成与评分标准</w:t>
      </w:r>
      <w:r>
        <w:rPr>
          <w:highlight w:val="none"/>
        </w:rPr>
        <w:tab/>
      </w:r>
      <w:r>
        <w:rPr>
          <w:highlight w:val="none"/>
        </w:rPr>
        <w:fldChar w:fldCharType="begin"/>
      </w:r>
      <w:r>
        <w:rPr>
          <w:highlight w:val="none"/>
        </w:rPr>
        <w:instrText xml:space="preserve"> PAGEREF _Toc3884 \h </w:instrText>
      </w:r>
      <w:r>
        <w:rPr>
          <w:highlight w:val="none"/>
        </w:rPr>
        <w:fldChar w:fldCharType="separate"/>
      </w:r>
      <w:r>
        <w:rPr>
          <w:highlight w:val="none"/>
        </w:rPr>
        <w:t>37</w:t>
      </w:r>
      <w:r>
        <w:rPr>
          <w:highlight w:val="none"/>
        </w:rPr>
        <w:fldChar w:fldCharType="end"/>
      </w:r>
      <w:r>
        <w:rPr>
          <w:highlight w:val="none"/>
        </w:rPr>
        <w:fldChar w:fldCharType="end"/>
      </w:r>
    </w:p>
    <w:p w14:paraId="00B253B8">
      <w:pPr>
        <w:pStyle w:val="24"/>
        <w:tabs>
          <w:tab w:val="right" w:leader="dot" w:pos="8306"/>
        </w:tabs>
        <w:rPr>
          <w:highlight w:val="none"/>
        </w:rPr>
      </w:pPr>
      <w:r>
        <w:rPr>
          <w:highlight w:val="none"/>
        </w:rPr>
        <w:fldChar w:fldCharType="begin"/>
      </w:r>
      <w:r>
        <w:rPr>
          <w:highlight w:val="none"/>
        </w:rPr>
        <w:instrText xml:space="preserve"> HYPERLINK \l _Toc6679 </w:instrText>
      </w:r>
      <w:r>
        <w:rPr>
          <w:highlight w:val="none"/>
        </w:rPr>
        <w:fldChar w:fldCharType="separate"/>
      </w:r>
      <w:r>
        <w:rPr>
          <w:rFonts w:hint="eastAsia"/>
          <w:highlight w:val="none"/>
        </w:rPr>
        <w:t>3. 评标程序</w:t>
      </w:r>
      <w:r>
        <w:rPr>
          <w:highlight w:val="none"/>
        </w:rPr>
        <w:tab/>
      </w:r>
      <w:r>
        <w:rPr>
          <w:highlight w:val="none"/>
        </w:rPr>
        <w:fldChar w:fldCharType="begin"/>
      </w:r>
      <w:r>
        <w:rPr>
          <w:highlight w:val="none"/>
        </w:rPr>
        <w:instrText xml:space="preserve"> PAGEREF _Toc6679 \h </w:instrText>
      </w:r>
      <w:r>
        <w:rPr>
          <w:highlight w:val="none"/>
        </w:rPr>
        <w:fldChar w:fldCharType="separate"/>
      </w:r>
      <w:r>
        <w:rPr>
          <w:highlight w:val="none"/>
        </w:rPr>
        <w:t>37</w:t>
      </w:r>
      <w:r>
        <w:rPr>
          <w:highlight w:val="none"/>
        </w:rPr>
        <w:fldChar w:fldCharType="end"/>
      </w:r>
      <w:r>
        <w:rPr>
          <w:highlight w:val="none"/>
        </w:rPr>
        <w:fldChar w:fldCharType="end"/>
      </w:r>
    </w:p>
    <w:p w14:paraId="038C7E83">
      <w:pPr>
        <w:pStyle w:val="17"/>
        <w:tabs>
          <w:tab w:val="right" w:leader="dot" w:pos="8306"/>
        </w:tabs>
        <w:rPr>
          <w:highlight w:val="none"/>
        </w:rPr>
      </w:pPr>
      <w:r>
        <w:rPr>
          <w:highlight w:val="none"/>
        </w:rPr>
        <w:fldChar w:fldCharType="begin"/>
      </w:r>
      <w:r>
        <w:rPr>
          <w:highlight w:val="none"/>
        </w:rPr>
        <w:instrText xml:space="preserve"> HYPERLINK \l _Toc25021 </w:instrText>
      </w:r>
      <w:r>
        <w:rPr>
          <w:highlight w:val="none"/>
        </w:rPr>
        <w:fldChar w:fldCharType="separate"/>
      </w:r>
      <w:r>
        <w:rPr>
          <w:rFonts w:hint="eastAsia"/>
          <w:highlight w:val="none"/>
        </w:rPr>
        <w:t>3.1 初步评审</w:t>
      </w:r>
      <w:r>
        <w:rPr>
          <w:highlight w:val="none"/>
        </w:rPr>
        <w:tab/>
      </w:r>
      <w:r>
        <w:rPr>
          <w:highlight w:val="none"/>
        </w:rPr>
        <w:fldChar w:fldCharType="begin"/>
      </w:r>
      <w:r>
        <w:rPr>
          <w:highlight w:val="none"/>
        </w:rPr>
        <w:instrText xml:space="preserve"> PAGEREF _Toc25021 \h </w:instrText>
      </w:r>
      <w:r>
        <w:rPr>
          <w:highlight w:val="none"/>
        </w:rPr>
        <w:fldChar w:fldCharType="separate"/>
      </w:r>
      <w:r>
        <w:rPr>
          <w:highlight w:val="none"/>
        </w:rPr>
        <w:t>37</w:t>
      </w:r>
      <w:r>
        <w:rPr>
          <w:highlight w:val="none"/>
        </w:rPr>
        <w:fldChar w:fldCharType="end"/>
      </w:r>
      <w:r>
        <w:rPr>
          <w:highlight w:val="none"/>
        </w:rPr>
        <w:fldChar w:fldCharType="end"/>
      </w:r>
    </w:p>
    <w:p w14:paraId="5BF10FB3">
      <w:pPr>
        <w:pStyle w:val="17"/>
        <w:tabs>
          <w:tab w:val="right" w:leader="dot" w:pos="8306"/>
        </w:tabs>
        <w:rPr>
          <w:highlight w:val="none"/>
        </w:rPr>
      </w:pPr>
      <w:r>
        <w:rPr>
          <w:highlight w:val="none"/>
        </w:rPr>
        <w:fldChar w:fldCharType="begin"/>
      </w:r>
      <w:r>
        <w:rPr>
          <w:highlight w:val="none"/>
        </w:rPr>
        <w:instrText xml:space="preserve"> HYPERLINK \l _Toc23688 </w:instrText>
      </w:r>
      <w:r>
        <w:rPr>
          <w:highlight w:val="none"/>
        </w:rPr>
        <w:fldChar w:fldCharType="separate"/>
      </w:r>
      <w:r>
        <w:rPr>
          <w:rFonts w:hint="eastAsia"/>
          <w:highlight w:val="none"/>
        </w:rPr>
        <w:t>3.2 详细评审</w:t>
      </w:r>
      <w:r>
        <w:rPr>
          <w:highlight w:val="none"/>
        </w:rPr>
        <w:tab/>
      </w:r>
      <w:r>
        <w:rPr>
          <w:highlight w:val="none"/>
        </w:rPr>
        <w:fldChar w:fldCharType="begin"/>
      </w:r>
      <w:r>
        <w:rPr>
          <w:highlight w:val="none"/>
        </w:rPr>
        <w:instrText xml:space="preserve"> PAGEREF _Toc23688 \h </w:instrText>
      </w:r>
      <w:r>
        <w:rPr>
          <w:highlight w:val="none"/>
        </w:rPr>
        <w:fldChar w:fldCharType="separate"/>
      </w:r>
      <w:r>
        <w:rPr>
          <w:highlight w:val="none"/>
        </w:rPr>
        <w:t>38</w:t>
      </w:r>
      <w:r>
        <w:rPr>
          <w:highlight w:val="none"/>
        </w:rPr>
        <w:fldChar w:fldCharType="end"/>
      </w:r>
      <w:r>
        <w:rPr>
          <w:highlight w:val="none"/>
        </w:rPr>
        <w:fldChar w:fldCharType="end"/>
      </w:r>
    </w:p>
    <w:p w14:paraId="4743C2D5">
      <w:pPr>
        <w:pStyle w:val="17"/>
        <w:tabs>
          <w:tab w:val="right" w:leader="dot" w:pos="8306"/>
        </w:tabs>
        <w:rPr>
          <w:highlight w:val="none"/>
        </w:rPr>
      </w:pPr>
      <w:r>
        <w:rPr>
          <w:highlight w:val="none"/>
        </w:rPr>
        <w:fldChar w:fldCharType="begin"/>
      </w:r>
      <w:r>
        <w:rPr>
          <w:highlight w:val="none"/>
        </w:rPr>
        <w:instrText xml:space="preserve"> HYPERLINK \l _Toc5661 </w:instrText>
      </w:r>
      <w:r>
        <w:rPr>
          <w:highlight w:val="none"/>
        </w:rPr>
        <w:fldChar w:fldCharType="separate"/>
      </w:r>
      <w:r>
        <w:rPr>
          <w:rFonts w:hint="eastAsia"/>
          <w:highlight w:val="none"/>
        </w:rPr>
        <w:t>3.3 投标文件的澄清和补正</w:t>
      </w:r>
      <w:r>
        <w:rPr>
          <w:highlight w:val="none"/>
        </w:rPr>
        <w:tab/>
      </w:r>
      <w:r>
        <w:rPr>
          <w:highlight w:val="none"/>
        </w:rPr>
        <w:fldChar w:fldCharType="begin"/>
      </w:r>
      <w:r>
        <w:rPr>
          <w:highlight w:val="none"/>
        </w:rPr>
        <w:instrText xml:space="preserve"> PAGEREF _Toc5661 \h </w:instrText>
      </w:r>
      <w:r>
        <w:rPr>
          <w:highlight w:val="none"/>
        </w:rPr>
        <w:fldChar w:fldCharType="separate"/>
      </w:r>
      <w:r>
        <w:rPr>
          <w:highlight w:val="none"/>
        </w:rPr>
        <w:t>38</w:t>
      </w:r>
      <w:r>
        <w:rPr>
          <w:highlight w:val="none"/>
        </w:rPr>
        <w:fldChar w:fldCharType="end"/>
      </w:r>
      <w:r>
        <w:rPr>
          <w:highlight w:val="none"/>
        </w:rPr>
        <w:fldChar w:fldCharType="end"/>
      </w:r>
    </w:p>
    <w:p w14:paraId="376F22C9">
      <w:pPr>
        <w:pStyle w:val="17"/>
        <w:tabs>
          <w:tab w:val="right" w:leader="dot" w:pos="8306"/>
        </w:tabs>
        <w:rPr>
          <w:highlight w:val="none"/>
        </w:rPr>
      </w:pPr>
      <w:r>
        <w:rPr>
          <w:highlight w:val="none"/>
        </w:rPr>
        <w:fldChar w:fldCharType="begin"/>
      </w:r>
      <w:r>
        <w:rPr>
          <w:highlight w:val="none"/>
        </w:rPr>
        <w:instrText xml:space="preserve"> HYPERLINK \l _Toc19949 </w:instrText>
      </w:r>
      <w:r>
        <w:rPr>
          <w:highlight w:val="none"/>
        </w:rPr>
        <w:fldChar w:fldCharType="separate"/>
      </w:r>
      <w:r>
        <w:rPr>
          <w:rFonts w:hint="eastAsia"/>
          <w:highlight w:val="none"/>
        </w:rPr>
        <w:t>3.4 评标结果</w:t>
      </w:r>
      <w:r>
        <w:rPr>
          <w:highlight w:val="none"/>
        </w:rPr>
        <w:tab/>
      </w:r>
      <w:r>
        <w:rPr>
          <w:highlight w:val="none"/>
        </w:rPr>
        <w:fldChar w:fldCharType="begin"/>
      </w:r>
      <w:r>
        <w:rPr>
          <w:highlight w:val="none"/>
        </w:rPr>
        <w:instrText xml:space="preserve"> PAGEREF _Toc19949 \h </w:instrText>
      </w:r>
      <w:r>
        <w:rPr>
          <w:highlight w:val="none"/>
        </w:rPr>
        <w:fldChar w:fldCharType="separate"/>
      </w:r>
      <w:r>
        <w:rPr>
          <w:highlight w:val="none"/>
        </w:rPr>
        <w:t>38</w:t>
      </w:r>
      <w:r>
        <w:rPr>
          <w:highlight w:val="none"/>
        </w:rPr>
        <w:fldChar w:fldCharType="end"/>
      </w:r>
      <w:r>
        <w:rPr>
          <w:highlight w:val="none"/>
        </w:rPr>
        <w:fldChar w:fldCharType="end"/>
      </w:r>
    </w:p>
    <w:p w14:paraId="26CEB231">
      <w:pPr>
        <w:pStyle w:val="22"/>
        <w:tabs>
          <w:tab w:val="right" w:leader="dot" w:pos="8306"/>
        </w:tabs>
        <w:rPr>
          <w:highlight w:val="none"/>
        </w:rPr>
      </w:pPr>
      <w:r>
        <w:rPr>
          <w:highlight w:val="none"/>
        </w:rPr>
        <w:fldChar w:fldCharType="begin"/>
      </w:r>
      <w:r>
        <w:rPr>
          <w:highlight w:val="none"/>
        </w:rPr>
        <w:instrText xml:space="preserve"> HYPERLINK \l _Toc4484 </w:instrText>
      </w:r>
      <w:r>
        <w:rPr>
          <w:highlight w:val="none"/>
        </w:rPr>
        <w:fldChar w:fldCharType="separate"/>
      </w:r>
      <w:r>
        <w:rPr>
          <w:rFonts w:hint="eastAsia" w:ascii="黑体" w:hAnsi="黑体" w:eastAsia="黑体"/>
          <w:bCs w:val="0"/>
          <w:highlight w:val="none"/>
        </w:rPr>
        <w:t>第四章 合同条款及格式</w:t>
      </w:r>
      <w:r>
        <w:rPr>
          <w:highlight w:val="none"/>
        </w:rPr>
        <w:tab/>
      </w:r>
      <w:r>
        <w:rPr>
          <w:highlight w:val="none"/>
        </w:rPr>
        <w:fldChar w:fldCharType="begin"/>
      </w:r>
      <w:r>
        <w:rPr>
          <w:highlight w:val="none"/>
        </w:rPr>
        <w:instrText xml:space="preserve"> PAGEREF _Toc4484 \h </w:instrText>
      </w:r>
      <w:r>
        <w:rPr>
          <w:highlight w:val="none"/>
        </w:rPr>
        <w:fldChar w:fldCharType="separate"/>
      </w:r>
      <w:r>
        <w:rPr>
          <w:highlight w:val="none"/>
        </w:rPr>
        <w:t>39</w:t>
      </w:r>
      <w:r>
        <w:rPr>
          <w:highlight w:val="none"/>
        </w:rPr>
        <w:fldChar w:fldCharType="end"/>
      </w:r>
      <w:r>
        <w:rPr>
          <w:highlight w:val="none"/>
        </w:rPr>
        <w:fldChar w:fldCharType="end"/>
      </w:r>
    </w:p>
    <w:p w14:paraId="6D8CD051">
      <w:pPr>
        <w:pStyle w:val="24"/>
        <w:tabs>
          <w:tab w:val="right" w:leader="dot" w:pos="8306"/>
        </w:tabs>
        <w:rPr>
          <w:highlight w:val="none"/>
        </w:rPr>
      </w:pPr>
      <w:r>
        <w:rPr>
          <w:highlight w:val="none"/>
        </w:rPr>
        <w:fldChar w:fldCharType="begin"/>
      </w:r>
      <w:r>
        <w:rPr>
          <w:highlight w:val="none"/>
        </w:rPr>
        <w:instrText xml:space="preserve"> HYPERLINK \l _Toc31648 </w:instrText>
      </w:r>
      <w:r>
        <w:rPr>
          <w:highlight w:val="none"/>
        </w:rPr>
        <w:fldChar w:fldCharType="separate"/>
      </w:r>
      <w:r>
        <w:rPr>
          <w:rFonts w:hint="eastAsia"/>
          <w:highlight w:val="none"/>
        </w:rPr>
        <w:t>第一节 通用合同条款</w:t>
      </w:r>
      <w:r>
        <w:rPr>
          <w:highlight w:val="none"/>
        </w:rPr>
        <w:tab/>
      </w:r>
      <w:r>
        <w:rPr>
          <w:highlight w:val="none"/>
        </w:rPr>
        <w:fldChar w:fldCharType="begin"/>
      </w:r>
      <w:r>
        <w:rPr>
          <w:highlight w:val="none"/>
        </w:rPr>
        <w:instrText xml:space="preserve"> PAGEREF _Toc31648 \h </w:instrText>
      </w:r>
      <w:r>
        <w:rPr>
          <w:highlight w:val="none"/>
        </w:rPr>
        <w:fldChar w:fldCharType="separate"/>
      </w:r>
      <w:r>
        <w:rPr>
          <w:highlight w:val="none"/>
        </w:rPr>
        <w:t>39</w:t>
      </w:r>
      <w:r>
        <w:rPr>
          <w:highlight w:val="none"/>
        </w:rPr>
        <w:fldChar w:fldCharType="end"/>
      </w:r>
      <w:r>
        <w:rPr>
          <w:highlight w:val="none"/>
        </w:rPr>
        <w:fldChar w:fldCharType="end"/>
      </w:r>
    </w:p>
    <w:p w14:paraId="5595D7FF">
      <w:pPr>
        <w:pStyle w:val="24"/>
        <w:tabs>
          <w:tab w:val="right" w:leader="dot" w:pos="8306"/>
        </w:tabs>
        <w:rPr>
          <w:highlight w:val="none"/>
        </w:rPr>
      </w:pPr>
      <w:r>
        <w:rPr>
          <w:highlight w:val="none"/>
        </w:rPr>
        <w:fldChar w:fldCharType="begin"/>
      </w:r>
      <w:r>
        <w:rPr>
          <w:highlight w:val="none"/>
        </w:rPr>
        <w:instrText xml:space="preserve"> HYPERLINK \l _Toc31959 </w:instrText>
      </w:r>
      <w:r>
        <w:rPr>
          <w:highlight w:val="none"/>
        </w:rPr>
        <w:fldChar w:fldCharType="separate"/>
      </w:r>
      <w:r>
        <w:rPr>
          <w:rFonts w:hint="eastAsia"/>
          <w:highlight w:val="none"/>
        </w:rPr>
        <w:t>1. 一般约定</w:t>
      </w:r>
      <w:r>
        <w:rPr>
          <w:highlight w:val="none"/>
        </w:rPr>
        <w:tab/>
      </w:r>
      <w:r>
        <w:rPr>
          <w:highlight w:val="none"/>
        </w:rPr>
        <w:fldChar w:fldCharType="begin"/>
      </w:r>
      <w:r>
        <w:rPr>
          <w:highlight w:val="none"/>
        </w:rPr>
        <w:instrText xml:space="preserve"> PAGEREF _Toc31959 \h </w:instrText>
      </w:r>
      <w:r>
        <w:rPr>
          <w:highlight w:val="none"/>
        </w:rPr>
        <w:fldChar w:fldCharType="separate"/>
      </w:r>
      <w:r>
        <w:rPr>
          <w:highlight w:val="none"/>
        </w:rPr>
        <w:t>39</w:t>
      </w:r>
      <w:r>
        <w:rPr>
          <w:highlight w:val="none"/>
        </w:rPr>
        <w:fldChar w:fldCharType="end"/>
      </w:r>
      <w:r>
        <w:rPr>
          <w:highlight w:val="none"/>
        </w:rPr>
        <w:fldChar w:fldCharType="end"/>
      </w:r>
    </w:p>
    <w:p w14:paraId="7F24F90C">
      <w:pPr>
        <w:pStyle w:val="17"/>
        <w:tabs>
          <w:tab w:val="right" w:leader="dot" w:pos="8306"/>
        </w:tabs>
        <w:rPr>
          <w:highlight w:val="none"/>
        </w:rPr>
      </w:pPr>
      <w:r>
        <w:rPr>
          <w:highlight w:val="none"/>
        </w:rPr>
        <w:fldChar w:fldCharType="begin"/>
      </w:r>
      <w:r>
        <w:rPr>
          <w:highlight w:val="none"/>
        </w:rPr>
        <w:instrText xml:space="preserve"> HYPERLINK \l _Toc24577 </w:instrText>
      </w:r>
      <w:r>
        <w:rPr>
          <w:highlight w:val="none"/>
        </w:rPr>
        <w:fldChar w:fldCharType="separate"/>
      </w:r>
      <w:r>
        <w:rPr>
          <w:rFonts w:hint="eastAsia"/>
          <w:highlight w:val="none"/>
        </w:rPr>
        <w:t>1.1 词语定义</w:t>
      </w:r>
      <w:r>
        <w:rPr>
          <w:highlight w:val="none"/>
        </w:rPr>
        <w:tab/>
      </w:r>
      <w:r>
        <w:rPr>
          <w:highlight w:val="none"/>
        </w:rPr>
        <w:fldChar w:fldCharType="begin"/>
      </w:r>
      <w:r>
        <w:rPr>
          <w:highlight w:val="none"/>
        </w:rPr>
        <w:instrText xml:space="preserve"> PAGEREF _Toc24577 \h </w:instrText>
      </w:r>
      <w:r>
        <w:rPr>
          <w:highlight w:val="none"/>
        </w:rPr>
        <w:fldChar w:fldCharType="separate"/>
      </w:r>
      <w:r>
        <w:rPr>
          <w:highlight w:val="none"/>
        </w:rPr>
        <w:t>39</w:t>
      </w:r>
      <w:r>
        <w:rPr>
          <w:highlight w:val="none"/>
        </w:rPr>
        <w:fldChar w:fldCharType="end"/>
      </w:r>
      <w:r>
        <w:rPr>
          <w:highlight w:val="none"/>
        </w:rPr>
        <w:fldChar w:fldCharType="end"/>
      </w:r>
    </w:p>
    <w:p w14:paraId="4BED0E93">
      <w:pPr>
        <w:pStyle w:val="17"/>
        <w:tabs>
          <w:tab w:val="right" w:leader="dot" w:pos="8306"/>
        </w:tabs>
        <w:rPr>
          <w:highlight w:val="none"/>
        </w:rPr>
      </w:pPr>
      <w:r>
        <w:rPr>
          <w:highlight w:val="none"/>
        </w:rPr>
        <w:fldChar w:fldCharType="begin"/>
      </w:r>
      <w:r>
        <w:rPr>
          <w:highlight w:val="none"/>
        </w:rPr>
        <w:instrText xml:space="preserve"> HYPERLINK \l _Toc20929 </w:instrText>
      </w:r>
      <w:r>
        <w:rPr>
          <w:highlight w:val="none"/>
        </w:rPr>
        <w:fldChar w:fldCharType="separate"/>
      </w:r>
      <w:r>
        <w:rPr>
          <w:rFonts w:hint="eastAsia"/>
          <w:highlight w:val="none"/>
        </w:rPr>
        <w:t>1.2 语言文字</w:t>
      </w:r>
      <w:r>
        <w:rPr>
          <w:highlight w:val="none"/>
        </w:rPr>
        <w:tab/>
      </w:r>
      <w:r>
        <w:rPr>
          <w:highlight w:val="none"/>
        </w:rPr>
        <w:fldChar w:fldCharType="begin"/>
      </w:r>
      <w:r>
        <w:rPr>
          <w:highlight w:val="none"/>
        </w:rPr>
        <w:instrText xml:space="preserve"> PAGEREF _Toc20929 \h </w:instrText>
      </w:r>
      <w:r>
        <w:rPr>
          <w:highlight w:val="none"/>
        </w:rPr>
        <w:fldChar w:fldCharType="separate"/>
      </w:r>
      <w:r>
        <w:rPr>
          <w:highlight w:val="none"/>
        </w:rPr>
        <w:t>41</w:t>
      </w:r>
      <w:r>
        <w:rPr>
          <w:highlight w:val="none"/>
        </w:rPr>
        <w:fldChar w:fldCharType="end"/>
      </w:r>
      <w:r>
        <w:rPr>
          <w:highlight w:val="none"/>
        </w:rPr>
        <w:fldChar w:fldCharType="end"/>
      </w:r>
    </w:p>
    <w:p w14:paraId="1A6D60C1">
      <w:pPr>
        <w:pStyle w:val="17"/>
        <w:tabs>
          <w:tab w:val="right" w:leader="dot" w:pos="8306"/>
        </w:tabs>
        <w:rPr>
          <w:highlight w:val="none"/>
        </w:rPr>
      </w:pPr>
      <w:r>
        <w:rPr>
          <w:highlight w:val="none"/>
        </w:rPr>
        <w:fldChar w:fldCharType="begin"/>
      </w:r>
      <w:r>
        <w:rPr>
          <w:highlight w:val="none"/>
        </w:rPr>
        <w:instrText xml:space="preserve"> HYPERLINK \l _Toc31667 </w:instrText>
      </w:r>
      <w:r>
        <w:rPr>
          <w:highlight w:val="none"/>
        </w:rPr>
        <w:fldChar w:fldCharType="separate"/>
      </w:r>
      <w:r>
        <w:rPr>
          <w:rFonts w:hint="eastAsia"/>
          <w:highlight w:val="none"/>
        </w:rPr>
        <w:t>1.3 法律</w:t>
      </w:r>
      <w:r>
        <w:rPr>
          <w:highlight w:val="none"/>
        </w:rPr>
        <w:tab/>
      </w:r>
      <w:r>
        <w:rPr>
          <w:highlight w:val="none"/>
        </w:rPr>
        <w:fldChar w:fldCharType="begin"/>
      </w:r>
      <w:r>
        <w:rPr>
          <w:highlight w:val="none"/>
        </w:rPr>
        <w:instrText xml:space="preserve"> PAGEREF _Toc31667 \h </w:instrText>
      </w:r>
      <w:r>
        <w:rPr>
          <w:highlight w:val="none"/>
        </w:rPr>
        <w:fldChar w:fldCharType="separate"/>
      </w:r>
      <w:r>
        <w:rPr>
          <w:highlight w:val="none"/>
        </w:rPr>
        <w:t>41</w:t>
      </w:r>
      <w:r>
        <w:rPr>
          <w:highlight w:val="none"/>
        </w:rPr>
        <w:fldChar w:fldCharType="end"/>
      </w:r>
      <w:r>
        <w:rPr>
          <w:highlight w:val="none"/>
        </w:rPr>
        <w:fldChar w:fldCharType="end"/>
      </w:r>
    </w:p>
    <w:p w14:paraId="7C06AACD">
      <w:pPr>
        <w:pStyle w:val="17"/>
        <w:tabs>
          <w:tab w:val="right" w:leader="dot" w:pos="8306"/>
        </w:tabs>
        <w:rPr>
          <w:highlight w:val="none"/>
        </w:rPr>
      </w:pPr>
      <w:r>
        <w:rPr>
          <w:highlight w:val="none"/>
        </w:rPr>
        <w:fldChar w:fldCharType="begin"/>
      </w:r>
      <w:r>
        <w:rPr>
          <w:highlight w:val="none"/>
        </w:rPr>
        <w:instrText xml:space="preserve"> HYPERLINK \l _Toc19835 </w:instrText>
      </w:r>
      <w:r>
        <w:rPr>
          <w:highlight w:val="none"/>
        </w:rPr>
        <w:fldChar w:fldCharType="separate"/>
      </w:r>
      <w:r>
        <w:rPr>
          <w:rFonts w:hint="eastAsia"/>
          <w:highlight w:val="none"/>
        </w:rPr>
        <w:t>1.4 合同文件的优先顺序</w:t>
      </w:r>
      <w:r>
        <w:rPr>
          <w:highlight w:val="none"/>
        </w:rPr>
        <w:tab/>
      </w:r>
      <w:r>
        <w:rPr>
          <w:highlight w:val="none"/>
        </w:rPr>
        <w:fldChar w:fldCharType="begin"/>
      </w:r>
      <w:r>
        <w:rPr>
          <w:highlight w:val="none"/>
        </w:rPr>
        <w:instrText xml:space="preserve"> PAGEREF _Toc19835 \h </w:instrText>
      </w:r>
      <w:r>
        <w:rPr>
          <w:highlight w:val="none"/>
        </w:rPr>
        <w:fldChar w:fldCharType="separate"/>
      </w:r>
      <w:r>
        <w:rPr>
          <w:highlight w:val="none"/>
        </w:rPr>
        <w:t>41</w:t>
      </w:r>
      <w:r>
        <w:rPr>
          <w:highlight w:val="none"/>
        </w:rPr>
        <w:fldChar w:fldCharType="end"/>
      </w:r>
      <w:r>
        <w:rPr>
          <w:highlight w:val="none"/>
        </w:rPr>
        <w:fldChar w:fldCharType="end"/>
      </w:r>
    </w:p>
    <w:p w14:paraId="0193DFFD">
      <w:pPr>
        <w:pStyle w:val="17"/>
        <w:tabs>
          <w:tab w:val="right" w:leader="dot" w:pos="8306"/>
        </w:tabs>
        <w:rPr>
          <w:highlight w:val="none"/>
        </w:rPr>
      </w:pPr>
      <w:r>
        <w:rPr>
          <w:highlight w:val="none"/>
        </w:rPr>
        <w:fldChar w:fldCharType="begin"/>
      </w:r>
      <w:r>
        <w:rPr>
          <w:highlight w:val="none"/>
        </w:rPr>
        <w:instrText xml:space="preserve"> HYPERLINK \l _Toc16832 </w:instrText>
      </w:r>
      <w:r>
        <w:rPr>
          <w:highlight w:val="none"/>
        </w:rPr>
        <w:fldChar w:fldCharType="separate"/>
      </w:r>
      <w:r>
        <w:rPr>
          <w:rFonts w:hint="eastAsia"/>
          <w:highlight w:val="none"/>
        </w:rPr>
        <w:t>1.5 合同协议书</w:t>
      </w:r>
      <w:r>
        <w:rPr>
          <w:highlight w:val="none"/>
        </w:rPr>
        <w:tab/>
      </w:r>
      <w:r>
        <w:rPr>
          <w:highlight w:val="none"/>
        </w:rPr>
        <w:fldChar w:fldCharType="begin"/>
      </w:r>
      <w:r>
        <w:rPr>
          <w:highlight w:val="none"/>
        </w:rPr>
        <w:instrText xml:space="preserve"> PAGEREF _Toc16832 \h </w:instrText>
      </w:r>
      <w:r>
        <w:rPr>
          <w:highlight w:val="none"/>
        </w:rPr>
        <w:fldChar w:fldCharType="separate"/>
      </w:r>
      <w:r>
        <w:rPr>
          <w:highlight w:val="none"/>
        </w:rPr>
        <w:t>42</w:t>
      </w:r>
      <w:r>
        <w:rPr>
          <w:highlight w:val="none"/>
        </w:rPr>
        <w:fldChar w:fldCharType="end"/>
      </w:r>
      <w:r>
        <w:rPr>
          <w:highlight w:val="none"/>
        </w:rPr>
        <w:fldChar w:fldCharType="end"/>
      </w:r>
    </w:p>
    <w:p w14:paraId="5219141B">
      <w:pPr>
        <w:pStyle w:val="17"/>
        <w:tabs>
          <w:tab w:val="right" w:leader="dot" w:pos="8306"/>
        </w:tabs>
        <w:rPr>
          <w:highlight w:val="none"/>
        </w:rPr>
      </w:pPr>
      <w:r>
        <w:rPr>
          <w:highlight w:val="none"/>
        </w:rPr>
        <w:fldChar w:fldCharType="begin"/>
      </w:r>
      <w:r>
        <w:rPr>
          <w:highlight w:val="none"/>
        </w:rPr>
        <w:instrText xml:space="preserve"> HYPERLINK \l _Toc24262 </w:instrText>
      </w:r>
      <w:r>
        <w:rPr>
          <w:highlight w:val="none"/>
        </w:rPr>
        <w:fldChar w:fldCharType="separate"/>
      </w:r>
      <w:r>
        <w:rPr>
          <w:rFonts w:hint="eastAsia"/>
          <w:highlight w:val="none"/>
        </w:rPr>
        <w:t>1.6 图纸和承包人文件</w:t>
      </w:r>
      <w:r>
        <w:rPr>
          <w:highlight w:val="none"/>
        </w:rPr>
        <w:tab/>
      </w:r>
      <w:r>
        <w:rPr>
          <w:highlight w:val="none"/>
        </w:rPr>
        <w:fldChar w:fldCharType="begin"/>
      </w:r>
      <w:r>
        <w:rPr>
          <w:highlight w:val="none"/>
        </w:rPr>
        <w:instrText xml:space="preserve"> PAGEREF _Toc24262 \h </w:instrText>
      </w:r>
      <w:r>
        <w:rPr>
          <w:highlight w:val="none"/>
        </w:rPr>
        <w:fldChar w:fldCharType="separate"/>
      </w:r>
      <w:r>
        <w:rPr>
          <w:highlight w:val="none"/>
        </w:rPr>
        <w:t>42</w:t>
      </w:r>
      <w:r>
        <w:rPr>
          <w:highlight w:val="none"/>
        </w:rPr>
        <w:fldChar w:fldCharType="end"/>
      </w:r>
      <w:r>
        <w:rPr>
          <w:highlight w:val="none"/>
        </w:rPr>
        <w:fldChar w:fldCharType="end"/>
      </w:r>
    </w:p>
    <w:p w14:paraId="778AE6F1">
      <w:pPr>
        <w:pStyle w:val="17"/>
        <w:tabs>
          <w:tab w:val="right" w:leader="dot" w:pos="8306"/>
        </w:tabs>
        <w:rPr>
          <w:highlight w:val="none"/>
        </w:rPr>
      </w:pPr>
      <w:r>
        <w:rPr>
          <w:highlight w:val="none"/>
        </w:rPr>
        <w:fldChar w:fldCharType="begin"/>
      </w:r>
      <w:r>
        <w:rPr>
          <w:highlight w:val="none"/>
        </w:rPr>
        <w:instrText xml:space="preserve"> HYPERLINK \l _Toc13859 </w:instrText>
      </w:r>
      <w:r>
        <w:rPr>
          <w:highlight w:val="none"/>
        </w:rPr>
        <w:fldChar w:fldCharType="separate"/>
      </w:r>
      <w:r>
        <w:rPr>
          <w:rFonts w:hint="eastAsia"/>
          <w:highlight w:val="none"/>
        </w:rPr>
        <w:t>1.7 联络</w:t>
      </w:r>
      <w:r>
        <w:rPr>
          <w:highlight w:val="none"/>
        </w:rPr>
        <w:tab/>
      </w:r>
      <w:r>
        <w:rPr>
          <w:highlight w:val="none"/>
        </w:rPr>
        <w:fldChar w:fldCharType="begin"/>
      </w:r>
      <w:r>
        <w:rPr>
          <w:highlight w:val="none"/>
        </w:rPr>
        <w:instrText xml:space="preserve"> PAGEREF _Toc13859 \h </w:instrText>
      </w:r>
      <w:r>
        <w:rPr>
          <w:highlight w:val="none"/>
        </w:rPr>
        <w:fldChar w:fldCharType="separate"/>
      </w:r>
      <w:r>
        <w:rPr>
          <w:highlight w:val="none"/>
        </w:rPr>
        <w:t>42</w:t>
      </w:r>
      <w:r>
        <w:rPr>
          <w:highlight w:val="none"/>
        </w:rPr>
        <w:fldChar w:fldCharType="end"/>
      </w:r>
      <w:r>
        <w:rPr>
          <w:highlight w:val="none"/>
        </w:rPr>
        <w:fldChar w:fldCharType="end"/>
      </w:r>
    </w:p>
    <w:p w14:paraId="0FF88E41">
      <w:pPr>
        <w:pStyle w:val="17"/>
        <w:tabs>
          <w:tab w:val="right" w:leader="dot" w:pos="8306"/>
        </w:tabs>
        <w:rPr>
          <w:highlight w:val="none"/>
        </w:rPr>
      </w:pPr>
      <w:r>
        <w:rPr>
          <w:highlight w:val="none"/>
        </w:rPr>
        <w:fldChar w:fldCharType="begin"/>
      </w:r>
      <w:r>
        <w:rPr>
          <w:highlight w:val="none"/>
        </w:rPr>
        <w:instrText xml:space="preserve"> HYPERLINK \l _Toc4339 </w:instrText>
      </w:r>
      <w:r>
        <w:rPr>
          <w:highlight w:val="none"/>
        </w:rPr>
        <w:fldChar w:fldCharType="separate"/>
      </w:r>
      <w:r>
        <w:rPr>
          <w:rFonts w:hint="eastAsia"/>
          <w:highlight w:val="none"/>
        </w:rPr>
        <w:t>1.8 转让</w:t>
      </w:r>
      <w:r>
        <w:rPr>
          <w:highlight w:val="none"/>
        </w:rPr>
        <w:tab/>
      </w:r>
      <w:r>
        <w:rPr>
          <w:highlight w:val="none"/>
        </w:rPr>
        <w:fldChar w:fldCharType="begin"/>
      </w:r>
      <w:r>
        <w:rPr>
          <w:highlight w:val="none"/>
        </w:rPr>
        <w:instrText xml:space="preserve"> PAGEREF _Toc4339 \h </w:instrText>
      </w:r>
      <w:r>
        <w:rPr>
          <w:highlight w:val="none"/>
        </w:rPr>
        <w:fldChar w:fldCharType="separate"/>
      </w:r>
      <w:r>
        <w:rPr>
          <w:highlight w:val="none"/>
        </w:rPr>
        <w:t>42</w:t>
      </w:r>
      <w:r>
        <w:rPr>
          <w:highlight w:val="none"/>
        </w:rPr>
        <w:fldChar w:fldCharType="end"/>
      </w:r>
      <w:r>
        <w:rPr>
          <w:highlight w:val="none"/>
        </w:rPr>
        <w:fldChar w:fldCharType="end"/>
      </w:r>
    </w:p>
    <w:p w14:paraId="21490287">
      <w:pPr>
        <w:pStyle w:val="17"/>
        <w:tabs>
          <w:tab w:val="right" w:leader="dot" w:pos="8306"/>
        </w:tabs>
        <w:rPr>
          <w:highlight w:val="none"/>
        </w:rPr>
      </w:pPr>
      <w:r>
        <w:rPr>
          <w:highlight w:val="none"/>
        </w:rPr>
        <w:fldChar w:fldCharType="begin"/>
      </w:r>
      <w:r>
        <w:rPr>
          <w:highlight w:val="none"/>
        </w:rPr>
        <w:instrText xml:space="preserve"> HYPERLINK \l _Toc22844 </w:instrText>
      </w:r>
      <w:r>
        <w:rPr>
          <w:highlight w:val="none"/>
        </w:rPr>
        <w:fldChar w:fldCharType="separate"/>
      </w:r>
      <w:r>
        <w:rPr>
          <w:rFonts w:hint="eastAsia"/>
          <w:highlight w:val="none"/>
        </w:rPr>
        <w:t>1.9 严禁贿赂</w:t>
      </w:r>
      <w:r>
        <w:rPr>
          <w:highlight w:val="none"/>
        </w:rPr>
        <w:tab/>
      </w:r>
      <w:r>
        <w:rPr>
          <w:highlight w:val="none"/>
        </w:rPr>
        <w:fldChar w:fldCharType="begin"/>
      </w:r>
      <w:r>
        <w:rPr>
          <w:highlight w:val="none"/>
        </w:rPr>
        <w:instrText xml:space="preserve"> PAGEREF _Toc22844 \h </w:instrText>
      </w:r>
      <w:r>
        <w:rPr>
          <w:highlight w:val="none"/>
        </w:rPr>
        <w:fldChar w:fldCharType="separate"/>
      </w:r>
      <w:r>
        <w:rPr>
          <w:highlight w:val="none"/>
        </w:rPr>
        <w:t>42</w:t>
      </w:r>
      <w:r>
        <w:rPr>
          <w:highlight w:val="none"/>
        </w:rPr>
        <w:fldChar w:fldCharType="end"/>
      </w:r>
      <w:r>
        <w:rPr>
          <w:highlight w:val="none"/>
        </w:rPr>
        <w:fldChar w:fldCharType="end"/>
      </w:r>
    </w:p>
    <w:p w14:paraId="3B79FFEC">
      <w:pPr>
        <w:pStyle w:val="17"/>
        <w:tabs>
          <w:tab w:val="right" w:leader="dot" w:pos="8306"/>
        </w:tabs>
        <w:rPr>
          <w:highlight w:val="none"/>
        </w:rPr>
      </w:pPr>
      <w:r>
        <w:rPr>
          <w:highlight w:val="none"/>
        </w:rPr>
        <w:fldChar w:fldCharType="begin"/>
      </w:r>
      <w:r>
        <w:rPr>
          <w:highlight w:val="none"/>
        </w:rPr>
        <w:instrText xml:space="preserve"> HYPERLINK \l _Toc17386 </w:instrText>
      </w:r>
      <w:r>
        <w:rPr>
          <w:highlight w:val="none"/>
        </w:rPr>
        <w:fldChar w:fldCharType="separate"/>
      </w:r>
      <w:r>
        <w:rPr>
          <w:rFonts w:hint="eastAsia"/>
          <w:highlight w:val="none"/>
        </w:rPr>
        <w:t>1.10 化石、文物</w:t>
      </w:r>
      <w:r>
        <w:rPr>
          <w:highlight w:val="none"/>
        </w:rPr>
        <w:tab/>
      </w:r>
      <w:r>
        <w:rPr>
          <w:highlight w:val="none"/>
        </w:rPr>
        <w:fldChar w:fldCharType="begin"/>
      </w:r>
      <w:r>
        <w:rPr>
          <w:highlight w:val="none"/>
        </w:rPr>
        <w:instrText xml:space="preserve"> PAGEREF _Toc17386 \h </w:instrText>
      </w:r>
      <w:r>
        <w:rPr>
          <w:highlight w:val="none"/>
        </w:rPr>
        <w:fldChar w:fldCharType="separate"/>
      </w:r>
      <w:r>
        <w:rPr>
          <w:highlight w:val="none"/>
        </w:rPr>
        <w:t>42</w:t>
      </w:r>
      <w:r>
        <w:rPr>
          <w:highlight w:val="none"/>
        </w:rPr>
        <w:fldChar w:fldCharType="end"/>
      </w:r>
      <w:r>
        <w:rPr>
          <w:highlight w:val="none"/>
        </w:rPr>
        <w:fldChar w:fldCharType="end"/>
      </w:r>
    </w:p>
    <w:p w14:paraId="2BF9BCEC">
      <w:pPr>
        <w:pStyle w:val="17"/>
        <w:tabs>
          <w:tab w:val="right" w:leader="dot" w:pos="8306"/>
        </w:tabs>
        <w:rPr>
          <w:highlight w:val="none"/>
        </w:rPr>
      </w:pPr>
      <w:r>
        <w:rPr>
          <w:highlight w:val="none"/>
        </w:rPr>
        <w:fldChar w:fldCharType="begin"/>
      </w:r>
      <w:r>
        <w:rPr>
          <w:highlight w:val="none"/>
        </w:rPr>
        <w:instrText xml:space="preserve"> HYPERLINK \l _Toc4148 </w:instrText>
      </w:r>
      <w:r>
        <w:rPr>
          <w:highlight w:val="none"/>
        </w:rPr>
        <w:fldChar w:fldCharType="separate"/>
      </w:r>
      <w:r>
        <w:rPr>
          <w:rFonts w:hint="eastAsia"/>
          <w:highlight w:val="none"/>
        </w:rPr>
        <w:t>1.11 专利技术</w:t>
      </w:r>
      <w:r>
        <w:rPr>
          <w:highlight w:val="none"/>
        </w:rPr>
        <w:tab/>
      </w:r>
      <w:r>
        <w:rPr>
          <w:highlight w:val="none"/>
        </w:rPr>
        <w:fldChar w:fldCharType="begin"/>
      </w:r>
      <w:r>
        <w:rPr>
          <w:highlight w:val="none"/>
        </w:rPr>
        <w:instrText xml:space="preserve"> PAGEREF _Toc4148 \h </w:instrText>
      </w:r>
      <w:r>
        <w:rPr>
          <w:highlight w:val="none"/>
        </w:rPr>
        <w:fldChar w:fldCharType="separate"/>
      </w:r>
      <w:r>
        <w:rPr>
          <w:highlight w:val="none"/>
        </w:rPr>
        <w:t>43</w:t>
      </w:r>
      <w:r>
        <w:rPr>
          <w:highlight w:val="none"/>
        </w:rPr>
        <w:fldChar w:fldCharType="end"/>
      </w:r>
      <w:r>
        <w:rPr>
          <w:highlight w:val="none"/>
        </w:rPr>
        <w:fldChar w:fldCharType="end"/>
      </w:r>
    </w:p>
    <w:p w14:paraId="7E48ABF9">
      <w:pPr>
        <w:pStyle w:val="17"/>
        <w:tabs>
          <w:tab w:val="right" w:leader="dot" w:pos="8306"/>
        </w:tabs>
        <w:rPr>
          <w:highlight w:val="none"/>
        </w:rPr>
      </w:pPr>
      <w:r>
        <w:rPr>
          <w:highlight w:val="none"/>
        </w:rPr>
        <w:fldChar w:fldCharType="begin"/>
      </w:r>
      <w:r>
        <w:rPr>
          <w:highlight w:val="none"/>
        </w:rPr>
        <w:instrText xml:space="preserve"> HYPERLINK \l _Toc16773 </w:instrText>
      </w:r>
      <w:r>
        <w:rPr>
          <w:highlight w:val="none"/>
        </w:rPr>
        <w:fldChar w:fldCharType="separate"/>
      </w:r>
      <w:r>
        <w:rPr>
          <w:rFonts w:hint="eastAsia"/>
          <w:highlight w:val="none"/>
        </w:rPr>
        <w:t>1.12 图纸和文件的保密</w:t>
      </w:r>
      <w:r>
        <w:rPr>
          <w:highlight w:val="none"/>
        </w:rPr>
        <w:tab/>
      </w:r>
      <w:r>
        <w:rPr>
          <w:highlight w:val="none"/>
        </w:rPr>
        <w:fldChar w:fldCharType="begin"/>
      </w:r>
      <w:r>
        <w:rPr>
          <w:highlight w:val="none"/>
        </w:rPr>
        <w:instrText xml:space="preserve"> PAGEREF _Toc16773 \h </w:instrText>
      </w:r>
      <w:r>
        <w:rPr>
          <w:highlight w:val="none"/>
        </w:rPr>
        <w:fldChar w:fldCharType="separate"/>
      </w:r>
      <w:r>
        <w:rPr>
          <w:highlight w:val="none"/>
        </w:rPr>
        <w:t>43</w:t>
      </w:r>
      <w:r>
        <w:rPr>
          <w:highlight w:val="none"/>
        </w:rPr>
        <w:fldChar w:fldCharType="end"/>
      </w:r>
      <w:r>
        <w:rPr>
          <w:highlight w:val="none"/>
        </w:rPr>
        <w:fldChar w:fldCharType="end"/>
      </w:r>
    </w:p>
    <w:p w14:paraId="408E3492">
      <w:pPr>
        <w:pStyle w:val="24"/>
        <w:tabs>
          <w:tab w:val="right" w:leader="dot" w:pos="8306"/>
        </w:tabs>
        <w:rPr>
          <w:highlight w:val="none"/>
        </w:rPr>
      </w:pPr>
      <w:r>
        <w:rPr>
          <w:highlight w:val="none"/>
        </w:rPr>
        <w:fldChar w:fldCharType="begin"/>
      </w:r>
      <w:r>
        <w:rPr>
          <w:highlight w:val="none"/>
        </w:rPr>
        <w:instrText xml:space="preserve"> HYPERLINK \l _Toc31089 </w:instrText>
      </w:r>
      <w:r>
        <w:rPr>
          <w:highlight w:val="none"/>
        </w:rPr>
        <w:fldChar w:fldCharType="separate"/>
      </w:r>
      <w:r>
        <w:rPr>
          <w:rFonts w:hint="eastAsia"/>
          <w:highlight w:val="none"/>
        </w:rPr>
        <w:t>2. 发包人义务</w:t>
      </w:r>
      <w:r>
        <w:rPr>
          <w:highlight w:val="none"/>
        </w:rPr>
        <w:tab/>
      </w:r>
      <w:r>
        <w:rPr>
          <w:highlight w:val="none"/>
        </w:rPr>
        <w:fldChar w:fldCharType="begin"/>
      </w:r>
      <w:r>
        <w:rPr>
          <w:highlight w:val="none"/>
        </w:rPr>
        <w:instrText xml:space="preserve"> PAGEREF _Toc31089 \h </w:instrText>
      </w:r>
      <w:r>
        <w:rPr>
          <w:highlight w:val="none"/>
        </w:rPr>
        <w:fldChar w:fldCharType="separate"/>
      </w:r>
      <w:r>
        <w:rPr>
          <w:highlight w:val="none"/>
        </w:rPr>
        <w:t>43</w:t>
      </w:r>
      <w:r>
        <w:rPr>
          <w:highlight w:val="none"/>
        </w:rPr>
        <w:fldChar w:fldCharType="end"/>
      </w:r>
      <w:r>
        <w:rPr>
          <w:highlight w:val="none"/>
        </w:rPr>
        <w:fldChar w:fldCharType="end"/>
      </w:r>
    </w:p>
    <w:p w14:paraId="247B608A">
      <w:pPr>
        <w:pStyle w:val="17"/>
        <w:tabs>
          <w:tab w:val="right" w:leader="dot" w:pos="8306"/>
        </w:tabs>
        <w:rPr>
          <w:highlight w:val="none"/>
        </w:rPr>
      </w:pPr>
      <w:r>
        <w:rPr>
          <w:highlight w:val="none"/>
        </w:rPr>
        <w:fldChar w:fldCharType="begin"/>
      </w:r>
      <w:r>
        <w:rPr>
          <w:highlight w:val="none"/>
        </w:rPr>
        <w:instrText xml:space="preserve"> HYPERLINK \l _Toc710 </w:instrText>
      </w:r>
      <w:r>
        <w:rPr>
          <w:highlight w:val="none"/>
        </w:rPr>
        <w:fldChar w:fldCharType="separate"/>
      </w:r>
      <w:r>
        <w:rPr>
          <w:rFonts w:hint="eastAsia"/>
          <w:highlight w:val="none"/>
        </w:rPr>
        <w:t>2.1 遵守法律</w:t>
      </w:r>
      <w:r>
        <w:rPr>
          <w:highlight w:val="none"/>
        </w:rPr>
        <w:tab/>
      </w:r>
      <w:r>
        <w:rPr>
          <w:highlight w:val="none"/>
        </w:rPr>
        <w:fldChar w:fldCharType="begin"/>
      </w:r>
      <w:r>
        <w:rPr>
          <w:highlight w:val="none"/>
        </w:rPr>
        <w:instrText xml:space="preserve"> PAGEREF _Toc710 \h </w:instrText>
      </w:r>
      <w:r>
        <w:rPr>
          <w:highlight w:val="none"/>
        </w:rPr>
        <w:fldChar w:fldCharType="separate"/>
      </w:r>
      <w:r>
        <w:rPr>
          <w:highlight w:val="none"/>
        </w:rPr>
        <w:t>43</w:t>
      </w:r>
      <w:r>
        <w:rPr>
          <w:highlight w:val="none"/>
        </w:rPr>
        <w:fldChar w:fldCharType="end"/>
      </w:r>
      <w:r>
        <w:rPr>
          <w:highlight w:val="none"/>
        </w:rPr>
        <w:fldChar w:fldCharType="end"/>
      </w:r>
    </w:p>
    <w:p w14:paraId="2E87B36B">
      <w:pPr>
        <w:pStyle w:val="17"/>
        <w:tabs>
          <w:tab w:val="right" w:leader="dot" w:pos="8306"/>
        </w:tabs>
        <w:rPr>
          <w:highlight w:val="none"/>
        </w:rPr>
      </w:pPr>
      <w:r>
        <w:rPr>
          <w:highlight w:val="none"/>
        </w:rPr>
        <w:fldChar w:fldCharType="begin"/>
      </w:r>
      <w:r>
        <w:rPr>
          <w:highlight w:val="none"/>
        </w:rPr>
        <w:instrText xml:space="preserve"> HYPERLINK \l _Toc21871 </w:instrText>
      </w:r>
      <w:r>
        <w:rPr>
          <w:highlight w:val="none"/>
        </w:rPr>
        <w:fldChar w:fldCharType="separate"/>
      </w:r>
      <w:r>
        <w:rPr>
          <w:rFonts w:hint="eastAsia"/>
          <w:highlight w:val="none"/>
        </w:rPr>
        <w:t>2.2 发出开工通知</w:t>
      </w:r>
      <w:r>
        <w:rPr>
          <w:highlight w:val="none"/>
        </w:rPr>
        <w:tab/>
      </w:r>
      <w:r>
        <w:rPr>
          <w:highlight w:val="none"/>
        </w:rPr>
        <w:fldChar w:fldCharType="begin"/>
      </w:r>
      <w:r>
        <w:rPr>
          <w:highlight w:val="none"/>
        </w:rPr>
        <w:instrText xml:space="preserve"> PAGEREF _Toc21871 \h </w:instrText>
      </w:r>
      <w:r>
        <w:rPr>
          <w:highlight w:val="none"/>
        </w:rPr>
        <w:fldChar w:fldCharType="separate"/>
      </w:r>
      <w:r>
        <w:rPr>
          <w:highlight w:val="none"/>
        </w:rPr>
        <w:t>43</w:t>
      </w:r>
      <w:r>
        <w:rPr>
          <w:highlight w:val="none"/>
        </w:rPr>
        <w:fldChar w:fldCharType="end"/>
      </w:r>
      <w:r>
        <w:rPr>
          <w:highlight w:val="none"/>
        </w:rPr>
        <w:fldChar w:fldCharType="end"/>
      </w:r>
    </w:p>
    <w:p w14:paraId="5A944B5C">
      <w:pPr>
        <w:pStyle w:val="17"/>
        <w:tabs>
          <w:tab w:val="right" w:leader="dot" w:pos="8306"/>
        </w:tabs>
        <w:rPr>
          <w:highlight w:val="none"/>
        </w:rPr>
      </w:pPr>
      <w:r>
        <w:rPr>
          <w:highlight w:val="none"/>
        </w:rPr>
        <w:fldChar w:fldCharType="begin"/>
      </w:r>
      <w:r>
        <w:rPr>
          <w:highlight w:val="none"/>
        </w:rPr>
        <w:instrText xml:space="preserve"> HYPERLINK \l _Toc19368 </w:instrText>
      </w:r>
      <w:r>
        <w:rPr>
          <w:highlight w:val="none"/>
        </w:rPr>
        <w:fldChar w:fldCharType="separate"/>
      </w:r>
      <w:r>
        <w:rPr>
          <w:rFonts w:hint="eastAsia"/>
          <w:highlight w:val="none"/>
        </w:rPr>
        <w:t>2.3 提供施工场地</w:t>
      </w:r>
      <w:r>
        <w:rPr>
          <w:highlight w:val="none"/>
        </w:rPr>
        <w:tab/>
      </w:r>
      <w:r>
        <w:rPr>
          <w:highlight w:val="none"/>
        </w:rPr>
        <w:fldChar w:fldCharType="begin"/>
      </w:r>
      <w:r>
        <w:rPr>
          <w:highlight w:val="none"/>
        </w:rPr>
        <w:instrText xml:space="preserve"> PAGEREF _Toc19368 \h </w:instrText>
      </w:r>
      <w:r>
        <w:rPr>
          <w:highlight w:val="none"/>
        </w:rPr>
        <w:fldChar w:fldCharType="separate"/>
      </w:r>
      <w:r>
        <w:rPr>
          <w:highlight w:val="none"/>
        </w:rPr>
        <w:t>43</w:t>
      </w:r>
      <w:r>
        <w:rPr>
          <w:highlight w:val="none"/>
        </w:rPr>
        <w:fldChar w:fldCharType="end"/>
      </w:r>
      <w:r>
        <w:rPr>
          <w:highlight w:val="none"/>
        </w:rPr>
        <w:fldChar w:fldCharType="end"/>
      </w:r>
    </w:p>
    <w:p w14:paraId="7C7F0E4F">
      <w:pPr>
        <w:pStyle w:val="17"/>
        <w:tabs>
          <w:tab w:val="right" w:leader="dot" w:pos="8306"/>
        </w:tabs>
        <w:rPr>
          <w:highlight w:val="none"/>
        </w:rPr>
      </w:pPr>
      <w:r>
        <w:rPr>
          <w:highlight w:val="none"/>
        </w:rPr>
        <w:fldChar w:fldCharType="begin"/>
      </w:r>
      <w:r>
        <w:rPr>
          <w:highlight w:val="none"/>
        </w:rPr>
        <w:instrText xml:space="preserve"> HYPERLINK \l _Toc12236 </w:instrText>
      </w:r>
      <w:r>
        <w:rPr>
          <w:highlight w:val="none"/>
        </w:rPr>
        <w:fldChar w:fldCharType="separate"/>
      </w:r>
      <w:r>
        <w:rPr>
          <w:rFonts w:hint="eastAsia"/>
          <w:highlight w:val="none"/>
        </w:rPr>
        <w:t>2.4 协助承包人办理证件和批件</w:t>
      </w:r>
      <w:r>
        <w:rPr>
          <w:highlight w:val="none"/>
        </w:rPr>
        <w:tab/>
      </w:r>
      <w:r>
        <w:rPr>
          <w:highlight w:val="none"/>
        </w:rPr>
        <w:fldChar w:fldCharType="begin"/>
      </w:r>
      <w:r>
        <w:rPr>
          <w:highlight w:val="none"/>
        </w:rPr>
        <w:instrText xml:space="preserve"> PAGEREF _Toc12236 \h </w:instrText>
      </w:r>
      <w:r>
        <w:rPr>
          <w:highlight w:val="none"/>
        </w:rPr>
        <w:fldChar w:fldCharType="separate"/>
      </w:r>
      <w:r>
        <w:rPr>
          <w:highlight w:val="none"/>
        </w:rPr>
        <w:t>43</w:t>
      </w:r>
      <w:r>
        <w:rPr>
          <w:highlight w:val="none"/>
        </w:rPr>
        <w:fldChar w:fldCharType="end"/>
      </w:r>
      <w:r>
        <w:rPr>
          <w:highlight w:val="none"/>
        </w:rPr>
        <w:fldChar w:fldCharType="end"/>
      </w:r>
    </w:p>
    <w:p w14:paraId="1E3A39E3">
      <w:pPr>
        <w:pStyle w:val="17"/>
        <w:tabs>
          <w:tab w:val="right" w:leader="dot" w:pos="8306"/>
        </w:tabs>
        <w:rPr>
          <w:highlight w:val="none"/>
        </w:rPr>
      </w:pPr>
      <w:r>
        <w:rPr>
          <w:highlight w:val="none"/>
        </w:rPr>
        <w:fldChar w:fldCharType="begin"/>
      </w:r>
      <w:r>
        <w:rPr>
          <w:highlight w:val="none"/>
        </w:rPr>
        <w:instrText xml:space="preserve"> HYPERLINK \l _Toc15012 </w:instrText>
      </w:r>
      <w:r>
        <w:rPr>
          <w:highlight w:val="none"/>
        </w:rPr>
        <w:fldChar w:fldCharType="separate"/>
      </w:r>
      <w:r>
        <w:rPr>
          <w:rFonts w:hint="eastAsia"/>
          <w:highlight w:val="none"/>
        </w:rPr>
        <w:t>2.5 组织设计交底</w:t>
      </w:r>
      <w:r>
        <w:rPr>
          <w:highlight w:val="none"/>
        </w:rPr>
        <w:tab/>
      </w:r>
      <w:r>
        <w:rPr>
          <w:highlight w:val="none"/>
        </w:rPr>
        <w:fldChar w:fldCharType="begin"/>
      </w:r>
      <w:r>
        <w:rPr>
          <w:highlight w:val="none"/>
        </w:rPr>
        <w:instrText xml:space="preserve"> PAGEREF _Toc15012 \h </w:instrText>
      </w:r>
      <w:r>
        <w:rPr>
          <w:highlight w:val="none"/>
        </w:rPr>
        <w:fldChar w:fldCharType="separate"/>
      </w:r>
      <w:r>
        <w:rPr>
          <w:highlight w:val="none"/>
        </w:rPr>
        <w:t>43</w:t>
      </w:r>
      <w:r>
        <w:rPr>
          <w:highlight w:val="none"/>
        </w:rPr>
        <w:fldChar w:fldCharType="end"/>
      </w:r>
      <w:r>
        <w:rPr>
          <w:highlight w:val="none"/>
        </w:rPr>
        <w:fldChar w:fldCharType="end"/>
      </w:r>
    </w:p>
    <w:p w14:paraId="5EF43D50">
      <w:pPr>
        <w:pStyle w:val="17"/>
        <w:tabs>
          <w:tab w:val="right" w:leader="dot" w:pos="8306"/>
        </w:tabs>
        <w:rPr>
          <w:highlight w:val="none"/>
        </w:rPr>
      </w:pPr>
      <w:r>
        <w:rPr>
          <w:highlight w:val="none"/>
        </w:rPr>
        <w:fldChar w:fldCharType="begin"/>
      </w:r>
      <w:r>
        <w:rPr>
          <w:highlight w:val="none"/>
        </w:rPr>
        <w:instrText xml:space="preserve"> HYPERLINK \l _Toc4421 </w:instrText>
      </w:r>
      <w:r>
        <w:rPr>
          <w:highlight w:val="none"/>
        </w:rPr>
        <w:fldChar w:fldCharType="separate"/>
      </w:r>
      <w:r>
        <w:rPr>
          <w:rFonts w:hint="eastAsia"/>
          <w:highlight w:val="none"/>
        </w:rPr>
        <w:t>2.6 支付合同价款</w:t>
      </w:r>
      <w:r>
        <w:rPr>
          <w:highlight w:val="none"/>
        </w:rPr>
        <w:tab/>
      </w:r>
      <w:r>
        <w:rPr>
          <w:highlight w:val="none"/>
        </w:rPr>
        <w:fldChar w:fldCharType="begin"/>
      </w:r>
      <w:r>
        <w:rPr>
          <w:highlight w:val="none"/>
        </w:rPr>
        <w:instrText xml:space="preserve"> PAGEREF _Toc4421 \h </w:instrText>
      </w:r>
      <w:r>
        <w:rPr>
          <w:highlight w:val="none"/>
        </w:rPr>
        <w:fldChar w:fldCharType="separate"/>
      </w:r>
      <w:r>
        <w:rPr>
          <w:highlight w:val="none"/>
        </w:rPr>
        <w:t>43</w:t>
      </w:r>
      <w:r>
        <w:rPr>
          <w:highlight w:val="none"/>
        </w:rPr>
        <w:fldChar w:fldCharType="end"/>
      </w:r>
      <w:r>
        <w:rPr>
          <w:highlight w:val="none"/>
        </w:rPr>
        <w:fldChar w:fldCharType="end"/>
      </w:r>
    </w:p>
    <w:p w14:paraId="6AE45102">
      <w:pPr>
        <w:pStyle w:val="17"/>
        <w:tabs>
          <w:tab w:val="right" w:leader="dot" w:pos="8306"/>
        </w:tabs>
        <w:rPr>
          <w:highlight w:val="none"/>
        </w:rPr>
      </w:pPr>
      <w:r>
        <w:rPr>
          <w:highlight w:val="none"/>
        </w:rPr>
        <w:fldChar w:fldCharType="begin"/>
      </w:r>
      <w:r>
        <w:rPr>
          <w:highlight w:val="none"/>
        </w:rPr>
        <w:instrText xml:space="preserve"> HYPERLINK \l _Toc4375 </w:instrText>
      </w:r>
      <w:r>
        <w:rPr>
          <w:highlight w:val="none"/>
        </w:rPr>
        <w:fldChar w:fldCharType="separate"/>
      </w:r>
      <w:r>
        <w:rPr>
          <w:rFonts w:hint="eastAsia"/>
          <w:highlight w:val="none"/>
        </w:rPr>
        <w:t>2.7 组织竣工验收</w:t>
      </w:r>
      <w:r>
        <w:rPr>
          <w:highlight w:val="none"/>
        </w:rPr>
        <w:tab/>
      </w:r>
      <w:r>
        <w:rPr>
          <w:highlight w:val="none"/>
        </w:rPr>
        <w:fldChar w:fldCharType="begin"/>
      </w:r>
      <w:r>
        <w:rPr>
          <w:highlight w:val="none"/>
        </w:rPr>
        <w:instrText xml:space="preserve"> PAGEREF _Toc4375 \h </w:instrText>
      </w:r>
      <w:r>
        <w:rPr>
          <w:highlight w:val="none"/>
        </w:rPr>
        <w:fldChar w:fldCharType="separate"/>
      </w:r>
      <w:r>
        <w:rPr>
          <w:highlight w:val="none"/>
        </w:rPr>
        <w:t>43</w:t>
      </w:r>
      <w:r>
        <w:rPr>
          <w:highlight w:val="none"/>
        </w:rPr>
        <w:fldChar w:fldCharType="end"/>
      </w:r>
      <w:r>
        <w:rPr>
          <w:highlight w:val="none"/>
        </w:rPr>
        <w:fldChar w:fldCharType="end"/>
      </w:r>
    </w:p>
    <w:p w14:paraId="29D2AFAD">
      <w:pPr>
        <w:pStyle w:val="17"/>
        <w:tabs>
          <w:tab w:val="right" w:leader="dot" w:pos="8306"/>
        </w:tabs>
        <w:rPr>
          <w:highlight w:val="none"/>
        </w:rPr>
      </w:pPr>
      <w:r>
        <w:rPr>
          <w:highlight w:val="none"/>
        </w:rPr>
        <w:fldChar w:fldCharType="begin"/>
      </w:r>
      <w:r>
        <w:rPr>
          <w:highlight w:val="none"/>
        </w:rPr>
        <w:instrText xml:space="preserve"> HYPERLINK \l _Toc2798 </w:instrText>
      </w:r>
      <w:r>
        <w:rPr>
          <w:highlight w:val="none"/>
        </w:rPr>
        <w:fldChar w:fldCharType="separate"/>
      </w:r>
      <w:r>
        <w:rPr>
          <w:rFonts w:hint="eastAsia"/>
          <w:highlight w:val="none"/>
        </w:rPr>
        <w:t>2.8 其他义务</w:t>
      </w:r>
      <w:r>
        <w:rPr>
          <w:highlight w:val="none"/>
        </w:rPr>
        <w:tab/>
      </w:r>
      <w:r>
        <w:rPr>
          <w:highlight w:val="none"/>
        </w:rPr>
        <w:fldChar w:fldCharType="begin"/>
      </w:r>
      <w:r>
        <w:rPr>
          <w:highlight w:val="none"/>
        </w:rPr>
        <w:instrText xml:space="preserve"> PAGEREF _Toc2798 \h </w:instrText>
      </w:r>
      <w:r>
        <w:rPr>
          <w:highlight w:val="none"/>
        </w:rPr>
        <w:fldChar w:fldCharType="separate"/>
      </w:r>
      <w:r>
        <w:rPr>
          <w:highlight w:val="none"/>
        </w:rPr>
        <w:t>44</w:t>
      </w:r>
      <w:r>
        <w:rPr>
          <w:highlight w:val="none"/>
        </w:rPr>
        <w:fldChar w:fldCharType="end"/>
      </w:r>
      <w:r>
        <w:rPr>
          <w:highlight w:val="none"/>
        </w:rPr>
        <w:fldChar w:fldCharType="end"/>
      </w:r>
    </w:p>
    <w:p w14:paraId="4BF3180E">
      <w:pPr>
        <w:pStyle w:val="24"/>
        <w:tabs>
          <w:tab w:val="right" w:leader="dot" w:pos="8306"/>
        </w:tabs>
        <w:rPr>
          <w:highlight w:val="none"/>
        </w:rPr>
      </w:pPr>
      <w:r>
        <w:rPr>
          <w:highlight w:val="none"/>
        </w:rPr>
        <w:fldChar w:fldCharType="begin"/>
      </w:r>
      <w:r>
        <w:rPr>
          <w:highlight w:val="none"/>
        </w:rPr>
        <w:instrText xml:space="preserve"> HYPERLINK \l _Toc25652 </w:instrText>
      </w:r>
      <w:r>
        <w:rPr>
          <w:highlight w:val="none"/>
        </w:rPr>
        <w:fldChar w:fldCharType="separate"/>
      </w:r>
      <w:r>
        <w:rPr>
          <w:rFonts w:hint="eastAsia"/>
          <w:highlight w:val="none"/>
        </w:rPr>
        <w:t>3. 监理人</w:t>
      </w:r>
      <w:r>
        <w:rPr>
          <w:highlight w:val="none"/>
        </w:rPr>
        <w:tab/>
      </w:r>
      <w:r>
        <w:rPr>
          <w:highlight w:val="none"/>
        </w:rPr>
        <w:fldChar w:fldCharType="begin"/>
      </w:r>
      <w:r>
        <w:rPr>
          <w:highlight w:val="none"/>
        </w:rPr>
        <w:instrText xml:space="preserve"> PAGEREF _Toc25652 \h </w:instrText>
      </w:r>
      <w:r>
        <w:rPr>
          <w:highlight w:val="none"/>
        </w:rPr>
        <w:fldChar w:fldCharType="separate"/>
      </w:r>
      <w:r>
        <w:rPr>
          <w:highlight w:val="none"/>
        </w:rPr>
        <w:t>44</w:t>
      </w:r>
      <w:r>
        <w:rPr>
          <w:highlight w:val="none"/>
        </w:rPr>
        <w:fldChar w:fldCharType="end"/>
      </w:r>
      <w:r>
        <w:rPr>
          <w:highlight w:val="none"/>
        </w:rPr>
        <w:fldChar w:fldCharType="end"/>
      </w:r>
    </w:p>
    <w:p w14:paraId="46D9B125">
      <w:pPr>
        <w:pStyle w:val="17"/>
        <w:tabs>
          <w:tab w:val="right" w:leader="dot" w:pos="8306"/>
        </w:tabs>
        <w:rPr>
          <w:highlight w:val="none"/>
        </w:rPr>
      </w:pPr>
      <w:r>
        <w:rPr>
          <w:highlight w:val="none"/>
        </w:rPr>
        <w:fldChar w:fldCharType="begin"/>
      </w:r>
      <w:r>
        <w:rPr>
          <w:highlight w:val="none"/>
        </w:rPr>
        <w:instrText xml:space="preserve"> HYPERLINK \l _Toc11253 </w:instrText>
      </w:r>
      <w:r>
        <w:rPr>
          <w:highlight w:val="none"/>
        </w:rPr>
        <w:fldChar w:fldCharType="separate"/>
      </w:r>
      <w:r>
        <w:rPr>
          <w:rFonts w:hint="eastAsia"/>
          <w:highlight w:val="none"/>
        </w:rPr>
        <w:t>3.1 监理人的职责和权力</w:t>
      </w:r>
      <w:r>
        <w:rPr>
          <w:highlight w:val="none"/>
        </w:rPr>
        <w:tab/>
      </w:r>
      <w:r>
        <w:rPr>
          <w:highlight w:val="none"/>
        </w:rPr>
        <w:fldChar w:fldCharType="begin"/>
      </w:r>
      <w:r>
        <w:rPr>
          <w:highlight w:val="none"/>
        </w:rPr>
        <w:instrText xml:space="preserve"> PAGEREF _Toc11253 \h </w:instrText>
      </w:r>
      <w:r>
        <w:rPr>
          <w:highlight w:val="none"/>
        </w:rPr>
        <w:fldChar w:fldCharType="separate"/>
      </w:r>
      <w:r>
        <w:rPr>
          <w:highlight w:val="none"/>
        </w:rPr>
        <w:t>44</w:t>
      </w:r>
      <w:r>
        <w:rPr>
          <w:highlight w:val="none"/>
        </w:rPr>
        <w:fldChar w:fldCharType="end"/>
      </w:r>
      <w:r>
        <w:rPr>
          <w:highlight w:val="none"/>
        </w:rPr>
        <w:fldChar w:fldCharType="end"/>
      </w:r>
    </w:p>
    <w:p w14:paraId="68DFC55D">
      <w:pPr>
        <w:pStyle w:val="17"/>
        <w:tabs>
          <w:tab w:val="right" w:leader="dot" w:pos="8306"/>
        </w:tabs>
        <w:rPr>
          <w:highlight w:val="none"/>
        </w:rPr>
      </w:pPr>
      <w:r>
        <w:rPr>
          <w:highlight w:val="none"/>
        </w:rPr>
        <w:fldChar w:fldCharType="begin"/>
      </w:r>
      <w:r>
        <w:rPr>
          <w:highlight w:val="none"/>
        </w:rPr>
        <w:instrText xml:space="preserve"> HYPERLINK \l _Toc8741 </w:instrText>
      </w:r>
      <w:r>
        <w:rPr>
          <w:highlight w:val="none"/>
        </w:rPr>
        <w:fldChar w:fldCharType="separate"/>
      </w:r>
      <w:r>
        <w:rPr>
          <w:rFonts w:hint="eastAsia"/>
          <w:highlight w:val="none"/>
        </w:rPr>
        <w:t>3.2 总监理工程师</w:t>
      </w:r>
      <w:r>
        <w:rPr>
          <w:highlight w:val="none"/>
        </w:rPr>
        <w:tab/>
      </w:r>
      <w:r>
        <w:rPr>
          <w:highlight w:val="none"/>
        </w:rPr>
        <w:fldChar w:fldCharType="begin"/>
      </w:r>
      <w:r>
        <w:rPr>
          <w:highlight w:val="none"/>
        </w:rPr>
        <w:instrText xml:space="preserve"> PAGEREF _Toc8741 \h </w:instrText>
      </w:r>
      <w:r>
        <w:rPr>
          <w:highlight w:val="none"/>
        </w:rPr>
        <w:fldChar w:fldCharType="separate"/>
      </w:r>
      <w:r>
        <w:rPr>
          <w:highlight w:val="none"/>
        </w:rPr>
        <w:t>44</w:t>
      </w:r>
      <w:r>
        <w:rPr>
          <w:highlight w:val="none"/>
        </w:rPr>
        <w:fldChar w:fldCharType="end"/>
      </w:r>
      <w:r>
        <w:rPr>
          <w:highlight w:val="none"/>
        </w:rPr>
        <w:fldChar w:fldCharType="end"/>
      </w:r>
    </w:p>
    <w:p w14:paraId="28B66318">
      <w:pPr>
        <w:pStyle w:val="17"/>
        <w:tabs>
          <w:tab w:val="right" w:leader="dot" w:pos="8306"/>
        </w:tabs>
        <w:rPr>
          <w:highlight w:val="none"/>
        </w:rPr>
      </w:pPr>
      <w:r>
        <w:rPr>
          <w:highlight w:val="none"/>
        </w:rPr>
        <w:fldChar w:fldCharType="begin"/>
      </w:r>
      <w:r>
        <w:rPr>
          <w:highlight w:val="none"/>
        </w:rPr>
        <w:instrText xml:space="preserve"> HYPERLINK \l _Toc16045 </w:instrText>
      </w:r>
      <w:r>
        <w:rPr>
          <w:highlight w:val="none"/>
        </w:rPr>
        <w:fldChar w:fldCharType="separate"/>
      </w:r>
      <w:r>
        <w:rPr>
          <w:rFonts w:hint="eastAsia"/>
          <w:highlight w:val="none"/>
        </w:rPr>
        <w:t>3.3 监理人员</w:t>
      </w:r>
      <w:r>
        <w:rPr>
          <w:highlight w:val="none"/>
        </w:rPr>
        <w:tab/>
      </w:r>
      <w:r>
        <w:rPr>
          <w:highlight w:val="none"/>
        </w:rPr>
        <w:fldChar w:fldCharType="begin"/>
      </w:r>
      <w:r>
        <w:rPr>
          <w:highlight w:val="none"/>
        </w:rPr>
        <w:instrText xml:space="preserve"> PAGEREF _Toc16045 \h </w:instrText>
      </w:r>
      <w:r>
        <w:rPr>
          <w:highlight w:val="none"/>
        </w:rPr>
        <w:fldChar w:fldCharType="separate"/>
      </w:r>
      <w:r>
        <w:rPr>
          <w:highlight w:val="none"/>
        </w:rPr>
        <w:t>44</w:t>
      </w:r>
      <w:r>
        <w:rPr>
          <w:highlight w:val="none"/>
        </w:rPr>
        <w:fldChar w:fldCharType="end"/>
      </w:r>
      <w:r>
        <w:rPr>
          <w:highlight w:val="none"/>
        </w:rPr>
        <w:fldChar w:fldCharType="end"/>
      </w:r>
    </w:p>
    <w:p w14:paraId="70FF5765">
      <w:pPr>
        <w:pStyle w:val="17"/>
        <w:tabs>
          <w:tab w:val="right" w:leader="dot" w:pos="8306"/>
        </w:tabs>
        <w:rPr>
          <w:highlight w:val="none"/>
        </w:rPr>
      </w:pPr>
      <w:r>
        <w:rPr>
          <w:highlight w:val="none"/>
        </w:rPr>
        <w:fldChar w:fldCharType="begin"/>
      </w:r>
      <w:r>
        <w:rPr>
          <w:highlight w:val="none"/>
        </w:rPr>
        <w:instrText xml:space="preserve"> HYPERLINK \l _Toc30081 </w:instrText>
      </w:r>
      <w:r>
        <w:rPr>
          <w:highlight w:val="none"/>
        </w:rPr>
        <w:fldChar w:fldCharType="separate"/>
      </w:r>
      <w:r>
        <w:rPr>
          <w:rFonts w:hint="eastAsia"/>
          <w:highlight w:val="none"/>
        </w:rPr>
        <w:t>3.4 监理人的指示</w:t>
      </w:r>
      <w:r>
        <w:rPr>
          <w:highlight w:val="none"/>
        </w:rPr>
        <w:tab/>
      </w:r>
      <w:r>
        <w:rPr>
          <w:highlight w:val="none"/>
        </w:rPr>
        <w:fldChar w:fldCharType="begin"/>
      </w:r>
      <w:r>
        <w:rPr>
          <w:highlight w:val="none"/>
        </w:rPr>
        <w:instrText xml:space="preserve"> PAGEREF _Toc30081 \h </w:instrText>
      </w:r>
      <w:r>
        <w:rPr>
          <w:highlight w:val="none"/>
        </w:rPr>
        <w:fldChar w:fldCharType="separate"/>
      </w:r>
      <w:r>
        <w:rPr>
          <w:highlight w:val="none"/>
        </w:rPr>
        <w:t>44</w:t>
      </w:r>
      <w:r>
        <w:rPr>
          <w:highlight w:val="none"/>
        </w:rPr>
        <w:fldChar w:fldCharType="end"/>
      </w:r>
      <w:r>
        <w:rPr>
          <w:highlight w:val="none"/>
        </w:rPr>
        <w:fldChar w:fldCharType="end"/>
      </w:r>
    </w:p>
    <w:p w14:paraId="3B02BA21">
      <w:pPr>
        <w:pStyle w:val="17"/>
        <w:tabs>
          <w:tab w:val="right" w:leader="dot" w:pos="8306"/>
        </w:tabs>
        <w:rPr>
          <w:highlight w:val="none"/>
        </w:rPr>
      </w:pPr>
      <w:r>
        <w:rPr>
          <w:highlight w:val="none"/>
        </w:rPr>
        <w:fldChar w:fldCharType="begin"/>
      </w:r>
      <w:r>
        <w:rPr>
          <w:highlight w:val="none"/>
        </w:rPr>
        <w:instrText xml:space="preserve"> HYPERLINK \l _Toc20144 </w:instrText>
      </w:r>
      <w:r>
        <w:rPr>
          <w:highlight w:val="none"/>
        </w:rPr>
        <w:fldChar w:fldCharType="separate"/>
      </w:r>
      <w:r>
        <w:rPr>
          <w:rFonts w:hint="eastAsia"/>
          <w:highlight w:val="none"/>
        </w:rPr>
        <w:t>3.5 商定或确定</w:t>
      </w:r>
      <w:r>
        <w:rPr>
          <w:highlight w:val="none"/>
        </w:rPr>
        <w:tab/>
      </w:r>
      <w:r>
        <w:rPr>
          <w:highlight w:val="none"/>
        </w:rPr>
        <w:fldChar w:fldCharType="begin"/>
      </w:r>
      <w:r>
        <w:rPr>
          <w:highlight w:val="none"/>
        </w:rPr>
        <w:instrText xml:space="preserve"> PAGEREF _Toc20144 \h </w:instrText>
      </w:r>
      <w:r>
        <w:rPr>
          <w:highlight w:val="none"/>
        </w:rPr>
        <w:fldChar w:fldCharType="separate"/>
      </w:r>
      <w:r>
        <w:rPr>
          <w:highlight w:val="none"/>
        </w:rPr>
        <w:t>45</w:t>
      </w:r>
      <w:r>
        <w:rPr>
          <w:highlight w:val="none"/>
        </w:rPr>
        <w:fldChar w:fldCharType="end"/>
      </w:r>
      <w:r>
        <w:rPr>
          <w:highlight w:val="none"/>
        </w:rPr>
        <w:fldChar w:fldCharType="end"/>
      </w:r>
    </w:p>
    <w:p w14:paraId="36ADE3F5">
      <w:pPr>
        <w:pStyle w:val="24"/>
        <w:tabs>
          <w:tab w:val="right" w:leader="dot" w:pos="8306"/>
        </w:tabs>
        <w:rPr>
          <w:highlight w:val="none"/>
        </w:rPr>
      </w:pPr>
      <w:r>
        <w:rPr>
          <w:highlight w:val="none"/>
        </w:rPr>
        <w:fldChar w:fldCharType="begin"/>
      </w:r>
      <w:r>
        <w:rPr>
          <w:highlight w:val="none"/>
        </w:rPr>
        <w:instrText xml:space="preserve"> HYPERLINK \l _Toc8528 </w:instrText>
      </w:r>
      <w:r>
        <w:rPr>
          <w:highlight w:val="none"/>
        </w:rPr>
        <w:fldChar w:fldCharType="separate"/>
      </w:r>
      <w:r>
        <w:rPr>
          <w:rFonts w:hint="eastAsia"/>
          <w:highlight w:val="none"/>
        </w:rPr>
        <w:t>4. 承包人</w:t>
      </w:r>
      <w:r>
        <w:rPr>
          <w:highlight w:val="none"/>
        </w:rPr>
        <w:tab/>
      </w:r>
      <w:r>
        <w:rPr>
          <w:highlight w:val="none"/>
        </w:rPr>
        <w:fldChar w:fldCharType="begin"/>
      </w:r>
      <w:r>
        <w:rPr>
          <w:highlight w:val="none"/>
        </w:rPr>
        <w:instrText xml:space="preserve"> PAGEREF _Toc8528 \h </w:instrText>
      </w:r>
      <w:r>
        <w:rPr>
          <w:highlight w:val="none"/>
        </w:rPr>
        <w:fldChar w:fldCharType="separate"/>
      </w:r>
      <w:r>
        <w:rPr>
          <w:highlight w:val="none"/>
        </w:rPr>
        <w:t>45</w:t>
      </w:r>
      <w:r>
        <w:rPr>
          <w:highlight w:val="none"/>
        </w:rPr>
        <w:fldChar w:fldCharType="end"/>
      </w:r>
      <w:r>
        <w:rPr>
          <w:highlight w:val="none"/>
        </w:rPr>
        <w:fldChar w:fldCharType="end"/>
      </w:r>
    </w:p>
    <w:p w14:paraId="016980F0">
      <w:pPr>
        <w:pStyle w:val="17"/>
        <w:tabs>
          <w:tab w:val="right" w:leader="dot" w:pos="8306"/>
        </w:tabs>
        <w:rPr>
          <w:highlight w:val="none"/>
        </w:rPr>
      </w:pPr>
      <w:r>
        <w:rPr>
          <w:highlight w:val="none"/>
        </w:rPr>
        <w:fldChar w:fldCharType="begin"/>
      </w:r>
      <w:r>
        <w:rPr>
          <w:highlight w:val="none"/>
        </w:rPr>
        <w:instrText xml:space="preserve"> HYPERLINK \l _Toc18779 </w:instrText>
      </w:r>
      <w:r>
        <w:rPr>
          <w:highlight w:val="none"/>
        </w:rPr>
        <w:fldChar w:fldCharType="separate"/>
      </w:r>
      <w:r>
        <w:rPr>
          <w:rFonts w:hint="eastAsia"/>
          <w:highlight w:val="none"/>
        </w:rPr>
        <w:t>4.1 承包人的一般义务</w:t>
      </w:r>
      <w:r>
        <w:rPr>
          <w:highlight w:val="none"/>
        </w:rPr>
        <w:tab/>
      </w:r>
      <w:r>
        <w:rPr>
          <w:highlight w:val="none"/>
        </w:rPr>
        <w:fldChar w:fldCharType="begin"/>
      </w:r>
      <w:r>
        <w:rPr>
          <w:highlight w:val="none"/>
        </w:rPr>
        <w:instrText xml:space="preserve"> PAGEREF _Toc18779 \h </w:instrText>
      </w:r>
      <w:r>
        <w:rPr>
          <w:highlight w:val="none"/>
        </w:rPr>
        <w:fldChar w:fldCharType="separate"/>
      </w:r>
      <w:r>
        <w:rPr>
          <w:highlight w:val="none"/>
        </w:rPr>
        <w:t>45</w:t>
      </w:r>
      <w:r>
        <w:rPr>
          <w:highlight w:val="none"/>
        </w:rPr>
        <w:fldChar w:fldCharType="end"/>
      </w:r>
      <w:r>
        <w:rPr>
          <w:highlight w:val="none"/>
        </w:rPr>
        <w:fldChar w:fldCharType="end"/>
      </w:r>
    </w:p>
    <w:p w14:paraId="3C35C172">
      <w:pPr>
        <w:pStyle w:val="17"/>
        <w:tabs>
          <w:tab w:val="right" w:leader="dot" w:pos="8306"/>
        </w:tabs>
        <w:rPr>
          <w:highlight w:val="none"/>
        </w:rPr>
      </w:pPr>
      <w:r>
        <w:rPr>
          <w:highlight w:val="none"/>
        </w:rPr>
        <w:fldChar w:fldCharType="begin"/>
      </w:r>
      <w:r>
        <w:rPr>
          <w:highlight w:val="none"/>
        </w:rPr>
        <w:instrText xml:space="preserve"> HYPERLINK \l _Toc548 </w:instrText>
      </w:r>
      <w:r>
        <w:rPr>
          <w:highlight w:val="none"/>
        </w:rPr>
        <w:fldChar w:fldCharType="separate"/>
      </w:r>
      <w:r>
        <w:rPr>
          <w:rFonts w:hint="eastAsia"/>
          <w:highlight w:val="none"/>
        </w:rPr>
        <w:t>4.2 履约担保</w:t>
      </w:r>
      <w:r>
        <w:rPr>
          <w:highlight w:val="none"/>
        </w:rPr>
        <w:tab/>
      </w:r>
      <w:r>
        <w:rPr>
          <w:highlight w:val="none"/>
        </w:rPr>
        <w:fldChar w:fldCharType="begin"/>
      </w:r>
      <w:r>
        <w:rPr>
          <w:highlight w:val="none"/>
        </w:rPr>
        <w:instrText xml:space="preserve"> PAGEREF _Toc548 \h </w:instrText>
      </w:r>
      <w:r>
        <w:rPr>
          <w:highlight w:val="none"/>
        </w:rPr>
        <w:fldChar w:fldCharType="separate"/>
      </w:r>
      <w:r>
        <w:rPr>
          <w:highlight w:val="none"/>
        </w:rPr>
        <w:t>46</w:t>
      </w:r>
      <w:r>
        <w:rPr>
          <w:highlight w:val="none"/>
        </w:rPr>
        <w:fldChar w:fldCharType="end"/>
      </w:r>
      <w:r>
        <w:rPr>
          <w:highlight w:val="none"/>
        </w:rPr>
        <w:fldChar w:fldCharType="end"/>
      </w:r>
    </w:p>
    <w:p w14:paraId="50639ABA">
      <w:pPr>
        <w:pStyle w:val="17"/>
        <w:tabs>
          <w:tab w:val="right" w:leader="dot" w:pos="8306"/>
        </w:tabs>
        <w:rPr>
          <w:highlight w:val="none"/>
        </w:rPr>
      </w:pPr>
      <w:r>
        <w:rPr>
          <w:highlight w:val="none"/>
        </w:rPr>
        <w:fldChar w:fldCharType="begin"/>
      </w:r>
      <w:r>
        <w:rPr>
          <w:highlight w:val="none"/>
        </w:rPr>
        <w:instrText xml:space="preserve"> HYPERLINK \l _Toc21242 </w:instrText>
      </w:r>
      <w:r>
        <w:rPr>
          <w:highlight w:val="none"/>
        </w:rPr>
        <w:fldChar w:fldCharType="separate"/>
      </w:r>
      <w:r>
        <w:rPr>
          <w:rFonts w:hint="eastAsia"/>
          <w:highlight w:val="none"/>
        </w:rPr>
        <w:t>4.3 分包</w:t>
      </w:r>
      <w:r>
        <w:rPr>
          <w:highlight w:val="none"/>
        </w:rPr>
        <w:tab/>
      </w:r>
      <w:r>
        <w:rPr>
          <w:highlight w:val="none"/>
        </w:rPr>
        <w:fldChar w:fldCharType="begin"/>
      </w:r>
      <w:r>
        <w:rPr>
          <w:highlight w:val="none"/>
        </w:rPr>
        <w:instrText xml:space="preserve"> PAGEREF _Toc21242 \h </w:instrText>
      </w:r>
      <w:r>
        <w:rPr>
          <w:highlight w:val="none"/>
        </w:rPr>
        <w:fldChar w:fldCharType="separate"/>
      </w:r>
      <w:r>
        <w:rPr>
          <w:highlight w:val="none"/>
        </w:rPr>
        <w:t>46</w:t>
      </w:r>
      <w:r>
        <w:rPr>
          <w:highlight w:val="none"/>
        </w:rPr>
        <w:fldChar w:fldCharType="end"/>
      </w:r>
      <w:r>
        <w:rPr>
          <w:highlight w:val="none"/>
        </w:rPr>
        <w:fldChar w:fldCharType="end"/>
      </w:r>
    </w:p>
    <w:p w14:paraId="132585DF">
      <w:pPr>
        <w:pStyle w:val="17"/>
        <w:tabs>
          <w:tab w:val="right" w:leader="dot" w:pos="8306"/>
        </w:tabs>
        <w:rPr>
          <w:highlight w:val="none"/>
        </w:rPr>
      </w:pPr>
      <w:r>
        <w:rPr>
          <w:highlight w:val="none"/>
        </w:rPr>
        <w:fldChar w:fldCharType="begin"/>
      </w:r>
      <w:r>
        <w:rPr>
          <w:highlight w:val="none"/>
        </w:rPr>
        <w:instrText xml:space="preserve"> HYPERLINK \l _Toc1304 </w:instrText>
      </w:r>
      <w:r>
        <w:rPr>
          <w:highlight w:val="none"/>
        </w:rPr>
        <w:fldChar w:fldCharType="separate"/>
      </w:r>
      <w:r>
        <w:rPr>
          <w:rFonts w:hint="eastAsia"/>
          <w:highlight w:val="none"/>
        </w:rPr>
        <w:t>4.4 联合体</w:t>
      </w:r>
      <w:r>
        <w:rPr>
          <w:highlight w:val="none"/>
        </w:rPr>
        <w:tab/>
      </w:r>
      <w:r>
        <w:rPr>
          <w:highlight w:val="none"/>
        </w:rPr>
        <w:fldChar w:fldCharType="begin"/>
      </w:r>
      <w:r>
        <w:rPr>
          <w:highlight w:val="none"/>
        </w:rPr>
        <w:instrText xml:space="preserve"> PAGEREF _Toc1304 \h </w:instrText>
      </w:r>
      <w:r>
        <w:rPr>
          <w:highlight w:val="none"/>
        </w:rPr>
        <w:fldChar w:fldCharType="separate"/>
      </w:r>
      <w:r>
        <w:rPr>
          <w:highlight w:val="none"/>
        </w:rPr>
        <w:t>46</w:t>
      </w:r>
      <w:r>
        <w:rPr>
          <w:highlight w:val="none"/>
        </w:rPr>
        <w:fldChar w:fldCharType="end"/>
      </w:r>
      <w:r>
        <w:rPr>
          <w:highlight w:val="none"/>
        </w:rPr>
        <w:fldChar w:fldCharType="end"/>
      </w:r>
    </w:p>
    <w:p w14:paraId="32E64C20">
      <w:pPr>
        <w:pStyle w:val="17"/>
        <w:tabs>
          <w:tab w:val="right" w:leader="dot" w:pos="8306"/>
        </w:tabs>
        <w:rPr>
          <w:highlight w:val="none"/>
        </w:rPr>
      </w:pPr>
      <w:r>
        <w:rPr>
          <w:highlight w:val="none"/>
        </w:rPr>
        <w:fldChar w:fldCharType="begin"/>
      </w:r>
      <w:r>
        <w:rPr>
          <w:highlight w:val="none"/>
        </w:rPr>
        <w:instrText xml:space="preserve"> HYPERLINK \l _Toc32331 </w:instrText>
      </w:r>
      <w:r>
        <w:rPr>
          <w:highlight w:val="none"/>
        </w:rPr>
        <w:fldChar w:fldCharType="separate"/>
      </w:r>
      <w:r>
        <w:rPr>
          <w:rFonts w:hint="eastAsia"/>
          <w:highlight w:val="none"/>
        </w:rPr>
        <w:t>4.5 承包人项目经理</w:t>
      </w:r>
      <w:r>
        <w:rPr>
          <w:highlight w:val="none"/>
        </w:rPr>
        <w:tab/>
      </w:r>
      <w:r>
        <w:rPr>
          <w:highlight w:val="none"/>
        </w:rPr>
        <w:fldChar w:fldCharType="begin"/>
      </w:r>
      <w:r>
        <w:rPr>
          <w:highlight w:val="none"/>
        </w:rPr>
        <w:instrText xml:space="preserve"> PAGEREF _Toc32331 \h </w:instrText>
      </w:r>
      <w:r>
        <w:rPr>
          <w:highlight w:val="none"/>
        </w:rPr>
        <w:fldChar w:fldCharType="separate"/>
      </w:r>
      <w:r>
        <w:rPr>
          <w:highlight w:val="none"/>
        </w:rPr>
        <w:t>47</w:t>
      </w:r>
      <w:r>
        <w:rPr>
          <w:highlight w:val="none"/>
        </w:rPr>
        <w:fldChar w:fldCharType="end"/>
      </w:r>
      <w:r>
        <w:rPr>
          <w:highlight w:val="none"/>
        </w:rPr>
        <w:fldChar w:fldCharType="end"/>
      </w:r>
    </w:p>
    <w:p w14:paraId="77CAEFEA">
      <w:pPr>
        <w:pStyle w:val="17"/>
        <w:tabs>
          <w:tab w:val="right" w:leader="dot" w:pos="8306"/>
        </w:tabs>
        <w:rPr>
          <w:highlight w:val="none"/>
        </w:rPr>
      </w:pPr>
      <w:r>
        <w:rPr>
          <w:highlight w:val="none"/>
        </w:rPr>
        <w:fldChar w:fldCharType="begin"/>
      </w:r>
      <w:r>
        <w:rPr>
          <w:highlight w:val="none"/>
        </w:rPr>
        <w:instrText xml:space="preserve"> HYPERLINK \l _Toc11191 </w:instrText>
      </w:r>
      <w:r>
        <w:rPr>
          <w:highlight w:val="none"/>
        </w:rPr>
        <w:fldChar w:fldCharType="separate"/>
      </w:r>
      <w:r>
        <w:rPr>
          <w:rFonts w:hint="eastAsia"/>
          <w:highlight w:val="none"/>
        </w:rPr>
        <w:t>4.6 承包人人员的管理</w:t>
      </w:r>
      <w:r>
        <w:rPr>
          <w:highlight w:val="none"/>
        </w:rPr>
        <w:tab/>
      </w:r>
      <w:r>
        <w:rPr>
          <w:highlight w:val="none"/>
        </w:rPr>
        <w:fldChar w:fldCharType="begin"/>
      </w:r>
      <w:r>
        <w:rPr>
          <w:highlight w:val="none"/>
        </w:rPr>
        <w:instrText xml:space="preserve"> PAGEREF _Toc11191 \h </w:instrText>
      </w:r>
      <w:r>
        <w:rPr>
          <w:highlight w:val="none"/>
        </w:rPr>
        <w:fldChar w:fldCharType="separate"/>
      </w:r>
      <w:r>
        <w:rPr>
          <w:highlight w:val="none"/>
        </w:rPr>
        <w:t>47</w:t>
      </w:r>
      <w:r>
        <w:rPr>
          <w:highlight w:val="none"/>
        </w:rPr>
        <w:fldChar w:fldCharType="end"/>
      </w:r>
      <w:r>
        <w:rPr>
          <w:highlight w:val="none"/>
        </w:rPr>
        <w:fldChar w:fldCharType="end"/>
      </w:r>
    </w:p>
    <w:p w14:paraId="2A3A90C3">
      <w:pPr>
        <w:pStyle w:val="17"/>
        <w:tabs>
          <w:tab w:val="right" w:leader="dot" w:pos="8306"/>
        </w:tabs>
        <w:rPr>
          <w:highlight w:val="none"/>
        </w:rPr>
      </w:pPr>
      <w:r>
        <w:rPr>
          <w:highlight w:val="none"/>
        </w:rPr>
        <w:fldChar w:fldCharType="begin"/>
      </w:r>
      <w:r>
        <w:rPr>
          <w:highlight w:val="none"/>
        </w:rPr>
        <w:instrText xml:space="preserve"> HYPERLINK \l _Toc16723 </w:instrText>
      </w:r>
      <w:r>
        <w:rPr>
          <w:highlight w:val="none"/>
        </w:rPr>
        <w:fldChar w:fldCharType="separate"/>
      </w:r>
      <w:r>
        <w:rPr>
          <w:rFonts w:hint="eastAsia"/>
          <w:highlight w:val="none"/>
        </w:rPr>
        <w:t>4.7 撤换承包人项目经理和其他人员</w:t>
      </w:r>
      <w:r>
        <w:rPr>
          <w:highlight w:val="none"/>
        </w:rPr>
        <w:tab/>
      </w:r>
      <w:r>
        <w:rPr>
          <w:highlight w:val="none"/>
        </w:rPr>
        <w:fldChar w:fldCharType="begin"/>
      </w:r>
      <w:r>
        <w:rPr>
          <w:highlight w:val="none"/>
        </w:rPr>
        <w:instrText xml:space="preserve"> PAGEREF _Toc16723 \h </w:instrText>
      </w:r>
      <w:r>
        <w:rPr>
          <w:highlight w:val="none"/>
        </w:rPr>
        <w:fldChar w:fldCharType="separate"/>
      </w:r>
      <w:r>
        <w:rPr>
          <w:highlight w:val="none"/>
        </w:rPr>
        <w:t>47</w:t>
      </w:r>
      <w:r>
        <w:rPr>
          <w:highlight w:val="none"/>
        </w:rPr>
        <w:fldChar w:fldCharType="end"/>
      </w:r>
      <w:r>
        <w:rPr>
          <w:highlight w:val="none"/>
        </w:rPr>
        <w:fldChar w:fldCharType="end"/>
      </w:r>
    </w:p>
    <w:p w14:paraId="52C7EF6D">
      <w:pPr>
        <w:pStyle w:val="17"/>
        <w:tabs>
          <w:tab w:val="right" w:leader="dot" w:pos="8306"/>
        </w:tabs>
        <w:rPr>
          <w:highlight w:val="none"/>
        </w:rPr>
      </w:pPr>
      <w:r>
        <w:rPr>
          <w:highlight w:val="none"/>
        </w:rPr>
        <w:fldChar w:fldCharType="begin"/>
      </w:r>
      <w:r>
        <w:rPr>
          <w:highlight w:val="none"/>
        </w:rPr>
        <w:instrText xml:space="preserve"> HYPERLINK \l _Toc11282 </w:instrText>
      </w:r>
      <w:r>
        <w:rPr>
          <w:highlight w:val="none"/>
        </w:rPr>
        <w:fldChar w:fldCharType="separate"/>
      </w:r>
      <w:r>
        <w:rPr>
          <w:rFonts w:hint="eastAsia"/>
          <w:highlight w:val="none"/>
        </w:rPr>
        <w:t>4.8 保障承包人人员的合法权益</w:t>
      </w:r>
      <w:r>
        <w:rPr>
          <w:highlight w:val="none"/>
        </w:rPr>
        <w:tab/>
      </w:r>
      <w:r>
        <w:rPr>
          <w:highlight w:val="none"/>
        </w:rPr>
        <w:fldChar w:fldCharType="begin"/>
      </w:r>
      <w:r>
        <w:rPr>
          <w:highlight w:val="none"/>
        </w:rPr>
        <w:instrText xml:space="preserve"> PAGEREF _Toc11282 \h </w:instrText>
      </w:r>
      <w:r>
        <w:rPr>
          <w:highlight w:val="none"/>
        </w:rPr>
        <w:fldChar w:fldCharType="separate"/>
      </w:r>
      <w:r>
        <w:rPr>
          <w:highlight w:val="none"/>
        </w:rPr>
        <w:t>47</w:t>
      </w:r>
      <w:r>
        <w:rPr>
          <w:highlight w:val="none"/>
        </w:rPr>
        <w:fldChar w:fldCharType="end"/>
      </w:r>
      <w:r>
        <w:rPr>
          <w:highlight w:val="none"/>
        </w:rPr>
        <w:fldChar w:fldCharType="end"/>
      </w:r>
    </w:p>
    <w:p w14:paraId="5FB01D34">
      <w:pPr>
        <w:pStyle w:val="17"/>
        <w:tabs>
          <w:tab w:val="right" w:leader="dot" w:pos="8306"/>
        </w:tabs>
        <w:rPr>
          <w:highlight w:val="none"/>
        </w:rPr>
      </w:pPr>
      <w:r>
        <w:rPr>
          <w:highlight w:val="none"/>
        </w:rPr>
        <w:fldChar w:fldCharType="begin"/>
      </w:r>
      <w:r>
        <w:rPr>
          <w:highlight w:val="none"/>
        </w:rPr>
        <w:instrText xml:space="preserve"> HYPERLINK \l _Toc6546 </w:instrText>
      </w:r>
      <w:r>
        <w:rPr>
          <w:highlight w:val="none"/>
        </w:rPr>
        <w:fldChar w:fldCharType="separate"/>
      </w:r>
      <w:r>
        <w:rPr>
          <w:rFonts w:hint="eastAsia"/>
          <w:highlight w:val="none"/>
        </w:rPr>
        <w:t>4.9 工程价款应专款专用</w:t>
      </w:r>
      <w:r>
        <w:rPr>
          <w:highlight w:val="none"/>
        </w:rPr>
        <w:tab/>
      </w:r>
      <w:r>
        <w:rPr>
          <w:highlight w:val="none"/>
        </w:rPr>
        <w:fldChar w:fldCharType="begin"/>
      </w:r>
      <w:r>
        <w:rPr>
          <w:highlight w:val="none"/>
        </w:rPr>
        <w:instrText xml:space="preserve"> PAGEREF _Toc6546 \h </w:instrText>
      </w:r>
      <w:r>
        <w:rPr>
          <w:highlight w:val="none"/>
        </w:rPr>
        <w:fldChar w:fldCharType="separate"/>
      </w:r>
      <w:r>
        <w:rPr>
          <w:highlight w:val="none"/>
        </w:rPr>
        <w:t>48</w:t>
      </w:r>
      <w:r>
        <w:rPr>
          <w:highlight w:val="none"/>
        </w:rPr>
        <w:fldChar w:fldCharType="end"/>
      </w:r>
      <w:r>
        <w:rPr>
          <w:highlight w:val="none"/>
        </w:rPr>
        <w:fldChar w:fldCharType="end"/>
      </w:r>
    </w:p>
    <w:p w14:paraId="2ADC3F1D">
      <w:pPr>
        <w:pStyle w:val="17"/>
        <w:tabs>
          <w:tab w:val="right" w:leader="dot" w:pos="8306"/>
        </w:tabs>
        <w:rPr>
          <w:highlight w:val="none"/>
        </w:rPr>
      </w:pPr>
      <w:r>
        <w:rPr>
          <w:highlight w:val="none"/>
        </w:rPr>
        <w:fldChar w:fldCharType="begin"/>
      </w:r>
      <w:r>
        <w:rPr>
          <w:highlight w:val="none"/>
        </w:rPr>
        <w:instrText xml:space="preserve"> HYPERLINK \l _Toc30349 </w:instrText>
      </w:r>
      <w:r>
        <w:rPr>
          <w:highlight w:val="none"/>
        </w:rPr>
        <w:fldChar w:fldCharType="separate"/>
      </w:r>
      <w:r>
        <w:rPr>
          <w:rFonts w:hint="eastAsia"/>
          <w:highlight w:val="none"/>
        </w:rPr>
        <w:t>4.10 承包人现场查勘</w:t>
      </w:r>
      <w:r>
        <w:rPr>
          <w:highlight w:val="none"/>
        </w:rPr>
        <w:tab/>
      </w:r>
      <w:r>
        <w:rPr>
          <w:highlight w:val="none"/>
        </w:rPr>
        <w:fldChar w:fldCharType="begin"/>
      </w:r>
      <w:r>
        <w:rPr>
          <w:highlight w:val="none"/>
        </w:rPr>
        <w:instrText xml:space="preserve"> PAGEREF _Toc30349 \h </w:instrText>
      </w:r>
      <w:r>
        <w:rPr>
          <w:highlight w:val="none"/>
        </w:rPr>
        <w:fldChar w:fldCharType="separate"/>
      </w:r>
      <w:r>
        <w:rPr>
          <w:highlight w:val="none"/>
        </w:rPr>
        <w:t>48</w:t>
      </w:r>
      <w:r>
        <w:rPr>
          <w:highlight w:val="none"/>
        </w:rPr>
        <w:fldChar w:fldCharType="end"/>
      </w:r>
      <w:r>
        <w:rPr>
          <w:highlight w:val="none"/>
        </w:rPr>
        <w:fldChar w:fldCharType="end"/>
      </w:r>
    </w:p>
    <w:p w14:paraId="5F39A73B">
      <w:pPr>
        <w:pStyle w:val="17"/>
        <w:tabs>
          <w:tab w:val="right" w:leader="dot" w:pos="8306"/>
        </w:tabs>
        <w:rPr>
          <w:highlight w:val="none"/>
        </w:rPr>
      </w:pPr>
      <w:r>
        <w:rPr>
          <w:highlight w:val="none"/>
        </w:rPr>
        <w:fldChar w:fldCharType="begin"/>
      </w:r>
      <w:r>
        <w:rPr>
          <w:highlight w:val="none"/>
        </w:rPr>
        <w:instrText xml:space="preserve"> HYPERLINK \l _Toc8983 </w:instrText>
      </w:r>
      <w:r>
        <w:rPr>
          <w:highlight w:val="none"/>
        </w:rPr>
        <w:fldChar w:fldCharType="separate"/>
      </w:r>
      <w:r>
        <w:rPr>
          <w:rFonts w:hint="eastAsia"/>
          <w:highlight w:val="none"/>
        </w:rPr>
        <w:t>4.11 不利物质条件</w:t>
      </w:r>
      <w:r>
        <w:rPr>
          <w:highlight w:val="none"/>
        </w:rPr>
        <w:tab/>
      </w:r>
      <w:r>
        <w:rPr>
          <w:highlight w:val="none"/>
        </w:rPr>
        <w:fldChar w:fldCharType="begin"/>
      </w:r>
      <w:r>
        <w:rPr>
          <w:highlight w:val="none"/>
        </w:rPr>
        <w:instrText xml:space="preserve"> PAGEREF _Toc8983 \h </w:instrText>
      </w:r>
      <w:r>
        <w:rPr>
          <w:highlight w:val="none"/>
        </w:rPr>
        <w:fldChar w:fldCharType="separate"/>
      </w:r>
      <w:r>
        <w:rPr>
          <w:highlight w:val="none"/>
        </w:rPr>
        <w:t>48</w:t>
      </w:r>
      <w:r>
        <w:rPr>
          <w:highlight w:val="none"/>
        </w:rPr>
        <w:fldChar w:fldCharType="end"/>
      </w:r>
      <w:r>
        <w:rPr>
          <w:highlight w:val="none"/>
        </w:rPr>
        <w:fldChar w:fldCharType="end"/>
      </w:r>
    </w:p>
    <w:p w14:paraId="10CD5B3D">
      <w:pPr>
        <w:pStyle w:val="24"/>
        <w:tabs>
          <w:tab w:val="right" w:leader="dot" w:pos="8306"/>
        </w:tabs>
        <w:rPr>
          <w:highlight w:val="none"/>
        </w:rPr>
      </w:pPr>
      <w:r>
        <w:rPr>
          <w:highlight w:val="none"/>
        </w:rPr>
        <w:fldChar w:fldCharType="begin"/>
      </w:r>
      <w:r>
        <w:rPr>
          <w:highlight w:val="none"/>
        </w:rPr>
        <w:instrText xml:space="preserve"> HYPERLINK \l _Toc30520 </w:instrText>
      </w:r>
      <w:r>
        <w:rPr>
          <w:highlight w:val="none"/>
        </w:rPr>
        <w:fldChar w:fldCharType="separate"/>
      </w:r>
      <w:r>
        <w:rPr>
          <w:rFonts w:hint="eastAsia"/>
          <w:highlight w:val="none"/>
        </w:rPr>
        <w:t>5. 材料和工程设备</w:t>
      </w:r>
      <w:r>
        <w:rPr>
          <w:highlight w:val="none"/>
        </w:rPr>
        <w:tab/>
      </w:r>
      <w:r>
        <w:rPr>
          <w:highlight w:val="none"/>
        </w:rPr>
        <w:fldChar w:fldCharType="begin"/>
      </w:r>
      <w:r>
        <w:rPr>
          <w:highlight w:val="none"/>
        </w:rPr>
        <w:instrText xml:space="preserve"> PAGEREF _Toc30520 \h </w:instrText>
      </w:r>
      <w:r>
        <w:rPr>
          <w:highlight w:val="none"/>
        </w:rPr>
        <w:fldChar w:fldCharType="separate"/>
      </w:r>
      <w:r>
        <w:rPr>
          <w:highlight w:val="none"/>
        </w:rPr>
        <w:t>48</w:t>
      </w:r>
      <w:r>
        <w:rPr>
          <w:highlight w:val="none"/>
        </w:rPr>
        <w:fldChar w:fldCharType="end"/>
      </w:r>
      <w:r>
        <w:rPr>
          <w:highlight w:val="none"/>
        </w:rPr>
        <w:fldChar w:fldCharType="end"/>
      </w:r>
    </w:p>
    <w:p w14:paraId="4EAFA192">
      <w:pPr>
        <w:pStyle w:val="17"/>
        <w:tabs>
          <w:tab w:val="right" w:leader="dot" w:pos="8306"/>
        </w:tabs>
        <w:rPr>
          <w:highlight w:val="none"/>
        </w:rPr>
      </w:pPr>
      <w:r>
        <w:rPr>
          <w:highlight w:val="none"/>
        </w:rPr>
        <w:fldChar w:fldCharType="begin"/>
      </w:r>
      <w:r>
        <w:rPr>
          <w:highlight w:val="none"/>
        </w:rPr>
        <w:instrText xml:space="preserve"> HYPERLINK \l _Toc16651 </w:instrText>
      </w:r>
      <w:r>
        <w:rPr>
          <w:highlight w:val="none"/>
        </w:rPr>
        <w:fldChar w:fldCharType="separate"/>
      </w:r>
      <w:r>
        <w:rPr>
          <w:rFonts w:hint="eastAsia"/>
          <w:highlight w:val="none"/>
        </w:rPr>
        <w:t>5.1 承包人提供的材料和工程设备</w:t>
      </w:r>
      <w:r>
        <w:rPr>
          <w:highlight w:val="none"/>
        </w:rPr>
        <w:tab/>
      </w:r>
      <w:r>
        <w:rPr>
          <w:highlight w:val="none"/>
        </w:rPr>
        <w:fldChar w:fldCharType="begin"/>
      </w:r>
      <w:r>
        <w:rPr>
          <w:highlight w:val="none"/>
        </w:rPr>
        <w:instrText xml:space="preserve"> PAGEREF _Toc16651 \h </w:instrText>
      </w:r>
      <w:r>
        <w:rPr>
          <w:highlight w:val="none"/>
        </w:rPr>
        <w:fldChar w:fldCharType="separate"/>
      </w:r>
      <w:r>
        <w:rPr>
          <w:highlight w:val="none"/>
        </w:rPr>
        <w:t>48</w:t>
      </w:r>
      <w:r>
        <w:rPr>
          <w:highlight w:val="none"/>
        </w:rPr>
        <w:fldChar w:fldCharType="end"/>
      </w:r>
      <w:r>
        <w:rPr>
          <w:highlight w:val="none"/>
        </w:rPr>
        <w:fldChar w:fldCharType="end"/>
      </w:r>
    </w:p>
    <w:p w14:paraId="09FA51B3">
      <w:pPr>
        <w:pStyle w:val="17"/>
        <w:tabs>
          <w:tab w:val="right" w:leader="dot" w:pos="8306"/>
        </w:tabs>
        <w:rPr>
          <w:highlight w:val="none"/>
        </w:rPr>
      </w:pPr>
      <w:r>
        <w:rPr>
          <w:highlight w:val="none"/>
        </w:rPr>
        <w:fldChar w:fldCharType="begin"/>
      </w:r>
      <w:r>
        <w:rPr>
          <w:highlight w:val="none"/>
        </w:rPr>
        <w:instrText xml:space="preserve"> HYPERLINK \l _Toc22176 </w:instrText>
      </w:r>
      <w:r>
        <w:rPr>
          <w:highlight w:val="none"/>
        </w:rPr>
        <w:fldChar w:fldCharType="separate"/>
      </w:r>
      <w:r>
        <w:rPr>
          <w:rFonts w:hint="eastAsia"/>
          <w:highlight w:val="none"/>
        </w:rPr>
        <w:t>5.2 发包人提供的材料和工程设备</w:t>
      </w:r>
      <w:r>
        <w:rPr>
          <w:highlight w:val="none"/>
        </w:rPr>
        <w:tab/>
      </w:r>
      <w:r>
        <w:rPr>
          <w:highlight w:val="none"/>
        </w:rPr>
        <w:fldChar w:fldCharType="begin"/>
      </w:r>
      <w:r>
        <w:rPr>
          <w:highlight w:val="none"/>
        </w:rPr>
        <w:instrText xml:space="preserve"> PAGEREF _Toc22176 \h </w:instrText>
      </w:r>
      <w:r>
        <w:rPr>
          <w:highlight w:val="none"/>
        </w:rPr>
        <w:fldChar w:fldCharType="separate"/>
      </w:r>
      <w:r>
        <w:rPr>
          <w:highlight w:val="none"/>
        </w:rPr>
        <w:t>48</w:t>
      </w:r>
      <w:r>
        <w:rPr>
          <w:highlight w:val="none"/>
        </w:rPr>
        <w:fldChar w:fldCharType="end"/>
      </w:r>
      <w:r>
        <w:rPr>
          <w:highlight w:val="none"/>
        </w:rPr>
        <w:fldChar w:fldCharType="end"/>
      </w:r>
    </w:p>
    <w:p w14:paraId="5008C537">
      <w:pPr>
        <w:pStyle w:val="17"/>
        <w:tabs>
          <w:tab w:val="right" w:leader="dot" w:pos="8306"/>
        </w:tabs>
        <w:rPr>
          <w:highlight w:val="none"/>
        </w:rPr>
      </w:pPr>
      <w:r>
        <w:rPr>
          <w:highlight w:val="none"/>
        </w:rPr>
        <w:fldChar w:fldCharType="begin"/>
      </w:r>
      <w:r>
        <w:rPr>
          <w:highlight w:val="none"/>
        </w:rPr>
        <w:instrText xml:space="preserve"> HYPERLINK \l _Toc11171 </w:instrText>
      </w:r>
      <w:r>
        <w:rPr>
          <w:highlight w:val="none"/>
        </w:rPr>
        <w:fldChar w:fldCharType="separate"/>
      </w:r>
      <w:r>
        <w:rPr>
          <w:rFonts w:hint="eastAsia"/>
          <w:highlight w:val="none"/>
        </w:rPr>
        <w:t>5.3 材料和工程设备专用于合同工程</w:t>
      </w:r>
      <w:r>
        <w:rPr>
          <w:highlight w:val="none"/>
        </w:rPr>
        <w:tab/>
      </w:r>
      <w:r>
        <w:rPr>
          <w:highlight w:val="none"/>
        </w:rPr>
        <w:fldChar w:fldCharType="begin"/>
      </w:r>
      <w:r>
        <w:rPr>
          <w:highlight w:val="none"/>
        </w:rPr>
        <w:instrText xml:space="preserve"> PAGEREF _Toc11171 \h </w:instrText>
      </w:r>
      <w:r>
        <w:rPr>
          <w:highlight w:val="none"/>
        </w:rPr>
        <w:fldChar w:fldCharType="separate"/>
      </w:r>
      <w:r>
        <w:rPr>
          <w:highlight w:val="none"/>
        </w:rPr>
        <w:t>49</w:t>
      </w:r>
      <w:r>
        <w:rPr>
          <w:highlight w:val="none"/>
        </w:rPr>
        <w:fldChar w:fldCharType="end"/>
      </w:r>
      <w:r>
        <w:rPr>
          <w:highlight w:val="none"/>
        </w:rPr>
        <w:fldChar w:fldCharType="end"/>
      </w:r>
    </w:p>
    <w:p w14:paraId="44A25382">
      <w:pPr>
        <w:pStyle w:val="17"/>
        <w:tabs>
          <w:tab w:val="right" w:leader="dot" w:pos="8306"/>
        </w:tabs>
        <w:rPr>
          <w:highlight w:val="none"/>
        </w:rPr>
      </w:pPr>
      <w:r>
        <w:rPr>
          <w:highlight w:val="none"/>
        </w:rPr>
        <w:fldChar w:fldCharType="begin"/>
      </w:r>
      <w:r>
        <w:rPr>
          <w:highlight w:val="none"/>
        </w:rPr>
        <w:instrText xml:space="preserve"> HYPERLINK \l _Toc24195 </w:instrText>
      </w:r>
      <w:r>
        <w:rPr>
          <w:highlight w:val="none"/>
        </w:rPr>
        <w:fldChar w:fldCharType="separate"/>
      </w:r>
      <w:r>
        <w:rPr>
          <w:rFonts w:hint="eastAsia"/>
          <w:highlight w:val="none"/>
        </w:rPr>
        <w:t>5.4 禁止使用不合格的材料和工程设备</w:t>
      </w:r>
      <w:r>
        <w:rPr>
          <w:highlight w:val="none"/>
        </w:rPr>
        <w:tab/>
      </w:r>
      <w:r>
        <w:rPr>
          <w:highlight w:val="none"/>
        </w:rPr>
        <w:fldChar w:fldCharType="begin"/>
      </w:r>
      <w:r>
        <w:rPr>
          <w:highlight w:val="none"/>
        </w:rPr>
        <w:instrText xml:space="preserve"> PAGEREF _Toc24195 \h </w:instrText>
      </w:r>
      <w:r>
        <w:rPr>
          <w:highlight w:val="none"/>
        </w:rPr>
        <w:fldChar w:fldCharType="separate"/>
      </w:r>
      <w:r>
        <w:rPr>
          <w:highlight w:val="none"/>
        </w:rPr>
        <w:t>49</w:t>
      </w:r>
      <w:r>
        <w:rPr>
          <w:highlight w:val="none"/>
        </w:rPr>
        <w:fldChar w:fldCharType="end"/>
      </w:r>
      <w:r>
        <w:rPr>
          <w:highlight w:val="none"/>
        </w:rPr>
        <w:fldChar w:fldCharType="end"/>
      </w:r>
    </w:p>
    <w:p w14:paraId="1CDF3984">
      <w:pPr>
        <w:pStyle w:val="24"/>
        <w:tabs>
          <w:tab w:val="right" w:leader="dot" w:pos="8306"/>
        </w:tabs>
        <w:rPr>
          <w:highlight w:val="none"/>
        </w:rPr>
      </w:pPr>
      <w:r>
        <w:rPr>
          <w:highlight w:val="none"/>
        </w:rPr>
        <w:fldChar w:fldCharType="begin"/>
      </w:r>
      <w:r>
        <w:rPr>
          <w:highlight w:val="none"/>
        </w:rPr>
        <w:instrText xml:space="preserve"> HYPERLINK \l _Toc5790 </w:instrText>
      </w:r>
      <w:r>
        <w:rPr>
          <w:highlight w:val="none"/>
        </w:rPr>
        <w:fldChar w:fldCharType="separate"/>
      </w:r>
      <w:r>
        <w:rPr>
          <w:rFonts w:hint="eastAsia"/>
          <w:highlight w:val="none"/>
        </w:rPr>
        <w:t>6. 施工设备和临时设施</w:t>
      </w:r>
      <w:r>
        <w:rPr>
          <w:highlight w:val="none"/>
        </w:rPr>
        <w:tab/>
      </w:r>
      <w:r>
        <w:rPr>
          <w:highlight w:val="none"/>
        </w:rPr>
        <w:fldChar w:fldCharType="begin"/>
      </w:r>
      <w:r>
        <w:rPr>
          <w:highlight w:val="none"/>
        </w:rPr>
        <w:instrText xml:space="preserve"> PAGEREF _Toc5790 \h </w:instrText>
      </w:r>
      <w:r>
        <w:rPr>
          <w:highlight w:val="none"/>
        </w:rPr>
        <w:fldChar w:fldCharType="separate"/>
      </w:r>
      <w:r>
        <w:rPr>
          <w:highlight w:val="none"/>
        </w:rPr>
        <w:t>49</w:t>
      </w:r>
      <w:r>
        <w:rPr>
          <w:highlight w:val="none"/>
        </w:rPr>
        <w:fldChar w:fldCharType="end"/>
      </w:r>
      <w:r>
        <w:rPr>
          <w:highlight w:val="none"/>
        </w:rPr>
        <w:fldChar w:fldCharType="end"/>
      </w:r>
    </w:p>
    <w:p w14:paraId="15569384">
      <w:pPr>
        <w:pStyle w:val="17"/>
        <w:tabs>
          <w:tab w:val="right" w:leader="dot" w:pos="8306"/>
        </w:tabs>
        <w:rPr>
          <w:highlight w:val="none"/>
        </w:rPr>
      </w:pPr>
      <w:r>
        <w:rPr>
          <w:highlight w:val="none"/>
        </w:rPr>
        <w:fldChar w:fldCharType="begin"/>
      </w:r>
      <w:r>
        <w:rPr>
          <w:highlight w:val="none"/>
        </w:rPr>
        <w:instrText xml:space="preserve"> HYPERLINK \l _Toc2251 </w:instrText>
      </w:r>
      <w:r>
        <w:rPr>
          <w:highlight w:val="none"/>
        </w:rPr>
        <w:fldChar w:fldCharType="separate"/>
      </w:r>
      <w:r>
        <w:rPr>
          <w:rFonts w:hint="eastAsia"/>
          <w:highlight w:val="none"/>
        </w:rPr>
        <w:t>6.1 承包人提供的施工设备和临时设施</w:t>
      </w:r>
      <w:r>
        <w:rPr>
          <w:highlight w:val="none"/>
        </w:rPr>
        <w:tab/>
      </w:r>
      <w:r>
        <w:rPr>
          <w:highlight w:val="none"/>
        </w:rPr>
        <w:fldChar w:fldCharType="begin"/>
      </w:r>
      <w:r>
        <w:rPr>
          <w:highlight w:val="none"/>
        </w:rPr>
        <w:instrText xml:space="preserve"> PAGEREF _Toc2251 \h </w:instrText>
      </w:r>
      <w:r>
        <w:rPr>
          <w:highlight w:val="none"/>
        </w:rPr>
        <w:fldChar w:fldCharType="separate"/>
      </w:r>
      <w:r>
        <w:rPr>
          <w:highlight w:val="none"/>
        </w:rPr>
        <w:t>49</w:t>
      </w:r>
      <w:r>
        <w:rPr>
          <w:highlight w:val="none"/>
        </w:rPr>
        <w:fldChar w:fldCharType="end"/>
      </w:r>
      <w:r>
        <w:rPr>
          <w:highlight w:val="none"/>
        </w:rPr>
        <w:fldChar w:fldCharType="end"/>
      </w:r>
    </w:p>
    <w:p w14:paraId="52353F3D">
      <w:pPr>
        <w:pStyle w:val="17"/>
        <w:tabs>
          <w:tab w:val="right" w:leader="dot" w:pos="8306"/>
        </w:tabs>
        <w:rPr>
          <w:highlight w:val="none"/>
        </w:rPr>
      </w:pPr>
      <w:r>
        <w:rPr>
          <w:highlight w:val="none"/>
        </w:rPr>
        <w:fldChar w:fldCharType="begin"/>
      </w:r>
      <w:r>
        <w:rPr>
          <w:highlight w:val="none"/>
        </w:rPr>
        <w:instrText xml:space="preserve"> HYPERLINK \l _Toc31929 </w:instrText>
      </w:r>
      <w:r>
        <w:rPr>
          <w:highlight w:val="none"/>
        </w:rPr>
        <w:fldChar w:fldCharType="separate"/>
      </w:r>
      <w:r>
        <w:rPr>
          <w:rFonts w:hint="eastAsia"/>
          <w:highlight w:val="none"/>
        </w:rPr>
        <w:t>6.2 发包人提供的施工设备和临时设施</w:t>
      </w:r>
      <w:r>
        <w:rPr>
          <w:highlight w:val="none"/>
        </w:rPr>
        <w:tab/>
      </w:r>
      <w:r>
        <w:rPr>
          <w:highlight w:val="none"/>
        </w:rPr>
        <w:fldChar w:fldCharType="begin"/>
      </w:r>
      <w:r>
        <w:rPr>
          <w:highlight w:val="none"/>
        </w:rPr>
        <w:instrText xml:space="preserve"> PAGEREF _Toc31929 \h </w:instrText>
      </w:r>
      <w:r>
        <w:rPr>
          <w:highlight w:val="none"/>
        </w:rPr>
        <w:fldChar w:fldCharType="separate"/>
      </w:r>
      <w:r>
        <w:rPr>
          <w:highlight w:val="none"/>
        </w:rPr>
        <w:t>50</w:t>
      </w:r>
      <w:r>
        <w:rPr>
          <w:highlight w:val="none"/>
        </w:rPr>
        <w:fldChar w:fldCharType="end"/>
      </w:r>
      <w:r>
        <w:rPr>
          <w:highlight w:val="none"/>
        </w:rPr>
        <w:fldChar w:fldCharType="end"/>
      </w:r>
    </w:p>
    <w:p w14:paraId="4335EBEF">
      <w:pPr>
        <w:pStyle w:val="17"/>
        <w:tabs>
          <w:tab w:val="right" w:leader="dot" w:pos="8306"/>
        </w:tabs>
        <w:rPr>
          <w:highlight w:val="none"/>
        </w:rPr>
      </w:pPr>
      <w:r>
        <w:rPr>
          <w:highlight w:val="none"/>
        </w:rPr>
        <w:fldChar w:fldCharType="begin"/>
      </w:r>
      <w:r>
        <w:rPr>
          <w:highlight w:val="none"/>
        </w:rPr>
        <w:instrText xml:space="preserve"> HYPERLINK \l _Toc13244 </w:instrText>
      </w:r>
      <w:r>
        <w:rPr>
          <w:highlight w:val="none"/>
        </w:rPr>
        <w:fldChar w:fldCharType="separate"/>
      </w:r>
      <w:r>
        <w:rPr>
          <w:rFonts w:hint="eastAsia"/>
          <w:highlight w:val="none"/>
        </w:rPr>
        <w:t>6.3 要求承包人增加或更换施工设备</w:t>
      </w:r>
      <w:r>
        <w:rPr>
          <w:highlight w:val="none"/>
        </w:rPr>
        <w:tab/>
      </w:r>
      <w:r>
        <w:rPr>
          <w:highlight w:val="none"/>
        </w:rPr>
        <w:fldChar w:fldCharType="begin"/>
      </w:r>
      <w:r>
        <w:rPr>
          <w:highlight w:val="none"/>
        </w:rPr>
        <w:instrText xml:space="preserve"> PAGEREF _Toc13244 \h </w:instrText>
      </w:r>
      <w:r>
        <w:rPr>
          <w:highlight w:val="none"/>
        </w:rPr>
        <w:fldChar w:fldCharType="separate"/>
      </w:r>
      <w:r>
        <w:rPr>
          <w:highlight w:val="none"/>
        </w:rPr>
        <w:t>50</w:t>
      </w:r>
      <w:r>
        <w:rPr>
          <w:highlight w:val="none"/>
        </w:rPr>
        <w:fldChar w:fldCharType="end"/>
      </w:r>
      <w:r>
        <w:rPr>
          <w:highlight w:val="none"/>
        </w:rPr>
        <w:fldChar w:fldCharType="end"/>
      </w:r>
    </w:p>
    <w:p w14:paraId="5CB565A5">
      <w:pPr>
        <w:pStyle w:val="17"/>
        <w:tabs>
          <w:tab w:val="right" w:leader="dot" w:pos="8306"/>
        </w:tabs>
        <w:rPr>
          <w:highlight w:val="none"/>
        </w:rPr>
      </w:pPr>
      <w:r>
        <w:rPr>
          <w:highlight w:val="none"/>
        </w:rPr>
        <w:fldChar w:fldCharType="begin"/>
      </w:r>
      <w:r>
        <w:rPr>
          <w:highlight w:val="none"/>
        </w:rPr>
        <w:instrText xml:space="preserve"> HYPERLINK \l _Toc16321 </w:instrText>
      </w:r>
      <w:r>
        <w:rPr>
          <w:highlight w:val="none"/>
        </w:rPr>
        <w:fldChar w:fldCharType="separate"/>
      </w:r>
      <w:r>
        <w:rPr>
          <w:rFonts w:hint="eastAsia"/>
          <w:highlight w:val="none"/>
        </w:rPr>
        <w:t>6.4 施工设备和临时设施专用于合同工程</w:t>
      </w:r>
      <w:r>
        <w:rPr>
          <w:highlight w:val="none"/>
        </w:rPr>
        <w:tab/>
      </w:r>
      <w:r>
        <w:rPr>
          <w:highlight w:val="none"/>
        </w:rPr>
        <w:fldChar w:fldCharType="begin"/>
      </w:r>
      <w:r>
        <w:rPr>
          <w:highlight w:val="none"/>
        </w:rPr>
        <w:instrText xml:space="preserve"> PAGEREF _Toc16321 \h </w:instrText>
      </w:r>
      <w:r>
        <w:rPr>
          <w:highlight w:val="none"/>
        </w:rPr>
        <w:fldChar w:fldCharType="separate"/>
      </w:r>
      <w:r>
        <w:rPr>
          <w:highlight w:val="none"/>
        </w:rPr>
        <w:t>50</w:t>
      </w:r>
      <w:r>
        <w:rPr>
          <w:highlight w:val="none"/>
        </w:rPr>
        <w:fldChar w:fldCharType="end"/>
      </w:r>
      <w:r>
        <w:rPr>
          <w:highlight w:val="none"/>
        </w:rPr>
        <w:fldChar w:fldCharType="end"/>
      </w:r>
    </w:p>
    <w:p w14:paraId="31F4A4B9">
      <w:pPr>
        <w:pStyle w:val="24"/>
        <w:tabs>
          <w:tab w:val="right" w:leader="dot" w:pos="8306"/>
        </w:tabs>
        <w:rPr>
          <w:highlight w:val="none"/>
        </w:rPr>
      </w:pPr>
      <w:r>
        <w:rPr>
          <w:highlight w:val="none"/>
        </w:rPr>
        <w:fldChar w:fldCharType="begin"/>
      </w:r>
      <w:r>
        <w:rPr>
          <w:highlight w:val="none"/>
        </w:rPr>
        <w:instrText xml:space="preserve"> HYPERLINK \l _Toc3130 </w:instrText>
      </w:r>
      <w:r>
        <w:rPr>
          <w:highlight w:val="none"/>
        </w:rPr>
        <w:fldChar w:fldCharType="separate"/>
      </w:r>
      <w:r>
        <w:rPr>
          <w:rFonts w:hint="eastAsia"/>
          <w:highlight w:val="none"/>
        </w:rPr>
        <w:t>7. 交通运输</w:t>
      </w:r>
      <w:r>
        <w:rPr>
          <w:highlight w:val="none"/>
        </w:rPr>
        <w:tab/>
      </w:r>
      <w:r>
        <w:rPr>
          <w:highlight w:val="none"/>
        </w:rPr>
        <w:fldChar w:fldCharType="begin"/>
      </w:r>
      <w:r>
        <w:rPr>
          <w:highlight w:val="none"/>
        </w:rPr>
        <w:instrText xml:space="preserve"> PAGEREF _Toc3130 \h </w:instrText>
      </w:r>
      <w:r>
        <w:rPr>
          <w:highlight w:val="none"/>
        </w:rPr>
        <w:fldChar w:fldCharType="separate"/>
      </w:r>
      <w:r>
        <w:rPr>
          <w:highlight w:val="none"/>
        </w:rPr>
        <w:t>50</w:t>
      </w:r>
      <w:r>
        <w:rPr>
          <w:highlight w:val="none"/>
        </w:rPr>
        <w:fldChar w:fldCharType="end"/>
      </w:r>
      <w:r>
        <w:rPr>
          <w:highlight w:val="none"/>
        </w:rPr>
        <w:fldChar w:fldCharType="end"/>
      </w:r>
    </w:p>
    <w:p w14:paraId="3D231D1F">
      <w:pPr>
        <w:pStyle w:val="17"/>
        <w:tabs>
          <w:tab w:val="right" w:leader="dot" w:pos="8306"/>
        </w:tabs>
        <w:rPr>
          <w:highlight w:val="none"/>
        </w:rPr>
      </w:pPr>
      <w:r>
        <w:rPr>
          <w:highlight w:val="none"/>
        </w:rPr>
        <w:fldChar w:fldCharType="begin"/>
      </w:r>
      <w:r>
        <w:rPr>
          <w:highlight w:val="none"/>
        </w:rPr>
        <w:instrText xml:space="preserve"> HYPERLINK \l _Toc2598 </w:instrText>
      </w:r>
      <w:r>
        <w:rPr>
          <w:highlight w:val="none"/>
        </w:rPr>
        <w:fldChar w:fldCharType="separate"/>
      </w:r>
      <w:r>
        <w:rPr>
          <w:rFonts w:hint="eastAsia"/>
          <w:highlight w:val="none"/>
        </w:rPr>
        <w:t>7.1 道路通行权和场外设施</w:t>
      </w:r>
      <w:r>
        <w:rPr>
          <w:highlight w:val="none"/>
        </w:rPr>
        <w:tab/>
      </w:r>
      <w:r>
        <w:rPr>
          <w:highlight w:val="none"/>
        </w:rPr>
        <w:fldChar w:fldCharType="begin"/>
      </w:r>
      <w:r>
        <w:rPr>
          <w:highlight w:val="none"/>
        </w:rPr>
        <w:instrText xml:space="preserve"> PAGEREF _Toc2598 \h </w:instrText>
      </w:r>
      <w:r>
        <w:rPr>
          <w:highlight w:val="none"/>
        </w:rPr>
        <w:fldChar w:fldCharType="separate"/>
      </w:r>
      <w:r>
        <w:rPr>
          <w:highlight w:val="none"/>
        </w:rPr>
        <w:t>50</w:t>
      </w:r>
      <w:r>
        <w:rPr>
          <w:highlight w:val="none"/>
        </w:rPr>
        <w:fldChar w:fldCharType="end"/>
      </w:r>
      <w:r>
        <w:rPr>
          <w:highlight w:val="none"/>
        </w:rPr>
        <w:fldChar w:fldCharType="end"/>
      </w:r>
    </w:p>
    <w:p w14:paraId="33A92413">
      <w:pPr>
        <w:pStyle w:val="17"/>
        <w:tabs>
          <w:tab w:val="right" w:leader="dot" w:pos="8306"/>
        </w:tabs>
        <w:rPr>
          <w:highlight w:val="none"/>
        </w:rPr>
      </w:pPr>
      <w:r>
        <w:rPr>
          <w:highlight w:val="none"/>
        </w:rPr>
        <w:fldChar w:fldCharType="begin"/>
      </w:r>
      <w:r>
        <w:rPr>
          <w:highlight w:val="none"/>
        </w:rPr>
        <w:instrText xml:space="preserve"> HYPERLINK \l _Toc1935 </w:instrText>
      </w:r>
      <w:r>
        <w:rPr>
          <w:highlight w:val="none"/>
        </w:rPr>
        <w:fldChar w:fldCharType="separate"/>
      </w:r>
      <w:r>
        <w:rPr>
          <w:rFonts w:hint="eastAsia"/>
          <w:highlight w:val="none"/>
        </w:rPr>
        <w:t>7.2 场内施工道路</w:t>
      </w:r>
      <w:r>
        <w:rPr>
          <w:highlight w:val="none"/>
        </w:rPr>
        <w:tab/>
      </w:r>
      <w:r>
        <w:rPr>
          <w:highlight w:val="none"/>
        </w:rPr>
        <w:fldChar w:fldCharType="begin"/>
      </w:r>
      <w:r>
        <w:rPr>
          <w:highlight w:val="none"/>
        </w:rPr>
        <w:instrText xml:space="preserve"> PAGEREF _Toc1935 \h </w:instrText>
      </w:r>
      <w:r>
        <w:rPr>
          <w:highlight w:val="none"/>
        </w:rPr>
        <w:fldChar w:fldCharType="separate"/>
      </w:r>
      <w:r>
        <w:rPr>
          <w:highlight w:val="none"/>
        </w:rPr>
        <w:t>50</w:t>
      </w:r>
      <w:r>
        <w:rPr>
          <w:highlight w:val="none"/>
        </w:rPr>
        <w:fldChar w:fldCharType="end"/>
      </w:r>
      <w:r>
        <w:rPr>
          <w:highlight w:val="none"/>
        </w:rPr>
        <w:fldChar w:fldCharType="end"/>
      </w:r>
    </w:p>
    <w:p w14:paraId="5947BEAF">
      <w:pPr>
        <w:pStyle w:val="17"/>
        <w:tabs>
          <w:tab w:val="right" w:leader="dot" w:pos="8306"/>
        </w:tabs>
        <w:rPr>
          <w:highlight w:val="none"/>
        </w:rPr>
      </w:pPr>
      <w:r>
        <w:rPr>
          <w:highlight w:val="none"/>
        </w:rPr>
        <w:fldChar w:fldCharType="begin"/>
      </w:r>
      <w:r>
        <w:rPr>
          <w:highlight w:val="none"/>
        </w:rPr>
        <w:instrText xml:space="preserve"> HYPERLINK \l _Toc1598 </w:instrText>
      </w:r>
      <w:r>
        <w:rPr>
          <w:highlight w:val="none"/>
        </w:rPr>
        <w:fldChar w:fldCharType="separate"/>
      </w:r>
      <w:r>
        <w:rPr>
          <w:rFonts w:hint="eastAsia"/>
          <w:highlight w:val="none"/>
        </w:rPr>
        <w:t>7.3 场外交通</w:t>
      </w:r>
      <w:r>
        <w:rPr>
          <w:highlight w:val="none"/>
        </w:rPr>
        <w:tab/>
      </w:r>
      <w:r>
        <w:rPr>
          <w:highlight w:val="none"/>
        </w:rPr>
        <w:fldChar w:fldCharType="begin"/>
      </w:r>
      <w:r>
        <w:rPr>
          <w:highlight w:val="none"/>
        </w:rPr>
        <w:instrText xml:space="preserve"> PAGEREF _Toc1598 \h </w:instrText>
      </w:r>
      <w:r>
        <w:rPr>
          <w:highlight w:val="none"/>
        </w:rPr>
        <w:fldChar w:fldCharType="separate"/>
      </w:r>
      <w:r>
        <w:rPr>
          <w:highlight w:val="none"/>
        </w:rPr>
        <w:t>50</w:t>
      </w:r>
      <w:r>
        <w:rPr>
          <w:highlight w:val="none"/>
        </w:rPr>
        <w:fldChar w:fldCharType="end"/>
      </w:r>
      <w:r>
        <w:rPr>
          <w:highlight w:val="none"/>
        </w:rPr>
        <w:fldChar w:fldCharType="end"/>
      </w:r>
    </w:p>
    <w:p w14:paraId="7695E9A7">
      <w:pPr>
        <w:pStyle w:val="17"/>
        <w:tabs>
          <w:tab w:val="right" w:leader="dot" w:pos="8306"/>
        </w:tabs>
        <w:rPr>
          <w:highlight w:val="none"/>
        </w:rPr>
      </w:pPr>
      <w:r>
        <w:rPr>
          <w:highlight w:val="none"/>
        </w:rPr>
        <w:fldChar w:fldCharType="begin"/>
      </w:r>
      <w:r>
        <w:rPr>
          <w:highlight w:val="none"/>
        </w:rPr>
        <w:instrText xml:space="preserve"> HYPERLINK \l _Toc20510 </w:instrText>
      </w:r>
      <w:r>
        <w:rPr>
          <w:highlight w:val="none"/>
        </w:rPr>
        <w:fldChar w:fldCharType="separate"/>
      </w:r>
      <w:r>
        <w:rPr>
          <w:rFonts w:hint="eastAsia"/>
          <w:highlight w:val="none"/>
        </w:rPr>
        <w:t>7.4 超大件和超重件的运输</w:t>
      </w:r>
      <w:r>
        <w:rPr>
          <w:highlight w:val="none"/>
        </w:rPr>
        <w:tab/>
      </w:r>
      <w:r>
        <w:rPr>
          <w:highlight w:val="none"/>
        </w:rPr>
        <w:fldChar w:fldCharType="begin"/>
      </w:r>
      <w:r>
        <w:rPr>
          <w:highlight w:val="none"/>
        </w:rPr>
        <w:instrText xml:space="preserve"> PAGEREF _Toc20510 \h </w:instrText>
      </w:r>
      <w:r>
        <w:rPr>
          <w:highlight w:val="none"/>
        </w:rPr>
        <w:fldChar w:fldCharType="separate"/>
      </w:r>
      <w:r>
        <w:rPr>
          <w:highlight w:val="none"/>
        </w:rPr>
        <w:t>50</w:t>
      </w:r>
      <w:r>
        <w:rPr>
          <w:highlight w:val="none"/>
        </w:rPr>
        <w:fldChar w:fldCharType="end"/>
      </w:r>
      <w:r>
        <w:rPr>
          <w:highlight w:val="none"/>
        </w:rPr>
        <w:fldChar w:fldCharType="end"/>
      </w:r>
    </w:p>
    <w:p w14:paraId="2F1B8716">
      <w:pPr>
        <w:pStyle w:val="17"/>
        <w:tabs>
          <w:tab w:val="right" w:leader="dot" w:pos="8306"/>
        </w:tabs>
        <w:rPr>
          <w:highlight w:val="none"/>
        </w:rPr>
      </w:pPr>
      <w:r>
        <w:rPr>
          <w:highlight w:val="none"/>
        </w:rPr>
        <w:fldChar w:fldCharType="begin"/>
      </w:r>
      <w:r>
        <w:rPr>
          <w:highlight w:val="none"/>
        </w:rPr>
        <w:instrText xml:space="preserve"> HYPERLINK \l _Toc24737 </w:instrText>
      </w:r>
      <w:r>
        <w:rPr>
          <w:highlight w:val="none"/>
        </w:rPr>
        <w:fldChar w:fldCharType="separate"/>
      </w:r>
      <w:r>
        <w:rPr>
          <w:rFonts w:hint="eastAsia"/>
          <w:highlight w:val="none"/>
        </w:rPr>
        <w:t>7.5 道路和桥梁的损坏责任</w:t>
      </w:r>
      <w:r>
        <w:rPr>
          <w:highlight w:val="none"/>
        </w:rPr>
        <w:tab/>
      </w:r>
      <w:r>
        <w:rPr>
          <w:highlight w:val="none"/>
        </w:rPr>
        <w:fldChar w:fldCharType="begin"/>
      </w:r>
      <w:r>
        <w:rPr>
          <w:highlight w:val="none"/>
        </w:rPr>
        <w:instrText xml:space="preserve"> PAGEREF _Toc24737 \h </w:instrText>
      </w:r>
      <w:r>
        <w:rPr>
          <w:highlight w:val="none"/>
        </w:rPr>
        <w:fldChar w:fldCharType="separate"/>
      </w:r>
      <w:r>
        <w:rPr>
          <w:highlight w:val="none"/>
        </w:rPr>
        <w:t>50</w:t>
      </w:r>
      <w:r>
        <w:rPr>
          <w:highlight w:val="none"/>
        </w:rPr>
        <w:fldChar w:fldCharType="end"/>
      </w:r>
      <w:r>
        <w:rPr>
          <w:highlight w:val="none"/>
        </w:rPr>
        <w:fldChar w:fldCharType="end"/>
      </w:r>
    </w:p>
    <w:p w14:paraId="1E289972">
      <w:pPr>
        <w:pStyle w:val="17"/>
        <w:tabs>
          <w:tab w:val="right" w:leader="dot" w:pos="8306"/>
        </w:tabs>
        <w:rPr>
          <w:highlight w:val="none"/>
        </w:rPr>
      </w:pPr>
      <w:r>
        <w:rPr>
          <w:highlight w:val="none"/>
        </w:rPr>
        <w:fldChar w:fldCharType="begin"/>
      </w:r>
      <w:r>
        <w:rPr>
          <w:highlight w:val="none"/>
        </w:rPr>
        <w:instrText xml:space="preserve"> HYPERLINK \l _Toc25825 </w:instrText>
      </w:r>
      <w:r>
        <w:rPr>
          <w:highlight w:val="none"/>
        </w:rPr>
        <w:fldChar w:fldCharType="separate"/>
      </w:r>
      <w:r>
        <w:rPr>
          <w:rFonts w:hint="eastAsia"/>
          <w:highlight w:val="none"/>
        </w:rPr>
        <w:t>7.6 水路和航空运输</w:t>
      </w:r>
      <w:r>
        <w:rPr>
          <w:highlight w:val="none"/>
        </w:rPr>
        <w:tab/>
      </w:r>
      <w:r>
        <w:rPr>
          <w:highlight w:val="none"/>
        </w:rPr>
        <w:fldChar w:fldCharType="begin"/>
      </w:r>
      <w:r>
        <w:rPr>
          <w:highlight w:val="none"/>
        </w:rPr>
        <w:instrText xml:space="preserve"> PAGEREF _Toc25825 \h </w:instrText>
      </w:r>
      <w:r>
        <w:rPr>
          <w:highlight w:val="none"/>
        </w:rPr>
        <w:fldChar w:fldCharType="separate"/>
      </w:r>
      <w:r>
        <w:rPr>
          <w:highlight w:val="none"/>
        </w:rPr>
        <w:t>51</w:t>
      </w:r>
      <w:r>
        <w:rPr>
          <w:highlight w:val="none"/>
        </w:rPr>
        <w:fldChar w:fldCharType="end"/>
      </w:r>
      <w:r>
        <w:rPr>
          <w:highlight w:val="none"/>
        </w:rPr>
        <w:fldChar w:fldCharType="end"/>
      </w:r>
    </w:p>
    <w:p w14:paraId="0C2692CC">
      <w:pPr>
        <w:pStyle w:val="24"/>
        <w:tabs>
          <w:tab w:val="right" w:leader="dot" w:pos="8306"/>
        </w:tabs>
        <w:rPr>
          <w:highlight w:val="none"/>
        </w:rPr>
      </w:pPr>
      <w:r>
        <w:rPr>
          <w:highlight w:val="none"/>
        </w:rPr>
        <w:fldChar w:fldCharType="begin"/>
      </w:r>
      <w:r>
        <w:rPr>
          <w:highlight w:val="none"/>
        </w:rPr>
        <w:instrText xml:space="preserve"> HYPERLINK \l _Toc30263 </w:instrText>
      </w:r>
      <w:r>
        <w:rPr>
          <w:highlight w:val="none"/>
        </w:rPr>
        <w:fldChar w:fldCharType="separate"/>
      </w:r>
      <w:r>
        <w:rPr>
          <w:rFonts w:hint="eastAsia"/>
          <w:highlight w:val="none"/>
        </w:rPr>
        <w:t>8. 测量放线</w:t>
      </w:r>
      <w:r>
        <w:rPr>
          <w:highlight w:val="none"/>
        </w:rPr>
        <w:tab/>
      </w:r>
      <w:r>
        <w:rPr>
          <w:highlight w:val="none"/>
        </w:rPr>
        <w:fldChar w:fldCharType="begin"/>
      </w:r>
      <w:r>
        <w:rPr>
          <w:highlight w:val="none"/>
        </w:rPr>
        <w:instrText xml:space="preserve"> PAGEREF _Toc30263 \h </w:instrText>
      </w:r>
      <w:r>
        <w:rPr>
          <w:highlight w:val="none"/>
        </w:rPr>
        <w:fldChar w:fldCharType="separate"/>
      </w:r>
      <w:r>
        <w:rPr>
          <w:highlight w:val="none"/>
        </w:rPr>
        <w:t>51</w:t>
      </w:r>
      <w:r>
        <w:rPr>
          <w:highlight w:val="none"/>
        </w:rPr>
        <w:fldChar w:fldCharType="end"/>
      </w:r>
      <w:r>
        <w:rPr>
          <w:highlight w:val="none"/>
        </w:rPr>
        <w:fldChar w:fldCharType="end"/>
      </w:r>
    </w:p>
    <w:p w14:paraId="5DABCEFA">
      <w:pPr>
        <w:pStyle w:val="17"/>
        <w:tabs>
          <w:tab w:val="right" w:leader="dot" w:pos="8306"/>
        </w:tabs>
        <w:rPr>
          <w:highlight w:val="none"/>
        </w:rPr>
      </w:pPr>
      <w:r>
        <w:rPr>
          <w:highlight w:val="none"/>
        </w:rPr>
        <w:fldChar w:fldCharType="begin"/>
      </w:r>
      <w:r>
        <w:rPr>
          <w:highlight w:val="none"/>
        </w:rPr>
        <w:instrText xml:space="preserve"> HYPERLINK \l _Toc27045 </w:instrText>
      </w:r>
      <w:r>
        <w:rPr>
          <w:highlight w:val="none"/>
        </w:rPr>
        <w:fldChar w:fldCharType="separate"/>
      </w:r>
      <w:r>
        <w:rPr>
          <w:rFonts w:hint="eastAsia"/>
          <w:highlight w:val="none"/>
        </w:rPr>
        <w:t>8.1 施工控制网</w:t>
      </w:r>
      <w:r>
        <w:rPr>
          <w:highlight w:val="none"/>
        </w:rPr>
        <w:tab/>
      </w:r>
      <w:r>
        <w:rPr>
          <w:highlight w:val="none"/>
        </w:rPr>
        <w:fldChar w:fldCharType="begin"/>
      </w:r>
      <w:r>
        <w:rPr>
          <w:highlight w:val="none"/>
        </w:rPr>
        <w:instrText xml:space="preserve"> PAGEREF _Toc27045 \h </w:instrText>
      </w:r>
      <w:r>
        <w:rPr>
          <w:highlight w:val="none"/>
        </w:rPr>
        <w:fldChar w:fldCharType="separate"/>
      </w:r>
      <w:r>
        <w:rPr>
          <w:highlight w:val="none"/>
        </w:rPr>
        <w:t>51</w:t>
      </w:r>
      <w:r>
        <w:rPr>
          <w:highlight w:val="none"/>
        </w:rPr>
        <w:fldChar w:fldCharType="end"/>
      </w:r>
      <w:r>
        <w:rPr>
          <w:highlight w:val="none"/>
        </w:rPr>
        <w:fldChar w:fldCharType="end"/>
      </w:r>
    </w:p>
    <w:p w14:paraId="2715AC40">
      <w:pPr>
        <w:pStyle w:val="17"/>
        <w:tabs>
          <w:tab w:val="right" w:leader="dot" w:pos="8306"/>
        </w:tabs>
        <w:rPr>
          <w:highlight w:val="none"/>
        </w:rPr>
      </w:pPr>
      <w:r>
        <w:rPr>
          <w:highlight w:val="none"/>
        </w:rPr>
        <w:fldChar w:fldCharType="begin"/>
      </w:r>
      <w:r>
        <w:rPr>
          <w:highlight w:val="none"/>
        </w:rPr>
        <w:instrText xml:space="preserve"> HYPERLINK \l _Toc21495 </w:instrText>
      </w:r>
      <w:r>
        <w:rPr>
          <w:highlight w:val="none"/>
        </w:rPr>
        <w:fldChar w:fldCharType="separate"/>
      </w:r>
      <w:r>
        <w:rPr>
          <w:rFonts w:hint="eastAsia"/>
          <w:highlight w:val="none"/>
        </w:rPr>
        <w:t>8.2 施工测量</w:t>
      </w:r>
      <w:r>
        <w:rPr>
          <w:highlight w:val="none"/>
        </w:rPr>
        <w:tab/>
      </w:r>
      <w:r>
        <w:rPr>
          <w:highlight w:val="none"/>
        </w:rPr>
        <w:fldChar w:fldCharType="begin"/>
      </w:r>
      <w:r>
        <w:rPr>
          <w:highlight w:val="none"/>
        </w:rPr>
        <w:instrText xml:space="preserve"> PAGEREF _Toc21495 \h </w:instrText>
      </w:r>
      <w:r>
        <w:rPr>
          <w:highlight w:val="none"/>
        </w:rPr>
        <w:fldChar w:fldCharType="separate"/>
      </w:r>
      <w:r>
        <w:rPr>
          <w:highlight w:val="none"/>
        </w:rPr>
        <w:t>51</w:t>
      </w:r>
      <w:r>
        <w:rPr>
          <w:highlight w:val="none"/>
        </w:rPr>
        <w:fldChar w:fldCharType="end"/>
      </w:r>
      <w:r>
        <w:rPr>
          <w:highlight w:val="none"/>
        </w:rPr>
        <w:fldChar w:fldCharType="end"/>
      </w:r>
    </w:p>
    <w:p w14:paraId="28E24B65">
      <w:pPr>
        <w:pStyle w:val="17"/>
        <w:tabs>
          <w:tab w:val="right" w:leader="dot" w:pos="8306"/>
        </w:tabs>
        <w:rPr>
          <w:highlight w:val="none"/>
        </w:rPr>
      </w:pPr>
      <w:r>
        <w:rPr>
          <w:highlight w:val="none"/>
        </w:rPr>
        <w:fldChar w:fldCharType="begin"/>
      </w:r>
      <w:r>
        <w:rPr>
          <w:highlight w:val="none"/>
        </w:rPr>
        <w:instrText xml:space="preserve"> HYPERLINK \l _Toc22115 </w:instrText>
      </w:r>
      <w:r>
        <w:rPr>
          <w:highlight w:val="none"/>
        </w:rPr>
        <w:fldChar w:fldCharType="separate"/>
      </w:r>
      <w:r>
        <w:rPr>
          <w:rFonts w:hint="eastAsia"/>
          <w:highlight w:val="none"/>
        </w:rPr>
        <w:t>8.3 基准资料错误的责任</w:t>
      </w:r>
      <w:r>
        <w:rPr>
          <w:highlight w:val="none"/>
        </w:rPr>
        <w:tab/>
      </w:r>
      <w:r>
        <w:rPr>
          <w:highlight w:val="none"/>
        </w:rPr>
        <w:fldChar w:fldCharType="begin"/>
      </w:r>
      <w:r>
        <w:rPr>
          <w:highlight w:val="none"/>
        </w:rPr>
        <w:instrText xml:space="preserve"> PAGEREF _Toc22115 \h </w:instrText>
      </w:r>
      <w:r>
        <w:rPr>
          <w:highlight w:val="none"/>
        </w:rPr>
        <w:fldChar w:fldCharType="separate"/>
      </w:r>
      <w:r>
        <w:rPr>
          <w:highlight w:val="none"/>
        </w:rPr>
        <w:t>51</w:t>
      </w:r>
      <w:r>
        <w:rPr>
          <w:highlight w:val="none"/>
        </w:rPr>
        <w:fldChar w:fldCharType="end"/>
      </w:r>
      <w:r>
        <w:rPr>
          <w:highlight w:val="none"/>
        </w:rPr>
        <w:fldChar w:fldCharType="end"/>
      </w:r>
    </w:p>
    <w:p w14:paraId="02440C06">
      <w:pPr>
        <w:pStyle w:val="17"/>
        <w:tabs>
          <w:tab w:val="right" w:leader="dot" w:pos="8306"/>
        </w:tabs>
        <w:rPr>
          <w:highlight w:val="none"/>
        </w:rPr>
      </w:pPr>
      <w:r>
        <w:rPr>
          <w:highlight w:val="none"/>
        </w:rPr>
        <w:fldChar w:fldCharType="begin"/>
      </w:r>
      <w:r>
        <w:rPr>
          <w:highlight w:val="none"/>
        </w:rPr>
        <w:instrText xml:space="preserve"> HYPERLINK \l _Toc7528 </w:instrText>
      </w:r>
      <w:r>
        <w:rPr>
          <w:highlight w:val="none"/>
        </w:rPr>
        <w:fldChar w:fldCharType="separate"/>
      </w:r>
      <w:r>
        <w:rPr>
          <w:rFonts w:hint="eastAsia"/>
          <w:highlight w:val="none"/>
        </w:rPr>
        <w:t>8.4 监理人使用施工控制网</w:t>
      </w:r>
      <w:r>
        <w:rPr>
          <w:highlight w:val="none"/>
        </w:rPr>
        <w:tab/>
      </w:r>
      <w:r>
        <w:rPr>
          <w:highlight w:val="none"/>
        </w:rPr>
        <w:fldChar w:fldCharType="begin"/>
      </w:r>
      <w:r>
        <w:rPr>
          <w:highlight w:val="none"/>
        </w:rPr>
        <w:instrText xml:space="preserve"> PAGEREF _Toc7528 \h </w:instrText>
      </w:r>
      <w:r>
        <w:rPr>
          <w:highlight w:val="none"/>
        </w:rPr>
        <w:fldChar w:fldCharType="separate"/>
      </w:r>
      <w:r>
        <w:rPr>
          <w:highlight w:val="none"/>
        </w:rPr>
        <w:t>51</w:t>
      </w:r>
      <w:r>
        <w:rPr>
          <w:highlight w:val="none"/>
        </w:rPr>
        <w:fldChar w:fldCharType="end"/>
      </w:r>
      <w:r>
        <w:rPr>
          <w:highlight w:val="none"/>
        </w:rPr>
        <w:fldChar w:fldCharType="end"/>
      </w:r>
    </w:p>
    <w:p w14:paraId="2E424E26">
      <w:pPr>
        <w:pStyle w:val="24"/>
        <w:tabs>
          <w:tab w:val="right" w:leader="dot" w:pos="8306"/>
        </w:tabs>
        <w:rPr>
          <w:highlight w:val="none"/>
        </w:rPr>
      </w:pPr>
      <w:r>
        <w:rPr>
          <w:highlight w:val="none"/>
        </w:rPr>
        <w:fldChar w:fldCharType="begin"/>
      </w:r>
      <w:r>
        <w:rPr>
          <w:highlight w:val="none"/>
        </w:rPr>
        <w:instrText xml:space="preserve"> HYPERLINK \l _Toc26153 </w:instrText>
      </w:r>
      <w:r>
        <w:rPr>
          <w:highlight w:val="none"/>
        </w:rPr>
        <w:fldChar w:fldCharType="separate"/>
      </w:r>
      <w:r>
        <w:rPr>
          <w:rFonts w:hint="eastAsia"/>
          <w:highlight w:val="none"/>
        </w:rPr>
        <w:t>9. 施工安全、治安保卫和环境保护</w:t>
      </w:r>
      <w:r>
        <w:rPr>
          <w:highlight w:val="none"/>
        </w:rPr>
        <w:tab/>
      </w:r>
      <w:r>
        <w:rPr>
          <w:highlight w:val="none"/>
        </w:rPr>
        <w:fldChar w:fldCharType="begin"/>
      </w:r>
      <w:r>
        <w:rPr>
          <w:highlight w:val="none"/>
        </w:rPr>
        <w:instrText xml:space="preserve"> PAGEREF _Toc26153 \h </w:instrText>
      </w:r>
      <w:r>
        <w:rPr>
          <w:highlight w:val="none"/>
        </w:rPr>
        <w:fldChar w:fldCharType="separate"/>
      </w:r>
      <w:r>
        <w:rPr>
          <w:highlight w:val="none"/>
        </w:rPr>
        <w:t>51</w:t>
      </w:r>
      <w:r>
        <w:rPr>
          <w:highlight w:val="none"/>
        </w:rPr>
        <w:fldChar w:fldCharType="end"/>
      </w:r>
      <w:r>
        <w:rPr>
          <w:highlight w:val="none"/>
        </w:rPr>
        <w:fldChar w:fldCharType="end"/>
      </w:r>
    </w:p>
    <w:p w14:paraId="5B8E3118">
      <w:pPr>
        <w:pStyle w:val="17"/>
        <w:tabs>
          <w:tab w:val="right" w:leader="dot" w:pos="8306"/>
        </w:tabs>
        <w:rPr>
          <w:highlight w:val="none"/>
        </w:rPr>
      </w:pPr>
      <w:r>
        <w:rPr>
          <w:highlight w:val="none"/>
        </w:rPr>
        <w:fldChar w:fldCharType="begin"/>
      </w:r>
      <w:r>
        <w:rPr>
          <w:highlight w:val="none"/>
        </w:rPr>
        <w:instrText xml:space="preserve"> HYPERLINK \l _Toc22629 </w:instrText>
      </w:r>
      <w:r>
        <w:rPr>
          <w:highlight w:val="none"/>
        </w:rPr>
        <w:fldChar w:fldCharType="separate"/>
      </w:r>
      <w:r>
        <w:rPr>
          <w:rFonts w:hint="eastAsia"/>
          <w:highlight w:val="none"/>
        </w:rPr>
        <w:t>9.1 发包人的施工安全责任</w:t>
      </w:r>
      <w:r>
        <w:rPr>
          <w:highlight w:val="none"/>
        </w:rPr>
        <w:tab/>
      </w:r>
      <w:r>
        <w:rPr>
          <w:highlight w:val="none"/>
        </w:rPr>
        <w:fldChar w:fldCharType="begin"/>
      </w:r>
      <w:r>
        <w:rPr>
          <w:highlight w:val="none"/>
        </w:rPr>
        <w:instrText xml:space="preserve"> PAGEREF _Toc22629 \h </w:instrText>
      </w:r>
      <w:r>
        <w:rPr>
          <w:highlight w:val="none"/>
        </w:rPr>
        <w:fldChar w:fldCharType="separate"/>
      </w:r>
      <w:r>
        <w:rPr>
          <w:highlight w:val="none"/>
        </w:rPr>
        <w:t>51</w:t>
      </w:r>
      <w:r>
        <w:rPr>
          <w:highlight w:val="none"/>
        </w:rPr>
        <w:fldChar w:fldCharType="end"/>
      </w:r>
      <w:r>
        <w:rPr>
          <w:highlight w:val="none"/>
        </w:rPr>
        <w:fldChar w:fldCharType="end"/>
      </w:r>
    </w:p>
    <w:p w14:paraId="31CD0F10">
      <w:pPr>
        <w:pStyle w:val="17"/>
        <w:tabs>
          <w:tab w:val="right" w:leader="dot" w:pos="8306"/>
        </w:tabs>
        <w:rPr>
          <w:highlight w:val="none"/>
        </w:rPr>
      </w:pPr>
      <w:r>
        <w:rPr>
          <w:highlight w:val="none"/>
        </w:rPr>
        <w:fldChar w:fldCharType="begin"/>
      </w:r>
      <w:r>
        <w:rPr>
          <w:highlight w:val="none"/>
        </w:rPr>
        <w:instrText xml:space="preserve"> HYPERLINK \l _Toc27239 </w:instrText>
      </w:r>
      <w:r>
        <w:rPr>
          <w:highlight w:val="none"/>
        </w:rPr>
        <w:fldChar w:fldCharType="separate"/>
      </w:r>
      <w:r>
        <w:rPr>
          <w:rFonts w:hint="eastAsia"/>
          <w:highlight w:val="none"/>
        </w:rPr>
        <w:t>9.2 承包人的施工安全责任</w:t>
      </w:r>
      <w:r>
        <w:rPr>
          <w:highlight w:val="none"/>
        </w:rPr>
        <w:tab/>
      </w:r>
      <w:r>
        <w:rPr>
          <w:highlight w:val="none"/>
        </w:rPr>
        <w:fldChar w:fldCharType="begin"/>
      </w:r>
      <w:r>
        <w:rPr>
          <w:highlight w:val="none"/>
        </w:rPr>
        <w:instrText xml:space="preserve"> PAGEREF _Toc27239 \h </w:instrText>
      </w:r>
      <w:r>
        <w:rPr>
          <w:highlight w:val="none"/>
        </w:rPr>
        <w:fldChar w:fldCharType="separate"/>
      </w:r>
      <w:r>
        <w:rPr>
          <w:highlight w:val="none"/>
        </w:rPr>
        <w:t>52</w:t>
      </w:r>
      <w:r>
        <w:rPr>
          <w:highlight w:val="none"/>
        </w:rPr>
        <w:fldChar w:fldCharType="end"/>
      </w:r>
      <w:r>
        <w:rPr>
          <w:highlight w:val="none"/>
        </w:rPr>
        <w:fldChar w:fldCharType="end"/>
      </w:r>
    </w:p>
    <w:p w14:paraId="2650C792">
      <w:pPr>
        <w:pStyle w:val="17"/>
        <w:tabs>
          <w:tab w:val="right" w:leader="dot" w:pos="8306"/>
        </w:tabs>
        <w:rPr>
          <w:highlight w:val="none"/>
        </w:rPr>
      </w:pPr>
      <w:r>
        <w:rPr>
          <w:highlight w:val="none"/>
        </w:rPr>
        <w:fldChar w:fldCharType="begin"/>
      </w:r>
      <w:r>
        <w:rPr>
          <w:highlight w:val="none"/>
        </w:rPr>
        <w:instrText xml:space="preserve"> HYPERLINK \l _Toc20397 </w:instrText>
      </w:r>
      <w:r>
        <w:rPr>
          <w:highlight w:val="none"/>
        </w:rPr>
        <w:fldChar w:fldCharType="separate"/>
      </w:r>
      <w:r>
        <w:rPr>
          <w:rFonts w:hint="eastAsia"/>
          <w:highlight w:val="none"/>
        </w:rPr>
        <w:t>9.3 治安保卫</w:t>
      </w:r>
      <w:r>
        <w:rPr>
          <w:highlight w:val="none"/>
        </w:rPr>
        <w:tab/>
      </w:r>
      <w:r>
        <w:rPr>
          <w:highlight w:val="none"/>
        </w:rPr>
        <w:fldChar w:fldCharType="begin"/>
      </w:r>
      <w:r>
        <w:rPr>
          <w:highlight w:val="none"/>
        </w:rPr>
        <w:instrText xml:space="preserve"> PAGEREF _Toc20397 \h </w:instrText>
      </w:r>
      <w:r>
        <w:rPr>
          <w:highlight w:val="none"/>
        </w:rPr>
        <w:fldChar w:fldCharType="separate"/>
      </w:r>
      <w:r>
        <w:rPr>
          <w:highlight w:val="none"/>
        </w:rPr>
        <w:t>52</w:t>
      </w:r>
      <w:r>
        <w:rPr>
          <w:highlight w:val="none"/>
        </w:rPr>
        <w:fldChar w:fldCharType="end"/>
      </w:r>
      <w:r>
        <w:rPr>
          <w:highlight w:val="none"/>
        </w:rPr>
        <w:fldChar w:fldCharType="end"/>
      </w:r>
    </w:p>
    <w:p w14:paraId="282BCE50">
      <w:pPr>
        <w:pStyle w:val="17"/>
        <w:tabs>
          <w:tab w:val="right" w:leader="dot" w:pos="8306"/>
        </w:tabs>
        <w:rPr>
          <w:highlight w:val="none"/>
        </w:rPr>
      </w:pPr>
      <w:r>
        <w:rPr>
          <w:highlight w:val="none"/>
        </w:rPr>
        <w:fldChar w:fldCharType="begin"/>
      </w:r>
      <w:r>
        <w:rPr>
          <w:highlight w:val="none"/>
        </w:rPr>
        <w:instrText xml:space="preserve"> HYPERLINK \l _Toc3496 </w:instrText>
      </w:r>
      <w:r>
        <w:rPr>
          <w:highlight w:val="none"/>
        </w:rPr>
        <w:fldChar w:fldCharType="separate"/>
      </w:r>
      <w:r>
        <w:rPr>
          <w:rFonts w:hint="eastAsia"/>
          <w:highlight w:val="none"/>
        </w:rPr>
        <w:t>9.4 环境保护</w:t>
      </w:r>
      <w:r>
        <w:rPr>
          <w:highlight w:val="none"/>
        </w:rPr>
        <w:tab/>
      </w:r>
      <w:r>
        <w:rPr>
          <w:highlight w:val="none"/>
        </w:rPr>
        <w:fldChar w:fldCharType="begin"/>
      </w:r>
      <w:r>
        <w:rPr>
          <w:highlight w:val="none"/>
        </w:rPr>
        <w:instrText xml:space="preserve"> PAGEREF _Toc3496 \h </w:instrText>
      </w:r>
      <w:r>
        <w:rPr>
          <w:highlight w:val="none"/>
        </w:rPr>
        <w:fldChar w:fldCharType="separate"/>
      </w:r>
      <w:r>
        <w:rPr>
          <w:highlight w:val="none"/>
        </w:rPr>
        <w:t>52</w:t>
      </w:r>
      <w:r>
        <w:rPr>
          <w:highlight w:val="none"/>
        </w:rPr>
        <w:fldChar w:fldCharType="end"/>
      </w:r>
      <w:r>
        <w:rPr>
          <w:highlight w:val="none"/>
        </w:rPr>
        <w:fldChar w:fldCharType="end"/>
      </w:r>
    </w:p>
    <w:p w14:paraId="439250A3">
      <w:pPr>
        <w:pStyle w:val="17"/>
        <w:tabs>
          <w:tab w:val="right" w:leader="dot" w:pos="8306"/>
        </w:tabs>
        <w:rPr>
          <w:highlight w:val="none"/>
        </w:rPr>
      </w:pPr>
      <w:r>
        <w:rPr>
          <w:highlight w:val="none"/>
        </w:rPr>
        <w:fldChar w:fldCharType="begin"/>
      </w:r>
      <w:r>
        <w:rPr>
          <w:highlight w:val="none"/>
        </w:rPr>
        <w:instrText xml:space="preserve"> HYPERLINK \l _Toc2885 </w:instrText>
      </w:r>
      <w:r>
        <w:rPr>
          <w:highlight w:val="none"/>
        </w:rPr>
        <w:fldChar w:fldCharType="separate"/>
      </w:r>
      <w:r>
        <w:rPr>
          <w:rFonts w:hint="eastAsia"/>
          <w:highlight w:val="none"/>
        </w:rPr>
        <w:t>9.5 事故处理</w:t>
      </w:r>
      <w:r>
        <w:rPr>
          <w:highlight w:val="none"/>
        </w:rPr>
        <w:tab/>
      </w:r>
      <w:r>
        <w:rPr>
          <w:highlight w:val="none"/>
        </w:rPr>
        <w:fldChar w:fldCharType="begin"/>
      </w:r>
      <w:r>
        <w:rPr>
          <w:highlight w:val="none"/>
        </w:rPr>
        <w:instrText xml:space="preserve"> PAGEREF _Toc2885 \h </w:instrText>
      </w:r>
      <w:r>
        <w:rPr>
          <w:highlight w:val="none"/>
        </w:rPr>
        <w:fldChar w:fldCharType="separate"/>
      </w:r>
      <w:r>
        <w:rPr>
          <w:highlight w:val="none"/>
        </w:rPr>
        <w:t>53</w:t>
      </w:r>
      <w:r>
        <w:rPr>
          <w:highlight w:val="none"/>
        </w:rPr>
        <w:fldChar w:fldCharType="end"/>
      </w:r>
      <w:r>
        <w:rPr>
          <w:highlight w:val="none"/>
        </w:rPr>
        <w:fldChar w:fldCharType="end"/>
      </w:r>
    </w:p>
    <w:p w14:paraId="49B6CB34">
      <w:pPr>
        <w:pStyle w:val="24"/>
        <w:tabs>
          <w:tab w:val="right" w:leader="dot" w:pos="8306"/>
        </w:tabs>
        <w:rPr>
          <w:highlight w:val="none"/>
        </w:rPr>
      </w:pPr>
      <w:r>
        <w:rPr>
          <w:highlight w:val="none"/>
        </w:rPr>
        <w:fldChar w:fldCharType="begin"/>
      </w:r>
      <w:r>
        <w:rPr>
          <w:highlight w:val="none"/>
        </w:rPr>
        <w:instrText xml:space="preserve"> HYPERLINK \l _Toc10483 </w:instrText>
      </w:r>
      <w:r>
        <w:rPr>
          <w:highlight w:val="none"/>
        </w:rPr>
        <w:fldChar w:fldCharType="separate"/>
      </w:r>
      <w:r>
        <w:rPr>
          <w:rFonts w:hint="eastAsia"/>
          <w:highlight w:val="none"/>
        </w:rPr>
        <w:t>10. 进度计划</w:t>
      </w:r>
      <w:r>
        <w:rPr>
          <w:highlight w:val="none"/>
        </w:rPr>
        <w:tab/>
      </w:r>
      <w:r>
        <w:rPr>
          <w:highlight w:val="none"/>
        </w:rPr>
        <w:fldChar w:fldCharType="begin"/>
      </w:r>
      <w:r>
        <w:rPr>
          <w:highlight w:val="none"/>
        </w:rPr>
        <w:instrText xml:space="preserve"> PAGEREF _Toc10483 \h </w:instrText>
      </w:r>
      <w:r>
        <w:rPr>
          <w:highlight w:val="none"/>
        </w:rPr>
        <w:fldChar w:fldCharType="separate"/>
      </w:r>
      <w:r>
        <w:rPr>
          <w:highlight w:val="none"/>
        </w:rPr>
        <w:t>53</w:t>
      </w:r>
      <w:r>
        <w:rPr>
          <w:highlight w:val="none"/>
        </w:rPr>
        <w:fldChar w:fldCharType="end"/>
      </w:r>
      <w:r>
        <w:rPr>
          <w:highlight w:val="none"/>
        </w:rPr>
        <w:fldChar w:fldCharType="end"/>
      </w:r>
    </w:p>
    <w:p w14:paraId="44DAC725">
      <w:pPr>
        <w:pStyle w:val="17"/>
        <w:tabs>
          <w:tab w:val="right" w:leader="dot" w:pos="8306"/>
        </w:tabs>
        <w:rPr>
          <w:highlight w:val="none"/>
        </w:rPr>
      </w:pPr>
      <w:r>
        <w:rPr>
          <w:highlight w:val="none"/>
        </w:rPr>
        <w:fldChar w:fldCharType="begin"/>
      </w:r>
      <w:r>
        <w:rPr>
          <w:highlight w:val="none"/>
        </w:rPr>
        <w:instrText xml:space="preserve"> HYPERLINK \l _Toc5316 </w:instrText>
      </w:r>
      <w:r>
        <w:rPr>
          <w:highlight w:val="none"/>
        </w:rPr>
        <w:fldChar w:fldCharType="separate"/>
      </w:r>
      <w:r>
        <w:rPr>
          <w:rFonts w:hint="eastAsia"/>
          <w:highlight w:val="none"/>
        </w:rPr>
        <w:t>10.1 合同进度计划</w:t>
      </w:r>
      <w:r>
        <w:rPr>
          <w:highlight w:val="none"/>
        </w:rPr>
        <w:tab/>
      </w:r>
      <w:r>
        <w:rPr>
          <w:highlight w:val="none"/>
        </w:rPr>
        <w:fldChar w:fldCharType="begin"/>
      </w:r>
      <w:r>
        <w:rPr>
          <w:highlight w:val="none"/>
        </w:rPr>
        <w:instrText xml:space="preserve"> PAGEREF _Toc5316 \h </w:instrText>
      </w:r>
      <w:r>
        <w:rPr>
          <w:highlight w:val="none"/>
        </w:rPr>
        <w:fldChar w:fldCharType="separate"/>
      </w:r>
      <w:r>
        <w:rPr>
          <w:highlight w:val="none"/>
        </w:rPr>
        <w:t>53</w:t>
      </w:r>
      <w:r>
        <w:rPr>
          <w:highlight w:val="none"/>
        </w:rPr>
        <w:fldChar w:fldCharType="end"/>
      </w:r>
      <w:r>
        <w:rPr>
          <w:highlight w:val="none"/>
        </w:rPr>
        <w:fldChar w:fldCharType="end"/>
      </w:r>
    </w:p>
    <w:p w14:paraId="6B512A8A">
      <w:pPr>
        <w:pStyle w:val="17"/>
        <w:tabs>
          <w:tab w:val="right" w:leader="dot" w:pos="8306"/>
        </w:tabs>
        <w:rPr>
          <w:highlight w:val="none"/>
        </w:rPr>
      </w:pPr>
      <w:r>
        <w:rPr>
          <w:highlight w:val="none"/>
        </w:rPr>
        <w:fldChar w:fldCharType="begin"/>
      </w:r>
      <w:r>
        <w:rPr>
          <w:highlight w:val="none"/>
        </w:rPr>
        <w:instrText xml:space="preserve"> HYPERLINK \l _Toc10612 </w:instrText>
      </w:r>
      <w:r>
        <w:rPr>
          <w:highlight w:val="none"/>
        </w:rPr>
        <w:fldChar w:fldCharType="separate"/>
      </w:r>
      <w:r>
        <w:rPr>
          <w:rFonts w:hint="eastAsia"/>
          <w:highlight w:val="none"/>
        </w:rPr>
        <w:t>10.2 合同进度计划的修订</w:t>
      </w:r>
      <w:r>
        <w:rPr>
          <w:highlight w:val="none"/>
        </w:rPr>
        <w:tab/>
      </w:r>
      <w:r>
        <w:rPr>
          <w:highlight w:val="none"/>
        </w:rPr>
        <w:fldChar w:fldCharType="begin"/>
      </w:r>
      <w:r>
        <w:rPr>
          <w:highlight w:val="none"/>
        </w:rPr>
        <w:instrText xml:space="preserve"> PAGEREF _Toc10612 \h </w:instrText>
      </w:r>
      <w:r>
        <w:rPr>
          <w:highlight w:val="none"/>
        </w:rPr>
        <w:fldChar w:fldCharType="separate"/>
      </w:r>
      <w:r>
        <w:rPr>
          <w:highlight w:val="none"/>
        </w:rPr>
        <w:t>53</w:t>
      </w:r>
      <w:r>
        <w:rPr>
          <w:highlight w:val="none"/>
        </w:rPr>
        <w:fldChar w:fldCharType="end"/>
      </w:r>
      <w:r>
        <w:rPr>
          <w:highlight w:val="none"/>
        </w:rPr>
        <w:fldChar w:fldCharType="end"/>
      </w:r>
    </w:p>
    <w:p w14:paraId="3664E634">
      <w:pPr>
        <w:pStyle w:val="24"/>
        <w:tabs>
          <w:tab w:val="right" w:leader="dot" w:pos="8306"/>
        </w:tabs>
        <w:rPr>
          <w:highlight w:val="none"/>
        </w:rPr>
      </w:pPr>
      <w:r>
        <w:rPr>
          <w:highlight w:val="none"/>
        </w:rPr>
        <w:fldChar w:fldCharType="begin"/>
      </w:r>
      <w:r>
        <w:rPr>
          <w:highlight w:val="none"/>
        </w:rPr>
        <w:instrText xml:space="preserve"> HYPERLINK \l _Toc12014 </w:instrText>
      </w:r>
      <w:r>
        <w:rPr>
          <w:highlight w:val="none"/>
        </w:rPr>
        <w:fldChar w:fldCharType="separate"/>
      </w:r>
      <w:r>
        <w:rPr>
          <w:rFonts w:hint="eastAsia"/>
          <w:highlight w:val="none"/>
        </w:rPr>
        <w:t>11. 开工和竣工</w:t>
      </w:r>
      <w:r>
        <w:rPr>
          <w:highlight w:val="none"/>
        </w:rPr>
        <w:tab/>
      </w:r>
      <w:r>
        <w:rPr>
          <w:highlight w:val="none"/>
        </w:rPr>
        <w:fldChar w:fldCharType="begin"/>
      </w:r>
      <w:r>
        <w:rPr>
          <w:highlight w:val="none"/>
        </w:rPr>
        <w:instrText xml:space="preserve"> PAGEREF _Toc12014 \h </w:instrText>
      </w:r>
      <w:r>
        <w:rPr>
          <w:highlight w:val="none"/>
        </w:rPr>
        <w:fldChar w:fldCharType="separate"/>
      </w:r>
      <w:r>
        <w:rPr>
          <w:highlight w:val="none"/>
        </w:rPr>
        <w:t>53</w:t>
      </w:r>
      <w:r>
        <w:rPr>
          <w:highlight w:val="none"/>
        </w:rPr>
        <w:fldChar w:fldCharType="end"/>
      </w:r>
      <w:r>
        <w:rPr>
          <w:highlight w:val="none"/>
        </w:rPr>
        <w:fldChar w:fldCharType="end"/>
      </w:r>
    </w:p>
    <w:p w14:paraId="6BCE552D">
      <w:pPr>
        <w:pStyle w:val="17"/>
        <w:tabs>
          <w:tab w:val="right" w:leader="dot" w:pos="8306"/>
        </w:tabs>
        <w:rPr>
          <w:highlight w:val="none"/>
        </w:rPr>
      </w:pPr>
      <w:r>
        <w:rPr>
          <w:highlight w:val="none"/>
        </w:rPr>
        <w:fldChar w:fldCharType="begin"/>
      </w:r>
      <w:r>
        <w:rPr>
          <w:highlight w:val="none"/>
        </w:rPr>
        <w:instrText xml:space="preserve"> HYPERLINK \l _Toc12308 </w:instrText>
      </w:r>
      <w:r>
        <w:rPr>
          <w:highlight w:val="none"/>
        </w:rPr>
        <w:fldChar w:fldCharType="separate"/>
      </w:r>
      <w:r>
        <w:rPr>
          <w:rFonts w:hint="eastAsia"/>
          <w:highlight w:val="none"/>
        </w:rPr>
        <w:t>11.1 开工</w:t>
      </w:r>
      <w:r>
        <w:rPr>
          <w:highlight w:val="none"/>
        </w:rPr>
        <w:tab/>
      </w:r>
      <w:r>
        <w:rPr>
          <w:highlight w:val="none"/>
        </w:rPr>
        <w:fldChar w:fldCharType="begin"/>
      </w:r>
      <w:r>
        <w:rPr>
          <w:highlight w:val="none"/>
        </w:rPr>
        <w:instrText xml:space="preserve"> PAGEREF _Toc12308 \h </w:instrText>
      </w:r>
      <w:r>
        <w:rPr>
          <w:highlight w:val="none"/>
        </w:rPr>
        <w:fldChar w:fldCharType="separate"/>
      </w:r>
      <w:r>
        <w:rPr>
          <w:highlight w:val="none"/>
        </w:rPr>
        <w:t>53</w:t>
      </w:r>
      <w:r>
        <w:rPr>
          <w:highlight w:val="none"/>
        </w:rPr>
        <w:fldChar w:fldCharType="end"/>
      </w:r>
      <w:r>
        <w:rPr>
          <w:highlight w:val="none"/>
        </w:rPr>
        <w:fldChar w:fldCharType="end"/>
      </w:r>
    </w:p>
    <w:p w14:paraId="356232A8">
      <w:pPr>
        <w:pStyle w:val="17"/>
        <w:tabs>
          <w:tab w:val="right" w:leader="dot" w:pos="8306"/>
        </w:tabs>
        <w:rPr>
          <w:highlight w:val="none"/>
        </w:rPr>
      </w:pPr>
      <w:r>
        <w:rPr>
          <w:highlight w:val="none"/>
        </w:rPr>
        <w:fldChar w:fldCharType="begin"/>
      </w:r>
      <w:r>
        <w:rPr>
          <w:highlight w:val="none"/>
        </w:rPr>
        <w:instrText xml:space="preserve"> HYPERLINK \l _Toc9043 </w:instrText>
      </w:r>
      <w:r>
        <w:rPr>
          <w:highlight w:val="none"/>
        </w:rPr>
        <w:fldChar w:fldCharType="separate"/>
      </w:r>
      <w:r>
        <w:rPr>
          <w:rFonts w:hint="eastAsia"/>
          <w:highlight w:val="none"/>
        </w:rPr>
        <w:t>11.2 竣工</w:t>
      </w:r>
      <w:r>
        <w:rPr>
          <w:highlight w:val="none"/>
        </w:rPr>
        <w:tab/>
      </w:r>
      <w:r>
        <w:rPr>
          <w:highlight w:val="none"/>
        </w:rPr>
        <w:fldChar w:fldCharType="begin"/>
      </w:r>
      <w:r>
        <w:rPr>
          <w:highlight w:val="none"/>
        </w:rPr>
        <w:instrText xml:space="preserve"> PAGEREF _Toc9043 \h </w:instrText>
      </w:r>
      <w:r>
        <w:rPr>
          <w:highlight w:val="none"/>
        </w:rPr>
        <w:fldChar w:fldCharType="separate"/>
      </w:r>
      <w:r>
        <w:rPr>
          <w:highlight w:val="none"/>
        </w:rPr>
        <w:t>54</w:t>
      </w:r>
      <w:r>
        <w:rPr>
          <w:highlight w:val="none"/>
        </w:rPr>
        <w:fldChar w:fldCharType="end"/>
      </w:r>
      <w:r>
        <w:rPr>
          <w:highlight w:val="none"/>
        </w:rPr>
        <w:fldChar w:fldCharType="end"/>
      </w:r>
    </w:p>
    <w:p w14:paraId="76ADC374">
      <w:pPr>
        <w:pStyle w:val="17"/>
        <w:tabs>
          <w:tab w:val="right" w:leader="dot" w:pos="8306"/>
        </w:tabs>
        <w:rPr>
          <w:highlight w:val="none"/>
        </w:rPr>
      </w:pPr>
      <w:r>
        <w:rPr>
          <w:highlight w:val="none"/>
        </w:rPr>
        <w:fldChar w:fldCharType="begin"/>
      </w:r>
      <w:r>
        <w:rPr>
          <w:highlight w:val="none"/>
        </w:rPr>
        <w:instrText xml:space="preserve"> HYPERLINK \l _Toc9003 </w:instrText>
      </w:r>
      <w:r>
        <w:rPr>
          <w:highlight w:val="none"/>
        </w:rPr>
        <w:fldChar w:fldCharType="separate"/>
      </w:r>
      <w:r>
        <w:rPr>
          <w:rFonts w:hint="eastAsia"/>
          <w:highlight w:val="none"/>
        </w:rPr>
        <w:t>11.3 发包人的工期延误</w:t>
      </w:r>
      <w:r>
        <w:rPr>
          <w:highlight w:val="none"/>
        </w:rPr>
        <w:tab/>
      </w:r>
      <w:r>
        <w:rPr>
          <w:highlight w:val="none"/>
        </w:rPr>
        <w:fldChar w:fldCharType="begin"/>
      </w:r>
      <w:r>
        <w:rPr>
          <w:highlight w:val="none"/>
        </w:rPr>
        <w:instrText xml:space="preserve"> PAGEREF _Toc9003 \h </w:instrText>
      </w:r>
      <w:r>
        <w:rPr>
          <w:highlight w:val="none"/>
        </w:rPr>
        <w:fldChar w:fldCharType="separate"/>
      </w:r>
      <w:r>
        <w:rPr>
          <w:highlight w:val="none"/>
        </w:rPr>
        <w:t>54</w:t>
      </w:r>
      <w:r>
        <w:rPr>
          <w:highlight w:val="none"/>
        </w:rPr>
        <w:fldChar w:fldCharType="end"/>
      </w:r>
      <w:r>
        <w:rPr>
          <w:highlight w:val="none"/>
        </w:rPr>
        <w:fldChar w:fldCharType="end"/>
      </w:r>
    </w:p>
    <w:p w14:paraId="19A76865">
      <w:pPr>
        <w:pStyle w:val="17"/>
        <w:tabs>
          <w:tab w:val="right" w:leader="dot" w:pos="8306"/>
        </w:tabs>
        <w:rPr>
          <w:highlight w:val="none"/>
        </w:rPr>
      </w:pPr>
      <w:r>
        <w:rPr>
          <w:highlight w:val="none"/>
        </w:rPr>
        <w:fldChar w:fldCharType="begin"/>
      </w:r>
      <w:r>
        <w:rPr>
          <w:highlight w:val="none"/>
        </w:rPr>
        <w:instrText xml:space="preserve"> HYPERLINK \l _Toc7637 </w:instrText>
      </w:r>
      <w:r>
        <w:rPr>
          <w:highlight w:val="none"/>
        </w:rPr>
        <w:fldChar w:fldCharType="separate"/>
      </w:r>
      <w:r>
        <w:rPr>
          <w:rFonts w:hint="eastAsia"/>
          <w:highlight w:val="none"/>
        </w:rPr>
        <w:t>11.4 异常恶劣的气候条件</w:t>
      </w:r>
      <w:r>
        <w:rPr>
          <w:highlight w:val="none"/>
        </w:rPr>
        <w:tab/>
      </w:r>
      <w:r>
        <w:rPr>
          <w:highlight w:val="none"/>
        </w:rPr>
        <w:fldChar w:fldCharType="begin"/>
      </w:r>
      <w:r>
        <w:rPr>
          <w:highlight w:val="none"/>
        </w:rPr>
        <w:instrText xml:space="preserve"> PAGEREF _Toc7637 \h </w:instrText>
      </w:r>
      <w:r>
        <w:rPr>
          <w:highlight w:val="none"/>
        </w:rPr>
        <w:fldChar w:fldCharType="separate"/>
      </w:r>
      <w:r>
        <w:rPr>
          <w:highlight w:val="none"/>
        </w:rPr>
        <w:t>54</w:t>
      </w:r>
      <w:r>
        <w:rPr>
          <w:highlight w:val="none"/>
        </w:rPr>
        <w:fldChar w:fldCharType="end"/>
      </w:r>
      <w:r>
        <w:rPr>
          <w:highlight w:val="none"/>
        </w:rPr>
        <w:fldChar w:fldCharType="end"/>
      </w:r>
    </w:p>
    <w:p w14:paraId="22508F2C">
      <w:pPr>
        <w:pStyle w:val="17"/>
        <w:tabs>
          <w:tab w:val="right" w:leader="dot" w:pos="8306"/>
        </w:tabs>
        <w:rPr>
          <w:highlight w:val="none"/>
        </w:rPr>
      </w:pPr>
      <w:r>
        <w:rPr>
          <w:highlight w:val="none"/>
        </w:rPr>
        <w:fldChar w:fldCharType="begin"/>
      </w:r>
      <w:r>
        <w:rPr>
          <w:highlight w:val="none"/>
        </w:rPr>
        <w:instrText xml:space="preserve"> HYPERLINK \l _Toc27253 </w:instrText>
      </w:r>
      <w:r>
        <w:rPr>
          <w:highlight w:val="none"/>
        </w:rPr>
        <w:fldChar w:fldCharType="separate"/>
      </w:r>
      <w:r>
        <w:rPr>
          <w:rFonts w:hint="eastAsia"/>
          <w:highlight w:val="none"/>
        </w:rPr>
        <w:t>11.5 承包人的工期延误</w:t>
      </w:r>
      <w:r>
        <w:rPr>
          <w:highlight w:val="none"/>
        </w:rPr>
        <w:tab/>
      </w:r>
      <w:r>
        <w:rPr>
          <w:highlight w:val="none"/>
        </w:rPr>
        <w:fldChar w:fldCharType="begin"/>
      </w:r>
      <w:r>
        <w:rPr>
          <w:highlight w:val="none"/>
        </w:rPr>
        <w:instrText xml:space="preserve"> PAGEREF _Toc27253 \h </w:instrText>
      </w:r>
      <w:r>
        <w:rPr>
          <w:highlight w:val="none"/>
        </w:rPr>
        <w:fldChar w:fldCharType="separate"/>
      </w:r>
      <w:r>
        <w:rPr>
          <w:highlight w:val="none"/>
        </w:rPr>
        <w:t>54</w:t>
      </w:r>
      <w:r>
        <w:rPr>
          <w:highlight w:val="none"/>
        </w:rPr>
        <w:fldChar w:fldCharType="end"/>
      </w:r>
      <w:r>
        <w:rPr>
          <w:highlight w:val="none"/>
        </w:rPr>
        <w:fldChar w:fldCharType="end"/>
      </w:r>
    </w:p>
    <w:p w14:paraId="3D7C6088">
      <w:pPr>
        <w:pStyle w:val="17"/>
        <w:tabs>
          <w:tab w:val="right" w:leader="dot" w:pos="8306"/>
        </w:tabs>
        <w:rPr>
          <w:highlight w:val="none"/>
        </w:rPr>
      </w:pPr>
      <w:r>
        <w:rPr>
          <w:highlight w:val="none"/>
        </w:rPr>
        <w:fldChar w:fldCharType="begin"/>
      </w:r>
      <w:r>
        <w:rPr>
          <w:highlight w:val="none"/>
        </w:rPr>
        <w:instrText xml:space="preserve"> HYPERLINK \l _Toc3373 </w:instrText>
      </w:r>
      <w:r>
        <w:rPr>
          <w:highlight w:val="none"/>
        </w:rPr>
        <w:fldChar w:fldCharType="separate"/>
      </w:r>
      <w:r>
        <w:rPr>
          <w:rFonts w:hint="eastAsia"/>
          <w:highlight w:val="none"/>
        </w:rPr>
        <w:t>11.6 工期提前</w:t>
      </w:r>
      <w:r>
        <w:rPr>
          <w:highlight w:val="none"/>
        </w:rPr>
        <w:tab/>
      </w:r>
      <w:r>
        <w:rPr>
          <w:highlight w:val="none"/>
        </w:rPr>
        <w:fldChar w:fldCharType="begin"/>
      </w:r>
      <w:r>
        <w:rPr>
          <w:highlight w:val="none"/>
        </w:rPr>
        <w:instrText xml:space="preserve"> PAGEREF _Toc3373 \h </w:instrText>
      </w:r>
      <w:r>
        <w:rPr>
          <w:highlight w:val="none"/>
        </w:rPr>
        <w:fldChar w:fldCharType="separate"/>
      </w:r>
      <w:r>
        <w:rPr>
          <w:highlight w:val="none"/>
        </w:rPr>
        <w:t>54</w:t>
      </w:r>
      <w:r>
        <w:rPr>
          <w:highlight w:val="none"/>
        </w:rPr>
        <w:fldChar w:fldCharType="end"/>
      </w:r>
      <w:r>
        <w:rPr>
          <w:highlight w:val="none"/>
        </w:rPr>
        <w:fldChar w:fldCharType="end"/>
      </w:r>
    </w:p>
    <w:p w14:paraId="5BEC1CD4">
      <w:pPr>
        <w:pStyle w:val="24"/>
        <w:tabs>
          <w:tab w:val="right" w:leader="dot" w:pos="8306"/>
        </w:tabs>
        <w:rPr>
          <w:highlight w:val="none"/>
        </w:rPr>
      </w:pPr>
      <w:r>
        <w:rPr>
          <w:highlight w:val="none"/>
        </w:rPr>
        <w:fldChar w:fldCharType="begin"/>
      </w:r>
      <w:r>
        <w:rPr>
          <w:highlight w:val="none"/>
        </w:rPr>
        <w:instrText xml:space="preserve"> HYPERLINK \l _Toc4074 </w:instrText>
      </w:r>
      <w:r>
        <w:rPr>
          <w:highlight w:val="none"/>
        </w:rPr>
        <w:fldChar w:fldCharType="separate"/>
      </w:r>
      <w:r>
        <w:rPr>
          <w:rFonts w:hint="eastAsia"/>
          <w:highlight w:val="none"/>
        </w:rPr>
        <w:t>12. 暂停施工</w:t>
      </w:r>
      <w:r>
        <w:rPr>
          <w:highlight w:val="none"/>
        </w:rPr>
        <w:tab/>
      </w:r>
      <w:r>
        <w:rPr>
          <w:highlight w:val="none"/>
        </w:rPr>
        <w:fldChar w:fldCharType="begin"/>
      </w:r>
      <w:r>
        <w:rPr>
          <w:highlight w:val="none"/>
        </w:rPr>
        <w:instrText xml:space="preserve"> PAGEREF _Toc4074 \h </w:instrText>
      </w:r>
      <w:r>
        <w:rPr>
          <w:highlight w:val="none"/>
        </w:rPr>
        <w:fldChar w:fldCharType="separate"/>
      </w:r>
      <w:r>
        <w:rPr>
          <w:highlight w:val="none"/>
        </w:rPr>
        <w:t>54</w:t>
      </w:r>
      <w:r>
        <w:rPr>
          <w:highlight w:val="none"/>
        </w:rPr>
        <w:fldChar w:fldCharType="end"/>
      </w:r>
      <w:r>
        <w:rPr>
          <w:highlight w:val="none"/>
        </w:rPr>
        <w:fldChar w:fldCharType="end"/>
      </w:r>
    </w:p>
    <w:p w14:paraId="26CDC7F3">
      <w:pPr>
        <w:pStyle w:val="17"/>
        <w:tabs>
          <w:tab w:val="right" w:leader="dot" w:pos="8306"/>
        </w:tabs>
        <w:rPr>
          <w:highlight w:val="none"/>
        </w:rPr>
      </w:pPr>
      <w:r>
        <w:rPr>
          <w:highlight w:val="none"/>
        </w:rPr>
        <w:fldChar w:fldCharType="begin"/>
      </w:r>
      <w:r>
        <w:rPr>
          <w:highlight w:val="none"/>
        </w:rPr>
        <w:instrText xml:space="preserve"> HYPERLINK \l _Toc30968 </w:instrText>
      </w:r>
      <w:r>
        <w:rPr>
          <w:highlight w:val="none"/>
        </w:rPr>
        <w:fldChar w:fldCharType="separate"/>
      </w:r>
      <w:r>
        <w:rPr>
          <w:rFonts w:hint="eastAsia"/>
          <w:highlight w:val="none"/>
        </w:rPr>
        <w:t>12.1 承包人暂停施工的责任</w:t>
      </w:r>
      <w:r>
        <w:rPr>
          <w:highlight w:val="none"/>
        </w:rPr>
        <w:tab/>
      </w:r>
      <w:r>
        <w:rPr>
          <w:highlight w:val="none"/>
        </w:rPr>
        <w:fldChar w:fldCharType="begin"/>
      </w:r>
      <w:r>
        <w:rPr>
          <w:highlight w:val="none"/>
        </w:rPr>
        <w:instrText xml:space="preserve"> PAGEREF _Toc30968 \h </w:instrText>
      </w:r>
      <w:r>
        <w:rPr>
          <w:highlight w:val="none"/>
        </w:rPr>
        <w:fldChar w:fldCharType="separate"/>
      </w:r>
      <w:r>
        <w:rPr>
          <w:highlight w:val="none"/>
        </w:rPr>
        <w:t>54</w:t>
      </w:r>
      <w:r>
        <w:rPr>
          <w:highlight w:val="none"/>
        </w:rPr>
        <w:fldChar w:fldCharType="end"/>
      </w:r>
      <w:r>
        <w:rPr>
          <w:highlight w:val="none"/>
        </w:rPr>
        <w:fldChar w:fldCharType="end"/>
      </w:r>
    </w:p>
    <w:p w14:paraId="75A1DF68">
      <w:pPr>
        <w:pStyle w:val="17"/>
        <w:tabs>
          <w:tab w:val="right" w:leader="dot" w:pos="8306"/>
        </w:tabs>
        <w:rPr>
          <w:highlight w:val="none"/>
        </w:rPr>
      </w:pPr>
      <w:r>
        <w:rPr>
          <w:highlight w:val="none"/>
        </w:rPr>
        <w:fldChar w:fldCharType="begin"/>
      </w:r>
      <w:r>
        <w:rPr>
          <w:highlight w:val="none"/>
        </w:rPr>
        <w:instrText xml:space="preserve"> HYPERLINK \l _Toc5168 </w:instrText>
      </w:r>
      <w:r>
        <w:rPr>
          <w:highlight w:val="none"/>
        </w:rPr>
        <w:fldChar w:fldCharType="separate"/>
      </w:r>
      <w:r>
        <w:rPr>
          <w:rFonts w:hint="eastAsia"/>
          <w:highlight w:val="none"/>
        </w:rPr>
        <w:t>12.2 发包人暂停施工的责任</w:t>
      </w:r>
      <w:r>
        <w:rPr>
          <w:highlight w:val="none"/>
        </w:rPr>
        <w:tab/>
      </w:r>
      <w:r>
        <w:rPr>
          <w:highlight w:val="none"/>
        </w:rPr>
        <w:fldChar w:fldCharType="begin"/>
      </w:r>
      <w:r>
        <w:rPr>
          <w:highlight w:val="none"/>
        </w:rPr>
        <w:instrText xml:space="preserve"> PAGEREF _Toc5168 \h </w:instrText>
      </w:r>
      <w:r>
        <w:rPr>
          <w:highlight w:val="none"/>
        </w:rPr>
        <w:fldChar w:fldCharType="separate"/>
      </w:r>
      <w:r>
        <w:rPr>
          <w:highlight w:val="none"/>
        </w:rPr>
        <w:t>55</w:t>
      </w:r>
      <w:r>
        <w:rPr>
          <w:highlight w:val="none"/>
        </w:rPr>
        <w:fldChar w:fldCharType="end"/>
      </w:r>
      <w:r>
        <w:rPr>
          <w:highlight w:val="none"/>
        </w:rPr>
        <w:fldChar w:fldCharType="end"/>
      </w:r>
    </w:p>
    <w:p w14:paraId="5CF8C5E8">
      <w:pPr>
        <w:pStyle w:val="17"/>
        <w:tabs>
          <w:tab w:val="right" w:leader="dot" w:pos="8306"/>
        </w:tabs>
        <w:rPr>
          <w:highlight w:val="none"/>
        </w:rPr>
      </w:pPr>
      <w:r>
        <w:rPr>
          <w:highlight w:val="none"/>
        </w:rPr>
        <w:fldChar w:fldCharType="begin"/>
      </w:r>
      <w:r>
        <w:rPr>
          <w:highlight w:val="none"/>
        </w:rPr>
        <w:instrText xml:space="preserve"> HYPERLINK \l _Toc209 </w:instrText>
      </w:r>
      <w:r>
        <w:rPr>
          <w:highlight w:val="none"/>
        </w:rPr>
        <w:fldChar w:fldCharType="separate"/>
      </w:r>
      <w:r>
        <w:rPr>
          <w:rFonts w:hint="eastAsia"/>
          <w:highlight w:val="none"/>
        </w:rPr>
        <w:t>12.3 监理人暂停施工指示</w:t>
      </w:r>
      <w:r>
        <w:rPr>
          <w:highlight w:val="none"/>
        </w:rPr>
        <w:tab/>
      </w:r>
      <w:r>
        <w:rPr>
          <w:highlight w:val="none"/>
        </w:rPr>
        <w:fldChar w:fldCharType="begin"/>
      </w:r>
      <w:r>
        <w:rPr>
          <w:highlight w:val="none"/>
        </w:rPr>
        <w:instrText xml:space="preserve"> PAGEREF _Toc209 \h </w:instrText>
      </w:r>
      <w:r>
        <w:rPr>
          <w:highlight w:val="none"/>
        </w:rPr>
        <w:fldChar w:fldCharType="separate"/>
      </w:r>
      <w:r>
        <w:rPr>
          <w:highlight w:val="none"/>
        </w:rPr>
        <w:t>55</w:t>
      </w:r>
      <w:r>
        <w:rPr>
          <w:highlight w:val="none"/>
        </w:rPr>
        <w:fldChar w:fldCharType="end"/>
      </w:r>
      <w:r>
        <w:rPr>
          <w:highlight w:val="none"/>
        </w:rPr>
        <w:fldChar w:fldCharType="end"/>
      </w:r>
    </w:p>
    <w:p w14:paraId="3750CE0D">
      <w:pPr>
        <w:pStyle w:val="17"/>
        <w:tabs>
          <w:tab w:val="right" w:leader="dot" w:pos="8306"/>
        </w:tabs>
        <w:rPr>
          <w:highlight w:val="none"/>
        </w:rPr>
      </w:pPr>
      <w:r>
        <w:rPr>
          <w:highlight w:val="none"/>
        </w:rPr>
        <w:fldChar w:fldCharType="begin"/>
      </w:r>
      <w:r>
        <w:rPr>
          <w:highlight w:val="none"/>
        </w:rPr>
        <w:instrText xml:space="preserve"> HYPERLINK \l _Toc31678 </w:instrText>
      </w:r>
      <w:r>
        <w:rPr>
          <w:highlight w:val="none"/>
        </w:rPr>
        <w:fldChar w:fldCharType="separate"/>
      </w:r>
      <w:r>
        <w:rPr>
          <w:rFonts w:hint="eastAsia"/>
          <w:highlight w:val="none"/>
        </w:rPr>
        <w:t>12.4 暂停施工后的复工</w:t>
      </w:r>
      <w:r>
        <w:rPr>
          <w:highlight w:val="none"/>
        </w:rPr>
        <w:tab/>
      </w:r>
      <w:r>
        <w:rPr>
          <w:highlight w:val="none"/>
        </w:rPr>
        <w:fldChar w:fldCharType="begin"/>
      </w:r>
      <w:r>
        <w:rPr>
          <w:highlight w:val="none"/>
        </w:rPr>
        <w:instrText xml:space="preserve"> PAGEREF _Toc31678 \h </w:instrText>
      </w:r>
      <w:r>
        <w:rPr>
          <w:highlight w:val="none"/>
        </w:rPr>
        <w:fldChar w:fldCharType="separate"/>
      </w:r>
      <w:r>
        <w:rPr>
          <w:highlight w:val="none"/>
        </w:rPr>
        <w:t>55</w:t>
      </w:r>
      <w:r>
        <w:rPr>
          <w:highlight w:val="none"/>
        </w:rPr>
        <w:fldChar w:fldCharType="end"/>
      </w:r>
      <w:r>
        <w:rPr>
          <w:highlight w:val="none"/>
        </w:rPr>
        <w:fldChar w:fldCharType="end"/>
      </w:r>
    </w:p>
    <w:p w14:paraId="1684F105">
      <w:pPr>
        <w:pStyle w:val="17"/>
        <w:tabs>
          <w:tab w:val="right" w:leader="dot" w:pos="8306"/>
        </w:tabs>
        <w:rPr>
          <w:highlight w:val="none"/>
        </w:rPr>
      </w:pPr>
      <w:r>
        <w:rPr>
          <w:highlight w:val="none"/>
        </w:rPr>
        <w:fldChar w:fldCharType="begin"/>
      </w:r>
      <w:r>
        <w:rPr>
          <w:highlight w:val="none"/>
        </w:rPr>
        <w:instrText xml:space="preserve"> HYPERLINK \l _Toc5500 </w:instrText>
      </w:r>
      <w:r>
        <w:rPr>
          <w:highlight w:val="none"/>
        </w:rPr>
        <w:fldChar w:fldCharType="separate"/>
      </w:r>
      <w:r>
        <w:rPr>
          <w:rFonts w:hint="eastAsia"/>
          <w:highlight w:val="none"/>
        </w:rPr>
        <w:t xml:space="preserve">12.5 </w:t>
      </w:r>
      <w:r>
        <w:rPr>
          <w:highlight w:val="none"/>
        </w:rPr>
        <w:t>暂停施工</w:t>
      </w:r>
      <w:r>
        <w:rPr>
          <w:rFonts w:hint="eastAsia"/>
          <w:highlight w:val="none"/>
        </w:rPr>
        <w:t>持续56天以上</w:t>
      </w:r>
      <w:r>
        <w:rPr>
          <w:highlight w:val="none"/>
        </w:rPr>
        <w:tab/>
      </w:r>
      <w:r>
        <w:rPr>
          <w:highlight w:val="none"/>
        </w:rPr>
        <w:fldChar w:fldCharType="begin"/>
      </w:r>
      <w:r>
        <w:rPr>
          <w:highlight w:val="none"/>
        </w:rPr>
        <w:instrText xml:space="preserve"> PAGEREF _Toc5500 \h </w:instrText>
      </w:r>
      <w:r>
        <w:rPr>
          <w:highlight w:val="none"/>
        </w:rPr>
        <w:fldChar w:fldCharType="separate"/>
      </w:r>
      <w:r>
        <w:rPr>
          <w:highlight w:val="none"/>
        </w:rPr>
        <w:t>55</w:t>
      </w:r>
      <w:r>
        <w:rPr>
          <w:highlight w:val="none"/>
        </w:rPr>
        <w:fldChar w:fldCharType="end"/>
      </w:r>
      <w:r>
        <w:rPr>
          <w:highlight w:val="none"/>
        </w:rPr>
        <w:fldChar w:fldCharType="end"/>
      </w:r>
    </w:p>
    <w:p w14:paraId="0A428475">
      <w:pPr>
        <w:pStyle w:val="24"/>
        <w:tabs>
          <w:tab w:val="right" w:leader="dot" w:pos="8306"/>
        </w:tabs>
        <w:rPr>
          <w:highlight w:val="none"/>
        </w:rPr>
      </w:pPr>
      <w:r>
        <w:rPr>
          <w:highlight w:val="none"/>
        </w:rPr>
        <w:fldChar w:fldCharType="begin"/>
      </w:r>
      <w:r>
        <w:rPr>
          <w:highlight w:val="none"/>
        </w:rPr>
        <w:instrText xml:space="preserve"> HYPERLINK \l _Toc484 </w:instrText>
      </w:r>
      <w:r>
        <w:rPr>
          <w:highlight w:val="none"/>
        </w:rPr>
        <w:fldChar w:fldCharType="separate"/>
      </w:r>
      <w:r>
        <w:rPr>
          <w:rFonts w:hint="eastAsia"/>
          <w:highlight w:val="none"/>
        </w:rPr>
        <w:t>13. 工程质量</w:t>
      </w:r>
      <w:r>
        <w:rPr>
          <w:highlight w:val="none"/>
        </w:rPr>
        <w:tab/>
      </w:r>
      <w:r>
        <w:rPr>
          <w:highlight w:val="none"/>
        </w:rPr>
        <w:fldChar w:fldCharType="begin"/>
      </w:r>
      <w:r>
        <w:rPr>
          <w:highlight w:val="none"/>
        </w:rPr>
        <w:instrText xml:space="preserve"> PAGEREF _Toc484 \h </w:instrText>
      </w:r>
      <w:r>
        <w:rPr>
          <w:highlight w:val="none"/>
        </w:rPr>
        <w:fldChar w:fldCharType="separate"/>
      </w:r>
      <w:r>
        <w:rPr>
          <w:highlight w:val="none"/>
        </w:rPr>
        <w:t>55</w:t>
      </w:r>
      <w:r>
        <w:rPr>
          <w:highlight w:val="none"/>
        </w:rPr>
        <w:fldChar w:fldCharType="end"/>
      </w:r>
      <w:r>
        <w:rPr>
          <w:highlight w:val="none"/>
        </w:rPr>
        <w:fldChar w:fldCharType="end"/>
      </w:r>
    </w:p>
    <w:p w14:paraId="0FE96573">
      <w:pPr>
        <w:pStyle w:val="17"/>
        <w:tabs>
          <w:tab w:val="right" w:leader="dot" w:pos="8306"/>
        </w:tabs>
        <w:rPr>
          <w:highlight w:val="none"/>
        </w:rPr>
      </w:pPr>
      <w:r>
        <w:rPr>
          <w:highlight w:val="none"/>
        </w:rPr>
        <w:fldChar w:fldCharType="begin"/>
      </w:r>
      <w:r>
        <w:rPr>
          <w:highlight w:val="none"/>
        </w:rPr>
        <w:instrText xml:space="preserve"> HYPERLINK \l _Toc17460 </w:instrText>
      </w:r>
      <w:r>
        <w:rPr>
          <w:highlight w:val="none"/>
        </w:rPr>
        <w:fldChar w:fldCharType="separate"/>
      </w:r>
      <w:r>
        <w:rPr>
          <w:rFonts w:hint="eastAsia"/>
          <w:highlight w:val="none"/>
        </w:rPr>
        <w:t>13.1 工程质量要求</w:t>
      </w:r>
      <w:r>
        <w:rPr>
          <w:highlight w:val="none"/>
        </w:rPr>
        <w:tab/>
      </w:r>
      <w:r>
        <w:rPr>
          <w:highlight w:val="none"/>
        </w:rPr>
        <w:fldChar w:fldCharType="begin"/>
      </w:r>
      <w:r>
        <w:rPr>
          <w:highlight w:val="none"/>
        </w:rPr>
        <w:instrText xml:space="preserve"> PAGEREF _Toc17460 \h </w:instrText>
      </w:r>
      <w:r>
        <w:rPr>
          <w:highlight w:val="none"/>
        </w:rPr>
        <w:fldChar w:fldCharType="separate"/>
      </w:r>
      <w:r>
        <w:rPr>
          <w:highlight w:val="none"/>
        </w:rPr>
        <w:t>55</w:t>
      </w:r>
      <w:r>
        <w:rPr>
          <w:highlight w:val="none"/>
        </w:rPr>
        <w:fldChar w:fldCharType="end"/>
      </w:r>
      <w:r>
        <w:rPr>
          <w:highlight w:val="none"/>
        </w:rPr>
        <w:fldChar w:fldCharType="end"/>
      </w:r>
    </w:p>
    <w:p w14:paraId="12DE5ABF">
      <w:pPr>
        <w:pStyle w:val="17"/>
        <w:tabs>
          <w:tab w:val="right" w:leader="dot" w:pos="8306"/>
        </w:tabs>
        <w:rPr>
          <w:highlight w:val="none"/>
        </w:rPr>
      </w:pPr>
      <w:r>
        <w:rPr>
          <w:highlight w:val="none"/>
        </w:rPr>
        <w:fldChar w:fldCharType="begin"/>
      </w:r>
      <w:r>
        <w:rPr>
          <w:highlight w:val="none"/>
        </w:rPr>
        <w:instrText xml:space="preserve"> HYPERLINK \l _Toc2395 </w:instrText>
      </w:r>
      <w:r>
        <w:rPr>
          <w:highlight w:val="none"/>
        </w:rPr>
        <w:fldChar w:fldCharType="separate"/>
      </w:r>
      <w:r>
        <w:rPr>
          <w:rFonts w:hint="eastAsia"/>
          <w:highlight w:val="none"/>
        </w:rPr>
        <w:t>13.2 承包人的质量管理</w:t>
      </w:r>
      <w:r>
        <w:rPr>
          <w:highlight w:val="none"/>
        </w:rPr>
        <w:tab/>
      </w:r>
      <w:r>
        <w:rPr>
          <w:highlight w:val="none"/>
        </w:rPr>
        <w:fldChar w:fldCharType="begin"/>
      </w:r>
      <w:r>
        <w:rPr>
          <w:highlight w:val="none"/>
        </w:rPr>
        <w:instrText xml:space="preserve"> PAGEREF _Toc2395 \h </w:instrText>
      </w:r>
      <w:r>
        <w:rPr>
          <w:highlight w:val="none"/>
        </w:rPr>
        <w:fldChar w:fldCharType="separate"/>
      </w:r>
      <w:r>
        <w:rPr>
          <w:highlight w:val="none"/>
        </w:rPr>
        <w:t>56</w:t>
      </w:r>
      <w:r>
        <w:rPr>
          <w:highlight w:val="none"/>
        </w:rPr>
        <w:fldChar w:fldCharType="end"/>
      </w:r>
      <w:r>
        <w:rPr>
          <w:highlight w:val="none"/>
        </w:rPr>
        <w:fldChar w:fldCharType="end"/>
      </w:r>
    </w:p>
    <w:p w14:paraId="7FAC4628">
      <w:pPr>
        <w:pStyle w:val="17"/>
        <w:tabs>
          <w:tab w:val="right" w:leader="dot" w:pos="8306"/>
        </w:tabs>
        <w:rPr>
          <w:highlight w:val="none"/>
        </w:rPr>
      </w:pPr>
      <w:r>
        <w:rPr>
          <w:highlight w:val="none"/>
        </w:rPr>
        <w:fldChar w:fldCharType="begin"/>
      </w:r>
      <w:r>
        <w:rPr>
          <w:highlight w:val="none"/>
        </w:rPr>
        <w:instrText xml:space="preserve"> HYPERLINK \l _Toc28052 </w:instrText>
      </w:r>
      <w:r>
        <w:rPr>
          <w:highlight w:val="none"/>
        </w:rPr>
        <w:fldChar w:fldCharType="separate"/>
      </w:r>
      <w:r>
        <w:rPr>
          <w:rFonts w:hint="eastAsia"/>
          <w:highlight w:val="none"/>
        </w:rPr>
        <w:t>13.3 承包人的质量检查</w:t>
      </w:r>
      <w:r>
        <w:rPr>
          <w:highlight w:val="none"/>
        </w:rPr>
        <w:tab/>
      </w:r>
      <w:r>
        <w:rPr>
          <w:highlight w:val="none"/>
        </w:rPr>
        <w:fldChar w:fldCharType="begin"/>
      </w:r>
      <w:r>
        <w:rPr>
          <w:highlight w:val="none"/>
        </w:rPr>
        <w:instrText xml:space="preserve"> PAGEREF _Toc28052 \h </w:instrText>
      </w:r>
      <w:r>
        <w:rPr>
          <w:highlight w:val="none"/>
        </w:rPr>
        <w:fldChar w:fldCharType="separate"/>
      </w:r>
      <w:r>
        <w:rPr>
          <w:highlight w:val="none"/>
        </w:rPr>
        <w:t>56</w:t>
      </w:r>
      <w:r>
        <w:rPr>
          <w:highlight w:val="none"/>
        </w:rPr>
        <w:fldChar w:fldCharType="end"/>
      </w:r>
      <w:r>
        <w:rPr>
          <w:highlight w:val="none"/>
        </w:rPr>
        <w:fldChar w:fldCharType="end"/>
      </w:r>
    </w:p>
    <w:p w14:paraId="50A8C42D">
      <w:pPr>
        <w:pStyle w:val="17"/>
        <w:tabs>
          <w:tab w:val="right" w:leader="dot" w:pos="8306"/>
        </w:tabs>
        <w:rPr>
          <w:highlight w:val="none"/>
        </w:rPr>
      </w:pPr>
      <w:r>
        <w:rPr>
          <w:highlight w:val="none"/>
        </w:rPr>
        <w:fldChar w:fldCharType="begin"/>
      </w:r>
      <w:r>
        <w:rPr>
          <w:highlight w:val="none"/>
        </w:rPr>
        <w:instrText xml:space="preserve"> HYPERLINK \l _Toc24072 </w:instrText>
      </w:r>
      <w:r>
        <w:rPr>
          <w:highlight w:val="none"/>
        </w:rPr>
        <w:fldChar w:fldCharType="separate"/>
      </w:r>
      <w:r>
        <w:rPr>
          <w:rFonts w:hint="eastAsia"/>
          <w:highlight w:val="none"/>
        </w:rPr>
        <w:t>13.4 监理人的质量检查</w:t>
      </w:r>
      <w:r>
        <w:rPr>
          <w:highlight w:val="none"/>
        </w:rPr>
        <w:tab/>
      </w:r>
      <w:r>
        <w:rPr>
          <w:highlight w:val="none"/>
        </w:rPr>
        <w:fldChar w:fldCharType="begin"/>
      </w:r>
      <w:r>
        <w:rPr>
          <w:highlight w:val="none"/>
        </w:rPr>
        <w:instrText xml:space="preserve"> PAGEREF _Toc24072 \h </w:instrText>
      </w:r>
      <w:r>
        <w:rPr>
          <w:highlight w:val="none"/>
        </w:rPr>
        <w:fldChar w:fldCharType="separate"/>
      </w:r>
      <w:r>
        <w:rPr>
          <w:highlight w:val="none"/>
        </w:rPr>
        <w:t>56</w:t>
      </w:r>
      <w:r>
        <w:rPr>
          <w:highlight w:val="none"/>
        </w:rPr>
        <w:fldChar w:fldCharType="end"/>
      </w:r>
      <w:r>
        <w:rPr>
          <w:highlight w:val="none"/>
        </w:rPr>
        <w:fldChar w:fldCharType="end"/>
      </w:r>
    </w:p>
    <w:p w14:paraId="473E8942">
      <w:pPr>
        <w:pStyle w:val="17"/>
        <w:tabs>
          <w:tab w:val="right" w:leader="dot" w:pos="8306"/>
        </w:tabs>
        <w:rPr>
          <w:highlight w:val="none"/>
        </w:rPr>
      </w:pPr>
      <w:r>
        <w:rPr>
          <w:highlight w:val="none"/>
        </w:rPr>
        <w:fldChar w:fldCharType="begin"/>
      </w:r>
      <w:r>
        <w:rPr>
          <w:highlight w:val="none"/>
        </w:rPr>
        <w:instrText xml:space="preserve"> HYPERLINK \l _Toc19648 </w:instrText>
      </w:r>
      <w:r>
        <w:rPr>
          <w:highlight w:val="none"/>
        </w:rPr>
        <w:fldChar w:fldCharType="separate"/>
      </w:r>
      <w:r>
        <w:rPr>
          <w:rFonts w:hint="eastAsia"/>
          <w:highlight w:val="none"/>
        </w:rPr>
        <w:t>13.5 工程隐蔽部位覆盖前的检查</w:t>
      </w:r>
      <w:r>
        <w:rPr>
          <w:highlight w:val="none"/>
        </w:rPr>
        <w:tab/>
      </w:r>
      <w:r>
        <w:rPr>
          <w:highlight w:val="none"/>
        </w:rPr>
        <w:fldChar w:fldCharType="begin"/>
      </w:r>
      <w:r>
        <w:rPr>
          <w:highlight w:val="none"/>
        </w:rPr>
        <w:instrText xml:space="preserve"> PAGEREF _Toc19648 \h </w:instrText>
      </w:r>
      <w:r>
        <w:rPr>
          <w:highlight w:val="none"/>
        </w:rPr>
        <w:fldChar w:fldCharType="separate"/>
      </w:r>
      <w:r>
        <w:rPr>
          <w:highlight w:val="none"/>
        </w:rPr>
        <w:t>56</w:t>
      </w:r>
      <w:r>
        <w:rPr>
          <w:highlight w:val="none"/>
        </w:rPr>
        <w:fldChar w:fldCharType="end"/>
      </w:r>
      <w:r>
        <w:rPr>
          <w:highlight w:val="none"/>
        </w:rPr>
        <w:fldChar w:fldCharType="end"/>
      </w:r>
    </w:p>
    <w:p w14:paraId="6F28E027">
      <w:pPr>
        <w:pStyle w:val="17"/>
        <w:tabs>
          <w:tab w:val="right" w:leader="dot" w:pos="8306"/>
        </w:tabs>
        <w:rPr>
          <w:highlight w:val="none"/>
        </w:rPr>
      </w:pPr>
      <w:r>
        <w:rPr>
          <w:highlight w:val="none"/>
        </w:rPr>
        <w:fldChar w:fldCharType="begin"/>
      </w:r>
      <w:r>
        <w:rPr>
          <w:highlight w:val="none"/>
        </w:rPr>
        <w:instrText xml:space="preserve"> HYPERLINK \l _Toc14865 </w:instrText>
      </w:r>
      <w:r>
        <w:rPr>
          <w:highlight w:val="none"/>
        </w:rPr>
        <w:fldChar w:fldCharType="separate"/>
      </w:r>
      <w:r>
        <w:rPr>
          <w:rFonts w:hint="eastAsia"/>
          <w:highlight w:val="none"/>
        </w:rPr>
        <w:t>13.6 清除不合格工程</w:t>
      </w:r>
      <w:r>
        <w:rPr>
          <w:highlight w:val="none"/>
        </w:rPr>
        <w:tab/>
      </w:r>
      <w:r>
        <w:rPr>
          <w:highlight w:val="none"/>
        </w:rPr>
        <w:fldChar w:fldCharType="begin"/>
      </w:r>
      <w:r>
        <w:rPr>
          <w:highlight w:val="none"/>
        </w:rPr>
        <w:instrText xml:space="preserve"> PAGEREF _Toc14865 \h </w:instrText>
      </w:r>
      <w:r>
        <w:rPr>
          <w:highlight w:val="none"/>
        </w:rPr>
        <w:fldChar w:fldCharType="separate"/>
      </w:r>
      <w:r>
        <w:rPr>
          <w:highlight w:val="none"/>
        </w:rPr>
        <w:t>57</w:t>
      </w:r>
      <w:r>
        <w:rPr>
          <w:highlight w:val="none"/>
        </w:rPr>
        <w:fldChar w:fldCharType="end"/>
      </w:r>
      <w:r>
        <w:rPr>
          <w:highlight w:val="none"/>
        </w:rPr>
        <w:fldChar w:fldCharType="end"/>
      </w:r>
    </w:p>
    <w:p w14:paraId="79E4A849">
      <w:pPr>
        <w:pStyle w:val="24"/>
        <w:tabs>
          <w:tab w:val="right" w:leader="dot" w:pos="8306"/>
        </w:tabs>
        <w:rPr>
          <w:highlight w:val="none"/>
        </w:rPr>
      </w:pPr>
      <w:r>
        <w:rPr>
          <w:highlight w:val="none"/>
        </w:rPr>
        <w:fldChar w:fldCharType="begin"/>
      </w:r>
      <w:r>
        <w:rPr>
          <w:highlight w:val="none"/>
        </w:rPr>
        <w:instrText xml:space="preserve"> HYPERLINK \l _Toc6310 </w:instrText>
      </w:r>
      <w:r>
        <w:rPr>
          <w:highlight w:val="none"/>
        </w:rPr>
        <w:fldChar w:fldCharType="separate"/>
      </w:r>
      <w:r>
        <w:rPr>
          <w:rFonts w:hint="eastAsia"/>
          <w:highlight w:val="none"/>
        </w:rPr>
        <w:t>14. 试验和检验</w:t>
      </w:r>
      <w:r>
        <w:rPr>
          <w:highlight w:val="none"/>
        </w:rPr>
        <w:tab/>
      </w:r>
      <w:r>
        <w:rPr>
          <w:highlight w:val="none"/>
        </w:rPr>
        <w:fldChar w:fldCharType="begin"/>
      </w:r>
      <w:r>
        <w:rPr>
          <w:highlight w:val="none"/>
        </w:rPr>
        <w:instrText xml:space="preserve"> PAGEREF _Toc6310 \h </w:instrText>
      </w:r>
      <w:r>
        <w:rPr>
          <w:highlight w:val="none"/>
        </w:rPr>
        <w:fldChar w:fldCharType="separate"/>
      </w:r>
      <w:r>
        <w:rPr>
          <w:highlight w:val="none"/>
        </w:rPr>
        <w:t>57</w:t>
      </w:r>
      <w:r>
        <w:rPr>
          <w:highlight w:val="none"/>
        </w:rPr>
        <w:fldChar w:fldCharType="end"/>
      </w:r>
      <w:r>
        <w:rPr>
          <w:highlight w:val="none"/>
        </w:rPr>
        <w:fldChar w:fldCharType="end"/>
      </w:r>
    </w:p>
    <w:p w14:paraId="1114BFFE">
      <w:pPr>
        <w:pStyle w:val="17"/>
        <w:tabs>
          <w:tab w:val="right" w:leader="dot" w:pos="8306"/>
        </w:tabs>
        <w:rPr>
          <w:highlight w:val="none"/>
        </w:rPr>
      </w:pPr>
      <w:r>
        <w:rPr>
          <w:highlight w:val="none"/>
        </w:rPr>
        <w:fldChar w:fldCharType="begin"/>
      </w:r>
      <w:r>
        <w:rPr>
          <w:highlight w:val="none"/>
        </w:rPr>
        <w:instrText xml:space="preserve"> HYPERLINK \l _Toc20607 </w:instrText>
      </w:r>
      <w:r>
        <w:rPr>
          <w:highlight w:val="none"/>
        </w:rPr>
        <w:fldChar w:fldCharType="separate"/>
      </w:r>
      <w:r>
        <w:rPr>
          <w:rFonts w:hint="eastAsia"/>
          <w:highlight w:val="none"/>
        </w:rPr>
        <w:t>14.1 材料、工程设备和工程的试验和检验</w:t>
      </w:r>
      <w:r>
        <w:rPr>
          <w:highlight w:val="none"/>
        </w:rPr>
        <w:tab/>
      </w:r>
      <w:r>
        <w:rPr>
          <w:highlight w:val="none"/>
        </w:rPr>
        <w:fldChar w:fldCharType="begin"/>
      </w:r>
      <w:r>
        <w:rPr>
          <w:highlight w:val="none"/>
        </w:rPr>
        <w:instrText xml:space="preserve"> PAGEREF _Toc20607 \h </w:instrText>
      </w:r>
      <w:r>
        <w:rPr>
          <w:highlight w:val="none"/>
        </w:rPr>
        <w:fldChar w:fldCharType="separate"/>
      </w:r>
      <w:r>
        <w:rPr>
          <w:highlight w:val="none"/>
        </w:rPr>
        <w:t>57</w:t>
      </w:r>
      <w:r>
        <w:rPr>
          <w:highlight w:val="none"/>
        </w:rPr>
        <w:fldChar w:fldCharType="end"/>
      </w:r>
      <w:r>
        <w:rPr>
          <w:highlight w:val="none"/>
        </w:rPr>
        <w:fldChar w:fldCharType="end"/>
      </w:r>
    </w:p>
    <w:p w14:paraId="4D443503">
      <w:pPr>
        <w:pStyle w:val="17"/>
        <w:tabs>
          <w:tab w:val="right" w:leader="dot" w:pos="8306"/>
        </w:tabs>
        <w:rPr>
          <w:highlight w:val="none"/>
        </w:rPr>
      </w:pPr>
      <w:r>
        <w:rPr>
          <w:highlight w:val="none"/>
        </w:rPr>
        <w:fldChar w:fldCharType="begin"/>
      </w:r>
      <w:r>
        <w:rPr>
          <w:highlight w:val="none"/>
        </w:rPr>
        <w:instrText xml:space="preserve"> HYPERLINK \l _Toc6300 </w:instrText>
      </w:r>
      <w:r>
        <w:rPr>
          <w:highlight w:val="none"/>
        </w:rPr>
        <w:fldChar w:fldCharType="separate"/>
      </w:r>
      <w:r>
        <w:rPr>
          <w:rFonts w:hint="eastAsia"/>
          <w:highlight w:val="none"/>
        </w:rPr>
        <w:t>14.2 现场材料试验</w:t>
      </w:r>
      <w:r>
        <w:rPr>
          <w:highlight w:val="none"/>
        </w:rPr>
        <w:tab/>
      </w:r>
      <w:r>
        <w:rPr>
          <w:highlight w:val="none"/>
        </w:rPr>
        <w:fldChar w:fldCharType="begin"/>
      </w:r>
      <w:r>
        <w:rPr>
          <w:highlight w:val="none"/>
        </w:rPr>
        <w:instrText xml:space="preserve"> PAGEREF _Toc6300 \h </w:instrText>
      </w:r>
      <w:r>
        <w:rPr>
          <w:highlight w:val="none"/>
        </w:rPr>
        <w:fldChar w:fldCharType="separate"/>
      </w:r>
      <w:r>
        <w:rPr>
          <w:highlight w:val="none"/>
        </w:rPr>
        <w:t>57</w:t>
      </w:r>
      <w:r>
        <w:rPr>
          <w:highlight w:val="none"/>
        </w:rPr>
        <w:fldChar w:fldCharType="end"/>
      </w:r>
      <w:r>
        <w:rPr>
          <w:highlight w:val="none"/>
        </w:rPr>
        <w:fldChar w:fldCharType="end"/>
      </w:r>
    </w:p>
    <w:p w14:paraId="225BFB11">
      <w:pPr>
        <w:pStyle w:val="17"/>
        <w:tabs>
          <w:tab w:val="right" w:leader="dot" w:pos="8306"/>
        </w:tabs>
        <w:rPr>
          <w:highlight w:val="none"/>
        </w:rPr>
      </w:pPr>
      <w:r>
        <w:rPr>
          <w:highlight w:val="none"/>
        </w:rPr>
        <w:fldChar w:fldCharType="begin"/>
      </w:r>
      <w:r>
        <w:rPr>
          <w:highlight w:val="none"/>
        </w:rPr>
        <w:instrText xml:space="preserve"> HYPERLINK \l _Toc29179 </w:instrText>
      </w:r>
      <w:r>
        <w:rPr>
          <w:highlight w:val="none"/>
        </w:rPr>
        <w:fldChar w:fldCharType="separate"/>
      </w:r>
      <w:r>
        <w:rPr>
          <w:rFonts w:hint="eastAsia"/>
          <w:highlight w:val="none"/>
        </w:rPr>
        <w:t>14.3 现场工艺试验</w:t>
      </w:r>
      <w:r>
        <w:rPr>
          <w:highlight w:val="none"/>
        </w:rPr>
        <w:tab/>
      </w:r>
      <w:r>
        <w:rPr>
          <w:highlight w:val="none"/>
        </w:rPr>
        <w:fldChar w:fldCharType="begin"/>
      </w:r>
      <w:r>
        <w:rPr>
          <w:highlight w:val="none"/>
        </w:rPr>
        <w:instrText xml:space="preserve"> PAGEREF _Toc29179 \h </w:instrText>
      </w:r>
      <w:r>
        <w:rPr>
          <w:highlight w:val="none"/>
        </w:rPr>
        <w:fldChar w:fldCharType="separate"/>
      </w:r>
      <w:r>
        <w:rPr>
          <w:highlight w:val="none"/>
        </w:rPr>
        <w:t>57</w:t>
      </w:r>
      <w:r>
        <w:rPr>
          <w:highlight w:val="none"/>
        </w:rPr>
        <w:fldChar w:fldCharType="end"/>
      </w:r>
      <w:r>
        <w:rPr>
          <w:highlight w:val="none"/>
        </w:rPr>
        <w:fldChar w:fldCharType="end"/>
      </w:r>
    </w:p>
    <w:p w14:paraId="32CEE520">
      <w:pPr>
        <w:pStyle w:val="24"/>
        <w:tabs>
          <w:tab w:val="right" w:leader="dot" w:pos="8306"/>
        </w:tabs>
        <w:rPr>
          <w:highlight w:val="none"/>
        </w:rPr>
      </w:pPr>
      <w:r>
        <w:rPr>
          <w:highlight w:val="none"/>
        </w:rPr>
        <w:fldChar w:fldCharType="begin"/>
      </w:r>
      <w:r>
        <w:rPr>
          <w:highlight w:val="none"/>
        </w:rPr>
        <w:instrText xml:space="preserve"> HYPERLINK \l _Toc3753 </w:instrText>
      </w:r>
      <w:r>
        <w:rPr>
          <w:highlight w:val="none"/>
        </w:rPr>
        <w:fldChar w:fldCharType="separate"/>
      </w:r>
      <w:r>
        <w:rPr>
          <w:rFonts w:hint="eastAsia"/>
          <w:highlight w:val="none"/>
        </w:rPr>
        <w:t>15. 变更</w:t>
      </w:r>
      <w:r>
        <w:rPr>
          <w:highlight w:val="none"/>
        </w:rPr>
        <w:tab/>
      </w:r>
      <w:r>
        <w:rPr>
          <w:highlight w:val="none"/>
        </w:rPr>
        <w:fldChar w:fldCharType="begin"/>
      </w:r>
      <w:r>
        <w:rPr>
          <w:highlight w:val="none"/>
        </w:rPr>
        <w:instrText xml:space="preserve"> PAGEREF _Toc3753 \h </w:instrText>
      </w:r>
      <w:r>
        <w:rPr>
          <w:highlight w:val="none"/>
        </w:rPr>
        <w:fldChar w:fldCharType="separate"/>
      </w:r>
      <w:r>
        <w:rPr>
          <w:highlight w:val="none"/>
        </w:rPr>
        <w:t>57</w:t>
      </w:r>
      <w:r>
        <w:rPr>
          <w:highlight w:val="none"/>
        </w:rPr>
        <w:fldChar w:fldCharType="end"/>
      </w:r>
      <w:r>
        <w:rPr>
          <w:highlight w:val="none"/>
        </w:rPr>
        <w:fldChar w:fldCharType="end"/>
      </w:r>
    </w:p>
    <w:p w14:paraId="68148293">
      <w:pPr>
        <w:pStyle w:val="17"/>
        <w:tabs>
          <w:tab w:val="right" w:leader="dot" w:pos="8306"/>
        </w:tabs>
        <w:rPr>
          <w:highlight w:val="none"/>
        </w:rPr>
      </w:pPr>
      <w:r>
        <w:rPr>
          <w:highlight w:val="none"/>
        </w:rPr>
        <w:fldChar w:fldCharType="begin"/>
      </w:r>
      <w:r>
        <w:rPr>
          <w:highlight w:val="none"/>
        </w:rPr>
        <w:instrText xml:space="preserve"> HYPERLINK \l _Toc17516 </w:instrText>
      </w:r>
      <w:r>
        <w:rPr>
          <w:highlight w:val="none"/>
        </w:rPr>
        <w:fldChar w:fldCharType="separate"/>
      </w:r>
      <w:r>
        <w:rPr>
          <w:rFonts w:hint="eastAsia"/>
          <w:highlight w:val="none"/>
        </w:rPr>
        <w:t>15.1 变更的范围和内容</w:t>
      </w:r>
      <w:r>
        <w:rPr>
          <w:highlight w:val="none"/>
        </w:rPr>
        <w:tab/>
      </w:r>
      <w:r>
        <w:rPr>
          <w:highlight w:val="none"/>
        </w:rPr>
        <w:fldChar w:fldCharType="begin"/>
      </w:r>
      <w:r>
        <w:rPr>
          <w:highlight w:val="none"/>
        </w:rPr>
        <w:instrText xml:space="preserve"> PAGEREF _Toc17516 \h </w:instrText>
      </w:r>
      <w:r>
        <w:rPr>
          <w:highlight w:val="none"/>
        </w:rPr>
        <w:fldChar w:fldCharType="separate"/>
      </w:r>
      <w:r>
        <w:rPr>
          <w:highlight w:val="none"/>
        </w:rPr>
        <w:t>57</w:t>
      </w:r>
      <w:r>
        <w:rPr>
          <w:highlight w:val="none"/>
        </w:rPr>
        <w:fldChar w:fldCharType="end"/>
      </w:r>
      <w:r>
        <w:rPr>
          <w:highlight w:val="none"/>
        </w:rPr>
        <w:fldChar w:fldCharType="end"/>
      </w:r>
    </w:p>
    <w:p w14:paraId="26DC41AE">
      <w:pPr>
        <w:pStyle w:val="17"/>
        <w:tabs>
          <w:tab w:val="right" w:leader="dot" w:pos="8306"/>
        </w:tabs>
        <w:rPr>
          <w:highlight w:val="none"/>
        </w:rPr>
      </w:pPr>
      <w:r>
        <w:rPr>
          <w:highlight w:val="none"/>
        </w:rPr>
        <w:fldChar w:fldCharType="begin"/>
      </w:r>
      <w:r>
        <w:rPr>
          <w:highlight w:val="none"/>
        </w:rPr>
        <w:instrText xml:space="preserve"> HYPERLINK \l _Toc11566 </w:instrText>
      </w:r>
      <w:r>
        <w:rPr>
          <w:highlight w:val="none"/>
        </w:rPr>
        <w:fldChar w:fldCharType="separate"/>
      </w:r>
      <w:r>
        <w:rPr>
          <w:rFonts w:hint="eastAsia"/>
          <w:highlight w:val="none"/>
        </w:rPr>
        <w:t>15.2 变更权</w:t>
      </w:r>
      <w:r>
        <w:rPr>
          <w:highlight w:val="none"/>
        </w:rPr>
        <w:tab/>
      </w:r>
      <w:r>
        <w:rPr>
          <w:highlight w:val="none"/>
        </w:rPr>
        <w:fldChar w:fldCharType="begin"/>
      </w:r>
      <w:r>
        <w:rPr>
          <w:highlight w:val="none"/>
        </w:rPr>
        <w:instrText xml:space="preserve"> PAGEREF _Toc11566 \h </w:instrText>
      </w:r>
      <w:r>
        <w:rPr>
          <w:highlight w:val="none"/>
        </w:rPr>
        <w:fldChar w:fldCharType="separate"/>
      </w:r>
      <w:r>
        <w:rPr>
          <w:highlight w:val="none"/>
        </w:rPr>
        <w:t>58</w:t>
      </w:r>
      <w:r>
        <w:rPr>
          <w:highlight w:val="none"/>
        </w:rPr>
        <w:fldChar w:fldCharType="end"/>
      </w:r>
      <w:r>
        <w:rPr>
          <w:highlight w:val="none"/>
        </w:rPr>
        <w:fldChar w:fldCharType="end"/>
      </w:r>
    </w:p>
    <w:p w14:paraId="65191F72">
      <w:pPr>
        <w:pStyle w:val="17"/>
        <w:tabs>
          <w:tab w:val="right" w:leader="dot" w:pos="8306"/>
        </w:tabs>
        <w:rPr>
          <w:highlight w:val="none"/>
        </w:rPr>
      </w:pPr>
      <w:r>
        <w:rPr>
          <w:highlight w:val="none"/>
        </w:rPr>
        <w:fldChar w:fldCharType="begin"/>
      </w:r>
      <w:r>
        <w:rPr>
          <w:highlight w:val="none"/>
        </w:rPr>
        <w:instrText xml:space="preserve"> HYPERLINK \l _Toc3194 </w:instrText>
      </w:r>
      <w:r>
        <w:rPr>
          <w:highlight w:val="none"/>
        </w:rPr>
        <w:fldChar w:fldCharType="separate"/>
      </w:r>
      <w:r>
        <w:rPr>
          <w:rFonts w:hint="eastAsia"/>
          <w:highlight w:val="none"/>
        </w:rPr>
        <w:t>15.3 变更程序</w:t>
      </w:r>
      <w:r>
        <w:rPr>
          <w:highlight w:val="none"/>
        </w:rPr>
        <w:tab/>
      </w:r>
      <w:r>
        <w:rPr>
          <w:highlight w:val="none"/>
        </w:rPr>
        <w:fldChar w:fldCharType="begin"/>
      </w:r>
      <w:r>
        <w:rPr>
          <w:highlight w:val="none"/>
        </w:rPr>
        <w:instrText xml:space="preserve"> PAGEREF _Toc3194 \h </w:instrText>
      </w:r>
      <w:r>
        <w:rPr>
          <w:highlight w:val="none"/>
        </w:rPr>
        <w:fldChar w:fldCharType="separate"/>
      </w:r>
      <w:r>
        <w:rPr>
          <w:highlight w:val="none"/>
        </w:rPr>
        <w:t>58</w:t>
      </w:r>
      <w:r>
        <w:rPr>
          <w:highlight w:val="none"/>
        </w:rPr>
        <w:fldChar w:fldCharType="end"/>
      </w:r>
      <w:r>
        <w:rPr>
          <w:highlight w:val="none"/>
        </w:rPr>
        <w:fldChar w:fldCharType="end"/>
      </w:r>
    </w:p>
    <w:p w14:paraId="210B9DB3">
      <w:pPr>
        <w:pStyle w:val="17"/>
        <w:tabs>
          <w:tab w:val="right" w:leader="dot" w:pos="8306"/>
        </w:tabs>
        <w:rPr>
          <w:highlight w:val="none"/>
        </w:rPr>
      </w:pPr>
      <w:r>
        <w:rPr>
          <w:highlight w:val="none"/>
        </w:rPr>
        <w:fldChar w:fldCharType="begin"/>
      </w:r>
      <w:r>
        <w:rPr>
          <w:highlight w:val="none"/>
        </w:rPr>
        <w:instrText xml:space="preserve"> HYPERLINK \l _Toc15058 </w:instrText>
      </w:r>
      <w:r>
        <w:rPr>
          <w:highlight w:val="none"/>
        </w:rPr>
        <w:fldChar w:fldCharType="separate"/>
      </w:r>
      <w:r>
        <w:rPr>
          <w:rFonts w:hint="eastAsia"/>
          <w:highlight w:val="none"/>
        </w:rPr>
        <w:t>15.4 变更的估价原则</w:t>
      </w:r>
      <w:r>
        <w:rPr>
          <w:highlight w:val="none"/>
        </w:rPr>
        <w:tab/>
      </w:r>
      <w:r>
        <w:rPr>
          <w:highlight w:val="none"/>
        </w:rPr>
        <w:fldChar w:fldCharType="begin"/>
      </w:r>
      <w:r>
        <w:rPr>
          <w:highlight w:val="none"/>
        </w:rPr>
        <w:instrText xml:space="preserve"> PAGEREF _Toc15058 \h </w:instrText>
      </w:r>
      <w:r>
        <w:rPr>
          <w:highlight w:val="none"/>
        </w:rPr>
        <w:fldChar w:fldCharType="separate"/>
      </w:r>
      <w:r>
        <w:rPr>
          <w:highlight w:val="none"/>
        </w:rPr>
        <w:t>59</w:t>
      </w:r>
      <w:r>
        <w:rPr>
          <w:highlight w:val="none"/>
        </w:rPr>
        <w:fldChar w:fldCharType="end"/>
      </w:r>
      <w:r>
        <w:rPr>
          <w:highlight w:val="none"/>
        </w:rPr>
        <w:fldChar w:fldCharType="end"/>
      </w:r>
    </w:p>
    <w:p w14:paraId="50856D29">
      <w:pPr>
        <w:pStyle w:val="17"/>
        <w:tabs>
          <w:tab w:val="right" w:leader="dot" w:pos="8306"/>
        </w:tabs>
        <w:rPr>
          <w:highlight w:val="none"/>
        </w:rPr>
      </w:pPr>
      <w:r>
        <w:rPr>
          <w:highlight w:val="none"/>
        </w:rPr>
        <w:fldChar w:fldCharType="begin"/>
      </w:r>
      <w:r>
        <w:rPr>
          <w:highlight w:val="none"/>
        </w:rPr>
        <w:instrText xml:space="preserve"> HYPERLINK \l _Toc16455 </w:instrText>
      </w:r>
      <w:r>
        <w:rPr>
          <w:highlight w:val="none"/>
        </w:rPr>
        <w:fldChar w:fldCharType="separate"/>
      </w:r>
      <w:r>
        <w:rPr>
          <w:rFonts w:hint="eastAsia"/>
          <w:highlight w:val="none"/>
        </w:rPr>
        <w:t>15.5 承包人的合理化建议</w:t>
      </w:r>
      <w:r>
        <w:rPr>
          <w:highlight w:val="none"/>
        </w:rPr>
        <w:tab/>
      </w:r>
      <w:r>
        <w:rPr>
          <w:highlight w:val="none"/>
        </w:rPr>
        <w:fldChar w:fldCharType="begin"/>
      </w:r>
      <w:r>
        <w:rPr>
          <w:highlight w:val="none"/>
        </w:rPr>
        <w:instrText xml:space="preserve"> PAGEREF _Toc16455 \h </w:instrText>
      </w:r>
      <w:r>
        <w:rPr>
          <w:highlight w:val="none"/>
        </w:rPr>
        <w:fldChar w:fldCharType="separate"/>
      </w:r>
      <w:r>
        <w:rPr>
          <w:highlight w:val="none"/>
        </w:rPr>
        <w:t>59</w:t>
      </w:r>
      <w:r>
        <w:rPr>
          <w:highlight w:val="none"/>
        </w:rPr>
        <w:fldChar w:fldCharType="end"/>
      </w:r>
      <w:r>
        <w:rPr>
          <w:highlight w:val="none"/>
        </w:rPr>
        <w:fldChar w:fldCharType="end"/>
      </w:r>
    </w:p>
    <w:p w14:paraId="38066155">
      <w:pPr>
        <w:pStyle w:val="17"/>
        <w:tabs>
          <w:tab w:val="right" w:leader="dot" w:pos="8306"/>
        </w:tabs>
        <w:rPr>
          <w:highlight w:val="none"/>
        </w:rPr>
      </w:pPr>
      <w:r>
        <w:rPr>
          <w:highlight w:val="none"/>
        </w:rPr>
        <w:fldChar w:fldCharType="begin"/>
      </w:r>
      <w:r>
        <w:rPr>
          <w:highlight w:val="none"/>
        </w:rPr>
        <w:instrText xml:space="preserve"> HYPERLINK \l _Toc24286 </w:instrText>
      </w:r>
      <w:r>
        <w:rPr>
          <w:highlight w:val="none"/>
        </w:rPr>
        <w:fldChar w:fldCharType="separate"/>
      </w:r>
      <w:r>
        <w:rPr>
          <w:rFonts w:hint="eastAsia"/>
          <w:highlight w:val="none"/>
        </w:rPr>
        <w:t>15.6 暂列金额</w:t>
      </w:r>
      <w:r>
        <w:rPr>
          <w:highlight w:val="none"/>
        </w:rPr>
        <w:tab/>
      </w:r>
      <w:r>
        <w:rPr>
          <w:highlight w:val="none"/>
        </w:rPr>
        <w:fldChar w:fldCharType="begin"/>
      </w:r>
      <w:r>
        <w:rPr>
          <w:highlight w:val="none"/>
        </w:rPr>
        <w:instrText xml:space="preserve"> PAGEREF _Toc24286 \h </w:instrText>
      </w:r>
      <w:r>
        <w:rPr>
          <w:highlight w:val="none"/>
        </w:rPr>
        <w:fldChar w:fldCharType="separate"/>
      </w:r>
      <w:r>
        <w:rPr>
          <w:highlight w:val="none"/>
        </w:rPr>
        <w:t>59</w:t>
      </w:r>
      <w:r>
        <w:rPr>
          <w:highlight w:val="none"/>
        </w:rPr>
        <w:fldChar w:fldCharType="end"/>
      </w:r>
      <w:r>
        <w:rPr>
          <w:highlight w:val="none"/>
        </w:rPr>
        <w:fldChar w:fldCharType="end"/>
      </w:r>
    </w:p>
    <w:p w14:paraId="06488889">
      <w:pPr>
        <w:pStyle w:val="17"/>
        <w:tabs>
          <w:tab w:val="right" w:leader="dot" w:pos="8306"/>
        </w:tabs>
        <w:rPr>
          <w:highlight w:val="none"/>
        </w:rPr>
      </w:pPr>
      <w:r>
        <w:rPr>
          <w:highlight w:val="none"/>
        </w:rPr>
        <w:fldChar w:fldCharType="begin"/>
      </w:r>
      <w:r>
        <w:rPr>
          <w:highlight w:val="none"/>
        </w:rPr>
        <w:instrText xml:space="preserve"> HYPERLINK \l _Toc5345 </w:instrText>
      </w:r>
      <w:r>
        <w:rPr>
          <w:highlight w:val="none"/>
        </w:rPr>
        <w:fldChar w:fldCharType="separate"/>
      </w:r>
      <w:r>
        <w:rPr>
          <w:rFonts w:hint="eastAsia"/>
          <w:highlight w:val="none"/>
        </w:rPr>
        <w:t>15.7 计日工</w:t>
      </w:r>
      <w:r>
        <w:rPr>
          <w:highlight w:val="none"/>
        </w:rPr>
        <w:tab/>
      </w:r>
      <w:r>
        <w:rPr>
          <w:highlight w:val="none"/>
        </w:rPr>
        <w:fldChar w:fldCharType="begin"/>
      </w:r>
      <w:r>
        <w:rPr>
          <w:highlight w:val="none"/>
        </w:rPr>
        <w:instrText xml:space="preserve"> PAGEREF _Toc5345 \h </w:instrText>
      </w:r>
      <w:r>
        <w:rPr>
          <w:highlight w:val="none"/>
        </w:rPr>
        <w:fldChar w:fldCharType="separate"/>
      </w:r>
      <w:r>
        <w:rPr>
          <w:highlight w:val="none"/>
        </w:rPr>
        <w:t>59</w:t>
      </w:r>
      <w:r>
        <w:rPr>
          <w:highlight w:val="none"/>
        </w:rPr>
        <w:fldChar w:fldCharType="end"/>
      </w:r>
      <w:r>
        <w:rPr>
          <w:highlight w:val="none"/>
        </w:rPr>
        <w:fldChar w:fldCharType="end"/>
      </w:r>
    </w:p>
    <w:p w14:paraId="38790D0C">
      <w:pPr>
        <w:pStyle w:val="17"/>
        <w:tabs>
          <w:tab w:val="right" w:leader="dot" w:pos="8306"/>
        </w:tabs>
        <w:rPr>
          <w:highlight w:val="none"/>
        </w:rPr>
      </w:pPr>
      <w:r>
        <w:rPr>
          <w:highlight w:val="none"/>
        </w:rPr>
        <w:fldChar w:fldCharType="begin"/>
      </w:r>
      <w:r>
        <w:rPr>
          <w:highlight w:val="none"/>
        </w:rPr>
        <w:instrText xml:space="preserve"> HYPERLINK \l _Toc8559 </w:instrText>
      </w:r>
      <w:r>
        <w:rPr>
          <w:highlight w:val="none"/>
        </w:rPr>
        <w:fldChar w:fldCharType="separate"/>
      </w:r>
      <w:r>
        <w:rPr>
          <w:rFonts w:hint="eastAsia"/>
          <w:highlight w:val="none"/>
        </w:rPr>
        <w:t>15.8 暂估价</w:t>
      </w:r>
      <w:r>
        <w:rPr>
          <w:highlight w:val="none"/>
        </w:rPr>
        <w:tab/>
      </w:r>
      <w:r>
        <w:rPr>
          <w:highlight w:val="none"/>
        </w:rPr>
        <w:fldChar w:fldCharType="begin"/>
      </w:r>
      <w:r>
        <w:rPr>
          <w:highlight w:val="none"/>
        </w:rPr>
        <w:instrText xml:space="preserve"> PAGEREF _Toc8559 \h </w:instrText>
      </w:r>
      <w:r>
        <w:rPr>
          <w:highlight w:val="none"/>
        </w:rPr>
        <w:fldChar w:fldCharType="separate"/>
      </w:r>
      <w:r>
        <w:rPr>
          <w:highlight w:val="none"/>
        </w:rPr>
        <w:t>59</w:t>
      </w:r>
      <w:r>
        <w:rPr>
          <w:highlight w:val="none"/>
        </w:rPr>
        <w:fldChar w:fldCharType="end"/>
      </w:r>
      <w:r>
        <w:rPr>
          <w:highlight w:val="none"/>
        </w:rPr>
        <w:fldChar w:fldCharType="end"/>
      </w:r>
    </w:p>
    <w:p w14:paraId="2C8B0A0E">
      <w:pPr>
        <w:pStyle w:val="24"/>
        <w:tabs>
          <w:tab w:val="right" w:leader="dot" w:pos="8306"/>
        </w:tabs>
        <w:rPr>
          <w:highlight w:val="none"/>
        </w:rPr>
      </w:pPr>
      <w:r>
        <w:rPr>
          <w:highlight w:val="none"/>
        </w:rPr>
        <w:fldChar w:fldCharType="begin"/>
      </w:r>
      <w:r>
        <w:rPr>
          <w:highlight w:val="none"/>
        </w:rPr>
        <w:instrText xml:space="preserve"> HYPERLINK \l _Toc1073 </w:instrText>
      </w:r>
      <w:r>
        <w:rPr>
          <w:highlight w:val="none"/>
        </w:rPr>
        <w:fldChar w:fldCharType="separate"/>
      </w:r>
      <w:r>
        <w:rPr>
          <w:rFonts w:hint="eastAsia"/>
          <w:highlight w:val="none"/>
        </w:rPr>
        <w:t>16. 价格调整</w:t>
      </w:r>
      <w:r>
        <w:rPr>
          <w:highlight w:val="none"/>
        </w:rPr>
        <w:tab/>
      </w:r>
      <w:r>
        <w:rPr>
          <w:highlight w:val="none"/>
        </w:rPr>
        <w:fldChar w:fldCharType="begin"/>
      </w:r>
      <w:r>
        <w:rPr>
          <w:highlight w:val="none"/>
        </w:rPr>
        <w:instrText xml:space="preserve"> PAGEREF _Toc1073 \h </w:instrText>
      </w:r>
      <w:r>
        <w:rPr>
          <w:highlight w:val="none"/>
        </w:rPr>
        <w:fldChar w:fldCharType="separate"/>
      </w:r>
      <w:r>
        <w:rPr>
          <w:highlight w:val="none"/>
        </w:rPr>
        <w:t>60</w:t>
      </w:r>
      <w:r>
        <w:rPr>
          <w:highlight w:val="none"/>
        </w:rPr>
        <w:fldChar w:fldCharType="end"/>
      </w:r>
      <w:r>
        <w:rPr>
          <w:highlight w:val="none"/>
        </w:rPr>
        <w:fldChar w:fldCharType="end"/>
      </w:r>
    </w:p>
    <w:p w14:paraId="1E0366AA">
      <w:pPr>
        <w:pStyle w:val="17"/>
        <w:tabs>
          <w:tab w:val="right" w:leader="dot" w:pos="8306"/>
        </w:tabs>
        <w:rPr>
          <w:highlight w:val="none"/>
        </w:rPr>
      </w:pPr>
      <w:r>
        <w:rPr>
          <w:highlight w:val="none"/>
        </w:rPr>
        <w:fldChar w:fldCharType="begin"/>
      </w:r>
      <w:r>
        <w:rPr>
          <w:highlight w:val="none"/>
        </w:rPr>
        <w:instrText xml:space="preserve"> HYPERLINK \l _Toc17949 </w:instrText>
      </w:r>
      <w:r>
        <w:rPr>
          <w:highlight w:val="none"/>
        </w:rPr>
        <w:fldChar w:fldCharType="separate"/>
      </w:r>
      <w:r>
        <w:rPr>
          <w:rFonts w:hint="eastAsia"/>
          <w:highlight w:val="none"/>
        </w:rPr>
        <w:t>16.1 物价波动引起的价格调整</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60</w:t>
      </w:r>
      <w:r>
        <w:rPr>
          <w:highlight w:val="none"/>
        </w:rPr>
        <w:fldChar w:fldCharType="end"/>
      </w:r>
      <w:r>
        <w:rPr>
          <w:highlight w:val="none"/>
        </w:rPr>
        <w:fldChar w:fldCharType="end"/>
      </w:r>
    </w:p>
    <w:p w14:paraId="37EDE627">
      <w:pPr>
        <w:pStyle w:val="17"/>
        <w:tabs>
          <w:tab w:val="right" w:leader="dot" w:pos="8306"/>
        </w:tabs>
        <w:rPr>
          <w:highlight w:val="none"/>
        </w:rPr>
      </w:pPr>
      <w:r>
        <w:rPr>
          <w:highlight w:val="none"/>
        </w:rPr>
        <w:fldChar w:fldCharType="begin"/>
      </w:r>
      <w:r>
        <w:rPr>
          <w:highlight w:val="none"/>
        </w:rPr>
        <w:instrText xml:space="preserve"> HYPERLINK \l _Toc30578 </w:instrText>
      </w:r>
      <w:r>
        <w:rPr>
          <w:highlight w:val="none"/>
        </w:rPr>
        <w:fldChar w:fldCharType="separate"/>
      </w:r>
      <w:r>
        <w:rPr>
          <w:rFonts w:hint="eastAsia"/>
          <w:highlight w:val="none"/>
        </w:rPr>
        <w:t>16.2 法律变化引起的价格调整</w:t>
      </w:r>
      <w:r>
        <w:rPr>
          <w:highlight w:val="none"/>
        </w:rPr>
        <w:tab/>
      </w:r>
      <w:r>
        <w:rPr>
          <w:highlight w:val="none"/>
        </w:rPr>
        <w:fldChar w:fldCharType="begin"/>
      </w:r>
      <w:r>
        <w:rPr>
          <w:highlight w:val="none"/>
        </w:rPr>
        <w:instrText xml:space="preserve"> PAGEREF _Toc30578 \h </w:instrText>
      </w:r>
      <w:r>
        <w:rPr>
          <w:highlight w:val="none"/>
        </w:rPr>
        <w:fldChar w:fldCharType="separate"/>
      </w:r>
      <w:r>
        <w:rPr>
          <w:highlight w:val="none"/>
        </w:rPr>
        <w:t>61</w:t>
      </w:r>
      <w:r>
        <w:rPr>
          <w:highlight w:val="none"/>
        </w:rPr>
        <w:fldChar w:fldCharType="end"/>
      </w:r>
      <w:r>
        <w:rPr>
          <w:highlight w:val="none"/>
        </w:rPr>
        <w:fldChar w:fldCharType="end"/>
      </w:r>
    </w:p>
    <w:p w14:paraId="64FCE7B7">
      <w:pPr>
        <w:pStyle w:val="24"/>
        <w:tabs>
          <w:tab w:val="right" w:leader="dot" w:pos="8306"/>
        </w:tabs>
        <w:rPr>
          <w:highlight w:val="none"/>
        </w:rPr>
      </w:pPr>
      <w:r>
        <w:rPr>
          <w:highlight w:val="none"/>
        </w:rPr>
        <w:fldChar w:fldCharType="begin"/>
      </w:r>
      <w:r>
        <w:rPr>
          <w:highlight w:val="none"/>
        </w:rPr>
        <w:instrText xml:space="preserve"> HYPERLINK \l _Toc7443 </w:instrText>
      </w:r>
      <w:r>
        <w:rPr>
          <w:highlight w:val="none"/>
        </w:rPr>
        <w:fldChar w:fldCharType="separate"/>
      </w:r>
      <w:r>
        <w:rPr>
          <w:rFonts w:hint="eastAsia"/>
          <w:highlight w:val="none"/>
        </w:rPr>
        <w:t>17. 计量与支付</w:t>
      </w:r>
      <w:r>
        <w:rPr>
          <w:highlight w:val="none"/>
        </w:rPr>
        <w:tab/>
      </w:r>
      <w:r>
        <w:rPr>
          <w:highlight w:val="none"/>
        </w:rPr>
        <w:fldChar w:fldCharType="begin"/>
      </w:r>
      <w:r>
        <w:rPr>
          <w:highlight w:val="none"/>
        </w:rPr>
        <w:instrText xml:space="preserve"> PAGEREF _Toc7443 \h </w:instrText>
      </w:r>
      <w:r>
        <w:rPr>
          <w:highlight w:val="none"/>
        </w:rPr>
        <w:fldChar w:fldCharType="separate"/>
      </w:r>
      <w:r>
        <w:rPr>
          <w:highlight w:val="none"/>
        </w:rPr>
        <w:t>61</w:t>
      </w:r>
      <w:r>
        <w:rPr>
          <w:highlight w:val="none"/>
        </w:rPr>
        <w:fldChar w:fldCharType="end"/>
      </w:r>
      <w:r>
        <w:rPr>
          <w:highlight w:val="none"/>
        </w:rPr>
        <w:fldChar w:fldCharType="end"/>
      </w:r>
    </w:p>
    <w:p w14:paraId="2C09CC90">
      <w:pPr>
        <w:pStyle w:val="17"/>
        <w:tabs>
          <w:tab w:val="right" w:leader="dot" w:pos="8306"/>
        </w:tabs>
        <w:rPr>
          <w:highlight w:val="none"/>
        </w:rPr>
      </w:pPr>
      <w:r>
        <w:rPr>
          <w:highlight w:val="none"/>
        </w:rPr>
        <w:fldChar w:fldCharType="begin"/>
      </w:r>
      <w:r>
        <w:rPr>
          <w:highlight w:val="none"/>
        </w:rPr>
        <w:instrText xml:space="preserve"> HYPERLINK \l _Toc25220 </w:instrText>
      </w:r>
      <w:r>
        <w:rPr>
          <w:highlight w:val="none"/>
        </w:rPr>
        <w:fldChar w:fldCharType="separate"/>
      </w:r>
      <w:r>
        <w:rPr>
          <w:rFonts w:hint="eastAsia"/>
          <w:highlight w:val="none"/>
        </w:rPr>
        <w:t>17.1 计量</w:t>
      </w:r>
      <w:r>
        <w:rPr>
          <w:highlight w:val="none"/>
        </w:rPr>
        <w:tab/>
      </w:r>
      <w:r>
        <w:rPr>
          <w:highlight w:val="none"/>
        </w:rPr>
        <w:fldChar w:fldCharType="begin"/>
      </w:r>
      <w:r>
        <w:rPr>
          <w:highlight w:val="none"/>
        </w:rPr>
        <w:instrText xml:space="preserve"> PAGEREF _Toc25220 \h </w:instrText>
      </w:r>
      <w:r>
        <w:rPr>
          <w:highlight w:val="none"/>
        </w:rPr>
        <w:fldChar w:fldCharType="separate"/>
      </w:r>
      <w:r>
        <w:rPr>
          <w:highlight w:val="none"/>
        </w:rPr>
        <w:t>61</w:t>
      </w:r>
      <w:r>
        <w:rPr>
          <w:highlight w:val="none"/>
        </w:rPr>
        <w:fldChar w:fldCharType="end"/>
      </w:r>
      <w:r>
        <w:rPr>
          <w:highlight w:val="none"/>
        </w:rPr>
        <w:fldChar w:fldCharType="end"/>
      </w:r>
    </w:p>
    <w:p w14:paraId="0C265C75">
      <w:pPr>
        <w:pStyle w:val="17"/>
        <w:tabs>
          <w:tab w:val="right" w:leader="dot" w:pos="8306"/>
        </w:tabs>
        <w:rPr>
          <w:highlight w:val="none"/>
        </w:rPr>
      </w:pPr>
      <w:r>
        <w:rPr>
          <w:highlight w:val="none"/>
        </w:rPr>
        <w:fldChar w:fldCharType="begin"/>
      </w:r>
      <w:r>
        <w:rPr>
          <w:highlight w:val="none"/>
        </w:rPr>
        <w:instrText xml:space="preserve"> HYPERLINK \l _Toc1446 </w:instrText>
      </w:r>
      <w:r>
        <w:rPr>
          <w:highlight w:val="none"/>
        </w:rPr>
        <w:fldChar w:fldCharType="separate"/>
      </w:r>
      <w:r>
        <w:rPr>
          <w:rFonts w:hint="eastAsia"/>
          <w:highlight w:val="none"/>
        </w:rPr>
        <w:t>17.2 预付款</w:t>
      </w:r>
      <w:r>
        <w:rPr>
          <w:highlight w:val="none"/>
        </w:rPr>
        <w:tab/>
      </w:r>
      <w:r>
        <w:rPr>
          <w:highlight w:val="none"/>
        </w:rPr>
        <w:fldChar w:fldCharType="begin"/>
      </w:r>
      <w:r>
        <w:rPr>
          <w:highlight w:val="none"/>
        </w:rPr>
        <w:instrText xml:space="preserve"> PAGEREF _Toc1446 \h </w:instrText>
      </w:r>
      <w:r>
        <w:rPr>
          <w:highlight w:val="none"/>
        </w:rPr>
        <w:fldChar w:fldCharType="separate"/>
      </w:r>
      <w:r>
        <w:rPr>
          <w:highlight w:val="none"/>
        </w:rPr>
        <w:t>62</w:t>
      </w:r>
      <w:r>
        <w:rPr>
          <w:highlight w:val="none"/>
        </w:rPr>
        <w:fldChar w:fldCharType="end"/>
      </w:r>
      <w:r>
        <w:rPr>
          <w:highlight w:val="none"/>
        </w:rPr>
        <w:fldChar w:fldCharType="end"/>
      </w:r>
    </w:p>
    <w:p w14:paraId="05D47D2A">
      <w:pPr>
        <w:pStyle w:val="17"/>
        <w:tabs>
          <w:tab w:val="right" w:leader="dot" w:pos="8306"/>
        </w:tabs>
        <w:rPr>
          <w:highlight w:val="none"/>
        </w:rPr>
      </w:pPr>
      <w:r>
        <w:rPr>
          <w:highlight w:val="none"/>
        </w:rPr>
        <w:fldChar w:fldCharType="begin"/>
      </w:r>
      <w:r>
        <w:rPr>
          <w:highlight w:val="none"/>
        </w:rPr>
        <w:instrText xml:space="preserve"> HYPERLINK \l _Toc16010 </w:instrText>
      </w:r>
      <w:r>
        <w:rPr>
          <w:highlight w:val="none"/>
        </w:rPr>
        <w:fldChar w:fldCharType="separate"/>
      </w:r>
      <w:r>
        <w:rPr>
          <w:rFonts w:hint="eastAsia"/>
          <w:highlight w:val="none"/>
        </w:rPr>
        <w:t>17.3 工程进度付款</w:t>
      </w:r>
      <w:r>
        <w:rPr>
          <w:highlight w:val="none"/>
        </w:rPr>
        <w:tab/>
      </w:r>
      <w:r>
        <w:rPr>
          <w:highlight w:val="none"/>
        </w:rPr>
        <w:fldChar w:fldCharType="begin"/>
      </w:r>
      <w:r>
        <w:rPr>
          <w:highlight w:val="none"/>
        </w:rPr>
        <w:instrText xml:space="preserve"> PAGEREF _Toc16010 \h </w:instrText>
      </w:r>
      <w:r>
        <w:rPr>
          <w:highlight w:val="none"/>
        </w:rPr>
        <w:fldChar w:fldCharType="separate"/>
      </w:r>
      <w:r>
        <w:rPr>
          <w:highlight w:val="none"/>
        </w:rPr>
        <w:t>63</w:t>
      </w:r>
      <w:r>
        <w:rPr>
          <w:highlight w:val="none"/>
        </w:rPr>
        <w:fldChar w:fldCharType="end"/>
      </w:r>
      <w:r>
        <w:rPr>
          <w:highlight w:val="none"/>
        </w:rPr>
        <w:fldChar w:fldCharType="end"/>
      </w:r>
    </w:p>
    <w:p w14:paraId="0DE321BC">
      <w:pPr>
        <w:pStyle w:val="17"/>
        <w:tabs>
          <w:tab w:val="right" w:leader="dot" w:pos="8306"/>
        </w:tabs>
        <w:rPr>
          <w:highlight w:val="none"/>
        </w:rPr>
      </w:pPr>
      <w:r>
        <w:rPr>
          <w:highlight w:val="none"/>
        </w:rPr>
        <w:fldChar w:fldCharType="begin"/>
      </w:r>
      <w:r>
        <w:rPr>
          <w:highlight w:val="none"/>
        </w:rPr>
        <w:instrText xml:space="preserve"> HYPERLINK \l _Toc30451 </w:instrText>
      </w:r>
      <w:r>
        <w:rPr>
          <w:highlight w:val="none"/>
        </w:rPr>
        <w:fldChar w:fldCharType="separate"/>
      </w:r>
      <w:r>
        <w:rPr>
          <w:rFonts w:hint="eastAsia"/>
          <w:highlight w:val="none"/>
        </w:rPr>
        <w:t>17.4 质量保证金</w:t>
      </w:r>
      <w:r>
        <w:rPr>
          <w:highlight w:val="none"/>
        </w:rPr>
        <w:tab/>
      </w:r>
      <w:r>
        <w:rPr>
          <w:highlight w:val="none"/>
        </w:rPr>
        <w:fldChar w:fldCharType="begin"/>
      </w:r>
      <w:r>
        <w:rPr>
          <w:highlight w:val="none"/>
        </w:rPr>
        <w:instrText xml:space="preserve"> PAGEREF _Toc30451 \h </w:instrText>
      </w:r>
      <w:r>
        <w:rPr>
          <w:highlight w:val="none"/>
        </w:rPr>
        <w:fldChar w:fldCharType="separate"/>
      </w:r>
      <w:r>
        <w:rPr>
          <w:highlight w:val="none"/>
        </w:rPr>
        <w:t>63</w:t>
      </w:r>
      <w:r>
        <w:rPr>
          <w:highlight w:val="none"/>
        </w:rPr>
        <w:fldChar w:fldCharType="end"/>
      </w:r>
      <w:r>
        <w:rPr>
          <w:highlight w:val="none"/>
        </w:rPr>
        <w:fldChar w:fldCharType="end"/>
      </w:r>
    </w:p>
    <w:p w14:paraId="2A1E17C4">
      <w:pPr>
        <w:pStyle w:val="17"/>
        <w:tabs>
          <w:tab w:val="right" w:leader="dot" w:pos="8306"/>
        </w:tabs>
        <w:rPr>
          <w:highlight w:val="none"/>
        </w:rPr>
      </w:pPr>
      <w:r>
        <w:rPr>
          <w:highlight w:val="none"/>
        </w:rPr>
        <w:fldChar w:fldCharType="begin"/>
      </w:r>
      <w:r>
        <w:rPr>
          <w:highlight w:val="none"/>
        </w:rPr>
        <w:instrText xml:space="preserve"> HYPERLINK \l _Toc1711 </w:instrText>
      </w:r>
      <w:r>
        <w:rPr>
          <w:highlight w:val="none"/>
        </w:rPr>
        <w:fldChar w:fldCharType="separate"/>
      </w:r>
      <w:r>
        <w:rPr>
          <w:rFonts w:hint="eastAsia"/>
          <w:highlight w:val="none"/>
        </w:rPr>
        <w:t>17.5 竣工结算</w:t>
      </w:r>
      <w:r>
        <w:rPr>
          <w:highlight w:val="none"/>
        </w:rPr>
        <w:tab/>
      </w:r>
      <w:r>
        <w:rPr>
          <w:highlight w:val="none"/>
        </w:rPr>
        <w:fldChar w:fldCharType="begin"/>
      </w:r>
      <w:r>
        <w:rPr>
          <w:highlight w:val="none"/>
        </w:rPr>
        <w:instrText xml:space="preserve"> PAGEREF _Toc1711 \h </w:instrText>
      </w:r>
      <w:r>
        <w:rPr>
          <w:highlight w:val="none"/>
        </w:rPr>
        <w:fldChar w:fldCharType="separate"/>
      </w:r>
      <w:r>
        <w:rPr>
          <w:highlight w:val="none"/>
        </w:rPr>
        <w:t>64</w:t>
      </w:r>
      <w:r>
        <w:rPr>
          <w:highlight w:val="none"/>
        </w:rPr>
        <w:fldChar w:fldCharType="end"/>
      </w:r>
      <w:r>
        <w:rPr>
          <w:highlight w:val="none"/>
        </w:rPr>
        <w:fldChar w:fldCharType="end"/>
      </w:r>
    </w:p>
    <w:p w14:paraId="01B7B717">
      <w:pPr>
        <w:pStyle w:val="17"/>
        <w:tabs>
          <w:tab w:val="right" w:leader="dot" w:pos="8306"/>
        </w:tabs>
        <w:rPr>
          <w:highlight w:val="none"/>
        </w:rPr>
      </w:pPr>
      <w:r>
        <w:rPr>
          <w:highlight w:val="none"/>
        </w:rPr>
        <w:fldChar w:fldCharType="begin"/>
      </w:r>
      <w:r>
        <w:rPr>
          <w:highlight w:val="none"/>
        </w:rPr>
        <w:instrText xml:space="preserve"> HYPERLINK \l _Toc17924 </w:instrText>
      </w:r>
      <w:r>
        <w:rPr>
          <w:highlight w:val="none"/>
        </w:rPr>
        <w:fldChar w:fldCharType="separate"/>
      </w:r>
      <w:r>
        <w:rPr>
          <w:rFonts w:hint="eastAsia"/>
          <w:highlight w:val="none"/>
        </w:rPr>
        <w:t>17.6 最终结清</w:t>
      </w:r>
      <w:r>
        <w:rPr>
          <w:highlight w:val="none"/>
        </w:rPr>
        <w:tab/>
      </w:r>
      <w:r>
        <w:rPr>
          <w:highlight w:val="none"/>
        </w:rPr>
        <w:fldChar w:fldCharType="begin"/>
      </w:r>
      <w:r>
        <w:rPr>
          <w:highlight w:val="none"/>
        </w:rPr>
        <w:instrText xml:space="preserve"> PAGEREF _Toc17924 \h </w:instrText>
      </w:r>
      <w:r>
        <w:rPr>
          <w:highlight w:val="none"/>
        </w:rPr>
        <w:fldChar w:fldCharType="separate"/>
      </w:r>
      <w:r>
        <w:rPr>
          <w:highlight w:val="none"/>
        </w:rPr>
        <w:t>64</w:t>
      </w:r>
      <w:r>
        <w:rPr>
          <w:highlight w:val="none"/>
        </w:rPr>
        <w:fldChar w:fldCharType="end"/>
      </w:r>
      <w:r>
        <w:rPr>
          <w:highlight w:val="none"/>
        </w:rPr>
        <w:fldChar w:fldCharType="end"/>
      </w:r>
    </w:p>
    <w:p w14:paraId="73C64F99">
      <w:pPr>
        <w:pStyle w:val="24"/>
        <w:tabs>
          <w:tab w:val="right" w:leader="dot" w:pos="8306"/>
        </w:tabs>
        <w:rPr>
          <w:highlight w:val="none"/>
        </w:rPr>
      </w:pPr>
      <w:r>
        <w:rPr>
          <w:highlight w:val="none"/>
        </w:rPr>
        <w:fldChar w:fldCharType="begin"/>
      </w:r>
      <w:r>
        <w:rPr>
          <w:highlight w:val="none"/>
        </w:rPr>
        <w:instrText xml:space="preserve"> HYPERLINK \l _Toc12312 </w:instrText>
      </w:r>
      <w:r>
        <w:rPr>
          <w:highlight w:val="none"/>
        </w:rPr>
        <w:fldChar w:fldCharType="separate"/>
      </w:r>
      <w:r>
        <w:rPr>
          <w:rFonts w:hint="eastAsia"/>
          <w:highlight w:val="none"/>
        </w:rPr>
        <w:t>18. 竣工验收</w:t>
      </w:r>
      <w:r>
        <w:rPr>
          <w:highlight w:val="none"/>
        </w:rPr>
        <w:tab/>
      </w:r>
      <w:r>
        <w:rPr>
          <w:highlight w:val="none"/>
        </w:rPr>
        <w:fldChar w:fldCharType="begin"/>
      </w:r>
      <w:r>
        <w:rPr>
          <w:highlight w:val="none"/>
        </w:rPr>
        <w:instrText xml:space="preserve"> PAGEREF _Toc12312 \h </w:instrText>
      </w:r>
      <w:r>
        <w:rPr>
          <w:highlight w:val="none"/>
        </w:rPr>
        <w:fldChar w:fldCharType="separate"/>
      </w:r>
      <w:r>
        <w:rPr>
          <w:highlight w:val="none"/>
        </w:rPr>
        <w:t>65</w:t>
      </w:r>
      <w:r>
        <w:rPr>
          <w:highlight w:val="none"/>
        </w:rPr>
        <w:fldChar w:fldCharType="end"/>
      </w:r>
      <w:r>
        <w:rPr>
          <w:highlight w:val="none"/>
        </w:rPr>
        <w:fldChar w:fldCharType="end"/>
      </w:r>
    </w:p>
    <w:p w14:paraId="32871FFC">
      <w:pPr>
        <w:pStyle w:val="17"/>
        <w:tabs>
          <w:tab w:val="right" w:leader="dot" w:pos="8306"/>
        </w:tabs>
        <w:rPr>
          <w:highlight w:val="none"/>
        </w:rPr>
      </w:pPr>
      <w:r>
        <w:rPr>
          <w:highlight w:val="none"/>
        </w:rPr>
        <w:fldChar w:fldCharType="begin"/>
      </w:r>
      <w:r>
        <w:rPr>
          <w:highlight w:val="none"/>
        </w:rPr>
        <w:instrText xml:space="preserve"> HYPERLINK \l _Toc24208 </w:instrText>
      </w:r>
      <w:r>
        <w:rPr>
          <w:highlight w:val="none"/>
        </w:rPr>
        <w:fldChar w:fldCharType="separate"/>
      </w:r>
      <w:r>
        <w:rPr>
          <w:rFonts w:hint="eastAsia"/>
          <w:highlight w:val="none"/>
        </w:rPr>
        <w:t>18.1 竣工验收的含义</w:t>
      </w:r>
      <w:r>
        <w:rPr>
          <w:highlight w:val="none"/>
        </w:rPr>
        <w:tab/>
      </w:r>
      <w:r>
        <w:rPr>
          <w:highlight w:val="none"/>
        </w:rPr>
        <w:fldChar w:fldCharType="begin"/>
      </w:r>
      <w:r>
        <w:rPr>
          <w:highlight w:val="none"/>
        </w:rPr>
        <w:instrText xml:space="preserve"> PAGEREF _Toc24208 \h </w:instrText>
      </w:r>
      <w:r>
        <w:rPr>
          <w:highlight w:val="none"/>
        </w:rPr>
        <w:fldChar w:fldCharType="separate"/>
      </w:r>
      <w:r>
        <w:rPr>
          <w:highlight w:val="none"/>
        </w:rPr>
        <w:t>65</w:t>
      </w:r>
      <w:r>
        <w:rPr>
          <w:highlight w:val="none"/>
        </w:rPr>
        <w:fldChar w:fldCharType="end"/>
      </w:r>
      <w:r>
        <w:rPr>
          <w:highlight w:val="none"/>
        </w:rPr>
        <w:fldChar w:fldCharType="end"/>
      </w:r>
    </w:p>
    <w:p w14:paraId="389A7652">
      <w:pPr>
        <w:pStyle w:val="17"/>
        <w:tabs>
          <w:tab w:val="right" w:leader="dot" w:pos="8306"/>
        </w:tabs>
        <w:rPr>
          <w:highlight w:val="none"/>
        </w:rPr>
      </w:pPr>
      <w:r>
        <w:rPr>
          <w:highlight w:val="none"/>
        </w:rPr>
        <w:fldChar w:fldCharType="begin"/>
      </w:r>
      <w:r>
        <w:rPr>
          <w:highlight w:val="none"/>
        </w:rPr>
        <w:instrText xml:space="preserve"> HYPERLINK \l _Toc7745 </w:instrText>
      </w:r>
      <w:r>
        <w:rPr>
          <w:highlight w:val="none"/>
        </w:rPr>
        <w:fldChar w:fldCharType="separate"/>
      </w:r>
      <w:r>
        <w:rPr>
          <w:rFonts w:hint="eastAsia"/>
          <w:highlight w:val="none"/>
        </w:rPr>
        <w:t>18.2 竣工验收申请报告</w:t>
      </w:r>
      <w:r>
        <w:rPr>
          <w:highlight w:val="none"/>
        </w:rPr>
        <w:tab/>
      </w:r>
      <w:r>
        <w:rPr>
          <w:highlight w:val="none"/>
        </w:rPr>
        <w:fldChar w:fldCharType="begin"/>
      </w:r>
      <w:r>
        <w:rPr>
          <w:highlight w:val="none"/>
        </w:rPr>
        <w:instrText xml:space="preserve"> PAGEREF _Toc7745 \h </w:instrText>
      </w:r>
      <w:r>
        <w:rPr>
          <w:highlight w:val="none"/>
        </w:rPr>
        <w:fldChar w:fldCharType="separate"/>
      </w:r>
      <w:r>
        <w:rPr>
          <w:highlight w:val="none"/>
        </w:rPr>
        <w:t>65</w:t>
      </w:r>
      <w:r>
        <w:rPr>
          <w:highlight w:val="none"/>
        </w:rPr>
        <w:fldChar w:fldCharType="end"/>
      </w:r>
      <w:r>
        <w:rPr>
          <w:highlight w:val="none"/>
        </w:rPr>
        <w:fldChar w:fldCharType="end"/>
      </w:r>
    </w:p>
    <w:p w14:paraId="03939413">
      <w:pPr>
        <w:pStyle w:val="17"/>
        <w:tabs>
          <w:tab w:val="right" w:leader="dot" w:pos="8306"/>
        </w:tabs>
        <w:rPr>
          <w:highlight w:val="none"/>
        </w:rPr>
      </w:pPr>
      <w:r>
        <w:rPr>
          <w:highlight w:val="none"/>
        </w:rPr>
        <w:fldChar w:fldCharType="begin"/>
      </w:r>
      <w:r>
        <w:rPr>
          <w:highlight w:val="none"/>
        </w:rPr>
        <w:instrText xml:space="preserve"> HYPERLINK \l _Toc2645 </w:instrText>
      </w:r>
      <w:r>
        <w:rPr>
          <w:highlight w:val="none"/>
        </w:rPr>
        <w:fldChar w:fldCharType="separate"/>
      </w:r>
      <w:r>
        <w:rPr>
          <w:rFonts w:hint="eastAsia"/>
          <w:highlight w:val="none"/>
        </w:rPr>
        <w:t>18.3 验收</w:t>
      </w:r>
      <w:r>
        <w:rPr>
          <w:highlight w:val="none"/>
        </w:rPr>
        <w:tab/>
      </w:r>
      <w:r>
        <w:rPr>
          <w:highlight w:val="none"/>
        </w:rPr>
        <w:fldChar w:fldCharType="begin"/>
      </w:r>
      <w:r>
        <w:rPr>
          <w:highlight w:val="none"/>
        </w:rPr>
        <w:instrText xml:space="preserve"> PAGEREF _Toc2645 \h </w:instrText>
      </w:r>
      <w:r>
        <w:rPr>
          <w:highlight w:val="none"/>
        </w:rPr>
        <w:fldChar w:fldCharType="separate"/>
      </w:r>
      <w:r>
        <w:rPr>
          <w:highlight w:val="none"/>
        </w:rPr>
        <w:t>65</w:t>
      </w:r>
      <w:r>
        <w:rPr>
          <w:highlight w:val="none"/>
        </w:rPr>
        <w:fldChar w:fldCharType="end"/>
      </w:r>
      <w:r>
        <w:rPr>
          <w:highlight w:val="none"/>
        </w:rPr>
        <w:fldChar w:fldCharType="end"/>
      </w:r>
    </w:p>
    <w:p w14:paraId="037DC2AE">
      <w:pPr>
        <w:pStyle w:val="17"/>
        <w:tabs>
          <w:tab w:val="right" w:leader="dot" w:pos="8306"/>
        </w:tabs>
        <w:rPr>
          <w:highlight w:val="none"/>
        </w:rPr>
      </w:pPr>
      <w:r>
        <w:rPr>
          <w:highlight w:val="none"/>
        </w:rPr>
        <w:fldChar w:fldCharType="begin"/>
      </w:r>
      <w:r>
        <w:rPr>
          <w:highlight w:val="none"/>
        </w:rPr>
        <w:instrText xml:space="preserve"> HYPERLINK \l _Toc24403 </w:instrText>
      </w:r>
      <w:r>
        <w:rPr>
          <w:highlight w:val="none"/>
        </w:rPr>
        <w:fldChar w:fldCharType="separate"/>
      </w:r>
      <w:r>
        <w:rPr>
          <w:rFonts w:hint="eastAsia"/>
          <w:highlight w:val="none"/>
        </w:rPr>
        <w:t>18.4 单位工程验收</w:t>
      </w:r>
      <w:r>
        <w:rPr>
          <w:highlight w:val="none"/>
        </w:rPr>
        <w:tab/>
      </w:r>
      <w:r>
        <w:rPr>
          <w:highlight w:val="none"/>
        </w:rPr>
        <w:fldChar w:fldCharType="begin"/>
      </w:r>
      <w:r>
        <w:rPr>
          <w:highlight w:val="none"/>
        </w:rPr>
        <w:instrText xml:space="preserve"> PAGEREF _Toc24403 \h </w:instrText>
      </w:r>
      <w:r>
        <w:rPr>
          <w:highlight w:val="none"/>
        </w:rPr>
        <w:fldChar w:fldCharType="separate"/>
      </w:r>
      <w:r>
        <w:rPr>
          <w:highlight w:val="none"/>
        </w:rPr>
        <w:t>66</w:t>
      </w:r>
      <w:r>
        <w:rPr>
          <w:highlight w:val="none"/>
        </w:rPr>
        <w:fldChar w:fldCharType="end"/>
      </w:r>
      <w:r>
        <w:rPr>
          <w:highlight w:val="none"/>
        </w:rPr>
        <w:fldChar w:fldCharType="end"/>
      </w:r>
    </w:p>
    <w:p w14:paraId="36A6BB76">
      <w:pPr>
        <w:pStyle w:val="17"/>
        <w:tabs>
          <w:tab w:val="right" w:leader="dot" w:pos="8306"/>
        </w:tabs>
        <w:rPr>
          <w:highlight w:val="none"/>
        </w:rPr>
      </w:pPr>
      <w:r>
        <w:rPr>
          <w:highlight w:val="none"/>
        </w:rPr>
        <w:fldChar w:fldCharType="begin"/>
      </w:r>
      <w:r>
        <w:rPr>
          <w:highlight w:val="none"/>
        </w:rPr>
        <w:instrText xml:space="preserve"> HYPERLINK \l _Toc1174 </w:instrText>
      </w:r>
      <w:r>
        <w:rPr>
          <w:highlight w:val="none"/>
        </w:rPr>
        <w:fldChar w:fldCharType="separate"/>
      </w:r>
      <w:r>
        <w:rPr>
          <w:rFonts w:hint="eastAsia"/>
          <w:highlight w:val="none"/>
        </w:rPr>
        <w:t>18.5 施工期运行</w:t>
      </w:r>
      <w:r>
        <w:rPr>
          <w:highlight w:val="none"/>
        </w:rPr>
        <w:tab/>
      </w:r>
      <w:r>
        <w:rPr>
          <w:highlight w:val="none"/>
        </w:rPr>
        <w:fldChar w:fldCharType="begin"/>
      </w:r>
      <w:r>
        <w:rPr>
          <w:highlight w:val="none"/>
        </w:rPr>
        <w:instrText xml:space="preserve"> PAGEREF _Toc1174 \h </w:instrText>
      </w:r>
      <w:r>
        <w:rPr>
          <w:highlight w:val="none"/>
        </w:rPr>
        <w:fldChar w:fldCharType="separate"/>
      </w:r>
      <w:r>
        <w:rPr>
          <w:highlight w:val="none"/>
        </w:rPr>
        <w:t>66</w:t>
      </w:r>
      <w:r>
        <w:rPr>
          <w:highlight w:val="none"/>
        </w:rPr>
        <w:fldChar w:fldCharType="end"/>
      </w:r>
      <w:r>
        <w:rPr>
          <w:highlight w:val="none"/>
        </w:rPr>
        <w:fldChar w:fldCharType="end"/>
      </w:r>
    </w:p>
    <w:p w14:paraId="100532CF">
      <w:pPr>
        <w:pStyle w:val="17"/>
        <w:tabs>
          <w:tab w:val="right" w:leader="dot" w:pos="8306"/>
        </w:tabs>
        <w:rPr>
          <w:highlight w:val="none"/>
        </w:rPr>
      </w:pPr>
      <w:r>
        <w:rPr>
          <w:highlight w:val="none"/>
        </w:rPr>
        <w:fldChar w:fldCharType="begin"/>
      </w:r>
      <w:r>
        <w:rPr>
          <w:highlight w:val="none"/>
        </w:rPr>
        <w:instrText xml:space="preserve"> HYPERLINK \l _Toc6211 </w:instrText>
      </w:r>
      <w:r>
        <w:rPr>
          <w:highlight w:val="none"/>
        </w:rPr>
        <w:fldChar w:fldCharType="separate"/>
      </w:r>
      <w:r>
        <w:rPr>
          <w:rFonts w:hint="eastAsia"/>
          <w:highlight w:val="none"/>
        </w:rPr>
        <w:t>18.6 试运行</w:t>
      </w:r>
      <w:r>
        <w:rPr>
          <w:highlight w:val="none"/>
        </w:rPr>
        <w:tab/>
      </w:r>
      <w:r>
        <w:rPr>
          <w:highlight w:val="none"/>
        </w:rPr>
        <w:fldChar w:fldCharType="begin"/>
      </w:r>
      <w:r>
        <w:rPr>
          <w:highlight w:val="none"/>
        </w:rPr>
        <w:instrText xml:space="preserve"> PAGEREF _Toc6211 \h </w:instrText>
      </w:r>
      <w:r>
        <w:rPr>
          <w:highlight w:val="none"/>
        </w:rPr>
        <w:fldChar w:fldCharType="separate"/>
      </w:r>
      <w:r>
        <w:rPr>
          <w:highlight w:val="none"/>
        </w:rPr>
        <w:t>66</w:t>
      </w:r>
      <w:r>
        <w:rPr>
          <w:highlight w:val="none"/>
        </w:rPr>
        <w:fldChar w:fldCharType="end"/>
      </w:r>
      <w:r>
        <w:rPr>
          <w:highlight w:val="none"/>
        </w:rPr>
        <w:fldChar w:fldCharType="end"/>
      </w:r>
    </w:p>
    <w:p w14:paraId="7AB009AE">
      <w:pPr>
        <w:pStyle w:val="17"/>
        <w:tabs>
          <w:tab w:val="right" w:leader="dot" w:pos="8306"/>
        </w:tabs>
        <w:rPr>
          <w:highlight w:val="none"/>
        </w:rPr>
      </w:pPr>
      <w:r>
        <w:rPr>
          <w:highlight w:val="none"/>
        </w:rPr>
        <w:fldChar w:fldCharType="begin"/>
      </w:r>
      <w:r>
        <w:rPr>
          <w:highlight w:val="none"/>
        </w:rPr>
        <w:instrText xml:space="preserve"> HYPERLINK \l _Toc16973 </w:instrText>
      </w:r>
      <w:r>
        <w:rPr>
          <w:highlight w:val="none"/>
        </w:rPr>
        <w:fldChar w:fldCharType="separate"/>
      </w:r>
      <w:r>
        <w:rPr>
          <w:rFonts w:hint="eastAsia"/>
          <w:highlight w:val="none"/>
        </w:rPr>
        <w:t>18.7 竣工清场</w:t>
      </w:r>
      <w:r>
        <w:rPr>
          <w:highlight w:val="none"/>
        </w:rPr>
        <w:tab/>
      </w:r>
      <w:r>
        <w:rPr>
          <w:highlight w:val="none"/>
        </w:rPr>
        <w:fldChar w:fldCharType="begin"/>
      </w:r>
      <w:r>
        <w:rPr>
          <w:highlight w:val="none"/>
        </w:rPr>
        <w:instrText xml:space="preserve"> PAGEREF _Toc16973 \h </w:instrText>
      </w:r>
      <w:r>
        <w:rPr>
          <w:highlight w:val="none"/>
        </w:rPr>
        <w:fldChar w:fldCharType="separate"/>
      </w:r>
      <w:r>
        <w:rPr>
          <w:highlight w:val="none"/>
        </w:rPr>
        <w:t>67</w:t>
      </w:r>
      <w:r>
        <w:rPr>
          <w:highlight w:val="none"/>
        </w:rPr>
        <w:fldChar w:fldCharType="end"/>
      </w:r>
      <w:r>
        <w:rPr>
          <w:highlight w:val="none"/>
        </w:rPr>
        <w:fldChar w:fldCharType="end"/>
      </w:r>
    </w:p>
    <w:p w14:paraId="20702EEC">
      <w:pPr>
        <w:pStyle w:val="17"/>
        <w:tabs>
          <w:tab w:val="right" w:leader="dot" w:pos="8306"/>
        </w:tabs>
        <w:rPr>
          <w:highlight w:val="none"/>
        </w:rPr>
      </w:pPr>
      <w:r>
        <w:rPr>
          <w:highlight w:val="none"/>
        </w:rPr>
        <w:fldChar w:fldCharType="begin"/>
      </w:r>
      <w:r>
        <w:rPr>
          <w:highlight w:val="none"/>
        </w:rPr>
        <w:instrText xml:space="preserve"> HYPERLINK \l _Toc1709 </w:instrText>
      </w:r>
      <w:r>
        <w:rPr>
          <w:highlight w:val="none"/>
        </w:rPr>
        <w:fldChar w:fldCharType="separate"/>
      </w:r>
      <w:r>
        <w:rPr>
          <w:rFonts w:hint="eastAsia"/>
          <w:highlight w:val="none"/>
        </w:rPr>
        <w:t>18.8 施工队伍的撤离</w:t>
      </w:r>
      <w:r>
        <w:rPr>
          <w:highlight w:val="none"/>
        </w:rPr>
        <w:tab/>
      </w:r>
      <w:r>
        <w:rPr>
          <w:highlight w:val="none"/>
        </w:rPr>
        <w:fldChar w:fldCharType="begin"/>
      </w:r>
      <w:r>
        <w:rPr>
          <w:highlight w:val="none"/>
        </w:rPr>
        <w:instrText xml:space="preserve"> PAGEREF _Toc1709 \h </w:instrText>
      </w:r>
      <w:r>
        <w:rPr>
          <w:highlight w:val="none"/>
        </w:rPr>
        <w:fldChar w:fldCharType="separate"/>
      </w:r>
      <w:r>
        <w:rPr>
          <w:highlight w:val="none"/>
        </w:rPr>
        <w:t>67</w:t>
      </w:r>
      <w:r>
        <w:rPr>
          <w:highlight w:val="none"/>
        </w:rPr>
        <w:fldChar w:fldCharType="end"/>
      </w:r>
      <w:r>
        <w:rPr>
          <w:highlight w:val="none"/>
        </w:rPr>
        <w:fldChar w:fldCharType="end"/>
      </w:r>
    </w:p>
    <w:p w14:paraId="1120C228">
      <w:pPr>
        <w:pStyle w:val="24"/>
        <w:tabs>
          <w:tab w:val="right" w:leader="dot" w:pos="8306"/>
        </w:tabs>
        <w:rPr>
          <w:highlight w:val="none"/>
        </w:rPr>
      </w:pPr>
      <w:r>
        <w:rPr>
          <w:highlight w:val="none"/>
        </w:rPr>
        <w:fldChar w:fldCharType="begin"/>
      </w:r>
      <w:r>
        <w:rPr>
          <w:highlight w:val="none"/>
        </w:rPr>
        <w:instrText xml:space="preserve"> HYPERLINK \l _Toc23812 </w:instrText>
      </w:r>
      <w:r>
        <w:rPr>
          <w:highlight w:val="none"/>
        </w:rPr>
        <w:fldChar w:fldCharType="separate"/>
      </w:r>
      <w:r>
        <w:rPr>
          <w:rFonts w:hint="eastAsia"/>
          <w:highlight w:val="none"/>
        </w:rPr>
        <w:t>19. 缺陷责任与保修责任</w:t>
      </w:r>
      <w:r>
        <w:rPr>
          <w:highlight w:val="none"/>
        </w:rPr>
        <w:tab/>
      </w:r>
      <w:r>
        <w:rPr>
          <w:highlight w:val="none"/>
        </w:rPr>
        <w:fldChar w:fldCharType="begin"/>
      </w:r>
      <w:r>
        <w:rPr>
          <w:highlight w:val="none"/>
        </w:rPr>
        <w:instrText xml:space="preserve"> PAGEREF _Toc23812 \h </w:instrText>
      </w:r>
      <w:r>
        <w:rPr>
          <w:highlight w:val="none"/>
        </w:rPr>
        <w:fldChar w:fldCharType="separate"/>
      </w:r>
      <w:r>
        <w:rPr>
          <w:highlight w:val="none"/>
        </w:rPr>
        <w:t>67</w:t>
      </w:r>
      <w:r>
        <w:rPr>
          <w:highlight w:val="none"/>
        </w:rPr>
        <w:fldChar w:fldCharType="end"/>
      </w:r>
      <w:r>
        <w:rPr>
          <w:highlight w:val="none"/>
        </w:rPr>
        <w:fldChar w:fldCharType="end"/>
      </w:r>
    </w:p>
    <w:p w14:paraId="11190134">
      <w:pPr>
        <w:pStyle w:val="17"/>
        <w:tabs>
          <w:tab w:val="right" w:leader="dot" w:pos="8306"/>
        </w:tabs>
        <w:rPr>
          <w:highlight w:val="none"/>
        </w:rPr>
      </w:pPr>
      <w:r>
        <w:rPr>
          <w:highlight w:val="none"/>
        </w:rPr>
        <w:fldChar w:fldCharType="begin"/>
      </w:r>
      <w:r>
        <w:rPr>
          <w:highlight w:val="none"/>
        </w:rPr>
        <w:instrText xml:space="preserve"> HYPERLINK \l _Toc28363 </w:instrText>
      </w:r>
      <w:r>
        <w:rPr>
          <w:highlight w:val="none"/>
        </w:rPr>
        <w:fldChar w:fldCharType="separate"/>
      </w:r>
      <w:r>
        <w:rPr>
          <w:rFonts w:hint="eastAsia"/>
          <w:highlight w:val="none"/>
        </w:rPr>
        <w:t>19.1 缺陷责任期的起算时间</w:t>
      </w:r>
      <w:r>
        <w:rPr>
          <w:highlight w:val="none"/>
        </w:rPr>
        <w:tab/>
      </w:r>
      <w:r>
        <w:rPr>
          <w:highlight w:val="none"/>
        </w:rPr>
        <w:fldChar w:fldCharType="begin"/>
      </w:r>
      <w:r>
        <w:rPr>
          <w:highlight w:val="none"/>
        </w:rPr>
        <w:instrText xml:space="preserve"> PAGEREF _Toc28363 \h </w:instrText>
      </w:r>
      <w:r>
        <w:rPr>
          <w:highlight w:val="none"/>
        </w:rPr>
        <w:fldChar w:fldCharType="separate"/>
      </w:r>
      <w:r>
        <w:rPr>
          <w:highlight w:val="none"/>
        </w:rPr>
        <w:t>67</w:t>
      </w:r>
      <w:r>
        <w:rPr>
          <w:highlight w:val="none"/>
        </w:rPr>
        <w:fldChar w:fldCharType="end"/>
      </w:r>
      <w:r>
        <w:rPr>
          <w:highlight w:val="none"/>
        </w:rPr>
        <w:fldChar w:fldCharType="end"/>
      </w:r>
    </w:p>
    <w:p w14:paraId="28347C59">
      <w:pPr>
        <w:pStyle w:val="17"/>
        <w:tabs>
          <w:tab w:val="right" w:leader="dot" w:pos="8306"/>
        </w:tabs>
        <w:rPr>
          <w:highlight w:val="none"/>
        </w:rPr>
      </w:pPr>
      <w:r>
        <w:rPr>
          <w:highlight w:val="none"/>
        </w:rPr>
        <w:fldChar w:fldCharType="begin"/>
      </w:r>
      <w:r>
        <w:rPr>
          <w:highlight w:val="none"/>
        </w:rPr>
        <w:instrText xml:space="preserve"> HYPERLINK \l _Toc15742 </w:instrText>
      </w:r>
      <w:r>
        <w:rPr>
          <w:highlight w:val="none"/>
        </w:rPr>
        <w:fldChar w:fldCharType="separate"/>
      </w:r>
      <w:r>
        <w:rPr>
          <w:rFonts w:hint="eastAsia"/>
          <w:highlight w:val="none"/>
        </w:rPr>
        <w:t>19.2 缺陷责任</w:t>
      </w:r>
      <w:r>
        <w:rPr>
          <w:highlight w:val="none"/>
        </w:rPr>
        <w:tab/>
      </w:r>
      <w:r>
        <w:rPr>
          <w:highlight w:val="none"/>
        </w:rPr>
        <w:fldChar w:fldCharType="begin"/>
      </w:r>
      <w:r>
        <w:rPr>
          <w:highlight w:val="none"/>
        </w:rPr>
        <w:instrText xml:space="preserve"> PAGEREF _Toc15742 \h </w:instrText>
      </w:r>
      <w:r>
        <w:rPr>
          <w:highlight w:val="none"/>
        </w:rPr>
        <w:fldChar w:fldCharType="separate"/>
      </w:r>
      <w:r>
        <w:rPr>
          <w:highlight w:val="none"/>
        </w:rPr>
        <w:t>67</w:t>
      </w:r>
      <w:r>
        <w:rPr>
          <w:highlight w:val="none"/>
        </w:rPr>
        <w:fldChar w:fldCharType="end"/>
      </w:r>
      <w:r>
        <w:rPr>
          <w:highlight w:val="none"/>
        </w:rPr>
        <w:fldChar w:fldCharType="end"/>
      </w:r>
    </w:p>
    <w:p w14:paraId="1BD1746E">
      <w:pPr>
        <w:pStyle w:val="17"/>
        <w:tabs>
          <w:tab w:val="right" w:leader="dot" w:pos="8306"/>
        </w:tabs>
        <w:rPr>
          <w:highlight w:val="none"/>
        </w:rPr>
      </w:pPr>
      <w:r>
        <w:rPr>
          <w:highlight w:val="none"/>
        </w:rPr>
        <w:fldChar w:fldCharType="begin"/>
      </w:r>
      <w:r>
        <w:rPr>
          <w:highlight w:val="none"/>
        </w:rPr>
        <w:instrText xml:space="preserve"> HYPERLINK \l _Toc15874 </w:instrText>
      </w:r>
      <w:r>
        <w:rPr>
          <w:highlight w:val="none"/>
        </w:rPr>
        <w:fldChar w:fldCharType="separate"/>
      </w:r>
      <w:r>
        <w:rPr>
          <w:rFonts w:hint="eastAsia"/>
          <w:highlight w:val="none"/>
        </w:rPr>
        <w:t>19.3 缺陷责任期的延长</w:t>
      </w:r>
      <w:r>
        <w:rPr>
          <w:highlight w:val="none"/>
        </w:rPr>
        <w:tab/>
      </w:r>
      <w:r>
        <w:rPr>
          <w:highlight w:val="none"/>
        </w:rPr>
        <w:fldChar w:fldCharType="begin"/>
      </w:r>
      <w:r>
        <w:rPr>
          <w:highlight w:val="none"/>
        </w:rPr>
        <w:instrText xml:space="preserve"> PAGEREF _Toc15874 \h </w:instrText>
      </w:r>
      <w:r>
        <w:rPr>
          <w:highlight w:val="none"/>
        </w:rPr>
        <w:fldChar w:fldCharType="separate"/>
      </w:r>
      <w:r>
        <w:rPr>
          <w:highlight w:val="none"/>
        </w:rPr>
        <w:t>67</w:t>
      </w:r>
      <w:r>
        <w:rPr>
          <w:highlight w:val="none"/>
        </w:rPr>
        <w:fldChar w:fldCharType="end"/>
      </w:r>
      <w:r>
        <w:rPr>
          <w:highlight w:val="none"/>
        </w:rPr>
        <w:fldChar w:fldCharType="end"/>
      </w:r>
    </w:p>
    <w:p w14:paraId="34D9B6E7">
      <w:pPr>
        <w:pStyle w:val="17"/>
        <w:tabs>
          <w:tab w:val="right" w:leader="dot" w:pos="8306"/>
        </w:tabs>
        <w:rPr>
          <w:highlight w:val="none"/>
        </w:rPr>
      </w:pPr>
      <w:r>
        <w:rPr>
          <w:highlight w:val="none"/>
        </w:rPr>
        <w:fldChar w:fldCharType="begin"/>
      </w:r>
      <w:r>
        <w:rPr>
          <w:highlight w:val="none"/>
        </w:rPr>
        <w:instrText xml:space="preserve"> HYPERLINK \l _Toc19598 </w:instrText>
      </w:r>
      <w:r>
        <w:rPr>
          <w:highlight w:val="none"/>
        </w:rPr>
        <w:fldChar w:fldCharType="separate"/>
      </w:r>
      <w:r>
        <w:rPr>
          <w:rFonts w:hint="eastAsia"/>
          <w:highlight w:val="none"/>
        </w:rPr>
        <w:t>19.4 进一步试验和试运行</w:t>
      </w:r>
      <w:r>
        <w:rPr>
          <w:highlight w:val="none"/>
        </w:rPr>
        <w:tab/>
      </w:r>
      <w:r>
        <w:rPr>
          <w:highlight w:val="none"/>
        </w:rPr>
        <w:fldChar w:fldCharType="begin"/>
      </w:r>
      <w:r>
        <w:rPr>
          <w:highlight w:val="none"/>
        </w:rPr>
        <w:instrText xml:space="preserve"> PAGEREF _Toc19598 \h </w:instrText>
      </w:r>
      <w:r>
        <w:rPr>
          <w:highlight w:val="none"/>
        </w:rPr>
        <w:fldChar w:fldCharType="separate"/>
      </w:r>
      <w:r>
        <w:rPr>
          <w:highlight w:val="none"/>
        </w:rPr>
        <w:t>68</w:t>
      </w:r>
      <w:r>
        <w:rPr>
          <w:highlight w:val="none"/>
        </w:rPr>
        <w:fldChar w:fldCharType="end"/>
      </w:r>
      <w:r>
        <w:rPr>
          <w:highlight w:val="none"/>
        </w:rPr>
        <w:fldChar w:fldCharType="end"/>
      </w:r>
    </w:p>
    <w:p w14:paraId="7077DA3F">
      <w:pPr>
        <w:pStyle w:val="17"/>
        <w:tabs>
          <w:tab w:val="right" w:leader="dot" w:pos="8306"/>
        </w:tabs>
        <w:rPr>
          <w:highlight w:val="none"/>
        </w:rPr>
      </w:pPr>
      <w:r>
        <w:rPr>
          <w:highlight w:val="none"/>
        </w:rPr>
        <w:fldChar w:fldCharType="begin"/>
      </w:r>
      <w:r>
        <w:rPr>
          <w:highlight w:val="none"/>
        </w:rPr>
        <w:instrText xml:space="preserve"> HYPERLINK \l _Toc11982 </w:instrText>
      </w:r>
      <w:r>
        <w:rPr>
          <w:highlight w:val="none"/>
        </w:rPr>
        <w:fldChar w:fldCharType="separate"/>
      </w:r>
      <w:r>
        <w:rPr>
          <w:rFonts w:hint="eastAsia"/>
          <w:highlight w:val="none"/>
        </w:rPr>
        <w:t>19.5 承包人的进入权</w:t>
      </w:r>
      <w:r>
        <w:rPr>
          <w:highlight w:val="none"/>
        </w:rPr>
        <w:tab/>
      </w:r>
      <w:r>
        <w:rPr>
          <w:highlight w:val="none"/>
        </w:rPr>
        <w:fldChar w:fldCharType="begin"/>
      </w:r>
      <w:r>
        <w:rPr>
          <w:highlight w:val="none"/>
        </w:rPr>
        <w:instrText xml:space="preserve"> PAGEREF _Toc11982 \h </w:instrText>
      </w:r>
      <w:r>
        <w:rPr>
          <w:highlight w:val="none"/>
        </w:rPr>
        <w:fldChar w:fldCharType="separate"/>
      </w:r>
      <w:r>
        <w:rPr>
          <w:highlight w:val="none"/>
        </w:rPr>
        <w:t>68</w:t>
      </w:r>
      <w:r>
        <w:rPr>
          <w:highlight w:val="none"/>
        </w:rPr>
        <w:fldChar w:fldCharType="end"/>
      </w:r>
      <w:r>
        <w:rPr>
          <w:highlight w:val="none"/>
        </w:rPr>
        <w:fldChar w:fldCharType="end"/>
      </w:r>
    </w:p>
    <w:p w14:paraId="0009926B">
      <w:pPr>
        <w:pStyle w:val="17"/>
        <w:tabs>
          <w:tab w:val="right" w:leader="dot" w:pos="8306"/>
        </w:tabs>
        <w:rPr>
          <w:highlight w:val="none"/>
        </w:rPr>
      </w:pPr>
      <w:r>
        <w:rPr>
          <w:highlight w:val="none"/>
        </w:rPr>
        <w:fldChar w:fldCharType="begin"/>
      </w:r>
      <w:r>
        <w:rPr>
          <w:highlight w:val="none"/>
        </w:rPr>
        <w:instrText xml:space="preserve"> HYPERLINK \l _Toc25558 </w:instrText>
      </w:r>
      <w:r>
        <w:rPr>
          <w:highlight w:val="none"/>
        </w:rPr>
        <w:fldChar w:fldCharType="separate"/>
      </w:r>
      <w:r>
        <w:rPr>
          <w:rFonts w:hint="eastAsia"/>
          <w:highlight w:val="none"/>
        </w:rPr>
        <w:t>19.6 缺陷责任期终止证书</w:t>
      </w:r>
      <w:r>
        <w:rPr>
          <w:highlight w:val="none"/>
        </w:rPr>
        <w:tab/>
      </w:r>
      <w:r>
        <w:rPr>
          <w:highlight w:val="none"/>
        </w:rPr>
        <w:fldChar w:fldCharType="begin"/>
      </w:r>
      <w:r>
        <w:rPr>
          <w:highlight w:val="none"/>
        </w:rPr>
        <w:instrText xml:space="preserve"> PAGEREF _Toc25558 \h </w:instrText>
      </w:r>
      <w:r>
        <w:rPr>
          <w:highlight w:val="none"/>
        </w:rPr>
        <w:fldChar w:fldCharType="separate"/>
      </w:r>
      <w:r>
        <w:rPr>
          <w:highlight w:val="none"/>
        </w:rPr>
        <w:t>68</w:t>
      </w:r>
      <w:r>
        <w:rPr>
          <w:highlight w:val="none"/>
        </w:rPr>
        <w:fldChar w:fldCharType="end"/>
      </w:r>
      <w:r>
        <w:rPr>
          <w:highlight w:val="none"/>
        </w:rPr>
        <w:fldChar w:fldCharType="end"/>
      </w:r>
    </w:p>
    <w:p w14:paraId="7957067D">
      <w:pPr>
        <w:pStyle w:val="17"/>
        <w:tabs>
          <w:tab w:val="right" w:leader="dot" w:pos="8306"/>
        </w:tabs>
        <w:rPr>
          <w:highlight w:val="none"/>
        </w:rPr>
      </w:pPr>
      <w:r>
        <w:rPr>
          <w:highlight w:val="none"/>
        </w:rPr>
        <w:fldChar w:fldCharType="begin"/>
      </w:r>
      <w:r>
        <w:rPr>
          <w:highlight w:val="none"/>
        </w:rPr>
        <w:instrText xml:space="preserve"> HYPERLINK \l _Toc24854 </w:instrText>
      </w:r>
      <w:r>
        <w:rPr>
          <w:highlight w:val="none"/>
        </w:rPr>
        <w:fldChar w:fldCharType="separate"/>
      </w:r>
      <w:r>
        <w:rPr>
          <w:rFonts w:hint="eastAsia"/>
          <w:highlight w:val="none"/>
        </w:rPr>
        <w:t>19.7 保修责任</w:t>
      </w:r>
      <w:r>
        <w:rPr>
          <w:highlight w:val="none"/>
        </w:rPr>
        <w:tab/>
      </w:r>
      <w:r>
        <w:rPr>
          <w:highlight w:val="none"/>
        </w:rPr>
        <w:fldChar w:fldCharType="begin"/>
      </w:r>
      <w:r>
        <w:rPr>
          <w:highlight w:val="none"/>
        </w:rPr>
        <w:instrText xml:space="preserve"> PAGEREF _Toc24854 \h </w:instrText>
      </w:r>
      <w:r>
        <w:rPr>
          <w:highlight w:val="none"/>
        </w:rPr>
        <w:fldChar w:fldCharType="separate"/>
      </w:r>
      <w:r>
        <w:rPr>
          <w:highlight w:val="none"/>
        </w:rPr>
        <w:t>68</w:t>
      </w:r>
      <w:r>
        <w:rPr>
          <w:highlight w:val="none"/>
        </w:rPr>
        <w:fldChar w:fldCharType="end"/>
      </w:r>
      <w:r>
        <w:rPr>
          <w:highlight w:val="none"/>
        </w:rPr>
        <w:fldChar w:fldCharType="end"/>
      </w:r>
    </w:p>
    <w:p w14:paraId="399D6B44">
      <w:pPr>
        <w:pStyle w:val="24"/>
        <w:tabs>
          <w:tab w:val="right" w:leader="dot" w:pos="8306"/>
        </w:tabs>
        <w:rPr>
          <w:highlight w:val="none"/>
        </w:rPr>
      </w:pPr>
      <w:r>
        <w:rPr>
          <w:highlight w:val="none"/>
        </w:rPr>
        <w:fldChar w:fldCharType="begin"/>
      </w:r>
      <w:r>
        <w:rPr>
          <w:highlight w:val="none"/>
        </w:rPr>
        <w:instrText xml:space="preserve"> HYPERLINK \l _Toc17728 </w:instrText>
      </w:r>
      <w:r>
        <w:rPr>
          <w:highlight w:val="none"/>
        </w:rPr>
        <w:fldChar w:fldCharType="separate"/>
      </w:r>
      <w:r>
        <w:rPr>
          <w:rFonts w:hint="eastAsia"/>
          <w:highlight w:val="none"/>
        </w:rPr>
        <w:t>20. 保险</w:t>
      </w:r>
      <w:r>
        <w:rPr>
          <w:highlight w:val="none"/>
        </w:rPr>
        <w:tab/>
      </w:r>
      <w:r>
        <w:rPr>
          <w:highlight w:val="none"/>
        </w:rPr>
        <w:fldChar w:fldCharType="begin"/>
      </w:r>
      <w:r>
        <w:rPr>
          <w:highlight w:val="none"/>
        </w:rPr>
        <w:instrText xml:space="preserve"> PAGEREF _Toc17728 \h </w:instrText>
      </w:r>
      <w:r>
        <w:rPr>
          <w:highlight w:val="none"/>
        </w:rPr>
        <w:fldChar w:fldCharType="separate"/>
      </w:r>
      <w:r>
        <w:rPr>
          <w:highlight w:val="none"/>
        </w:rPr>
        <w:t>68</w:t>
      </w:r>
      <w:r>
        <w:rPr>
          <w:highlight w:val="none"/>
        </w:rPr>
        <w:fldChar w:fldCharType="end"/>
      </w:r>
      <w:r>
        <w:rPr>
          <w:highlight w:val="none"/>
        </w:rPr>
        <w:fldChar w:fldCharType="end"/>
      </w:r>
    </w:p>
    <w:p w14:paraId="0891F0A2">
      <w:pPr>
        <w:pStyle w:val="17"/>
        <w:tabs>
          <w:tab w:val="right" w:leader="dot" w:pos="8306"/>
        </w:tabs>
        <w:rPr>
          <w:highlight w:val="none"/>
        </w:rPr>
      </w:pPr>
      <w:r>
        <w:rPr>
          <w:highlight w:val="none"/>
        </w:rPr>
        <w:fldChar w:fldCharType="begin"/>
      </w:r>
      <w:r>
        <w:rPr>
          <w:highlight w:val="none"/>
        </w:rPr>
        <w:instrText xml:space="preserve"> HYPERLINK \l _Toc12854 </w:instrText>
      </w:r>
      <w:r>
        <w:rPr>
          <w:highlight w:val="none"/>
        </w:rPr>
        <w:fldChar w:fldCharType="separate"/>
      </w:r>
      <w:r>
        <w:rPr>
          <w:rFonts w:hint="eastAsia"/>
          <w:highlight w:val="none"/>
        </w:rPr>
        <w:t>20.1 工程保险</w:t>
      </w:r>
      <w:r>
        <w:rPr>
          <w:highlight w:val="none"/>
        </w:rPr>
        <w:tab/>
      </w:r>
      <w:r>
        <w:rPr>
          <w:highlight w:val="none"/>
        </w:rPr>
        <w:fldChar w:fldCharType="begin"/>
      </w:r>
      <w:r>
        <w:rPr>
          <w:highlight w:val="none"/>
        </w:rPr>
        <w:instrText xml:space="preserve"> PAGEREF _Toc12854 \h </w:instrText>
      </w:r>
      <w:r>
        <w:rPr>
          <w:highlight w:val="none"/>
        </w:rPr>
        <w:fldChar w:fldCharType="separate"/>
      </w:r>
      <w:r>
        <w:rPr>
          <w:highlight w:val="none"/>
        </w:rPr>
        <w:t>68</w:t>
      </w:r>
      <w:r>
        <w:rPr>
          <w:highlight w:val="none"/>
        </w:rPr>
        <w:fldChar w:fldCharType="end"/>
      </w:r>
      <w:r>
        <w:rPr>
          <w:highlight w:val="none"/>
        </w:rPr>
        <w:fldChar w:fldCharType="end"/>
      </w:r>
    </w:p>
    <w:p w14:paraId="20EC3326">
      <w:pPr>
        <w:pStyle w:val="17"/>
        <w:tabs>
          <w:tab w:val="right" w:leader="dot" w:pos="8306"/>
        </w:tabs>
        <w:rPr>
          <w:highlight w:val="none"/>
        </w:rPr>
      </w:pPr>
      <w:r>
        <w:rPr>
          <w:highlight w:val="none"/>
        </w:rPr>
        <w:fldChar w:fldCharType="begin"/>
      </w:r>
      <w:r>
        <w:rPr>
          <w:highlight w:val="none"/>
        </w:rPr>
        <w:instrText xml:space="preserve"> HYPERLINK \l _Toc22377 </w:instrText>
      </w:r>
      <w:r>
        <w:rPr>
          <w:highlight w:val="none"/>
        </w:rPr>
        <w:fldChar w:fldCharType="separate"/>
      </w:r>
      <w:r>
        <w:rPr>
          <w:rFonts w:hint="eastAsia"/>
          <w:highlight w:val="none"/>
        </w:rPr>
        <w:t>20.2 人员工伤事故的保险</w:t>
      </w:r>
      <w:r>
        <w:rPr>
          <w:highlight w:val="none"/>
        </w:rPr>
        <w:tab/>
      </w:r>
      <w:r>
        <w:rPr>
          <w:highlight w:val="none"/>
        </w:rPr>
        <w:fldChar w:fldCharType="begin"/>
      </w:r>
      <w:r>
        <w:rPr>
          <w:highlight w:val="none"/>
        </w:rPr>
        <w:instrText xml:space="preserve"> PAGEREF _Toc22377 \h </w:instrText>
      </w:r>
      <w:r>
        <w:rPr>
          <w:highlight w:val="none"/>
        </w:rPr>
        <w:fldChar w:fldCharType="separate"/>
      </w:r>
      <w:r>
        <w:rPr>
          <w:highlight w:val="none"/>
        </w:rPr>
        <w:t>68</w:t>
      </w:r>
      <w:r>
        <w:rPr>
          <w:highlight w:val="none"/>
        </w:rPr>
        <w:fldChar w:fldCharType="end"/>
      </w:r>
      <w:r>
        <w:rPr>
          <w:highlight w:val="none"/>
        </w:rPr>
        <w:fldChar w:fldCharType="end"/>
      </w:r>
    </w:p>
    <w:p w14:paraId="3B913953">
      <w:pPr>
        <w:pStyle w:val="17"/>
        <w:tabs>
          <w:tab w:val="right" w:leader="dot" w:pos="8306"/>
        </w:tabs>
        <w:rPr>
          <w:highlight w:val="none"/>
        </w:rPr>
      </w:pPr>
      <w:r>
        <w:rPr>
          <w:highlight w:val="none"/>
        </w:rPr>
        <w:fldChar w:fldCharType="begin"/>
      </w:r>
      <w:r>
        <w:rPr>
          <w:highlight w:val="none"/>
        </w:rPr>
        <w:instrText xml:space="preserve"> HYPERLINK \l _Toc14910 </w:instrText>
      </w:r>
      <w:r>
        <w:rPr>
          <w:highlight w:val="none"/>
        </w:rPr>
        <w:fldChar w:fldCharType="separate"/>
      </w:r>
      <w:r>
        <w:rPr>
          <w:rFonts w:hint="eastAsia"/>
          <w:highlight w:val="none"/>
        </w:rPr>
        <w:t>20.3 人身意外伤害险</w:t>
      </w:r>
      <w:r>
        <w:rPr>
          <w:highlight w:val="none"/>
        </w:rPr>
        <w:tab/>
      </w:r>
      <w:r>
        <w:rPr>
          <w:highlight w:val="none"/>
        </w:rPr>
        <w:fldChar w:fldCharType="begin"/>
      </w:r>
      <w:r>
        <w:rPr>
          <w:highlight w:val="none"/>
        </w:rPr>
        <w:instrText xml:space="preserve"> PAGEREF _Toc14910 \h </w:instrText>
      </w:r>
      <w:r>
        <w:rPr>
          <w:highlight w:val="none"/>
        </w:rPr>
        <w:fldChar w:fldCharType="separate"/>
      </w:r>
      <w:r>
        <w:rPr>
          <w:highlight w:val="none"/>
        </w:rPr>
        <w:t>68</w:t>
      </w:r>
      <w:r>
        <w:rPr>
          <w:highlight w:val="none"/>
        </w:rPr>
        <w:fldChar w:fldCharType="end"/>
      </w:r>
      <w:r>
        <w:rPr>
          <w:highlight w:val="none"/>
        </w:rPr>
        <w:fldChar w:fldCharType="end"/>
      </w:r>
    </w:p>
    <w:p w14:paraId="14F68380">
      <w:pPr>
        <w:pStyle w:val="17"/>
        <w:tabs>
          <w:tab w:val="right" w:leader="dot" w:pos="8306"/>
        </w:tabs>
        <w:rPr>
          <w:highlight w:val="none"/>
        </w:rPr>
      </w:pPr>
      <w:r>
        <w:rPr>
          <w:highlight w:val="none"/>
        </w:rPr>
        <w:fldChar w:fldCharType="begin"/>
      </w:r>
      <w:r>
        <w:rPr>
          <w:highlight w:val="none"/>
        </w:rPr>
        <w:instrText xml:space="preserve"> HYPERLINK \l _Toc5731 </w:instrText>
      </w:r>
      <w:r>
        <w:rPr>
          <w:highlight w:val="none"/>
        </w:rPr>
        <w:fldChar w:fldCharType="separate"/>
      </w:r>
      <w:r>
        <w:rPr>
          <w:rFonts w:hint="eastAsia"/>
          <w:highlight w:val="none"/>
        </w:rPr>
        <w:t>20.4 第三者责任险</w:t>
      </w:r>
      <w:r>
        <w:rPr>
          <w:highlight w:val="none"/>
        </w:rPr>
        <w:tab/>
      </w:r>
      <w:r>
        <w:rPr>
          <w:highlight w:val="none"/>
        </w:rPr>
        <w:fldChar w:fldCharType="begin"/>
      </w:r>
      <w:r>
        <w:rPr>
          <w:highlight w:val="none"/>
        </w:rPr>
        <w:instrText xml:space="preserve"> PAGEREF _Toc5731 \h </w:instrText>
      </w:r>
      <w:r>
        <w:rPr>
          <w:highlight w:val="none"/>
        </w:rPr>
        <w:fldChar w:fldCharType="separate"/>
      </w:r>
      <w:r>
        <w:rPr>
          <w:highlight w:val="none"/>
        </w:rPr>
        <w:t>68</w:t>
      </w:r>
      <w:r>
        <w:rPr>
          <w:highlight w:val="none"/>
        </w:rPr>
        <w:fldChar w:fldCharType="end"/>
      </w:r>
      <w:r>
        <w:rPr>
          <w:highlight w:val="none"/>
        </w:rPr>
        <w:fldChar w:fldCharType="end"/>
      </w:r>
    </w:p>
    <w:p w14:paraId="396B8122">
      <w:pPr>
        <w:pStyle w:val="17"/>
        <w:tabs>
          <w:tab w:val="right" w:leader="dot" w:pos="8306"/>
        </w:tabs>
        <w:rPr>
          <w:highlight w:val="none"/>
        </w:rPr>
      </w:pPr>
      <w:r>
        <w:rPr>
          <w:highlight w:val="none"/>
        </w:rPr>
        <w:fldChar w:fldCharType="begin"/>
      </w:r>
      <w:r>
        <w:rPr>
          <w:highlight w:val="none"/>
        </w:rPr>
        <w:instrText xml:space="preserve"> HYPERLINK \l _Toc16436 </w:instrText>
      </w:r>
      <w:r>
        <w:rPr>
          <w:highlight w:val="none"/>
        </w:rPr>
        <w:fldChar w:fldCharType="separate"/>
      </w:r>
      <w:r>
        <w:rPr>
          <w:rFonts w:hint="eastAsia"/>
          <w:highlight w:val="none"/>
        </w:rPr>
        <w:t>20.5 其他保险</w:t>
      </w:r>
      <w:r>
        <w:rPr>
          <w:highlight w:val="none"/>
        </w:rPr>
        <w:tab/>
      </w:r>
      <w:r>
        <w:rPr>
          <w:highlight w:val="none"/>
        </w:rPr>
        <w:fldChar w:fldCharType="begin"/>
      </w:r>
      <w:r>
        <w:rPr>
          <w:highlight w:val="none"/>
        </w:rPr>
        <w:instrText xml:space="preserve"> PAGEREF _Toc16436 \h </w:instrText>
      </w:r>
      <w:r>
        <w:rPr>
          <w:highlight w:val="none"/>
        </w:rPr>
        <w:fldChar w:fldCharType="separate"/>
      </w:r>
      <w:r>
        <w:rPr>
          <w:highlight w:val="none"/>
        </w:rPr>
        <w:t>69</w:t>
      </w:r>
      <w:r>
        <w:rPr>
          <w:highlight w:val="none"/>
        </w:rPr>
        <w:fldChar w:fldCharType="end"/>
      </w:r>
      <w:r>
        <w:rPr>
          <w:highlight w:val="none"/>
        </w:rPr>
        <w:fldChar w:fldCharType="end"/>
      </w:r>
    </w:p>
    <w:p w14:paraId="56ABBC8D">
      <w:pPr>
        <w:pStyle w:val="17"/>
        <w:tabs>
          <w:tab w:val="right" w:leader="dot" w:pos="8306"/>
        </w:tabs>
        <w:rPr>
          <w:highlight w:val="none"/>
        </w:rPr>
      </w:pPr>
      <w:r>
        <w:rPr>
          <w:highlight w:val="none"/>
        </w:rPr>
        <w:fldChar w:fldCharType="begin"/>
      </w:r>
      <w:r>
        <w:rPr>
          <w:highlight w:val="none"/>
        </w:rPr>
        <w:instrText xml:space="preserve"> HYPERLINK \l _Toc25456 </w:instrText>
      </w:r>
      <w:r>
        <w:rPr>
          <w:highlight w:val="none"/>
        </w:rPr>
        <w:fldChar w:fldCharType="separate"/>
      </w:r>
      <w:r>
        <w:rPr>
          <w:rFonts w:hint="eastAsia"/>
          <w:highlight w:val="none"/>
        </w:rPr>
        <w:t>20.6 对各项保险的一般要求</w:t>
      </w:r>
      <w:r>
        <w:rPr>
          <w:highlight w:val="none"/>
        </w:rPr>
        <w:tab/>
      </w:r>
      <w:r>
        <w:rPr>
          <w:highlight w:val="none"/>
        </w:rPr>
        <w:fldChar w:fldCharType="begin"/>
      </w:r>
      <w:r>
        <w:rPr>
          <w:highlight w:val="none"/>
        </w:rPr>
        <w:instrText xml:space="preserve"> PAGEREF _Toc25456 \h </w:instrText>
      </w:r>
      <w:r>
        <w:rPr>
          <w:highlight w:val="none"/>
        </w:rPr>
        <w:fldChar w:fldCharType="separate"/>
      </w:r>
      <w:r>
        <w:rPr>
          <w:highlight w:val="none"/>
        </w:rPr>
        <w:t>69</w:t>
      </w:r>
      <w:r>
        <w:rPr>
          <w:highlight w:val="none"/>
        </w:rPr>
        <w:fldChar w:fldCharType="end"/>
      </w:r>
      <w:r>
        <w:rPr>
          <w:highlight w:val="none"/>
        </w:rPr>
        <w:fldChar w:fldCharType="end"/>
      </w:r>
    </w:p>
    <w:p w14:paraId="3B36E676">
      <w:pPr>
        <w:pStyle w:val="24"/>
        <w:tabs>
          <w:tab w:val="right" w:leader="dot" w:pos="8306"/>
        </w:tabs>
        <w:rPr>
          <w:highlight w:val="none"/>
        </w:rPr>
      </w:pPr>
      <w:r>
        <w:rPr>
          <w:highlight w:val="none"/>
        </w:rPr>
        <w:fldChar w:fldCharType="begin"/>
      </w:r>
      <w:r>
        <w:rPr>
          <w:highlight w:val="none"/>
        </w:rPr>
        <w:instrText xml:space="preserve"> HYPERLINK \l _Toc17757 </w:instrText>
      </w:r>
      <w:r>
        <w:rPr>
          <w:highlight w:val="none"/>
        </w:rPr>
        <w:fldChar w:fldCharType="separate"/>
      </w:r>
      <w:r>
        <w:rPr>
          <w:rFonts w:hint="eastAsia"/>
          <w:highlight w:val="none"/>
        </w:rPr>
        <w:t>21. 不可抗力</w:t>
      </w:r>
      <w:r>
        <w:rPr>
          <w:highlight w:val="none"/>
        </w:rPr>
        <w:tab/>
      </w:r>
      <w:r>
        <w:rPr>
          <w:highlight w:val="none"/>
        </w:rPr>
        <w:fldChar w:fldCharType="begin"/>
      </w:r>
      <w:r>
        <w:rPr>
          <w:highlight w:val="none"/>
        </w:rPr>
        <w:instrText xml:space="preserve"> PAGEREF _Toc17757 \h </w:instrText>
      </w:r>
      <w:r>
        <w:rPr>
          <w:highlight w:val="none"/>
        </w:rPr>
        <w:fldChar w:fldCharType="separate"/>
      </w:r>
      <w:r>
        <w:rPr>
          <w:highlight w:val="none"/>
        </w:rPr>
        <w:t>69</w:t>
      </w:r>
      <w:r>
        <w:rPr>
          <w:highlight w:val="none"/>
        </w:rPr>
        <w:fldChar w:fldCharType="end"/>
      </w:r>
      <w:r>
        <w:rPr>
          <w:highlight w:val="none"/>
        </w:rPr>
        <w:fldChar w:fldCharType="end"/>
      </w:r>
    </w:p>
    <w:p w14:paraId="4235F525">
      <w:pPr>
        <w:pStyle w:val="17"/>
        <w:tabs>
          <w:tab w:val="right" w:leader="dot" w:pos="8306"/>
        </w:tabs>
        <w:rPr>
          <w:highlight w:val="none"/>
        </w:rPr>
      </w:pPr>
      <w:r>
        <w:rPr>
          <w:highlight w:val="none"/>
        </w:rPr>
        <w:fldChar w:fldCharType="begin"/>
      </w:r>
      <w:r>
        <w:rPr>
          <w:highlight w:val="none"/>
        </w:rPr>
        <w:instrText xml:space="preserve"> HYPERLINK \l _Toc29604 </w:instrText>
      </w:r>
      <w:r>
        <w:rPr>
          <w:highlight w:val="none"/>
        </w:rPr>
        <w:fldChar w:fldCharType="separate"/>
      </w:r>
      <w:r>
        <w:rPr>
          <w:rFonts w:hint="eastAsia"/>
          <w:highlight w:val="none"/>
        </w:rPr>
        <w:t>21.1 不可抗力的确认</w:t>
      </w:r>
      <w:r>
        <w:rPr>
          <w:highlight w:val="none"/>
        </w:rPr>
        <w:tab/>
      </w:r>
      <w:r>
        <w:rPr>
          <w:highlight w:val="none"/>
        </w:rPr>
        <w:fldChar w:fldCharType="begin"/>
      </w:r>
      <w:r>
        <w:rPr>
          <w:highlight w:val="none"/>
        </w:rPr>
        <w:instrText xml:space="preserve"> PAGEREF _Toc29604 \h </w:instrText>
      </w:r>
      <w:r>
        <w:rPr>
          <w:highlight w:val="none"/>
        </w:rPr>
        <w:fldChar w:fldCharType="separate"/>
      </w:r>
      <w:r>
        <w:rPr>
          <w:highlight w:val="none"/>
        </w:rPr>
        <w:t>69</w:t>
      </w:r>
      <w:r>
        <w:rPr>
          <w:highlight w:val="none"/>
        </w:rPr>
        <w:fldChar w:fldCharType="end"/>
      </w:r>
      <w:r>
        <w:rPr>
          <w:highlight w:val="none"/>
        </w:rPr>
        <w:fldChar w:fldCharType="end"/>
      </w:r>
    </w:p>
    <w:p w14:paraId="3D756F50">
      <w:pPr>
        <w:pStyle w:val="17"/>
        <w:tabs>
          <w:tab w:val="right" w:leader="dot" w:pos="8306"/>
        </w:tabs>
        <w:rPr>
          <w:highlight w:val="none"/>
        </w:rPr>
      </w:pPr>
      <w:r>
        <w:rPr>
          <w:highlight w:val="none"/>
        </w:rPr>
        <w:fldChar w:fldCharType="begin"/>
      </w:r>
      <w:r>
        <w:rPr>
          <w:highlight w:val="none"/>
        </w:rPr>
        <w:instrText xml:space="preserve"> HYPERLINK \l _Toc2008 </w:instrText>
      </w:r>
      <w:r>
        <w:rPr>
          <w:highlight w:val="none"/>
        </w:rPr>
        <w:fldChar w:fldCharType="separate"/>
      </w:r>
      <w:r>
        <w:rPr>
          <w:rFonts w:hint="eastAsia"/>
          <w:highlight w:val="none"/>
        </w:rPr>
        <w:t>21.2 不可抗力的通知</w:t>
      </w:r>
      <w:r>
        <w:rPr>
          <w:highlight w:val="none"/>
        </w:rPr>
        <w:tab/>
      </w:r>
      <w:r>
        <w:rPr>
          <w:highlight w:val="none"/>
        </w:rPr>
        <w:fldChar w:fldCharType="begin"/>
      </w:r>
      <w:r>
        <w:rPr>
          <w:highlight w:val="none"/>
        </w:rPr>
        <w:instrText xml:space="preserve"> PAGEREF _Toc2008 \h </w:instrText>
      </w:r>
      <w:r>
        <w:rPr>
          <w:highlight w:val="none"/>
        </w:rPr>
        <w:fldChar w:fldCharType="separate"/>
      </w:r>
      <w:r>
        <w:rPr>
          <w:highlight w:val="none"/>
        </w:rPr>
        <w:t>69</w:t>
      </w:r>
      <w:r>
        <w:rPr>
          <w:highlight w:val="none"/>
        </w:rPr>
        <w:fldChar w:fldCharType="end"/>
      </w:r>
      <w:r>
        <w:rPr>
          <w:highlight w:val="none"/>
        </w:rPr>
        <w:fldChar w:fldCharType="end"/>
      </w:r>
    </w:p>
    <w:p w14:paraId="69B5CBEE">
      <w:pPr>
        <w:pStyle w:val="17"/>
        <w:tabs>
          <w:tab w:val="right" w:leader="dot" w:pos="8306"/>
        </w:tabs>
        <w:rPr>
          <w:highlight w:val="none"/>
        </w:rPr>
      </w:pPr>
      <w:r>
        <w:rPr>
          <w:highlight w:val="none"/>
        </w:rPr>
        <w:fldChar w:fldCharType="begin"/>
      </w:r>
      <w:r>
        <w:rPr>
          <w:highlight w:val="none"/>
        </w:rPr>
        <w:instrText xml:space="preserve"> HYPERLINK \l _Toc23698 </w:instrText>
      </w:r>
      <w:r>
        <w:rPr>
          <w:highlight w:val="none"/>
        </w:rPr>
        <w:fldChar w:fldCharType="separate"/>
      </w:r>
      <w:r>
        <w:rPr>
          <w:rFonts w:hint="eastAsia"/>
          <w:highlight w:val="none"/>
        </w:rPr>
        <w:t>21.3 不可抗力后果及其处理</w:t>
      </w:r>
      <w:r>
        <w:rPr>
          <w:highlight w:val="none"/>
        </w:rPr>
        <w:tab/>
      </w:r>
      <w:r>
        <w:rPr>
          <w:highlight w:val="none"/>
        </w:rPr>
        <w:fldChar w:fldCharType="begin"/>
      </w:r>
      <w:r>
        <w:rPr>
          <w:highlight w:val="none"/>
        </w:rPr>
        <w:instrText xml:space="preserve"> PAGEREF _Toc23698 \h </w:instrText>
      </w:r>
      <w:r>
        <w:rPr>
          <w:highlight w:val="none"/>
        </w:rPr>
        <w:fldChar w:fldCharType="separate"/>
      </w:r>
      <w:r>
        <w:rPr>
          <w:highlight w:val="none"/>
        </w:rPr>
        <w:t>70</w:t>
      </w:r>
      <w:r>
        <w:rPr>
          <w:highlight w:val="none"/>
        </w:rPr>
        <w:fldChar w:fldCharType="end"/>
      </w:r>
      <w:r>
        <w:rPr>
          <w:highlight w:val="none"/>
        </w:rPr>
        <w:fldChar w:fldCharType="end"/>
      </w:r>
    </w:p>
    <w:p w14:paraId="33B740EC">
      <w:pPr>
        <w:pStyle w:val="24"/>
        <w:tabs>
          <w:tab w:val="right" w:leader="dot" w:pos="8306"/>
        </w:tabs>
        <w:rPr>
          <w:highlight w:val="none"/>
        </w:rPr>
      </w:pPr>
      <w:r>
        <w:rPr>
          <w:highlight w:val="none"/>
        </w:rPr>
        <w:fldChar w:fldCharType="begin"/>
      </w:r>
      <w:r>
        <w:rPr>
          <w:highlight w:val="none"/>
        </w:rPr>
        <w:instrText xml:space="preserve"> HYPERLINK \l _Toc7954 </w:instrText>
      </w:r>
      <w:r>
        <w:rPr>
          <w:highlight w:val="none"/>
        </w:rPr>
        <w:fldChar w:fldCharType="separate"/>
      </w:r>
      <w:r>
        <w:rPr>
          <w:rFonts w:hint="eastAsia"/>
          <w:highlight w:val="none"/>
        </w:rPr>
        <w:t>22. 违约</w:t>
      </w:r>
      <w:r>
        <w:rPr>
          <w:highlight w:val="none"/>
        </w:rPr>
        <w:tab/>
      </w:r>
      <w:r>
        <w:rPr>
          <w:highlight w:val="none"/>
        </w:rPr>
        <w:fldChar w:fldCharType="begin"/>
      </w:r>
      <w:r>
        <w:rPr>
          <w:highlight w:val="none"/>
        </w:rPr>
        <w:instrText xml:space="preserve"> PAGEREF _Toc7954 \h </w:instrText>
      </w:r>
      <w:r>
        <w:rPr>
          <w:highlight w:val="none"/>
        </w:rPr>
        <w:fldChar w:fldCharType="separate"/>
      </w:r>
      <w:r>
        <w:rPr>
          <w:highlight w:val="none"/>
        </w:rPr>
        <w:t>70</w:t>
      </w:r>
      <w:r>
        <w:rPr>
          <w:highlight w:val="none"/>
        </w:rPr>
        <w:fldChar w:fldCharType="end"/>
      </w:r>
      <w:r>
        <w:rPr>
          <w:highlight w:val="none"/>
        </w:rPr>
        <w:fldChar w:fldCharType="end"/>
      </w:r>
    </w:p>
    <w:p w14:paraId="4A0D0235">
      <w:pPr>
        <w:pStyle w:val="17"/>
        <w:tabs>
          <w:tab w:val="right" w:leader="dot" w:pos="8306"/>
        </w:tabs>
        <w:rPr>
          <w:highlight w:val="none"/>
        </w:rPr>
      </w:pPr>
      <w:r>
        <w:rPr>
          <w:highlight w:val="none"/>
        </w:rPr>
        <w:fldChar w:fldCharType="begin"/>
      </w:r>
      <w:r>
        <w:rPr>
          <w:highlight w:val="none"/>
        </w:rPr>
        <w:instrText xml:space="preserve"> HYPERLINK \l _Toc30579 </w:instrText>
      </w:r>
      <w:r>
        <w:rPr>
          <w:highlight w:val="none"/>
        </w:rPr>
        <w:fldChar w:fldCharType="separate"/>
      </w:r>
      <w:r>
        <w:rPr>
          <w:rFonts w:hint="eastAsia"/>
          <w:highlight w:val="none"/>
        </w:rPr>
        <w:t>22.1 承包人违约</w:t>
      </w:r>
      <w:r>
        <w:rPr>
          <w:highlight w:val="none"/>
        </w:rPr>
        <w:tab/>
      </w:r>
      <w:r>
        <w:rPr>
          <w:highlight w:val="none"/>
        </w:rPr>
        <w:fldChar w:fldCharType="begin"/>
      </w:r>
      <w:r>
        <w:rPr>
          <w:highlight w:val="none"/>
        </w:rPr>
        <w:instrText xml:space="preserve"> PAGEREF _Toc30579 \h </w:instrText>
      </w:r>
      <w:r>
        <w:rPr>
          <w:highlight w:val="none"/>
        </w:rPr>
        <w:fldChar w:fldCharType="separate"/>
      </w:r>
      <w:r>
        <w:rPr>
          <w:highlight w:val="none"/>
        </w:rPr>
        <w:t>70</w:t>
      </w:r>
      <w:r>
        <w:rPr>
          <w:highlight w:val="none"/>
        </w:rPr>
        <w:fldChar w:fldCharType="end"/>
      </w:r>
      <w:r>
        <w:rPr>
          <w:highlight w:val="none"/>
        </w:rPr>
        <w:fldChar w:fldCharType="end"/>
      </w:r>
    </w:p>
    <w:p w14:paraId="16444354">
      <w:pPr>
        <w:pStyle w:val="17"/>
        <w:tabs>
          <w:tab w:val="right" w:leader="dot" w:pos="8306"/>
        </w:tabs>
        <w:rPr>
          <w:highlight w:val="none"/>
        </w:rPr>
      </w:pPr>
      <w:r>
        <w:rPr>
          <w:highlight w:val="none"/>
        </w:rPr>
        <w:fldChar w:fldCharType="begin"/>
      </w:r>
      <w:r>
        <w:rPr>
          <w:highlight w:val="none"/>
        </w:rPr>
        <w:instrText xml:space="preserve"> HYPERLINK \l _Toc10463 </w:instrText>
      </w:r>
      <w:r>
        <w:rPr>
          <w:highlight w:val="none"/>
        </w:rPr>
        <w:fldChar w:fldCharType="separate"/>
      </w:r>
      <w:r>
        <w:rPr>
          <w:rFonts w:hint="eastAsia"/>
          <w:highlight w:val="none"/>
        </w:rPr>
        <w:t>22.2 发包人违约</w:t>
      </w:r>
      <w:r>
        <w:rPr>
          <w:highlight w:val="none"/>
        </w:rPr>
        <w:tab/>
      </w:r>
      <w:r>
        <w:rPr>
          <w:highlight w:val="none"/>
        </w:rPr>
        <w:fldChar w:fldCharType="begin"/>
      </w:r>
      <w:r>
        <w:rPr>
          <w:highlight w:val="none"/>
        </w:rPr>
        <w:instrText xml:space="preserve"> PAGEREF _Toc10463 \h </w:instrText>
      </w:r>
      <w:r>
        <w:rPr>
          <w:highlight w:val="none"/>
        </w:rPr>
        <w:fldChar w:fldCharType="separate"/>
      </w:r>
      <w:r>
        <w:rPr>
          <w:highlight w:val="none"/>
        </w:rPr>
        <w:t>72</w:t>
      </w:r>
      <w:r>
        <w:rPr>
          <w:highlight w:val="none"/>
        </w:rPr>
        <w:fldChar w:fldCharType="end"/>
      </w:r>
      <w:r>
        <w:rPr>
          <w:highlight w:val="none"/>
        </w:rPr>
        <w:fldChar w:fldCharType="end"/>
      </w:r>
    </w:p>
    <w:p w14:paraId="33AF229A">
      <w:pPr>
        <w:pStyle w:val="17"/>
        <w:tabs>
          <w:tab w:val="right" w:leader="dot" w:pos="8306"/>
        </w:tabs>
        <w:rPr>
          <w:highlight w:val="none"/>
        </w:rPr>
      </w:pPr>
      <w:r>
        <w:rPr>
          <w:highlight w:val="none"/>
        </w:rPr>
        <w:fldChar w:fldCharType="begin"/>
      </w:r>
      <w:r>
        <w:rPr>
          <w:highlight w:val="none"/>
        </w:rPr>
        <w:instrText xml:space="preserve"> HYPERLINK \l _Toc29744 </w:instrText>
      </w:r>
      <w:r>
        <w:rPr>
          <w:highlight w:val="none"/>
        </w:rPr>
        <w:fldChar w:fldCharType="separate"/>
      </w:r>
      <w:r>
        <w:rPr>
          <w:rFonts w:hint="eastAsia"/>
          <w:highlight w:val="none"/>
        </w:rPr>
        <w:t>22.3 第三人造成的违约</w:t>
      </w:r>
      <w:r>
        <w:rPr>
          <w:highlight w:val="none"/>
        </w:rPr>
        <w:tab/>
      </w:r>
      <w:r>
        <w:rPr>
          <w:highlight w:val="none"/>
        </w:rPr>
        <w:fldChar w:fldCharType="begin"/>
      </w:r>
      <w:r>
        <w:rPr>
          <w:highlight w:val="none"/>
        </w:rPr>
        <w:instrText xml:space="preserve"> PAGEREF _Toc29744 \h </w:instrText>
      </w:r>
      <w:r>
        <w:rPr>
          <w:highlight w:val="none"/>
        </w:rPr>
        <w:fldChar w:fldCharType="separate"/>
      </w:r>
      <w:r>
        <w:rPr>
          <w:highlight w:val="none"/>
        </w:rPr>
        <w:t>73</w:t>
      </w:r>
      <w:r>
        <w:rPr>
          <w:highlight w:val="none"/>
        </w:rPr>
        <w:fldChar w:fldCharType="end"/>
      </w:r>
      <w:r>
        <w:rPr>
          <w:highlight w:val="none"/>
        </w:rPr>
        <w:fldChar w:fldCharType="end"/>
      </w:r>
    </w:p>
    <w:p w14:paraId="2D04D361">
      <w:pPr>
        <w:pStyle w:val="24"/>
        <w:tabs>
          <w:tab w:val="right" w:leader="dot" w:pos="8306"/>
        </w:tabs>
        <w:rPr>
          <w:highlight w:val="none"/>
        </w:rPr>
      </w:pPr>
      <w:r>
        <w:rPr>
          <w:highlight w:val="none"/>
        </w:rPr>
        <w:fldChar w:fldCharType="begin"/>
      </w:r>
      <w:r>
        <w:rPr>
          <w:highlight w:val="none"/>
        </w:rPr>
        <w:instrText xml:space="preserve"> HYPERLINK \l _Toc9386 </w:instrText>
      </w:r>
      <w:r>
        <w:rPr>
          <w:highlight w:val="none"/>
        </w:rPr>
        <w:fldChar w:fldCharType="separate"/>
      </w:r>
      <w:r>
        <w:rPr>
          <w:rFonts w:hint="eastAsia"/>
          <w:highlight w:val="none"/>
        </w:rPr>
        <w:t>23. 索赔</w:t>
      </w:r>
      <w:r>
        <w:rPr>
          <w:highlight w:val="none"/>
        </w:rPr>
        <w:tab/>
      </w:r>
      <w:r>
        <w:rPr>
          <w:highlight w:val="none"/>
        </w:rPr>
        <w:fldChar w:fldCharType="begin"/>
      </w:r>
      <w:r>
        <w:rPr>
          <w:highlight w:val="none"/>
        </w:rPr>
        <w:instrText xml:space="preserve"> PAGEREF _Toc9386 \h </w:instrText>
      </w:r>
      <w:r>
        <w:rPr>
          <w:highlight w:val="none"/>
        </w:rPr>
        <w:fldChar w:fldCharType="separate"/>
      </w:r>
      <w:r>
        <w:rPr>
          <w:highlight w:val="none"/>
        </w:rPr>
        <w:t>73</w:t>
      </w:r>
      <w:r>
        <w:rPr>
          <w:highlight w:val="none"/>
        </w:rPr>
        <w:fldChar w:fldCharType="end"/>
      </w:r>
      <w:r>
        <w:rPr>
          <w:highlight w:val="none"/>
        </w:rPr>
        <w:fldChar w:fldCharType="end"/>
      </w:r>
    </w:p>
    <w:p w14:paraId="6F1466E9">
      <w:pPr>
        <w:pStyle w:val="17"/>
        <w:tabs>
          <w:tab w:val="right" w:leader="dot" w:pos="8306"/>
        </w:tabs>
        <w:rPr>
          <w:highlight w:val="none"/>
        </w:rPr>
      </w:pPr>
      <w:r>
        <w:rPr>
          <w:highlight w:val="none"/>
        </w:rPr>
        <w:fldChar w:fldCharType="begin"/>
      </w:r>
      <w:r>
        <w:rPr>
          <w:highlight w:val="none"/>
        </w:rPr>
        <w:instrText xml:space="preserve"> HYPERLINK \l _Toc16076 </w:instrText>
      </w:r>
      <w:r>
        <w:rPr>
          <w:highlight w:val="none"/>
        </w:rPr>
        <w:fldChar w:fldCharType="separate"/>
      </w:r>
      <w:r>
        <w:rPr>
          <w:rFonts w:hint="eastAsia"/>
          <w:highlight w:val="none"/>
        </w:rPr>
        <w:t>23.1 承包人索赔的提出</w:t>
      </w:r>
      <w:r>
        <w:rPr>
          <w:highlight w:val="none"/>
        </w:rPr>
        <w:tab/>
      </w:r>
      <w:r>
        <w:rPr>
          <w:highlight w:val="none"/>
        </w:rPr>
        <w:fldChar w:fldCharType="begin"/>
      </w:r>
      <w:r>
        <w:rPr>
          <w:highlight w:val="none"/>
        </w:rPr>
        <w:instrText xml:space="preserve"> PAGEREF _Toc16076 \h </w:instrText>
      </w:r>
      <w:r>
        <w:rPr>
          <w:highlight w:val="none"/>
        </w:rPr>
        <w:fldChar w:fldCharType="separate"/>
      </w:r>
      <w:r>
        <w:rPr>
          <w:highlight w:val="none"/>
        </w:rPr>
        <w:t>73</w:t>
      </w:r>
      <w:r>
        <w:rPr>
          <w:highlight w:val="none"/>
        </w:rPr>
        <w:fldChar w:fldCharType="end"/>
      </w:r>
      <w:r>
        <w:rPr>
          <w:highlight w:val="none"/>
        </w:rPr>
        <w:fldChar w:fldCharType="end"/>
      </w:r>
    </w:p>
    <w:p w14:paraId="0A728BCF">
      <w:pPr>
        <w:pStyle w:val="17"/>
        <w:tabs>
          <w:tab w:val="right" w:leader="dot" w:pos="8306"/>
        </w:tabs>
        <w:rPr>
          <w:highlight w:val="none"/>
        </w:rPr>
      </w:pPr>
      <w:r>
        <w:rPr>
          <w:highlight w:val="none"/>
        </w:rPr>
        <w:fldChar w:fldCharType="begin"/>
      </w:r>
      <w:r>
        <w:rPr>
          <w:highlight w:val="none"/>
        </w:rPr>
        <w:instrText xml:space="preserve"> HYPERLINK \l _Toc21035 </w:instrText>
      </w:r>
      <w:r>
        <w:rPr>
          <w:highlight w:val="none"/>
        </w:rPr>
        <w:fldChar w:fldCharType="separate"/>
      </w:r>
      <w:r>
        <w:rPr>
          <w:rFonts w:hint="eastAsia"/>
          <w:highlight w:val="none"/>
        </w:rPr>
        <w:t>23.2 承包人索赔处理程序</w:t>
      </w:r>
      <w:r>
        <w:rPr>
          <w:highlight w:val="none"/>
        </w:rPr>
        <w:tab/>
      </w:r>
      <w:r>
        <w:rPr>
          <w:highlight w:val="none"/>
        </w:rPr>
        <w:fldChar w:fldCharType="begin"/>
      </w:r>
      <w:r>
        <w:rPr>
          <w:highlight w:val="none"/>
        </w:rPr>
        <w:instrText xml:space="preserve"> PAGEREF _Toc21035 \h </w:instrText>
      </w:r>
      <w:r>
        <w:rPr>
          <w:highlight w:val="none"/>
        </w:rPr>
        <w:fldChar w:fldCharType="separate"/>
      </w:r>
      <w:r>
        <w:rPr>
          <w:highlight w:val="none"/>
        </w:rPr>
        <w:t>73</w:t>
      </w:r>
      <w:r>
        <w:rPr>
          <w:highlight w:val="none"/>
        </w:rPr>
        <w:fldChar w:fldCharType="end"/>
      </w:r>
      <w:r>
        <w:rPr>
          <w:highlight w:val="none"/>
        </w:rPr>
        <w:fldChar w:fldCharType="end"/>
      </w:r>
    </w:p>
    <w:p w14:paraId="14EC28DD">
      <w:pPr>
        <w:pStyle w:val="17"/>
        <w:tabs>
          <w:tab w:val="right" w:leader="dot" w:pos="8306"/>
        </w:tabs>
        <w:rPr>
          <w:highlight w:val="none"/>
        </w:rPr>
      </w:pPr>
      <w:r>
        <w:rPr>
          <w:highlight w:val="none"/>
        </w:rPr>
        <w:fldChar w:fldCharType="begin"/>
      </w:r>
      <w:r>
        <w:rPr>
          <w:highlight w:val="none"/>
        </w:rPr>
        <w:instrText xml:space="preserve"> HYPERLINK \l _Toc1391 </w:instrText>
      </w:r>
      <w:r>
        <w:rPr>
          <w:highlight w:val="none"/>
        </w:rPr>
        <w:fldChar w:fldCharType="separate"/>
      </w:r>
      <w:r>
        <w:rPr>
          <w:rFonts w:hint="eastAsia"/>
          <w:highlight w:val="none"/>
        </w:rPr>
        <w:t>23.3 承包人提出索赔的期限</w:t>
      </w:r>
      <w:r>
        <w:rPr>
          <w:highlight w:val="none"/>
        </w:rPr>
        <w:tab/>
      </w:r>
      <w:r>
        <w:rPr>
          <w:highlight w:val="none"/>
        </w:rPr>
        <w:fldChar w:fldCharType="begin"/>
      </w:r>
      <w:r>
        <w:rPr>
          <w:highlight w:val="none"/>
        </w:rPr>
        <w:instrText xml:space="preserve"> PAGEREF _Toc1391 \h </w:instrText>
      </w:r>
      <w:r>
        <w:rPr>
          <w:highlight w:val="none"/>
        </w:rPr>
        <w:fldChar w:fldCharType="separate"/>
      </w:r>
      <w:r>
        <w:rPr>
          <w:highlight w:val="none"/>
        </w:rPr>
        <w:t>73</w:t>
      </w:r>
      <w:r>
        <w:rPr>
          <w:highlight w:val="none"/>
        </w:rPr>
        <w:fldChar w:fldCharType="end"/>
      </w:r>
      <w:r>
        <w:rPr>
          <w:highlight w:val="none"/>
        </w:rPr>
        <w:fldChar w:fldCharType="end"/>
      </w:r>
    </w:p>
    <w:p w14:paraId="7631CADC">
      <w:pPr>
        <w:pStyle w:val="17"/>
        <w:tabs>
          <w:tab w:val="right" w:leader="dot" w:pos="8306"/>
        </w:tabs>
        <w:rPr>
          <w:highlight w:val="none"/>
        </w:rPr>
      </w:pPr>
      <w:r>
        <w:rPr>
          <w:highlight w:val="none"/>
        </w:rPr>
        <w:fldChar w:fldCharType="begin"/>
      </w:r>
      <w:r>
        <w:rPr>
          <w:highlight w:val="none"/>
        </w:rPr>
        <w:instrText xml:space="preserve"> HYPERLINK \l _Toc11119 </w:instrText>
      </w:r>
      <w:r>
        <w:rPr>
          <w:highlight w:val="none"/>
        </w:rPr>
        <w:fldChar w:fldCharType="separate"/>
      </w:r>
      <w:r>
        <w:rPr>
          <w:rFonts w:hint="eastAsia"/>
          <w:highlight w:val="none"/>
        </w:rPr>
        <w:t>23.4 发包人的索赔</w:t>
      </w:r>
      <w:r>
        <w:rPr>
          <w:highlight w:val="none"/>
        </w:rPr>
        <w:tab/>
      </w:r>
      <w:r>
        <w:rPr>
          <w:highlight w:val="none"/>
        </w:rPr>
        <w:fldChar w:fldCharType="begin"/>
      </w:r>
      <w:r>
        <w:rPr>
          <w:highlight w:val="none"/>
        </w:rPr>
        <w:instrText xml:space="preserve"> PAGEREF _Toc11119 \h </w:instrText>
      </w:r>
      <w:r>
        <w:rPr>
          <w:highlight w:val="none"/>
        </w:rPr>
        <w:fldChar w:fldCharType="separate"/>
      </w:r>
      <w:r>
        <w:rPr>
          <w:highlight w:val="none"/>
        </w:rPr>
        <w:t>74</w:t>
      </w:r>
      <w:r>
        <w:rPr>
          <w:highlight w:val="none"/>
        </w:rPr>
        <w:fldChar w:fldCharType="end"/>
      </w:r>
      <w:r>
        <w:rPr>
          <w:highlight w:val="none"/>
        </w:rPr>
        <w:fldChar w:fldCharType="end"/>
      </w:r>
    </w:p>
    <w:p w14:paraId="3825B28A">
      <w:pPr>
        <w:pStyle w:val="24"/>
        <w:tabs>
          <w:tab w:val="right" w:leader="dot" w:pos="8306"/>
        </w:tabs>
        <w:rPr>
          <w:highlight w:val="none"/>
        </w:rPr>
      </w:pPr>
      <w:r>
        <w:rPr>
          <w:highlight w:val="none"/>
        </w:rPr>
        <w:fldChar w:fldCharType="begin"/>
      </w:r>
      <w:r>
        <w:rPr>
          <w:highlight w:val="none"/>
        </w:rPr>
        <w:instrText xml:space="preserve"> HYPERLINK \l _Toc8762 </w:instrText>
      </w:r>
      <w:r>
        <w:rPr>
          <w:highlight w:val="none"/>
        </w:rPr>
        <w:fldChar w:fldCharType="separate"/>
      </w:r>
      <w:r>
        <w:rPr>
          <w:rFonts w:hint="eastAsia"/>
          <w:highlight w:val="none"/>
        </w:rPr>
        <w:t>24. 争议的解决</w:t>
      </w:r>
      <w:r>
        <w:rPr>
          <w:highlight w:val="none"/>
        </w:rPr>
        <w:tab/>
      </w:r>
      <w:r>
        <w:rPr>
          <w:highlight w:val="none"/>
        </w:rPr>
        <w:fldChar w:fldCharType="begin"/>
      </w:r>
      <w:r>
        <w:rPr>
          <w:highlight w:val="none"/>
        </w:rPr>
        <w:instrText xml:space="preserve"> PAGEREF _Toc8762 \h </w:instrText>
      </w:r>
      <w:r>
        <w:rPr>
          <w:highlight w:val="none"/>
        </w:rPr>
        <w:fldChar w:fldCharType="separate"/>
      </w:r>
      <w:r>
        <w:rPr>
          <w:highlight w:val="none"/>
        </w:rPr>
        <w:t>74</w:t>
      </w:r>
      <w:r>
        <w:rPr>
          <w:highlight w:val="none"/>
        </w:rPr>
        <w:fldChar w:fldCharType="end"/>
      </w:r>
      <w:r>
        <w:rPr>
          <w:highlight w:val="none"/>
        </w:rPr>
        <w:fldChar w:fldCharType="end"/>
      </w:r>
    </w:p>
    <w:p w14:paraId="3707BFAA">
      <w:pPr>
        <w:pStyle w:val="17"/>
        <w:tabs>
          <w:tab w:val="right" w:leader="dot" w:pos="8306"/>
        </w:tabs>
        <w:rPr>
          <w:highlight w:val="none"/>
        </w:rPr>
      </w:pPr>
      <w:r>
        <w:rPr>
          <w:highlight w:val="none"/>
        </w:rPr>
        <w:fldChar w:fldCharType="begin"/>
      </w:r>
      <w:r>
        <w:rPr>
          <w:highlight w:val="none"/>
        </w:rPr>
        <w:instrText xml:space="preserve"> HYPERLINK \l _Toc19176 </w:instrText>
      </w:r>
      <w:r>
        <w:rPr>
          <w:highlight w:val="none"/>
        </w:rPr>
        <w:fldChar w:fldCharType="separate"/>
      </w:r>
      <w:r>
        <w:rPr>
          <w:rFonts w:hint="eastAsia"/>
          <w:highlight w:val="none"/>
        </w:rPr>
        <w:t>24.1 争议的解决方式</w:t>
      </w:r>
      <w:r>
        <w:rPr>
          <w:highlight w:val="none"/>
        </w:rPr>
        <w:tab/>
      </w:r>
      <w:r>
        <w:rPr>
          <w:highlight w:val="none"/>
        </w:rPr>
        <w:fldChar w:fldCharType="begin"/>
      </w:r>
      <w:r>
        <w:rPr>
          <w:highlight w:val="none"/>
        </w:rPr>
        <w:instrText xml:space="preserve"> PAGEREF _Toc19176 \h </w:instrText>
      </w:r>
      <w:r>
        <w:rPr>
          <w:highlight w:val="none"/>
        </w:rPr>
        <w:fldChar w:fldCharType="separate"/>
      </w:r>
      <w:r>
        <w:rPr>
          <w:highlight w:val="none"/>
        </w:rPr>
        <w:t>74</w:t>
      </w:r>
      <w:r>
        <w:rPr>
          <w:highlight w:val="none"/>
        </w:rPr>
        <w:fldChar w:fldCharType="end"/>
      </w:r>
      <w:r>
        <w:rPr>
          <w:highlight w:val="none"/>
        </w:rPr>
        <w:fldChar w:fldCharType="end"/>
      </w:r>
    </w:p>
    <w:p w14:paraId="6A68772A">
      <w:pPr>
        <w:pStyle w:val="17"/>
        <w:tabs>
          <w:tab w:val="right" w:leader="dot" w:pos="8306"/>
        </w:tabs>
        <w:rPr>
          <w:highlight w:val="none"/>
        </w:rPr>
      </w:pPr>
      <w:r>
        <w:rPr>
          <w:highlight w:val="none"/>
        </w:rPr>
        <w:fldChar w:fldCharType="begin"/>
      </w:r>
      <w:r>
        <w:rPr>
          <w:highlight w:val="none"/>
        </w:rPr>
        <w:instrText xml:space="preserve"> HYPERLINK \l _Toc4961 </w:instrText>
      </w:r>
      <w:r>
        <w:rPr>
          <w:highlight w:val="none"/>
        </w:rPr>
        <w:fldChar w:fldCharType="separate"/>
      </w:r>
      <w:r>
        <w:rPr>
          <w:rFonts w:hint="eastAsia"/>
          <w:highlight w:val="none"/>
        </w:rPr>
        <w:t>24.2 友好解决</w:t>
      </w:r>
      <w:r>
        <w:rPr>
          <w:highlight w:val="none"/>
        </w:rPr>
        <w:tab/>
      </w:r>
      <w:r>
        <w:rPr>
          <w:highlight w:val="none"/>
        </w:rPr>
        <w:fldChar w:fldCharType="begin"/>
      </w:r>
      <w:r>
        <w:rPr>
          <w:highlight w:val="none"/>
        </w:rPr>
        <w:instrText xml:space="preserve"> PAGEREF _Toc4961 \h </w:instrText>
      </w:r>
      <w:r>
        <w:rPr>
          <w:highlight w:val="none"/>
        </w:rPr>
        <w:fldChar w:fldCharType="separate"/>
      </w:r>
      <w:r>
        <w:rPr>
          <w:highlight w:val="none"/>
        </w:rPr>
        <w:t>74</w:t>
      </w:r>
      <w:r>
        <w:rPr>
          <w:highlight w:val="none"/>
        </w:rPr>
        <w:fldChar w:fldCharType="end"/>
      </w:r>
      <w:r>
        <w:rPr>
          <w:highlight w:val="none"/>
        </w:rPr>
        <w:fldChar w:fldCharType="end"/>
      </w:r>
    </w:p>
    <w:p w14:paraId="524C278D">
      <w:pPr>
        <w:pStyle w:val="17"/>
        <w:tabs>
          <w:tab w:val="right" w:leader="dot" w:pos="8306"/>
        </w:tabs>
        <w:rPr>
          <w:highlight w:val="none"/>
        </w:rPr>
      </w:pPr>
      <w:r>
        <w:rPr>
          <w:highlight w:val="none"/>
        </w:rPr>
        <w:fldChar w:fldCharType="begin"/>
      </w:r>
      <w:r>
        <w:rPr>
          <w:highlight w:val="none"/>
        </w:rPr>
        <w:instrText xml:space="preserve"> HYPERLINK \l _Toc30043 </w:instrText>
      </w:r>
      <w:r>
        <w:rPr>
          <w:highlight w:val="none"/>
        </w:rPr>
        <w:fldChar w:fldCharType="separate"/>
      </w:r>
      <w:r>
        <w:rPr>
          <w:rFonts w:hint="eastAsia"/>
          <w:highlight w:val="none"/>
        </w:rPr>
        <w:t>24.3 争议评审</w:t>
      </w:r>
      <w:r>
        <w:rPr>
          <w:highlight w:val="none"/>
        </w:rPr>
        <w:tab/>
      </w:r>
      <w:r>
        <w:rPr>
          <w:highlight w:val="none"/>
        </w:rPr>
        <w:fldChar w:fldCharType="begin"/>
      </w:r>
      <w:r>
        <w:rPr>
          <w:highlight w:val="none"/>
        </w:rPr>
        <w:instrText xml:space="preserve"> PAGEREF _Toc30043 \h </w:instrText>
      </w:r>
      <w:r>
        <w:rPr>
          <w:highlight w:val="none"/>
        </w:rPr>
        <w:fldChar w:fldCharType="separate"/>
      </w:r>
      <w:r>
        <w:rPr>
          <w:highlight w:val="none"/>
        </w:rPr>
        <w:t>74</w:t>
      </w:r>
      <w:r>
        <w:rPr>
          <w:highlight w:val="none"/>
        </w:rPr>
        <w:fldChar w:fldCharType="end"/>
      </w:r>
      <w:r>
        <w:rPr>
          <w:highlight w:val="none"/>
        </w:rPr>
        <w:fldChar w:fldCharType="end"/>
      </w:r>
    </w:p>
    <w:p w14:paraId="69707DE0">
      <w:pPr>
        <w:pStyle w:val="24"/>
        <w:tabs>
          <w:tab w:val="right" w:leader="dot" w:pos="8306"/>
        </w:tabs>
        <w:rPr>
          <w:highlight w:val="none"/>
        </w:rPr>
      </w:pPr>
      <w:r>
        <w:rPr>
          <w:highlight w:val="none"/>
        </w:rPr>
        <w:fldChar w:fldCharType="begin"/>
      </w:r>
      <w:r>
        <w:rPr>
          <w:highlight w:val="none"/>
        </w:rPr>
        <w:instrText xml:space="preserve"> HYPERLINK \l _Toc21616 </w:instrText>
      </w:r>
      <w:r>
        <w:rPr>
          <w:highlight w:val="none"/>
        </w:rPr>
        <w:fldChar w:fldCharType="separate"/>
      </w:r>
      <w:r>
        <w:rPr>
          <w:rFonts w:hint="eastAsia"/>
          <w:highlight w:val="none"/>
        </w:rPr>
        <w:t>第二节  专用合同条款</w:t>
      </w:r>
      <w:r>
        <w:rPr>
          <w:highlight w:val="none"/>
        </w:rPr>
        <w:tab/>
      </w:r>
      <w:r>
        <w:rPr>
          <w:highlight w:val="none"/>
        </w:rPr>
        <w:fldChar w:fldCharType="begin"/>
      </w:r>
      <w:r>
        <w:rPr>
          <w:highlight w:val="none"/>
        </w:rPr>
        <w:instrText xml:space="preserve"> PAGEREF _Toc21616 \h </w:instrText>
      </w:r>
      <w:r>
        <w:rPr>
          <w:highlight w:val="none"/>
        </w:rPr>
        <w:fldChar w:fldCharType="separate"/>
      </w:r>
      <w:r>
        <w:rPr>
          <w:highlight w:val="none"/>
        </w:rPr>
        <w:t>76</w:t>
      </w:r>
      <w:r>
        <w:rPr>
          <w:highlight w:val="none"/>
        </w:rPr>
        <w:fldChar w:fldCharType="end"/>
      </w:r>
      <w:r>
        <w:rPr>
          <w:highlight w:val="none"/>
        </w:rPr>
        <w:fldChar w:fldCharType="end"/>
      </w:r>
    </w:p>
    <w:p w14:paraId="1A38F773">
      <w:pPr>
        <w:pStyle w:val="24"/>
        <w:tabs>
          <w:tab w:val="right" w:leader="dot" w:pos="8306"/>
        </w:tabs>
        <w:rPr>
          <w:highlight w:val="none"/>
        </w:rPr>
      </w:pPr>
      <w:r>
        <w:rPr>
          <w:highlight w:val="none"/>
        </w:rPr>
        <w:fldChar w:fldCharType="begin"/>
      </w:r>
      <w:r>
        <w:rPr>
          <w:highlight w:val="none"/>
        </w:rPr>
        <w:instrText xml:space="preserve"> HYPERLINK \l _Toc17046 </w:instrText>
      </w:r>
      <w:r>
        <w:rPr>
          <w:highlight w:val="none"/>
        </w:rPr>
        <w:fldChar w:fldCharType="separate"/>
      </w:r>
      <w:r>
        <w:rPr>
          <w:rFonts w:hint="eastAsia"/>
          <w:highlight w:val="none"/>
        </w:rPr>
        <w:t>第三节  合同附件格式</w:t>
      </w:r>
      <w:r>
        <w:rPr>
          <w:highlight w:val="none"/>
        </w:rPr>
        <w:tab/>
      </w:r>
      <w:r>
        <w:rPr>
          <w:highlight w:val="none"/>
        </w:rPr>
        <w:fldChar w:fldCharType="begin"/>
      </w:r>
      <w:r>
        <w:rPr>
          <w:highlight w:val="none"/>
        </w:rPr>
        <w:instrText xml:space="preserve"> PAGEREF _Toc17046 \h </w:instrText>
      </w:r>
      <w:r>
        <w:rPr>
          <w:highlight w:val="none"/>
        </w:rPr>
        <w:fldChar w:fldCharType="separate"/>
      </w:r>
      <w:r>
        <w:rPr>
          <w:highlight w:val="none"/>
        </w:rPr>
        <w:t>87</w:t>
      </w:r>
      <w:r>
        <w:rPr>
          <w:highlight w:val="none"/>
        </w:rPr>
        <w:fldChar w:fldCharType="end"/>
      </w:r>
      <w:r>
        <w:rPr>
          <w:highlight w:val="none"/>
        </w:rPr>
        <w:fldChar w:fldCharType="end"/>
      </w:r>
    </w:p>
    <w:p w14:paraId="4A5D222A">
      <w:pPr>
        <w:pStyle w:val="17"/>
        <w:tabs>
          <w:tab w:val="right" w:leader="dot" w:pos="8306"/>
        </w:tabs>
        <w:rPr>
          <w:highlight w:val="none"/>
        </w:rPr>
      </w:pPr>
      <w:r>
        <w:rPr>
          <w:highlight w:val="none"/>
        </w:rPr>
        <w:fldChar w:fldCharType="begin"/>
      </w:r>
      <w:r>
        <w:rPr>
          <w:highlight w:val="none"/>
        </w:rPr>
        <w:instrText xml:space="preserve"> HYPERLINK \l _Toc18087 </w:instrText>
      </w:r>
      <w:r>
        <w:rPr>
          <w:highlight w:val="none"/>
        </w:rPr>
        <w:fldChar w:fldCharType="separate"/>
      </w:r>
      <w:r>
        <w:rPr>
          <w:rFonts w:hint="eastAsia"/>
          <w:highlight w:val="none"/>
        </w:rPr>
        <w:t>附件一：合同协议书</w:t>
      </w:r>
      <w:r>
        <w:rPr>
          <w:highlight w:val="none"/>
        </w:rPr>
        <w:tab/>
      </w:r>
      <w:r>
        <w:rPr>
          <w:highlight w:val="none"/>
        </w:rPr>
        <w:fldChar w:fldCharType="begin"/>
      </w:r>
      <w:r>
        <w:rPr>
          <w:highlight w:val="none"/>
        </w:rPr>
        <w:instrText xml:space="preserve"> PAGEREF _Toc18087 \h </w:instrText>
      </w:r>
      <w:r>
        <w:rPr>
          <w:highlight w:val="none"/>
        </w:rPr>
        <w:fldChar w:fldCharType="separate"/>
      </w:r>
      <w:r>
        <w:rPr>
          <w:highlight w:val="none"/>
        </w:rPr>
        <w:t>88</w:t>
      </w:r>
      <w:r>
        <w:rPr>
          <w:highlight w:val="none"/>
        </w:rPr>
        <w:fldChar w:fldCharType="end"/>
      </w:r>
      <w:r>
        <w:rPr>
          <w:highlight w:val="none"/>
        </w:rPr>
        <w:fldChar w:fldCharType="end"/>
      </w:r>
    </w:p>
    <w:p w14:paraId="17A63754">
      <w:pPr>
        <w:pStyle w:val="17"/>
        <w:tabs>
          <w:tab w:val="right" w:leader="dot" w:pos="8306"/>
        </w:tabs>
        <w:rPr>
          <w:highlight w:val="none"/>
        </w:rPr>
      </w:pPr>
      <w:r>
        <w:rPr>
          <w:highlight w:val="none"/>
        </w:rPr>
        <w:fldChar w:fldCharType="begin"/>
      </w:r>
      <w:r>
        <w:rPr>
          <w:highlight w:val="none"/>
        </w:rPr>
        <w:instrText xml:space="preserve"> HYPERLINK \l _Toc15580 </w:instrText>
      </w:r>
      <w:r>
        <w:rPr>
          <w:highlight w:val="none"/>
        </w:rPr>
        <w:fldChar w:fldCharType="separate"/>
      </w:r>
      <w:r>
        <w:rPr>
          <w:rFonts w:hint="eastAsia"/>
          <w:highlight w:val="none"/>
        </w:rPr>
        <w:t>附件二：履约担保格式</w:t>
      </w:r>
      <w:r>
        <w:rPr>
          <w:highlight w:val="none"/>
        </w:rPr>
        <w:tab/>
      </w:r>
      <w:r>
        <w:rPr>
          <w:highlight w:val="none"/>
        </w:rPr>
        <w:fldChar w:fldCharType="begin"/>
      </w:r>
      <w:r>
        <w:rPr>
          <w:highlight w:val="none"/>
        </w:rPr>
        <w:instrText xml:space="preserve"> PAGEREF _Toc15580 \h </w:instrText>
      </w:r>
      <w:r>
        <w:rPr>
          <w:highlight w:val="none"/>
        </w:rPr>
        <w:fldChar w:fldCharType="separate"/>
      </w:r>
      <w:r>
        <w:rPr>
          <w:highlight w:val="none"/>
        </w:rPr>
        <w:t>89</w:t>
      </w:r>
      <w:r>
        <w:rPr>
          <w:highlight w:val="none"/>
        </w:rPr>
        <w:fldChar w:fldCharType="end"/>
      </w:r>
      <w:r>
        <w:rPr>
          <w:highlight w:val="none"/>
        </w:rPr>
        <w:fldChar w:fldCharType="end"/>
      </w:r>
    </w:p>
    <w:p w14:paraId="6FF08F9A">
      <w:pPr>
        <w:pStyle w:val="22"/>
        <w:tabs>
          <w:tab w:val="right" w:leader="dot" w:pos="8306"/>
        </w:tabs>
        <w:rPr>
          <w:highlight w:val="none"/>
        </w:rPr>
      </w:pPr>
      <w:r>
        <w:rPr>
          <w:highlight w:val="none"/>
        </w:rPr>
        <w:fldChar w:fldCharType="begin"/>
      </w:r>
      <w:r>
        <w:rPr>
          <w:highlight w:val="none"/>
        </w:rPr>
        <w:instrText xml:space="preserve"> HYPERLINK \l _Toc18742 </w:instrText>
      </w:r>
      <w:r>
        <w:rPr>
          <w:highlight w:val="none"/>
        </w:rPr>
        <w:fldChar w:fldCharType="separate"/>
      </w:r>
      <w:r>
        <w:rPr>
          <w:rFonts w:hint="eastAsia" w:ascii="黑体" w:hAnsi="黑体" w:eastAsia="黑体"/>
          <w:bCs w:val="0"/>
          <w:highlight w:val="none"/>
        </w:rPr>
        <w:t>第五章  工程量清单</w:t>
      </w:r>
      <w:r>
        <w:rPr>
          <w:highlight w:val="none"/>
        </w:rPr>
        <w:tab/>
      </w:r>
      <w:r>
        <w:rPr>
          <w:highlight w:val="none"/>
        </w:rPr>
        <w:fldChar w:fldCharType="begin"/>
      </w:r>
      <w:r>
        <w:rPr>
          <w:highlight w:val="none"/>
        </w:rPr>
        <w:instrText xml:space="preserve"> PAGEREF _Toc18742 \h </w:instrText>
      </w:r>
      <w:r>
        <w:rPr>
          <w:highlight w:val="none"/>
        </w:rPr>
        <w:fldChar w:fldCharType="separate"/>
      </w:r>
      <w:r>
        <w:rPr>
          <w:highlight w:val="none"/>
        </w:rPr>
        <w:t>97</w:t>
      </w:r>
      <w:r>
        <w:rPr>
          <w:highlight w:val="none"/>
        </w:rPr>
        <w:fldChar w:fldCharType="end"/>
      </w:r>
      <w:r>
        <w:rPr>
          <w:highlight w:val="none"/>
        </w:rPr>
        <w:fldChar w:fldCharType="end"/>
      </w:r>
    </w:p>
    <w:p w14:paraId="4850E196">
      <w:pPr>
        <w:pStyle w:val="22"/>
        <w:tabs>
          <w:tab w:val="right" w:leader="dot" w:pos="8306"/>
        </w:tabs>
        <w:rPr>
          <w:highlight w:val="none"/>
        </w:rPr>
      </w:pPr>
      <w:r>
        <w:rPr>
          <w:highlight w:val="none"/>
        </w:rPr>
        <w:fldChar w:fldCharType="begin"/>
      </w:r>
      <w:r>
        <w:rPr>
          <w:highlight w:val="none"/>
        </w:rPr>
        <w:instrText xml:space="preserve"> HYPERLINK \l _Toc13485 </w:instrText>
      </w:r>
      <w:r>
        <w:rPr>
          <w:highlight w:val="none"/>
        </w:rPr>
        <w:fldChar w:fldCharType="separate"/>
      </w:r>
      <w:r>
        <w:rPr>
          <w:rFonts w:hint="eastAsia" w:ascii="黑体" w:hAnsi="黑体" w:eastAsia="黑体"/>
          <w:bCs w:val="0"/>
          <w:highlight w:val="none"/>
        </w:rPr>
        <w:t>第二卷</w:t>
      </w:r>
      <w:r>
        <w:rPr>
          <w:highlight w:val="none"/>
        </w:rPr>
        <w:tab/>
      </w:r>
      <w:r>
        <w:rPr>
          <w:highlight w:val="none"/>
        </w:rPr>
        <w:fldChar w:fldCharType="begin"/>
      </w:r>
      <w:r>
        <w:rPr>
          <w:highlight w:val="none"/>
        </w:rPr>
        <w:instrText xml:space="preserve"> PAGEREF _Toc13485 \h </w:instrText>
      </w:r>
      <w:r>
        <w:rPr>
          <w:highlight w:val="none"/>
        </w:rPr>
        <w:fldChar w:fldCharType="separate"/>
      </w:r>
      <w:r>
        <w:rPr>
          <w:highlight w:val="none"/>
        </w:rPr>
        <w:t>98</w:t>
      </w:r>
      <w:r>
        <w:rPr>
          <w:highlight w:val="none"/>
        </w:rPr>
        <w:fldChar w:fldCharType="end"/>
      </w:r>
      <w:r>
        <w:rPr>
          <w:highlight w:val="none"/>
        </w:rPr>
        <w:fldChar w:fldCharType="end"/>
      </w:r>
    </w:p>
    <w:p w14:paraId="18025EEA">
      <w:pPr>
        <w:pStyle w:val="22"/>
        <w:tabs>
          <w:tab w:val="right" w:leader="dot" w:pos="8306"/>
        </w:tabs>
        <w:rPr>
          <w:highlight w:val="none"/>
        </w:rPr>
      </w:pPr>
      <w:r>
        <w:rPr>
          <w:highlight w:val="none"/>
        </w:rPr>
        <w:fldChar w:fldCharType="begin"/>
      </w:r>
      <w:r>
        <w:rPr>
          <w:highlight w:val="none"/>
        </w:rPr>
        <w:instrText xml:space="preserve"> HYPERLINK \l _Toc26724 </w:instrText>
      </w:r>
      <w:r>
        <w:rPr>
          <w:highlight w:val="none"/>
        </w:rPr>
        <w:fldChar w:fldCharType="separate"/>
      </w:r>
      <w:r>
        <w:rPr>
          <w:rFonts w:hint="eastAsia" w:ascii="黑体" w:hAnsi="黑体" w:eastAsia="黑体"/>
          <w:bCs w:val="0"/>
          <w:highlight w:val="none"/>
        </w:rPr>
        <w:t>第六章  图  纸</w:t>
      </w:r>
      <w:r>
        <w:rPr>
          <w:highlight w:val="none"/>
        </w:rPr>
        <w:tab/>
      </w:r>
      <w:r>
        <w:rPr>
          <w:highlight w:val="none"/>
        </w:rPr>
        <w:fldChar w:fldCharType="begin"/>
      </w:r>
      <w:r>
        <w:rPr>
          <w:highlight w:val="none"/>
        </w:rPr>
        <w:instrText xml:space="preserve"> PAGEREF _Toc26724 \h </w:instrText>
      </w:r>
      <w:r>
        <w:rPr>
          <w:highlight w:val="none"/>
        </w:rPr>
        <w:fldChar w:fldCharType="separate"/>
      </w:r>
      <w:r>
        <w:rPr>
          <w:highlight w:val="none"/>
        </w:rPr>
        <w:t>99</w:t>
      </w:r>
      <w:r>
        <w:rPr>
          <w:highlight w:val="none"/>
        </w:rPr>
        <w:fldChar w:fldCharType="end"/>
      </w:r>
      <w:r>
        <w:rPr>
          <w:highlight w:val="none"/>
        </w:rPr>
        <w:fldChar w:fldCharType="end"/>
      </w:r>
    </w:p>
    <w:p w14:paraId="09F74786">
      <w:pPr>
        <w:pStyle w:val="22"/>
        <w:tabs>
          <w:tab w:val="right" w:leader="dot" w:pos="8306"/>
        </w:tabs>
        <w:rPr>
          <w:highlight w:val="none"/>
        </w:rPr>
      </w:pPr>
      <w:r>
        <w:rPr>
          <w:highlight w:val="none"/>
        </w:rPr>
        <w:fldChar w:fldCharType="begin"/>
      </w:r>
      <w:r>
        <w:rPr>
          <w:highlight w:val="none"/>
        </w:rPr>
        <w:instrText xml:space="preserve"> HYPERLINK \l _Toc13271 </w:instrText>
      </w:r>
      <w:r>
        <w:rPr>
          <w:highlight w:val="none"/>
        </w:rPr>
        <w:fldChar w:fldCharType="separate"/>
      </w:r>
      <w:r>
        <w:rPr>
          <w:rFonts w:hint="eastAsia" w:ascii="黑体" w:hAnsi="黑体" w:eastAsia="黑体"/>
          <w:bCs w:val="0"/>
          <w:highlight w:val="none"/>
        </w:rPr>
        <w:t>第三卷</w:t>
      </w:r>
      <w:r>
        <w:rPr>
          <w:highlight w:val="none"/>
        </w:rPr>
        <w:tab/>
      </w:r>
      <w:r>
        <w:rPr>
          <w:highlight w:val="none"/>
        </w:rPr>
        <w:fldChar w:fldCharType="begin"/>
      </w:r>
      <w:r>
        <w:rPr>
          <w:highlight w:val="none"/>
        </w:rPr>
        <w:instrText xml:space="preserve"> PAGEREF _Toc13271 \h </w:instrText>
      </w:r>
      <w:r>
        <w:rPr>
          <w:highlight w:val="none"/>
        </w:rPr>
        <w:fldChar w:fldCharType="separate"/>
      </w:r>
      <w:r>
        <w:rPr>
          <w:highlight w:val="none"/>
        </w:rPr>
        <w:t>100</w:t>
      </w:r>
      <w:r>
        <w:rPr>
          <w:highlight w:val="none"/>
        </w:rPr>
        <w:fldChar w:fldCharType="end"/>
      </w:r>
      <w:r>
        <w:rPr>
          <w:highlight w:val="none"/>
        </w:rPr>
        <w:fldChar w:fldCharType="end"/>
      </w:r>
    </w:p>
    <w:p w14:paraId="1980FFCB">
      <w:pPr>
        <w:pStyle w:val="22"/>
        <w:tabs>
          <w:tab w:val="right" w:leader="dot" w:pos="8306"/>
        </w:tabs>
        <w:rPr>
          <w:highlight w:val="none"/>
        </w:rPr>
      </w:pPr>
      <w:r>
        <w:rPr>
          <w:highlight w:val="none"/>
        </w:rPr>
        <w:fldChar w:fldCharType="begin"/>
      </w:r>
      <w:r>
        <w:rPr>
          <w:highlight w:val="none"/>
        </w:rPr>
        <w:instrText xml:space="preserve"> HYPERLINK \l _Toc743 </w:instrText>
      </w:r>
      <w:r>
        <w:rPr>
          <w:highlight w:val="none"/>
        </w:rPr>
        <w:fldChar w:fldCharType="separate"/>
      </w:r>
      <w:r>
        <w:rPr>
          <w:rFonts w:hint="eastAsia" w:ascii="黑体" w:hAnsi="黑体" w:eastAsia="黑体"/>
          <w:bCs w:val="0"/>
          <w:highlight w:val="none"/>
        </w:rPr>
        <w:t>第七章  技术标准和要求</w:t>
      </w:r>
      <w:r>
        <w:rPr>
          <w:highlight w:val="none"/>
        </w:rPr>
        <w:tab/>
      </w:r>
      <w:r>
        <w:rPr>
          <w:highlight w:val="none"/>
        </w:rPr>
        <w:fldChar w:fldCharType="begin"/>
      </w:r>
      <w:r>
        <w:rPr>
          <w:highlight w:val="none"/>
        </w:rPr>
        <w:instrText xml:space="preserve"> PAGEREF _Toc743 \h </w:instrText>
      </w:r>
      <w:r>
        <w:rPr>
          <w:highlight w:val="none"/>
        </w:rPr>
        <w:fldChar w:fldCharType="separate"/>
      </w:r>
      <w:r>
        <w:rPr>
          <w:highlight w:val="none"/>
        </w:rPr>
        <w:t>101</w:t>
      </w:r>
      <w:r>
        <w:rPr>
          <w:highlight w:val="none"/>
        </w:rPr>
        <w:fldChar w:fldCharType="end"/>
      </w:r>
      <w:r>
        <w:rPr>
          <w:highlight w:val="none"/>
        </w:rPr>
        <w:fldChar w:fldCharType="end"/>
      </w:r>
    </w:p>
    <w:p w14:paraId="7B9E7FC1">
      <w:pPr>
        <w:pStyle w:val="22"/>
        <w:tabs>
          <w:tab w:val="right" w:leader="dot" w:pos="8306"/>
        </w:tabs>
        <w:rPr>
          <w:highlight w:val="none"/>
        </w:rPr>
      </w:pPr>
      <w:r>
        <w:rPr>
          <w:highlight w:val="none"/>
        </w:rPr>
        <w:fldChar w:fldCharType="begin"/>
      </w:r>
      <w:r>
        <w:rPr>
          <w:highlight w:val="none"/>
        </w:rPr>
        <w:instrText xml:space="preserve"> HYPERLINK \l _Toc4588 </w:instrText>
      </w:r>
      <w:r>
        <w:rPr>
          <w:highlight w:val="none"/>
        </w:rPr>
        <w:fldChar w:fldCharType="separate"/>
      </w:r>
      <w:r>
        <w:rPr>
          <w:rFonts w:hint="eastAsia" w:ascii="黑体" w:hAnsi="黑体" w:eastAsia="黑体"/>
          <w:bCs w:val="0"/>
          <w:highlight w:val="none"/>
        </w:rPr>
        <w:t>第四卷</w:t>
      </w:r>
      <w:r>
        <w:rPr>
          <w:highlight w:val="none"/>
        </w:rPr>
        <w:tab/>
      </w:r>
      <w:r>
        <w:rPr>
          <w:highlight w:val="none"/>
        </w:rPr>
        <w:fldChar w:fldCharType="begin"/>
      </w:r>
      <w:r>
        <w:rPr>
          <w:highlight w:val="none"/>
        </w:rPr>
        <w:instrText xml:space="preserve"> PAGEREF _Toc4588 \h </w:instrText>
      </w:r>
      <w:r>
        <w:rPr>
          <w:highlight w:val="none"/>
        </w:rPr>
        <w:fldChar w:fldCharType="separate"/>
      </w:r>
      <w:r>
        <w:rPr>
          <w:highlight w:val="none"/>
        </w:rPr>
        <w:t>109</w:t>
      </w:r>
      <w:r>
        <w:rPr>
          <w:highlight w:val="none"/>
        </w:rPr>
        <w:fldChar w:fldCharType="end"/>
      </w:r>
      <w:r>
        <w:rPr>
          <w:highlight w:val="none"/>
        </w:rPr>
        <w:fldChar w:fldCharType="end"/>
      </w:r>
    </w:p>
    <w:p w14:paraId="2D590406">
      <w:pPr>
        <w:pStyle w:val="22"/>
        <w:tabs>
          <w:tab w:val="right" w:leader="dot" w:pos="8306"/>
        </w:tabs>
        <w:rPr>
          <w:highlight w:val="none"/>
        </w:rPr>
      </w:pPr>
      <w:r>
        <w:rPr>
          <w:highlight w:val="none"/>
        </w:rPr>
        <w:fldChar w:fldCharType="begin"/>
      </w:r>
      <w:r>
        <w:rPr>
          <w:highlight w:val="none"/>
        </w:rPr>
        <w:instrText xml:space="preserve"> HYPERLINK \l _Toc32498 </w:instrText>
      </w:r>
      <w:r>
        <w:rPr>
          <w:highlight w:val="none"/>
        </w:rPr>
        <w:fldChar w:fldCharType="separate"/>
      </w:r>
      <w:r>
        <w:rPr>
          <w:rFonts w:hint="eastAsia" w:ascii="黑体" w:hAnsi="黑体" w:eastAsia="黑体"/>
          <w:bCs w:val="0"/>
          <w:highlight w:val="none"/>
        </w:rPr>
        <w:t>第八章  投标文件格式</w:t>
      </w:r>
      <w:r>
        <w:rPr>
          <w:highlight w:val="none"/>
        </w:rPr>
        <w:tab/>
      </w:r>
      <w:r>
        <w:rPr>
          <w:highlight w:val="none"/>
        </w:rPr>
        <w:fldChar w:fldCharType="begin"/>
      </w:r>
      <w:r>
        <w:rPr>
          <w:highlight w:val="none"/>
        </w:rPr>
        <w:instrText xml:space="preserve"> PAGEREF _Toc32498 \h </w:instrText>
      </w:r>
      <w:r>
        <w:rPr>
          <w:highlight w:val="none"/>
        </w:rPr>
        <w:fldChar w:fldCharType="separate"/>
      </w:r>
      <w:r>
        <w:rPr>
          <w:highlight w:val="none"/>
        </w:rPr>
        <w:t>110</w:t>
      </w:r>
      <w:r>
        <w:rPr>
          <w:highlight w:val="none"/>
        </w:rPr>
        <w:fldChar w:fldCharType="end"/>
      </w:r>
      <w:r>
        <w:rPr>
          <w:highlight w:val="none"/>
        </w:rPr>
        <w:fldChar w:fldCharType="end"/>
      </w:r>
    </w:p>
    <w:p w14:paraId="13F59CF8">
      <w:pPr>
        <w:pStyle w:val="24"/>
        <w:tabs>
          <w:tab w:val="right" w:leader="dot" w:pos="8306"/>
        </w:tabs>
        <w:rPr>
          <w:highlight w:val="none"/>
        </w:rPr>
      </w:pPr>
      <w:r>
        <w:rPr>
          <w:highlight w:val="none"/>
        </w:rPr>
        <w:fldChar w:fldCharType="begin"/>
      </w:r>
      <w:r>
        <w:rPr>
          <w:highlight w:val="none"/>
        </w:rPr>
        <w:instrText xml:space="preserve"> HYPERLINK \l _Toc32146 </w:instrText>
      </w:r>
      <w:r>
        <w:rPr>
          <w:highlight w:val="none"/>
        </w:rPr>
        <w:fldChar w:fldCharType="separate"/>
      </w:r>
      <w:r>
        <w:rPr>
          <w:highlight w:val="none"/>
        </w:rPr>
        <w:t>一、投标函</w:t>
      </w:r>
      <w:r>
        <w:rPr>
          <w:highlight w:val="none"/>
        </w:rPr>
        <w:tab/>
      </w:r>
      <w:r>
        <w:rPr>
          <w:highlight w:val="none"/>
        </w:rPr>
        <w:fldChar w:fldCharType="begin"/>
      </w:r>
      <w:r>
        <w:rPr>
          <w:highlight w:val="none"/>
        </w:rPr>
        <w:instrText xml:space="preserve"> PAGEREF _Toc32146 \h </w:instrText>
      </w:r>
      <w:r>
        <w:rPr>
          <w:highlight w:val="none"/>
        </w:rPr>
        <w:fldChar w:fldCharType="separate"/>
      </w:r>
      <w:r>
        <w:rPr>
          <w:highlight w:val="none"/>
        </w:rPr>
        <w:t>112</w:t>
      </w:r>
      <w:r>
        <w:rPr>
          <w:highlight w:val="none"/>
        </w:rPr>
        <w:fldChar w:fldCharType="end"/>
      </w:r>
      <w:r>
        <w:rPr>
          <w:highlight w:val="none"/>
        </w:rPr>
        <w:fldChar w:fldCharType="end"/>
      </w:r>
    </w:p>
    <w:p w14:paraId="1A34EA8F">
      <w:pPr>
        <w:pStyle w:val="24"/>
        <w:tabs>
          <w:tab w:val="right" w:leader="dot" w:pos="8306"/>
        </w:tabs>
        <w:rPr>
          <w:highlight w:val="none"/>
        </w:rPr>
      </w:pPr>
      <w:r>
        <w:rPr>
          <w:highlight w:val="none"/>
        </w:rPr>
        <w:fldChar w:fldCharType="begin"/>
      </w:r>
      <w:r>
        <w:rPr>
          <w:highlight w:val="none"/>
        </w:rPr>
        <w:instrText xml:space="preserve"> HYPERLINK \l _Toc13512 </w:instrText>
      </w:r>
      <w:r>
        <w:rPr>
          <w:highlight w:val="none"/>
        </w:rPr>
        <w:fldChar w:fldCharType="separate"/>
      </w:r>
      <w:r>
        <w:rPr>
          <w:highlight w:val="none"/>
        </w:rPr>
        <w:t>二、法定代表人身份证明</w:t>
      </w:r>
      <w:r>
        <w:rPr>
          <w:highlight w:val="none"/>
        </w:rPr>
        <w:tab/>
      </w:r>
      <w:r>
        <w:rPr>
          <w:highlight w:val="none"/>
        </w:rPr>
        <w:fldChar w:fldCharType="begin"/>
      </w:r>
      <w:r>
        <w:rPr>
          <w:highlight w:val="none"/>
        </w:rPr>
        <w:instrText xml:space="preserve"> PAGEREF _Toc13512 \h </w:instrText>
      </w:r>
      <w:r>
        <w:rPr>
          <w:highlight w:val="none"/>
        </w:rPr>
        <w:fldChar w:fldCharType="separate"/>
      </w:r>
      <w:r>
        <w:rPr>
          <w:highlight w:val="none"/>
        </w:rPr>
        <w:t>113</w:t>
      </w:r>
      <w:r>
        <w:rPr>
          <w:highlight w:val="none"/>
        </w:rPr>
        <w:fldChar w:fldCharType="end"/>
      </w:r>
      <w:r>
        <w:rPr>
          <w:highlight w:val="none"/>
        </w:rPr>
        <w:fldChar w:fldCharType="end"/>
      </w:r>
    </w:p>
    <w:p w14:paraId="7E7450EC">
      <w:pPr>
        <w:pStyle w:val="24"/>
        <w:tabs>
          <w:tab w:val="right" w:leader="dot" w:pos="8306"/>
        </w:tabs>
        <w:rPr>
          <w:highlight w:val="none"/>
        </w:rPr>
      </w:pPr>
      <w:r>
        <w:rPr>
          <w:highlight w:val="none"/>
        </w:rPr>
        <w:fldChar w:fldCharType="begin"/>
      </w:r>
      <w:r>
        <w:rPr>
          <w:highlight w:val="none"/>
        </w:rPr>
        <w:instrText xml:space="preserve"> HYPERLINK \l _Toc10581 </w:instrText>
      </w:r>
      <w:r>
        <w:rPr>
          <w:highlight w:val="none"/>
        </w:rPr>
        <w:fldChar w:fldCharType="separate"/>
      </w:r>
      <w:r>
        <w:rPr>
          <w:rFonts w:hint="eastAsia"/>
          <w:highlight w:val="none"/>
          <w:lang w:val="en-US" w:eastAsia="zh-CN"/>
        </w:rPr>
        <w:t>三</w:t>
      </w:r>
      <w:r>
        <w:rPr>
          <w:highlight w:val="none"/>
        </w:rPr>
        <w:t>、授权委托书</w:t>
      </w:r>
      <w:r>
        <w:rPr>
          <w:highlight w:val="none"/>
        </w:rPr>
        <w:tab/>
      </w:r>
      <w:r>
        <w:rPr>
          <w:highlight w:val="none"/>
        </w:rPr>
        <w:fldChar w:fldCharType="begin"/>
      </w:r>
      <w:r>
        <w:rPr>
          <w:highlight w:val="none"/>
        </w:rPr>
        <w:instrText xml:space="preserve"> PAGEREF _Toc10581 \h </w:instrText>
      </w:r>
      <w:r>
        <w:rPr>
          <w:highlight w:val="none"/>
        </w:rPr>
        <w:fldChar w:fldCharType="separate"/>
      </w:r>
      <w:r>
        <w:rPr>
          <w:highlight w:val="none"/>
        </w:rPr>
        <w:t>114</w:t>
      </w:r>
      <w:r>
        <w:rPr>
          <w:highlight w:val="none"/>
        </w:rPr>
        <w:fldChar w:fldCharType="end"/>
      </w:r>
      <w:r>
        <w:rPr>
          <w:highlight w:val="none"/>
        </w:rPr>
        <w:fldChar w:fldCharType="end"/>
      </w:r>
    </w:p>
    <w:p w14:paraId="580CECF9">
      <w:pPr>
        <w:pStyle w:val="24"/>
        <w:tabs>
          <w:tab w:val="right" w:leader="dot" w:pos="8306"/>
        </w:tabs>
        <w:rPr>
          <w:highlight w:val="none"/>
        </w:rPr>
      </w:pPr>
      <w:r>
        <w:rPr>
          <w:highlight w:val="none"/>
        </w:rPr>
        <w:fldChar w:fldCharType="begin"/>
      </w:r>
      <w:r>
        <w:rPr>
          <w:highlight w:val="none"/>
        </w:rPr>
        <w:instrText xml:space="preserve"> HYPERLINK \l _Toc8916 </w:instrText>
      </w:r>
      <w:r>
        <w:rPr>
          <w:highlight w:val="none"/>
        </w:rPr>
        <w:fldChar w:fldCharType="separate"/>
      </w:r>
      <w:r>
        <w:rPr>
          <w:rFonts w:hint="eastAsia" w:ascii="Times New Roman" w:hAnsi="Times New Roman" w:cs="宋体"/>
          <w:bCs w:val="0"/>
          <w:highlight w:val="none"/>
          <w:lang w:val="en-US" w:eastAsia="zh-CN"/>
        </w:rPr>
        <w:t>四、投标保证金</w:t>
      </w:r>
      <w:r>
        <w:rPr>
          <w:highlight w:val="none"/>
        </w:rPr>
        <w:tab/>
      </w:r>
      <w:r>
        <w:rPr>
          <w:highlight w:val="none"/>
        </w:rPr>
        <w:fldChar w:fldCharType="begin"/>
      </w:r>
      <w:r>
        <w:rPr>
          <w:highlight w:val="none"/>
        </w:rPr>
        <w:instrText xml:space="preserve"> PAGEREF _Toc8916 \h </w:instrText>
      </w:r>
      <w:r>
        <w:rPr>
          <w:highlight w:val="none"/>
        </w:rPr>
        <w:fldChar w:fldCharType="separate"/>
      </w:r>
      <w:r>
        <w:rPr>
          <w:highlight w:val="none"/>
        </w:rPr>
        <w:t>115</w:t>
      </w:r>
      <w:r>
        <w:rPr>
          <w:highlight w:val="none"/>
        </w:rPr>
        <w:fldChar w:fldCharType="end"/>
      </w:r>
      <w:r>
        <w:rPr>
          <w:highlight w:val="none"/>
        </w:rPr>
        <w:fldChar w:fldCharType="end"/>
      </w:r>
    </w:p>
    <w:p w14:paraId="3CA354A2">
      <w:pPr>
        <w:pStyle w:val="24"/>
        <w:tabs>
          <w:tab w:val="right" w:leader="dot" w:pos="8306"/>
        </w:tabs>
        <w:rPr>
          <w:highlight w:val="none"/>
        </w:rPr>
      </w:pPr>
      <w:r>
        <w:rPr>
          <w:highlight w:val="none"/>
        </w:rPr>
        <w:fldChar w:fldCharType="begin"/>
      </w:r>
      <w:r>
        <w:rPr>
          <w:highlight w:val="none"/>
        </w:rPr>
        <w:instrText xml:space="preserve"> HYPERLINK \l _Toc32722 </w:instrText>
      </w:r>
      <w:r>
        <w:rPr>
          <w:highlight w:val="none"/>
        </w:rPr>
        <w:fldChar w:fldCharType="separate"/>
      </w:r>
      <w:r>
        <w:rPr>
          <w:rFonts w:hint="eastAsia"/>
          <w:highlight w:val="none"/>
        </w:rPr>
        <w:t>五</w:t>
      </w:r>
      <w:r>
        <w:rPr>
          <w:highlight w:val="none"/>
        </w:rPr>
        <w:t>、已标价工程量清单</w:t>
      </w:r>
      <w:r>
        <w:rPr>
          <w:highlight w:val="none"/>
        </w:rPr>
        <w:tab/>
      </w:r>
      <w:r>
        <w:rPr>
          <w:highlight w:val="none"/>
        </w:rPr>
        <w:fldChar w:fldCharType="begin"/>
      </w:r>
      <w:r>
        <w:rPr>
          <w:highlight w:val="none"/>
        </w:rPr>
        <w:instrText xml:space="preserve"> PAGEREF _Toc32722 \h </w:instrText>
      </w:r>
      <w:r>
        <w:rPr>
          <w:highlight w:val="none"/>
        </w:rPr>
        <w:fldChar w:fldCharType="separate"/>
      </w:r>
      <w:r>
        <w:rPr>
          <w:highlight w:val="none"/>
        </w:rPr>
        <w:t>116</w:t>
      </w:r>
      <w:r>
        <w:rPr>
          <w:highlight w:val="none"/>
        </w:rPr>
        <w:fldChar w:fldCharType="end"/>
      </w:r>
      <w:r>
        <w:rPr>
          <w:highlight w:val="none"/>
        </w:rPr>
        <w:fldChar w:fldCharType="end"/>
      </w:r>
    </w:p>
    <w:p w14:paraId="494990FA">
      <w:pPr>
        <w:pStyle w:val="24"/>
        <w:tabs>
          <w:tab w:val="right" w:leader="dot" w:pos="8306"/>
        </w:tabs>
        <w:rPr>
          <w:highlight w:val="none"/>
        </w:rPr>
      </w:pPr>
      <w:r>
        <w:rPr>
          <w:highlight w:val="none"/>
        </w:rPr>
        <w:fldChar w:fldCharType="begin"/>
      </w:r>
      <w:r>
        <w:rPr>
          <w:highlight w:val="none"/>
        </w:rPr>
        <w:instrText xml:space="preserve"> HYPERLINK \l _Toc24472 </w:instrText>
      </w:r>
      <w:r>
        <w:rPr>
          <w:highlight w:val="none"/>
        </w:rPr>
        <w:fldChar w:fldCharType="separate"/>
      </w:r>
      <w:r>
        <w:rPr>
          <w:rFonts w:hint="eastAsia"/>
          <w:highlight w:val="none"/>
        </w:rPr>
        <w:t>六</w:t>
      </w:r>
      <w:r>
        <w:rPr>
          <w:highlight w:val="none"/>
        </w:rPr>
        <w:t>、施工组织设计</w:t>
      </w:r>
      <w:r>
        <w:rPr>
          <w:highlight w:val="none"/>
        </w:rPr>
        <w:tab/>
      </w:r>
      <w:r>
        <w:rPr>
          <w:highlight w:val="none"/>
        </w:rPr>
        <w:fldChar w:fldCharType="begin"/>
      </w:r>
      <w:r>
        <w:rPr>
          <w:highlight w:val="none"/>
        </w:rPr>
        <w:instrText xml:space="preserve"> PAGEREF _Toc24472 \h </w:instrText>
      </w:r>
      <w:r>
        <w:rPr>
          <w:highlight w:val="none"/>
        </w:rPr>
        <w:fldChar w:fldCharType="separate"/>
      </w:r>
      <w:r>
        <w:rPr>
          <w:highlight w:val="none"/>
        </w:rPr>
        <w:t>117</w:t>
      </w:r>
      <w:r>
        <w:rPr>
          <w:highlight w:val="none"/>
        </w:rPr>
        <w:fldChar w:fldCharType="end"/>
      </w:r>
      <w:r>
        <w:rPr>
          <w:highlight w:val="none"/>
        </w:rPr>
        <w:fldChar w:fldCharType="end"/>
      </w:r>
    </w:p>
    <w:p w14:paraId="459215E1">
      <w:pPr>
        <w:pStyle w:val="24"/>
        <w:tabs>
          <w:tab w:val="right" w:leader="dot" w:pos="8306"/>
        </w:tabs>
        <w:rPr>
          <w:highlight w:val="none"/>
        </w:rPr>
      </w:pPr>
      <w:r>
        <w:rPr>
          <w:highlight w:val="none"/>
        </w:rPr>
        <w:fldChar w:fldCharType="begin"/>
      </w:r>
      <w:r>
        <w:rPr>
          <w:highlight w:val="none"/>
        </w:rPr>
        <w:instrText xml:space="preserve"> HYPERLINK \l _Toc8825 </w:instrText>
      </w:r>
      <w:r>
        <w:rPr>
          <w:highlight w:val="none"/>
        </w:rPr>
        <w:fldChar w:fldCharType="separate"/>
      </w:r>
      <w:r>
        <w:rPr>
          <w:rFonts w:hint="eastAsia" w:ascii="Times New Roman" w:hAnsi="Times New Roman" w:eastAsia="宋体" w:cs="Times New Roman"/>
          <w:highlight w:val="none"/>
          <w:lang w:val="en-US" w:eastAsia="zh-CN"/>
        </w:rPr>
        <w:t>详见</w:t>
      </w:r>
      <w:r>
        <w:rPr>
          <w:rFonts w:hint="eastAsia" w:ascii="Times New Roman" w:hAnsi="Times New Roman" w:eastAsia="宋体" w:cs="Times New Roman"/>
          <w:highlight w:val="none"/>
        </w:rPr>
        <w:t>评标办法</w:t>
      </w:r>
      <w:r>
        <w:rPr>
          <w:rFonts w:hint="eastAsia"/>
          <w:highlight w:val="none"/>
        </w:rPr>
        <w:t>七</w:t>
      </w:r>
      <w:r>
        <w:rPr>
          <w:highlight w:val="none"/>
        </w:rPr>
        <w:t>、项目管理机构</w:t>
      </w:r>
      <w:r>
        <w:rPr>
          <w:highlight w:val="none"/>
        </w:rPr>
        <w:tab/>
      </w:r>
      <w:r>
        <w:rPr>
          <w:highlight w:val="none"/>
        </w:rPr>
        <w:fldChar w:fldCharType="begin"/>
      </w:r>
      <w:r>
        <w:rPr>
          <w:highlight w:val="none"/>
        </w:rPr>
        <w:instrText xml:space="preserve"> PAGEREF _Toc8825 \h </w:instrText>
      </w:r>
      <w:r>
        <w:rPr>
          <w:highlight w:val="none"/>
        </w:rPr>
        <w:fldChar w:fldCharType="separate"/>
      </w:r>
      <w:r>
        <w:rPr>
          <w:highlight w:val="none"/>
        </w:rPr>
        <w:t>117</w:t>
      </w:r>
      <w:r>
        <w:rPr>
          <w:highlight w:val="none"/>
        </w:rPr>
        <w:fldChar w:fldCharType="end"/>
      </w:r>
      <w:r>
        <w:rPr>
          <w:highlight w:val="none"/>
        </w:rPr>
        <w:fldChar w:fldCharType="end"/>
      </w:r>
    </w:p>
    <w:p w14:paraId="72D096D9">
      <w:pPr>
        <w:pStyle w:val="17"/>
        <w:tabs>
          <w:tab w:val="right" w:leader="dot" w:pos="8306"/>
        </w:tabs>
        <w:rPr>
          <w:highlight w:val="none"/>
        </w:rPr>
      </w:pPr>
      <w:r>
        <w:rPr>
          <w:highlight w:val="none"/>
        </w:rPr>
        <w:fldChar w:fldCharType="begin"/>
      </w:r>
      <w:r>
        <w:rPr>
          <w:highlight w:val="none"/>
        </w:rPr>
        <w:instrText xml:space="preserve"> HYPERLINK \l _Toc8172 </w:instrText>
      </w:r>
      <w:r>
        <w:rPr>
          <w:highlight w:val="none"/>
        </w:rPr>
        <w:fldChar w:fldCharType="separate"/>
      </w:r>
      <w:r>
        <w:rPr>
          <w:szCs w:val="23"/>
          <w:highlight w:val="none"/>
        </w:rPr>
        <w:t>（一）项目管理机构组成表</w:t>
      </w:r>
      <w:r>
        <w:rPr>
          <w:highlight w:val="none"/>
        </w:rPr>
        <w:tab/>
      </w:r>
      <w:r>
        <w:rPr>
          <w:highlight w:val="none"/>
        </w:rPr>
        <w:fldChar w:fldCharType="begin"/>
      </w:r>
      <w:r>
        <w:rPr>
          <w:highlight w:val="none"/>
        </w:rPr>
        <w:instrText xml:space="preserve"> PAGEREF _Toc8172 \h </w:instrText>
      </w:r>
      <w:r>
        <w:rPr>
          <w:highlight w:val="none"/>
        </w:rPr>
        <w:fldChar w:fldCharType="separate"/>
      </w:r>
      <w:r>
        <w:rPr>
          <w:highlight w:val="none"/>
        </w:rPr>
        <w:t>118</w:t>
      </w:r>
      <w:r>
        <w:rPr>
          <w:highlight w:val="none"/>
        </w:rPr>
        <w:fldChar w:fldCharType="end"/>
      </w:r>
      <w:r>
        <w:rPr>
          <w:highlight w:val="none"/>
        </w:rPr>
        <w:fldChar w:fldCharType="end"/>
      </w:r>
    </w:p>
    <w:p w14:paraId="54A9991B">
      <w:pPr>
        <w:pStyle w:val="17"/>
        <w:tabs>
          <w:tab w:val="right" w:leader="dot" w:pos="8306"/>
        </w:tabs>
        <w:rPr>
          <w:highlight w:val="none"/>
        </w:rPr>
      </w:pPr>
      <w:r>
        <w:rPr>
          <w:highlight w:val="none"/>
        </w:rPr>
        <w:fldChar w:fldCharType="begin"/>
      </w:r>
      <w:r>
        <w:rPr>
          <w:highlight w:val="none"/>
        </w:rPr>
        <w:instrText xml:space="preserve"> HYPERLINK \l _Toc20288 </w:instrText>
      </w:r>
      <w:r>
        <w:rPr>
          <w:highlight w:val="none"/>
        </w:rPr>
        <w:fldChar w:fldCharType="separate"/>
      </w:r>
      <w:r>
        <w:rPr>
          <w:szCs w:val="23"/>
          <w:highlight w:val="none"/>
        </w:rPr>
        <w:t>（二）主要人员简历表</w:t>
      </w:r>
      <w:r>
        <w:rPr>
          <w:highlight w:val="none"/>
        </w:rPr>
        <w:tab/>
      </w:r>
      <w:r>
        <w:rPr>
          <w:highlight w:val="none"/>
        </w:rPr>
        <w:fldChar w:fldCharType="begin"/>
      </w:r>
      <w:r>
        <w:rPr>
          <w:highlight w:val="none"/>
        </w:rPr>
        <w:instrText xml:space="preserve"> PAGEREF _Toc20288 \h </w:instrText>
      </w:r>
      <w:r>
        <w:rPr>
          <w:highlight w:val="none"/>
        </w:rPr>
        <w:fldChar w:fldCharType="separate"/>
      </w:r>
      <w:r>
        <w:rPr>
          <w:highlight w:val="none"/>
        </w:rPr>
        <w:t>119</w:t>
      </w:r>
      <w:r>
        <w:rPr>
          <w:highlight w:val="none"/>
        </w:rPr>
        <w:fldChar w:fldCharType="end"/>
      </w:r>
      <w:r>
        <w:rPr>
          <w:highlight w:val="none"/>
        </w:rPr>
        <w:fldChar w:fldCharType="end"/>
      </w:r>
    </w:p>
    <w:p w14:paraId="19BDEA84">
      <w:pPr>
        <w:pStyle w:val="24"/>
        <w:tabs>
          <w:tab w:val="right" w:leader="dot" w:pos="8306"/>
        </w:tabs>
        <w:rPr>
          <w:highlight w:val="none"/>
        </w:rPr>
      </w:pPr>
      <w:r>
        <w:rPr>
          <w:highlight w:val="none"/>
        </w:rPr>
        <w:fldChar w:fldCharType="begin"/>
      </w:r>
      <w:r>
        <w:rPr>
          <w:highlight w:val="none"/>
        </w:rPr>
        <w:instrText xml:space="preserve"> HYPERLINK \l _Toc7272 </w:instrText>
      </w:r>
      <w:r>
        <w:rPr>
          <w:highlight w:val="none"/>
        </w:rPr>
        <w:fldChar w:fldCharType="separate"/>
      </w:r>
      <w:r>
        <w:rPr>
          <w:rFonts w:hint="eastAsia"/>
          <w:highlight w:val="none"/>
          <w:lang w:val="en-US" w:eastAsia="zh-CN"/>
        </w:rPr>
        <w:t>八</w:t>
      </w:r>
      <w:r>
        <w:rPr>
          <w:highlight w:val="none"/>
        </w:rPr>
        <w:t>、资格审查资料</w:t>
      </w:r>
      <w:r>
        <w:rPr>
          <w:highlight w:val="none"/>
        </w:rPr>
        <w:tab/>
      </w:r>
      <w:r>
        <w:rPr>
          <w:highlight w:val="none"/>
        </w:rPr>
        <w:fldChar w:fldCharType="begin"/>
      </w:r>
      <w:r>
        <w:rPr>
          <w:highlight w:val="none"/>
        </w:rPr>
        <w:instrText xml:space="preserve"> PAGEREF _Toc7272 \h </w:instrText>
      </w:r>
      <w:r>
        <w:rPr>
          <w:highlight w:val="none"/>
        </w:rPr>
        <w:fldChar w:fldCharType="separate"/>
      </w:r>
      <w:r>
        <w:rPr>
          <w:highlight w:val="none"/>
        </w:rPr>
        <w:t>120</w:t>
      </w:r>
      <w:r>
        <w:rPr>
          <w:highlight w:val="none"/>
        </w:rPr>
        <w:fldChar w:fldCharType="end"/>
      </w:r>
      <w:r>
        <w:rPr>
          <w:highlight w:val="none"/>
        </w:rPr>
        <w:fldChar w:fldCharType="end"/>
      </w:r>
    </w:p>
    <w:p w14:paraId="32E6E15A">
      <w:pPr>
        <w:pStyle w:val="17"/>
        <w:tabs>
          <w:tab w:val="right" w:leader="dot" w:pos="8306"/>
        </w:tabs>
        <w:rPr>
          <w:highlight w:val="none"/>
        </w:rPr>
      </w:pPr>
      <w:r>
        <w:rPr>
          <w:highlight w:val="none"/>
        </w:rPr>
        <w:fldChar w:fldCharType="begin"/>
      </w:r>
      <w:r>
        <w:rPr>
          <w:highlight w:val="none"/>
        </w:rPr>
        <w:instrText xml:space="preserve"> HYPERLINK \l _Toc27893 </w:instrText>
      </w:r>
      <w:r>
        <w:rPr>
          <w:highlight w:val="none"/>
        </w:rPr>
        <w:fldChar w:fldCharType="separate"/>
      </w:r>
      <w:r>
        <w:rPr>
          <w:szCs w:val="23"/>
          <w:highlight w:val="none"/>
        </w:rPr>
        <w:t>（一）投标人基本情况表</w:t>
      </w:r>
      <w:r>
        <w:rPr>
          <w:highlight w:val="none"/>
        </w:rPr>
        <w:tab/>
      </w:r>
      <w:r>
        <w:rPr>
          <w:highlight w:val="none"/>
        </w:rPr>
        <w:fldChar w:fldCharType="begin"/>
      </w:r>
      <w:r>
        <w:rPr>
          <w:highlight w:val="none"/>
        </w:rPr>
        <w:instrText xml:space="preserve"> PAGEREF _Toc27893 \h </w:instrText>
      </w:r>
      <w:r>
        <w:rPr>
          <w:highlight w:val="none"/>
        </w:rPr>
        <w:fldChar w:fldCharType="separate"/>
      </w:r>
      <w:r>
        <w:rPr>
          <w:highlight w:val="none"/>
        </w:rPr>
        <w:t>120</w:t>
      </w:r>
      <w:r>
        <w:rPr>
          <w:highlight w:val="none"/>
        </w:rPr>
        <w:fldChar w:fldCharType="end"/>
      </w:r>
      <w:r>
        <w:rPr>
          <w:highlight w:val="none"/>
        </w:rPr>
        <w:fldChar w:fldCharType="end"/>
      </w:r>
    </w:p>
    <w:p w14:paraId="47A47E46">
      <w:pPr>
        <w:pStyle w:val="17"/>
        <w:tabs>
          <w:tab w:val="right" w:leader="dot" w:pos="8306"/>
        </w:tabs>
        <w:rPr>
          <w:highlight w:val="none"/>
        </w:rPr>
      </w:pPr>
      <w:r>
        <w:rPr>
          <w:highlight w:val="none"/>
        </w:rPr>
        <w:fldChar w:fldCharType="begin"/>
      </w:r>
      <w:r>
        <w:rPr>
          <w:highlight w:val="none"/>
        </w:rPr>
        <w:instrText xml:space="preserve"> HYPERLINK \l _Toc14062 </w:instrText>
      </w:r>
      <w:r>
        <w:rPr>
          <w:highlight w:val="none"/>
        </w:rPr>
        <w:fldChar w:fldCharType="separate"/>
      </w:r>
      <w:r>
        <w:rPr>
          <w:szCs w:val="23"/>
          <w:highlight w:val="none"/>
        </w:rPr>
        <w:t>（二）近年财务状况表</w:t>
      </w:r>
      <w:r>
        <w:rPr>
          <w:highlight w:val="none"/>
        </w:rPr>
        <w:tab/>
      </w:r>
      <w:r>
        <w:rPr>
          <w:highlight w:val="none"/>
        </w:rPr>
        <w:fldChar w:fldCharType="begin"/>
      </w:r>
      <w:r>
        <w:rPr>
          <w:highlight w:val="none"/>
        </w:rPr>
        <w:instrText xml:space="preserve"> PAGEREF _Toc14062 \h </w:instrText>
      </w:r>
      <w:r>
        <w:rPr>
          <w:highlight w:val="none"/>
        </w:rPr>
        <w:fldChar w:fldCharType="separate"/>
      </w:r>
      <w:r>
        <w:rPr>
          <w:highlight w:val="none"/>
        </w:rPr>
        <w:t>121</w:t>
      </w:r>
      <w:r>
        <w:rPr>
          <w:highlight w:val="none"/>
        </w:rPr>
        <w:fldChar w:fldCharType="end"/>
      </w:r>
      <w:r>
        <w:rPr>
          <w:highlight w:val="none"/>
        </w:rPr>
        <w:fldChar w:fldCharType="end"/>
      </w:r>
    </w:p>
    <w:p w14:paraId="7A90495F">
      <w:pPr>
        <w:pStyle w:val="17"/>
        <w:tabs>
          <w:tab w:val="right" w:leader="dot" w:pos="8306"/>
        </w:tabs>
        <w:rPr>
          <w:highlight w:val="none"/>
        </w:rPr>
      </w:pPr>
      <w:r>
        <w:rPr>
          <w:highlight w:val="none"/>
        </w:rPr>
        <w:fldChar w:fldCharType="begin"/>
      </w:r>
      <w:r>
        <w:rPr>
          <w:highlight w:val="none"/>
        </w:rPr>
        <w:instrText xml:space="preserve"> HYPERLINK \l _Toc15121 </w:instrText>
      </w:r>
      <w:r>
        <w:rPr>
          <w:highlight w:val="none"/>
        </w:rPr>
        <w:fldChar w:fldCharType="separate"/>
      </w:r>
      <w:r>
        <w:rPr>
          <w:szCs w:val="23"/>
          <w:highlight w:val="none"/>
        </w:rPr>
        <w:t>（三）</w:t>
      </w:r>
      <w:r>
        <w:rPr>
          <w:rFonts w:hint="eastAsia"/>
          <w:szCs w:val="23"/>
          <w:highlight w:val="none"/>
          <w:lang w:val="en-US" w:eastAsia="zh-CN"/>
        </w:rPr>
        <w:t>企业业绩</w:t>
      </w:r>
      <w:r>
        <w:rPr>
          <w:szCs w:val="23"/>
          <w:highlight w:val="none"/>
        </w:rPr>
        <w:t>情况表</w:t>
      </w:r>
      <w:r>
        <w:rPr>
          <w:highlight w:val="none"/>
        </w:rPr>
        <w:tab/>
      </w:r>
      <w:r>
        <w:rPr>
          <w:highlight w:val="none"/>
        </w:rPr>
        <w:fldChar w:fldCharType="begin"/>
      </w:r>
      <w:r>
        <w:rPr>
          <w:highlight w:val="none"/>
        </w:rPr>
        <w:instrText xml:space="preserve"> PAGEREF _Toc15121 \h </w:instrText>
      </w:r>
      <w:r>
        <w:rPr>
          <w:highlight w:val="none"/>
        </w:rPr>
        <w:fldChar w:fldCharType="separate"/>
      </w:r>
      <w:r>
        <w:rPr>
          <w:highlight w:val="none"/>
        </w:rPr>
        <w:t>122</w:t>
      </w:r>
      <w:r>
        <w:rPr>
          <w:highlight w:val="none"/>
        </w:rPr>
        <w:fldChar w:fldCharType="end"/>
      </w:r>
      <w:r>
        <w:rPr>
          <w:highlight w:val="none"/>
        </w:rPr>
        <w:fldChar w:fldCharType="end"/>
      </w:r>
    </w:p>
    <w:p w14:paraId="557F8926">
      <w:pPr>
        <w:pStyle w:val="17"/>
        <w:tabs>
          <w:tab w:val="right" w:leader="dot" w:pos="8306"/>
        </w:tabs>
        <w:rPr>
          <w:highlight w:val="none"/>
        </w:rPr>
      </w:pPr>
      <w:r>
        <w:rPr>
          <w:highlight w:val="none"/>
        </w:rPr>
        <w:fldChar w:fldCharType="begin"/>
      </w:r>
      <w:r>
        <w:rPr>
          <w:highlight w:val="none"/>
        </w:rPr>
        <w:instrText xml:space="preserve"> HYPERLINK \l _Toc2477 </w:instrText>
      </w:r>
      <w:r>
        <w:rPr>
          <w:highlight w:val="none"/>
        </w:rPr>
        <w:fldChar w:fldCharType="separate"/>
      </w:r>
      <w:r>
        <w:rPr>
          <w:szCs w:val="23"/>
          <w:highlight w:val="none"/>
        </w:rPr>
        <w:t>（四）</w:t>
      </w:r>
      <w:r>
        <w:rPr>
          <w:rFonts w:hint="eastAsia"/>
          <w:szCs w:val="23"/>
          <w:highlight w:val="none"/>
          <w:lang w:val="en-US" w:eastAsia="zh-CN"/>
        </w:rPr>
        <w:t>项目经理业绩</w:t>
      </w:r>
      <w:r>
        <w:rPr>
          <w:szCs w:val="23"/>
          <w:highlight w:val="none"/>
        </w:rPr>
        <w:t>情况表</w:t>
      </w:r>
      <w:r>
        <w:rPr>
          <w:highlight w:val="none"/>
        </w:rPr>
        <w:tab/>
      </w:r>
      <w:r>
        <w:rPr>
          <w:highlight w:val="none"/>
        </w:rPr>
        <w:fldChar w:fldCharType="begin"/>
      </w:r>
      <w:r>
        <w:rPr>
          <w:highlight w:val="none"/>
        </w:rPr>
        <w:instrText xml:space="preserve"> PAGEREF _Toc2477 \h </w:instrText>
      </w:r>
      <w:r>
        <w:rPr>
          <w:highlight w:val="none"/>
        </w:rPr>
        <w:fldChar w:fldCharType="separate"/>
      </w:r>
      <w:r>
        <w:rPr>
          <w:highlight w:val="none"/>
        </w:rPr>
        <w:t>123</w:t>
      </w:r>
      <w:r>
        <w:rPr>
          <w:highlight w:val="none"/>
        </w:rPr>
        <w:fldChar w:fldCharType="end"/>
      </w:r>
      <w:r>
        <w:rPr>
          <w:highlight w:val="none"/>
        </w:rPr>
        <w:fldChar w:fldCharType="end"/>
      </w:r>
    </w:p>
    <w:p w14:paraId="6D13E909">
      <w:pPr>
        <w:pStyle w:val="17"/>
        <w:tabs>
          <w:tab w:val="right" w:leader="dot" w:pos="8306"/>
        </w:tabs>
        <w:rPr>
          <w:highlight w:val="none"/>
        </w:rPr>
      </w:pPr>
      <w:r>
        <w:rPr>
          <w:highlight w:val="none"/>
        </w:rPr>
        <w:fldChar w:fldCharType="begin"/>
      </w:r>
      <w:r>
        <w:rPr>
          <w:highlight w:val="none"/>
        </w:rPr>
        <w:instrText xml:space="preserve"> HYPERLINK \l _Toc18749 </w:instrText>
      </w:r>
      <w:r>
        <w:rPr>
          <w:highlight w:val="none"/>
        </w:rPr>
        <w:fldChar w:fldCharType="separate"/>
      </w:r>
      <w:r>
        <w:rPr>
          <w:szCs w:val="23"/>
          <w:highlight w:val="none"/>
        </w:rPr>
        <w:t>（五）近年发生的诉讼及仲裁情况</w:t>
      </w:r>
      <w:r>
        <w:rPr>
          <w:highlight w:val="none"/>
        </w:rPr>
        <w:tab/>
      </w:r>
      <w:r>
        <w:rPr>
          <w:highlight w:val="none"/>
        </w:rPr>
        <w:fldChar w:fldCharType="begin"/>
      </w:r>
      <w:r>
        <w:rPr>
          <w:highlight w:val="none"/>
        </w:rPr>
        <w:instrText xml:space="preserve"> PAGEREF _Toc18749 \h </w:instrText>
      </w:r>
      <w:r>
        <w:rPr>
          <w:highlight w:val="none"/>
        </w:rPr>
        <w:fldChar w:fldCharType="separate"/>
      </w:r>
      <w:r>
        <w:rPr>
          <w:highlight w:val="none"/>
        </w:rPr>
        <w:t>125</w:t>
      </w:r>
      <w:r>
        <w:rPr>
          <w:highlight w:val="none"/>
        </w:rPr>
        <w:fldChar w:fldCharType="end"/>
      </w:r>
      <w:r>
        <w:rPr>
          <w:highlight w:val="none"/>
        </w:rPr>
        <w:fldChar w:fldCharType="end"/>
      </w:r>
    </w:p>
    <w:p w14:paraId="562CE4DA">
      <w:pPr>
        <w:pStyle w:val="24"/>
        <w:tabs>
          <w:tab w:val="right" w:leader="dot" w:pos="8306"/>
        </w:tabs>
        <w:rPr>
          <w:highlight w:val="none"/>
        </w:rPr>
      </w:pPr>
      <w:r>
        <w:rPr>
          <w:highlight w:val="none"/>
        </w:rPr>
        <w:fldChar w:fldCharType="begin"/>
      </w:r>
      <w:r>
        <w:rPr>
          <w:highlight w:val="none"/>
        </w:rPr>
        <w:instrText xml:space="preserve"> HYPERLINK \l _Toc4885 </w:instrText>
      </w:r>
      <w:r>
        <w:rPr>
          <w:highlight w:val="none"/>
        </w:rPr>
        <w:fldChar w:fldCharType="separate"/>
      </w:r>
      <w:r>
        <w:rPr>
          <w:rFonts w:hint="eastAsia"/>
          <w:highlight w:val="none"/>
          <w:lang w:val="en-US" w:eastAsia="zh-CN"/>
        </w:rPr>
        <w:t>九</w:t>
      </w:r>
      <w:r>
        <w:rPr>
          <w:highlight w:val="none"/>
        </w:rPr>
        <w:t>、其他材料</w:t>
      </w:r>
      <w:r>
        <w:rPr>
          <w:highlight w:val="none"/>
        </w:rPr>
        <w:tab/>
      </w:r>
      <w:r>
        <w:rPr>
          <w:highlight w:val="none"/>
        </w:rPr>
        <w:fldChar w:fldCharType="begin"/>
      </w:r>
      <w:r>
        <w:rPr>
          <w:highlight w:val="none"/>
        </w:rPr>
        <w:instrText xml:space="preserve"> PAGEREF _Toc4885 \h </w:instrText>
      </w:r>
      <w:r>
        <w:rPr>
          <w:highlight w:val="none"/>
        </w:rPr>
        <w:fldChar w:fldCharType="separate"/>
      </w:r>
      <w:r>
        <w:rPr>
          <w:highlight w:val="none"/>
        </w:rPr>
        <w:t>126</w:t>
      </w:r>
      <w:r>
        <w:rPr>
          <w:highlight w:val="none"/>
        </w:rPr>
        <w:fldChar w:fldCharType="end"/>
      </w:r>
      <w:r>
        <w:rPr>
          <w:highlight w:val="none"/>
        </w:rPr>
        <w:fldChar w:fldCharType="end"/>
      </w:r>
    </w:p>
    <w:p w14:paraId="5EF73909">
      <w:pPr>
        <w:pStyle w:val="24"/>
        <w:tabs>
          <w:tab w:val="right" w:leader="dot" w:pos="8296"/>
        </w:tabs>
        <w:rPr>
          <w:rFonts w:hint="eastAsia"/>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highlight w:val="none"/>
        </w:rPr>
        <w:fldChar w:fldCharType="end"/>
      </w:r>
    </w:p>
    <w:p w14:paraId="31F2BB12">
      <w:pPr>
        <w:rPr>
          <w:rFonts w:hint="eastAsia"/>
          <w:highlight w:val="none"/>
        </w:rPr>
      </w:pPr>
    </w:p>
    <w:p w14:paraId="080959E0">
      <w:pPr>
        <w:topLinePunct/>
        <w:spacing w:line="400" w:lineRule="exact"/>
        <w:ind w:firstLine="420" w:firstLineChars="200"/>
        <w:rPr>
          <w:rFonts w:hint="eastAsia"/>
          <w:szCs w:val="21"/>
          <w:highlight w:val="none"/>
        </w:rPr>
      </w:pPr>
      <w:bookmarkStart w:id="7" w:name="_Toc144974479"/>
      <w:bookmarkStart w:id="8" w:name="_Toc152045511"/>
      <w:bookmarkStart w:id="9" w:name="_Toc152042287"/>
    </w:p>
    <w:p w14:paraId="604870C7">
      <w:pPr>
        <w:topLinePunct/>
        <w:spacing w:line="400" w:lineRule="exact"/>
        <w:ind w:firstLine="420" w:firstLineChars="200"/>
        <w:rPr>
          <w:rFonts w:hint="eastAsia"/>
          <w:szCs w:val="21"/>
          <w:highlight w:val="none"/>
        </w:rPr>
      </w:pPr>
    </w:p>
    <w:p w14:paraId="73CF9728">
      <w:pPr>
        <w:topLinePunct/>
        <w:spacing w:line="400" w:lineRule="exact"/>
        <w:ind w:firstLine="420" w:firstLineChars="200"/>
        <w:rPr>
          <w:rFonts w:hint="eastAsia"/>
          <w:szCs w:val="21"/>
          <w:highlight w:val="none"/>
        </w:rPr>
      </w:pPr>
    </w:p>
    <w:p w14:paraId="1F3621BF">
      <w:pPr>
        <w:topLinePunct/>
        <w:spacing w:line="400" w:lineRule="exact"/>
        <w:ind w:firstLine="420" w:firstLineChars="200"/>
        <w:rPr>
          <w:rFonts w:hint="eastAsia"/>
          <w:szCs w:val="21"/>
          <w:highlight w:val="none"/>
        </w:rPr>
      </w:pPr>
    </w:p>
    <w:p w14:paraId="3C388B63">
      <w:pPr>
        <w:topLinePunct/>
        <w:spacing w:line="400" w:lineRule="exact"/>
        <w:ind w:firstLine="420" w:firstLineChars="200"/>
        <w:rPr>
          <w:rFonts w:hint="eastAsia"/>
          <w:szCs w:val="21"/>
          <w:highlight w:val="none"/>
        </w:rPr>
      </w:pPr>
    </w:p>
    <w:p w14:paraId="0BC073D2">
      <w:pPr>
        <w:topLinePunct/>
        <w:spacing w:line="400" w:lineRule="exact"/>
        <w:ind w:firstLine="420" w:firstLineChars="200"/>
        <w:rPr>
          <w:rFonts w:hint="eastAsia"/>
          <w:szCs w:val="21"/>
          <w:highlight w:val="none"/>
        </w:rPr>
      </w:pPr>
    </w:p>
    <w:p w14:paraId="10B48C37">
      <w:pPr>
        <w:topLinePunct/>
        <w:spacing w:line="400" w:lineRule="exact"/>
        <w:ind w:firstLine="420" w:firstLineChars="200"/>
        <w:rPr>
          <w:rFonts w:hint="eastAsia"/>
          <w:szCs w:val="21"/>
          <w:highlight w:val="none"/>
        </w:rPr>
      </w:pPr>
    </w:p>
    <w:p w14:paraId="3E0011CE">
      <w:pPr>
        <w:topLinePunct/>
        <w:spacing w:line="400" w:lineRule="exact"/>
        <w:ind w:firstLine="420" w:firstLineChars="200"/>
        <w:rPr>
          <w:rFonts w:hint="eastAsia"/>
          <w:szCs w:val="21"/>
          <w:highlight w:val="none"/>
        </w:rPr>
      </w:pPr>
    </w:p>
    <w:p w14:paraId="1299C8C0">
      <w:pPr>
        <w:topLinePunct/>
        <w:spacing w:line="400" w:lineRule="exact"/>
        <w:ind w:firstLine="420" w:firstLineChars="200"/>
        <w:rPr>
          <w:rFonts w:hint="eastAsia"/>
          <w:szCs w:val="21"/>
          <w:highlight w:val="none"/>
        </w:rPr>
      </w:pPr>
    </w:p>
    <w:p w14:paraId="4E531EE2">
      <w:pPr>
        <w:topLinePunct/>
        <w:spacing w:line="400" w:lineRule="exact"/>
        <w:ind w:firstLine="420" w:firstLineChars="200"/>
        <w:rPr>
          <w:rFonts w:hint="eastAsia"/>
          <w:szCs w:val="21"/>
          <w:highlight w:val="none"/>
        </w:rPr>
      </w:pPr>
    </w:p>
    <w:p w14:paraId="244F2809">
      <w:pPr>
        <w:pStyle w:val="3"/>
        <w:spacing w:before="120" w:after="120" w:line="400" w:lineRule="exact"/>
        <w:jc w:val="center"/>
        <w:rPr>
          <w:rFonts w:hint="eastAsia" w:ascii="黑体" w:hAnsi="黑体" w:eastAsia="黑体"/>
          <w:b w:val="0"/>
          <w:bCs w:val="0"/>
          <w:sz w:val="32"/>
          <w:highlight w:val="none"/>
        </w:rPr>
      </w:pPr>
    </w:p>
    <w:p w14:paraId="3224426C">
      <w:pPr>
        <w:pStyle w:val="3"/>
        <w:spacing w:before="120" w:after="120" w:line="400" w:lineRule="exact"/>
        <w:jc w:val="center"/>
        <w:rPr>
          <w:rFonts w:hint="eastAsia" w:ascii="黑体" w:hAnsi="黑体" w:eastAsia="黑体"/>
          <w:b w:val="0"/>
          <w:bCs w:val="0"/>
          <w:sz w:val="32"/>
          <w:highlight w:val="none"/>
        </w:rPr>
      </w:pPr>
    </w:p>
    <w:p w14:paraId="2E37A7DB">
      <w:pPr>
        <w:pStyle w:val="3"/>
        <w:spacing w:before="120" w:after="120" w:line="400" w:lineRule="exact"/>
        <w:jc w:val="center"/>
        <w:rPr>
          <w:rFonts w:hint="eastAsia" w:ascii="黑体" w:hAnsi="黑体" w:eastAsia="黑体"/>
          <w:b w:val="0"/>
          <w:bCs w:val="0"/>
          <w:sz w:val="32"/>
          <w:highlight w:val="none"/>
        </w:rPr>
      </w:pPr>
    </w:p>
    <w:p w14:paraId="6B039CBD">
      <w:pPr>
        <w:pStyle w:val="3"/>
        <w:spacing w:before="120" w:after="120" w:line="400" w:lineRule="exact"/>
        <w:jc w:val="center"/>
        <w:rPr>
          <w:rFonts w:hint="eastAsia" w:ascii="黑体" w:hAnsi="黑体" w:eastAsia="黑体"/>
          <w:b w:val="0"/>
          <w:bCs w:val="0"/>
          <w:sz w:val="32"/>
          <w:highlight w:val="none"/>
        </w:rPr>
      </w:pPr>
      <w:bookmarkStart w:id="10" w:name="_Toc4247"/>
      <w:r>
        <w:rPr>
          <w:rFonts w:hint="eastAsia" w:ascii="黑体" w:hAnsi="黑体" w:eastAsia="黑体"/>
          <w:b w:val="0"/>
          <w:bCs w:val="0"/>
          <w:sz w:val="32"/>
          <w:highlight w:val="none"/>
        </w:rPr>
        <w:t>第一卷</w:t>
      </w:r>
      <w:bookmarkEnd w:id="10"/>
    </w:p>
    <w:p w14:paraId="300B6DB7">
      <w:pPr>
        <w:pStyle w:val="3"/>
        <w:spacing w:before="120" w:after="120" w:line="400" w:lineRule="exact"/>
        <w:jc w:val="center"/>
        <w:rPr>
          <w:rFonts w:hint="eastAsia" w:ascii="黑体" w:hAnsi="黑体" w:eastAsia="黑体"/>
          <w:b w:val="0"/>
          <w:bCs w:val="0"/>
          <w:sz w:val="32"/>
          <w:highlight w:val="none"/>
        </w:rPr>
      </w:pPr>
      <w:r>
        <w:rPr>
          <w:rFonts w:hint="eastAsia" w:ascii="黑体" w:hAnsi="黑体" w:eastAsia="黑体"/>
          <w:b w:val="0"/>
          <w:bCs w:val="0"/>
          <w:sz w:val="32"/>
          <w:highlight w:val="none"/>
        </w:rPr>
        <w:br w:type="page"/>
      </w:r>
      <w:bookmarkStart w:id="11" w:name="_Toc4953"/>
      <w:r>
        <w:rPr>
          <w:rFonts w:hint="eastAsia" w:ascii="黑体" w:hAnsi="黑体" w:eastAsia="黑体"/>
          <w:b w:val="0"/>
          <w:bCs w:val="0"/>
          <w:sz w:val="32"/>
          <w:highlight w:val="none"/>
        </w:rPr>
        <w:t>第一章 招标公告</w:t>
      </w:r>
      <w:bookmarkEnd w:id="7"/>
      <w:bookmarkEnd w:id="8"/>
      <w:bookmarkEnd w:id="9"/>
      <w:bookmarkEnd w:id="11"/>
    </w:p>
    <w:p w14:paraId="453AFB37">
      <w:pPr>
        <w:tabs>
          <w:tab w:val="center" w:pos="4153"/>
        </w:tabs>
        <w:spacing w:line="440" w:lineRule="exact"/>
        <w:rPr>
          <w:rFonts w:hint="eastAsia" w:eastAsia="黑体"/>
          <w:sz w:val="17"/>
          <w:szCs w:val="17"/>
          <w:highlight w:val="none"/>
        </w:rPr>
      </w:pPr>
    </w:p>
    <w:p w14:paraId="3E40E0ED">
      <w:pPr>
        <w:jc w:val="center"/>
        <w:rPr>
          <w:rFonts w:hint="eastAsia" w:ascii="黑体" w:eastAsia="黑体"/>
          <w:sz w:val="28"/>
          <w:szCs w:val="28"/>
          <w:highlight w:val="none"/>
        </w:rPr>
      </w:pPr>
      <w:bookmarkStart w:id="12" w:name="OLE_LINK34"/>
      <w:r>
        <w:rPr>
          <w:rFonts w:hint="eastAsia" w:ascii="黑体" w:eastAsia="黑体"/>
          <w:sz w:val="28"/>
          <w:szCs w:val="28"/>
          <w:highlight w:val="none"/>
          <w:u w:val="single"/>
        </w:rPr>
        <w:t>辽宁省营口市海洋生态保护修复工程项目</w:t>
      </w:r>
      <w:bookmarkEnd w:id="12"/>
      <w:r>
        <w:rPr>
          <w:rFonts w:hint="eastAsia" w:ascii="黑体" w:eastAsia="黑体"/>
          <w:sz w:val="28"/>
          <w:szCs w:val="28"/>
          <w:highlight w:val="none"/>
        </w:rPr>
        <w:t>（项目名称）</w:t>
      </w:r>
    </w:p>
    <w:p w14:paraId="5950654E">
      <w:pPr>
        <w:spacing w:line="440" w:lineRule="exact"/>
        <w:jc w:val="center"/>
        <w:rPr>
          <w:rFonts w:eastAsia="黑体"/>
          <w:sz w:val="28"/>
          <w:szCs w:val="28"/>
          <w:highlight w:val="none"/>
        </w:rPr>
      </w:pPr>
      <w:bookmarkStart w:id="13" w:name="OLE_LINK4"/>
      <w:r>
        <w:rPr>
          <w:rFonts w:hint="eastAsia" w:ascii="黑体" w:eastAsia="黑体"/>
          <w:sz w:val="28"/>
          <w:szCs w:val="28"/>
          <w:highlight w:val="none"/>
          <w:u w:val="single"/>
        </w:rPr>
        <w:t>辽宁省营口市</w:t>
      </w:r>
      <w:bookmarkStart w:id="14" w:name="OLE_LINK38"/>
      <w:r>
        <w:rPr>
          <w:rFonts w:hint="eastAsia" w:ascii="黑体" w:eastAsia="黑体"/>
          <w:sz w:val="28"/>
          <w:szCs w:val="28"/>
          <w:highlight w:val="none"/>
          <w:u w:val="single"/>
        </w:rPr>
        <w:t>海洋生态保护修复工程</w:t>
      </w:r>
      <w:bookmarkEnd w:id="14"/>
      <w:r>
        <w:rPr>
          <w:rFonts w:hint="eastAsia" w:ascii="黑体" w:eastAsia="黑体"/>
          <w:sz w:val="28"/>
          <w:szCs w:val="28"/>
          <w:highlight w:val="none"/>
          <w:u w:val="single"/>
        </w:rPr>
        <w:t>项目施工</w:t>
      </w:r>
      <w:bookmarkEnd w:id="13"/>
      <w:r>
        <w:rPr>
          <w:rFonts w:hint="eastAsia" w:ascii="黑体" w:eastAsia="黑体"/>
          <w:sz w:val="28"/>
          <w:szCs w:val="28"/>
          <w:highlight w:val="none"/>
        </w:rPr>
        <w:t>标段施工招标</w:t>
      </w:r>
      <w:r>
        <w:rPr>
          <w:rFonts w:eastAsia="黑体"/>
          <w:sz w:val="28"/>
          <w:szCs w:val="28"/>
          <w:highlight w:val="none"/>
        </w:rPr>
        <w:t>公告</w:t>
      </w:r>
    </w:p>
    <w:p w14:paraId="0B61333C">
      <w:pPr>
        <w:spacing w:line="440" w:lineRule="exact"/>
        <w:jc w:val="center"/>
        <w:rPr>
          <w:rFonts w:eastAsia="黑体"/>
          <w:sz w:val="20"/>
          <w:szCs w:val="20"/>
          <w:highlight w:val="none"/>
        </w:rPr>
      </w:pPr>
      <w:r>
        <w:rPr>
          <w:rFonts w:eastAsia="黑体"/>
          <w:sz w:val="29"/>
          <w:szCs w:val="29"/>
          <w:highlight w:val="none"/>
        </w:rPr>
        <w:t xml:space="preserve"> </w:t>
      </w:r>
      <w:r>
        <w:rPr>
          <w:rFonts w:eastAsia="黑体"/>
          <w:sz w:val="20"/>
          <w:szCs w:val="20"/>
          <w:highlight w:val="none"/>
        </w:rPr>
        <w:t xml:space="preserve">               </w:t>
      </w:r>
    </w:p>
    <w:p w14:paraId="13D334BF">
      <w:pPr>
        <w:pStyle w:val="46"/>
        <w:rPr>
          <w:highlight w:val="none"/>
        </w:rPr>
      </w:pPr>
      <w:bookmarkStart w:id="15" w:name="_Toc144974480"/>
      <w:bookmarkStart w:id="16" w:name="_Toc152045512"/>
      <w:bookmarkStart w:id="17" w:name="_Toc32133"/>
      <w:bookmarkStart w:id="18" w:name="_Toc152042288"/>
      <w:r>
        <w:rPr>
          <w:highlight w:val="none"/>
        </w:rPr>
        <w:t>1. 招标条件</w:t>
      </w:r>
      <w:bookmarkEnd w:id="15"/>
      <w:bookmarkEnd w:id="16"/>
      <w:bookmarkEnd w:id="17"/>
      <w:bookmarkEnd w:id="18"/>
    </w:p>
    <w:p w14:paraId="1570BB59">
      <w:pPr>
        <w:spacing w:line="400" w:lineRule="exact"/>
        <w:ind w:firstLine="420" w:firstLineChars="200"/>
        <w:rPr>
          <w:rFonts w:hint="eastAsia"/>
          <w:szCs w:val="21"/>
          <w:highlight w:val="none"/>
        </w:rPr>
      </w:pPr>
      <w:r>
        <w:rPr>
          <w:szCs w:val="21"/>
          <w:highlight w:val="none"/>
        </w:rPr>
        <w:t>本招标项目</w:t>
      </w:r>
      <w:r>
        <w:rPr>
          <w:rFonts w:hint="eastAsia"/>
          <w:szCs w:val="21"/>
          <w:highlight w:val="none"/>
          <w:u w:val="single"/>
        </w:rPr>
        <w:t>辽宁省营口市海洋生态保护修复工程项目</w:t>
      </w:r>
      <w:r>
        <w:rPr>
          <w:szCs w:val="21"/>
          <w:highlight w:val="none"/>
        </w:rPr>
        <w:t>已由</w:t>
      </w:r>
      <w:r>
        <w:rPr>
          <w:rFonts w:hint="eastAsia"/>
          <w:szCs w:val="21"/>
          <w:highlight w:val="none"/>
          <w:u w:val="single"/>
          <w:lang w:val="en-US" w:eastAsia="zh-CN"/>
        </w:rPr>
        <w:t>辽宁省自然资源厅</w:t>
      </w:r>
      <w:r>
        <w:rPr>
          <w:szCs w:val="21"/>
          <w:highlight w:val="none"/>
        </w:rPr>
        <w:t>以</w:t>
      </w:r>
      <w:bookmarkStart w:id="19" w:name="OLE_LINK25"/>
      <w:r>
        <w:rPr>
          <w:rFonts w:hint="eastAsia"/>
          <w:szCs w:val="21"/>
          <w:highlight w:val="none"/>
          <w:u w:val="single"/>
        </w:rPr>
        <w:t>辽自然资项〔202</w:t>
      </w:r>
      <w:r>
        <w:rPr>
          <w:rFonts w:hint="eastAsia"/>
          <w:szCs w:val="21"/>
          <w:highlight w:val="none"/>
          <w:u w:val="single"/>
          <w:lang w:val="en-US" w:eastAsia="zh-CN"/>
        </w:rPr>
        <w:t>5</w:t>
      </w:r>
      <w:r>
        <w:rPr>
          <w:rFonts w:hint="eastAsia"/>
          <w:szCs w:val="21"/>
          <w:highlight w:val="none"/>
          <w:u w:val="single"/>
        </w:rPr>
        <w:t>〕4号</w:t>
      </w:r>
      <w:bookmarkEnd w:id="19"/>
      <w:r>
        <w:rPr>
          <w:szCs w:val="21"/>
          <w:highlight w:val="none"/>
        </w:rPr>
        <w:t>批准建设，项目业主为</w:t>
      </w:r>
      <w:bookmarkStart w:id="20" w:name="OLE_LINK2"/>
      <w:r>
        <w:rPr>
          <w:rFonts w:hint="eastAsia"/>
          <w:szCs w:val="21"/>
          <w:highlight w:val="none"/>
          <w:u w:val="single"/>
        </w:rPr>
        <w:t>营口市海洋与渔业局</w:t>
      </w:r>
      <w:bookmarkEnd w:id="20"/>
      <w:r>
        <w:rPr>
          <w:szCs w:val="21"/>
          <w:highlight w:val="none"/>
        </w:rPr>
        <w:t>，建设资金来自</w:t>
      </w:r>
      <w:r>
        <w:rPr>
          <w:rFonts w:hint="eastAsia"/>
          <w:szCs w:val="21"/>
          <w:highlight w:val="none"/>
          <w:u w:val="single"/>
          <w:lang w:val="en-US" w:eastAsia="zh-CN"/>
        </w:rPr>
        <w:t>中央资金和地方财政资金</w:t>
      </w:r>
      <w:r>
        <w:rPr>
          <w:szCs w:val="21"/>
          <w:highlight w:val="none"/>
        </w:rPr>
        <w:t>，项目出资比例为</w:t>
      </w:r>
      <w:r>
        <w:rPr>
          <w:rFonts w:hint="eastAsia"/>
          <w:szCs w:val="21"/>
          <w:highlight w:val="none"/>
          <w:u w:val="single"/>
          <w:lang w:val="en-US" w:eastAsia="zh-CN"/>
        </w:rPr>
        <w:tab/>
      </w:r>
      <w:r>
        <w:rPr>
          <w:szCs w:val="21"/>
          <w:highlight w:val="none"/>
        </w:rPr>
        <w:t>，招标人为</w:t>
      </w:r>
      <w:r>
        <w:rPr>
          <w:rFonts w:hint="eastAsia"/>
          <w:szCs w:val="21"/>
          <w:highlight w:val="none"/>
          <w:u w:val="single"/>
        </w:rPr>
        <w:t>营口市海洋与渔业局</w:t>
      </w:r>
      <w:r>
        <w:rPr>
          <w:szCs w:val="21"/>
          <w:highlight w:val="none"/>
        </w:rPr>
        <w:t>。项目已具备招标条件，现对该项目的施工进行公开招标。</w:t>
      </w:r>
    </w:p>
    <w:p w14:paraId="142E8198">
      <w:pPr>
        <w:pStyle w:val="46"/>
        <w:rPr>
          <w:highlight w:val="none"/>
        </w:rPr>
      </w:pPr>
      <w:bookmarkStart w:id="21" w:name="_Toc152045513"/>
      <w:bookmarkStart w:id="22" w:name="_Toc152042289"/>
      <w:bookmarkStart w:id="23" w:name="_Toc12888"/>
      <w:bookmarkStart w:id="24" w:name="_Toc144974481"/>
      <w:r>
        <w:rPr>
          <w:highlight w:val="none"/>
        </w:rPr>
        <w:t>2. 项目概况与招标范围</w:t>
      </w:r>
      <w:bookmarkEnd w:id="21"/>
      <w:bookmarkEnd w:id="22"/>
      <w:bookmarkEnd w:id="23"/>
      <w:bookmarkEnd w:id="24"/>
    </w:p>
    <w:p w14:paraId="6ABCC535">
      <w:pPr>
        <w:spacing w:line="400" w:lineRule="exact"/>
        <w:rPr>
          <w:rFonts w:hint="eastAsia"/>
          <w:szCs w:val="21"/>
          <w:highlight w:val="none"/>
          <w:u w:val="single"/>
          <w:lang w:val="en-US" w:eastAsia="zh-CN"/>
        </w:rPr>
      </w:pPr>
      <w:r>
        <w:rPr>
          <w:rFonts w:hint="eastAsia"/>
          <w:szCs w:val="21"/>
          <w:highlight w:val="none"/>
          <w:lang w:val="en-US" w:eastAsia="zh-CN"/>
        </w:rPr>
        <w:t>2.1 建设地点：</w:t>
      </w:r>
      <w:bookmarkStart w:id="25" w:name="OLE_LINK40"/>
      <w:bookmarkStart w:id="26" w:name="OLE_LINK31"/>
      <w:r>
        <w:rPr>
          <w:rFonts w:hint="eastAsia"/>
          <w:szCs w:val="21"/>
          <w:highlight w:val="none"/>
          <w:u w:val="single"/>
          <w:lang w:val="en-US" w:eastAsia="zh-CN"/>
        </w:rPr>
        <w:t>大辽河口滨海湿地带保护修复、团山国家级自然保护地生态修复、月亮湾综合治理3个部分，分别位于大辽河口、团山以及月亮湾海域。</w:t>
      </w:r>
      <w:bookmarkEnd w:id="25"/>
    </w:p>
    <w:p w14:paraId="27A2344B">
      <w:pPr>
        <w:spacing w:line="400" w:lineRule="exact"/>
        <w:rPr>
          <w:rFonts w:hint="eastAsia"/>
          <w:szCs w:val="21"/>
          <w:highlight w:val="none"/>
          <w:u w:val="single"/>
          <w:lang w:val="en-US" w:eastAsia="zh-CN"/>
        </w:rPr>
      </w:pPr>
      <w:r>
        <w:rPr>
          <w:rFonts w:hint="eastAsia"/>
          <w:szCs w:val="21"/>
          <w:highlight w:val="none"/>
          <w:u w:val="none"/>
          <w:lang w:val="en-US" w:eastAsia="zh-CN"/>
        </w:rPr>
        <w:t>2.2 建设规模：</w:t>
      </w:r>
      <w:bookmarkStart w:id="27" w:name="OLE_LINK27"/>
      <w:r>
        <w:rPr>
          <w:rFonts w:hint="eastAsia"/>
          <w:szCs w:val="21"/>
          <w:highlight w:val="none"/>
          <w:u w:val="single"/>
          <w:lang w:val="en-US" w:eastAsia="zh-CN"/>
        </w:rPr>
        <w:t>本项目拟完成生态修复总面积 1655.91ha，岸线整治修复长度 2960.90m，砂质岸线整治修复长度 1296m，生态护岸长度 1664.9m，海岸侵蚀防护长度 2960.9m，滨海湿地整治修复面积 1580.79ha，保育修复芦苇/碱蓬面积143.75ha，新种植芦苇/碱蓬面积 139.14ha，底栖生物修复面积 260.91ha，浒苔防治面积 1006.83ha，潮沟疏通面积 25.63ha，海岸湿地修复面积 69.87ha，设置海洋生态状况调查监测站点数量 32，完成海洋生态状况调查≥4 次。</w:t>
      </w:r>
      <w:bookmarkEnd w:id="26"/>
      <w:bookmarkEnd w:id="27"/>
    </w:p>
    <w:p w14:paraId="4E2FD37C">
      <w:pPr>
        <w:spacing w:line="400" w:lineRule="exact"/>
        <w:rPr>
          <w:rFonts w:hint="eastAsia"/>
          <w:szCs w:val="21"/>
          <w:highlight w:val="none"/>
          <w:u w:val="single"/>
          <w:lang w:val="en-US" w:eastAsia="zh-CN"/>
        </w:rPr>
      </w:pPr>
      <w:r>
        <w:rPr>
          <w:rFonts w:hint="eastAsia"/>
          <w:szCs w:val="21"/>
          <w:highlight w:val="none"/>
          <w:u w:val="none"/>
          <w:lang w:val="en-US" w:eastAsia="zh-CN"/>
        </w:rPr>
        <w:t>2.3 计划工期：</w:t>
      </w:r>
      <w:bookmarkStart w:id="28" w:name="OLE_LINK3"/>
      <w:r>
        <w:rPr>
          <w:rFonts w:hint="eastAsia"/>
          <w:szCs w:val="21"/>
          <w:highlight w:val="none"/>
          <w:u w:val="single"/>
          <w:lang w:val="en-US" w:eastAsia="zh-CN"/>
        </w:rPr>
        <w:t>548日历天</w:t>
      </w:r>
      <w:bookmarkEnd w:id="28"/>
      <w:r>
        <w:rPr>
          <w:rFonts w:hint="eastAsia"/>
          <w:szCs w:val="21"/>
          <w:highlight w:val="none"/>
          <w:u w:val="single"/>
          <w:lang w:val="en-US" w:eastAsia="zh-CN"/>
        </w:rPr>
        <w:t>。</w:t>
      </w:r>
    </w:p>
    <w:p w14:paraId="5A464568">
      <w:pPr>
        <w:spacing w:line="400" w:lineRule="exact"/>
        <w:rPr>
          <w:rFonts w:hint="eastAsia"/>
          <w:szCs w:val="21"/>
          <w:highlight w:val="none"/>
          <w:u w:val="single"/>
          <w:lang w:val="en-US" w:eastAsia="zh-CN"/>
        </w:rPr>
      </w:pPr>
      <w:r>
        <w:rPr>
          <w:rFonts w:hint="eastAsia"/>
          <w:szCs w:val="21"/>
          <w:highlight w:val="none"/>
          <w:u w:val="none"/>
          <w:lang w:val="en-US" w:eastAsia="zh-CN"/>
        </w:rPr>
        <w:t>2.4 招标范围：</w:t>
      </w:r>
      <w:bookmarkStart w:id="29" w:name="OLE_LINK8"/>
      <w:r>
        <w:rPr>
          <w:rFonts w:hint="eastAsia"/>
          <w:szCs w:val="21"/>
          <w:highlight w:val="none"/>
          <w:u w:val="single"/>
          <w:lang w:val="en-US" w:eastAsia="zh-CN"/>
        </w:rPr>
        <w:t>辽宁省营口市海洋生态保护修复工程项目施工，具体详见图纸及工程量清单。</w:t>
      </w:r>
      <w:bookmarkEnd w:id="29"/>
    </w:p>
    <w:p w14:paraId="34DCBDEA">
      <w:pPr>
        <w:spacing w:line="400" w:lineRule="exact"/>
        <w:rPr>
          <w:szCs w:val="21"/>
          <w:highlight w:val="none"/>
        </w:rPr>
      </w:pPr>
      <w:r>
        <w:rPr>
          <w:rFonts w:hint="eastAsia"/>
          <w:szCs w:val="21"/>
          <w:highlight w:val="none"/>
          <w:u w:val="none"/>
          <w:lang w:val="en-US" w:eastAsia="zh-CN"/>
        </w:rPr>
        <w:t>2.5 标段划分：</w:t>
      </w:r>
      <w:r>
        <w:rPr>
          <w:rFonts w:hint="eastAsia"/>
          <w:szCs w:val="21"/>
          <w:highlight w:val="none"/>
          <w:u w:val="single"/>
          <w:lang w:val="en-US" w:eastAsia="zh-CN"/>
        </w:rPr>
        <w:t>本次招标共划分1个标段：辽宁省营口市海洋生态保护修复工程项目施工。</w:t>
      </w:r>
    </w:p>
    <w:p w14:paraId="7300A5AB">
      <w:pPr>
        <w:pStyle w:val="46"/>
        <w:rPr>
          <w:highlight w:val="none"/>
        </w:rPr>
      </w:pPr>
      <w:bookmarkStart w:id="30" w:name="_Toc152042290"/>
      <w:bookmarkStart w:id="31" w:name="_Toc6601"/>
      <w:bookmarkStart w:id="32" w:name="_Toc152045514"/>
      <w:bookmarkStart w:id="33" w:name="_Toc144974482"/>
      <w:r>
        <w:rPr>
          <w:highlight w:val="none"/>
        </w:rPr>
        <w:t>3. 投标人资格要求</w:t>
      </w:r>
      <w:bookmarkEnd w:id="30"/>
      <w:bookmarkEnd w:id="31"/>
      <w:bookmarkEnd w:id="32"/>
      <w:bookmarkEnd w:id="33"/>
    </w:p>
    <w:p w14:paraId="306EDF87">
      <w:pPr>
        <w:spacing w:line="400" w:lineRule="exact"/>
        <w:rPr>
          <w:rFonts w:hint="eastAsia"/>
          <w:szCs w:val="21"/>
          <w:highlight w:val="none"/>
          <w:lang w:eastAsia="zh-CN"/>
        </w:rPr>
      </w:pPr>
      <w:r>
        <w:rPr>
          <w:szCs w:val="21"/>
          <w:highlight w:val="none"/>
        </w:rPr>
        <w:t>3.1 本次招标要求</w:t>
      </w:r>
      <w:bookmarkStart w:id="34" w:name="OLE_LINK41"/>
      <w:r>
        <w:rPr>
          <w:szCs w:val="21"/>
          <w:highlight w:val="none"/>
        </w:rPr>
        <w:t>投标人须</w:t>
      </w:r>
      <w:bookmarkStart w:id="35" w:name="OLE_LINK9"/>
      <w:r>
        <w:rPr>
          <w:szCs w:val="21"/>
          <w:highlight w:val="none"/>
        </w:rPr>
        <w:t>具备</w:t>
      </w:r>
      <w:r>
        <w:rPr>
          <w:rFonts w:hint="eastAsia"/>
          <w:szCs w:val="21"/>
          <w:highlight w:val="none"/>
          <w:u w:val="single"/>
        </w:rPr>
        <w:t>建设行政主管部门颁发的</w:t>
      </w:r>
      <w:bookmarkStart w:id="36" w:name="OLE_LINK39"/>
      <w:r>
        <w:rPr>
          <w:rFonts w:hint="eastAsia"/>
          <w:szCs w:val="21"/>
          <w:highlight w:val="none"/>
          <w:u w:val="single"/>
        </w:rPr>
        <w:t>港口与航道工程</w:t>
      </w:r>
      <w:bookmarkEnd w:id="36"/>
      <w:r>
        <w:rPr>
          <w:rFonts w:hint="eastAsia"/>
          <w:szCs w:val="21"/>
          <w:highlight w:val="none"/>
          <w:u w:val="single"/>
        </w:rPr>
        <w:t>施工总承包</w:t>
      </w:r>
      <w:r>
        <w:rPr>
          <w:rFonts w:hint="eastAsia"/>
          <w:szCs w:val="21"/>
          <w:highlight w:val="none"/>
          <w:u w:val="single"/>
          <w:lang w:val="en-US" w:eastAsia="zh-CN"/>
        </w:rPr>
        <w:t>一</w:t>
      </w:r>
      <w:r>
        <w:rPr>
          <w:rFonts w:hint="eastAsia"/>
          <w:szCs w:val="21"/>
          <w:highlight w:val="none"/>
          <w:u w:val="single"/>
        </w:rPr>
        <w:t>级</w:t>
      </w:r>
      <w:r>
        <w:rPr>
          <w:rFonts w:hint="eastAsia"/>
          <w:szCs w:val="21"/>
          <w:highlight w:val="none"/>
          <w:u w:val="single"/>
          <w:lang w:val="en-US" w:eastAsia="zh-CN"/>
        </w:rPr>
        <w:t>及以上</w:t>
      </w:r>
      <w:r>
        <w:rPr>
          <w:szCs w:val="21"/>
          <w:highlight w:val="none"/>
        </w:rPr>
        <w:t>资质</w:t>
      </w:r>
      <w:bookmarkEnd w:id="34"/>
      <w:r>
        <w:rPr>
          <w:rFonts w:hint="eastAsia"/>
          <w:szCs w:val="21"/>
          <w:highlight w:val="none"/>
        </w:rPr>
        <w:t>，具有在中华人民共和国境内合法注册的独立企业法人资格，无在处罚期内</w:t>
      </w:r>
      <w:r>
        <w:rPr>
          <w:rFonts w:hint="eastAsia"/>
          <w:szCs w:val="21"/>
          <w:highlight w:val="none"/>
          <w:lang w:eastAsia="zh-CN"/>
        </w:rPr>
        <w:t>（</w:t>
      </w:r>
      <w:r>
        <w:rPr>
          <w:rFonts w:hint="eastAsia"/>
          <w:szCs w:val="21"/>
          <w:highlight w:val="none"/>
        </w:rPr>
        <w:t>含公示期</w:t>
      </w:r>
      <w:r>
        <w:rPr>
          <w:rFonts w:hint="eastAsia"/>
          <w:szCs w:val="21"/>
          <w:highlight w:val="none"/>
          <w:lang w:eastAsia="zh-CN"/>
        </w:rPr>
        <w:t>）</w:t>
      </w:r>
      <w:r>
        <w:rPr>
          <w:rFonts w:hint="eastAsia"/>
          <w:szCs w:val="21"/>
          <w:highlight w:val="none"/>
        </w:rPr>
        <w:t>的不良行为记录，具备有效的安全生产许可证</w:t>
      </w:r>
      <w:r>
        <w:rPr>
          <w:rFonts w:hint="eastAsia"/>
          <w:szCs w:val="21"/>
          <w:highlight w:val="none"/>
          <w:lang w:eastAsia="zh-CN"/>
        </w:rPr>
        <w:t>，</w:t>
      </w:r>
      <w:r>
        <w:rPr>
          <w:rFonts w:hint="eastAsia"/>
          <w:szCs w:val="21"/>
          <w:highlight w:val="none"/>
        </w:rPr>
        <w:t>并</w:t>
      </w:r>
      <w:r>
        <w:rPr>
          <w:szCs w:val="21"/>
          <w:highlight w:val="none"/>
        </w:rPr>
        <w:t>在人员、设备、资金等方面具有相应的施工能力。</w:t>
      </w:r>
    </w:p>
    <w:p w14:paraId="677820F2">
      <w:pPr>
        <w:spacing w:line="400" w:lineRule="exact"/>
        <w:rPr>
          <w:rFonts w:hint="eastAsia"/>
          <w:szCs w:val="21"/>
          <w:highlight w:val="none"/>
          <w:u w:val="single"/>
        </w:rPr>
      </w:pPr>
      <w:r>
        <w:rPr>
          <w:rFonts w:hint="eastAsia"/>
          <w:szCs w:val="21"/>
          <w:highlight w:val="none"/>
          <w:lang w:val="en-US" w:eastAsia="zh-CN"/>
        </w:rPr>
        <w:t>3.2 项目</w:t>
      </w:r>
      <w:r>
        <w:rPr>
          <w:rFonts w:hint="eastAsia"/>
          <w:szCs w:val="21"/>
          <w:highlight w:val="none"/>
        </w:rPr>
        <w:t>负责人</w:t>
      </w:r>
      <w:r>
        <w:rPr>
          <w:rFonts w:hint="eastAsia"/>
          <w:szCs w:val="21"/>
          <w:highlight w:val="none"/>
          <w:lang w:val="en-US" w:eastAsia="zh-CN"/>
        </w:rPr>
        <w:t>须</w:t>
      </w:r>
      <w:bookmarkStart w:id="37" w:name="OLE_LINK21"/>
      <w:r>
        <w:rPr>
          <w:rFonts w:hint="eastAsia"/>
          <w:szCs w:val="21"/>
          <w:highlight w:val="none"/>
        </w:rPr>
        <w:t>具备</w:t>
      </w:r>
      <w:r>
        <w:rPr>
          <w:rFonts w:hint="eastAsia"/>
          <w:szCs w:val="21"/>
          <w:highlight w:val="none"/>
          <w:u w:val="single"/>
        </w:rPr>
        <w:t>有效的</w:t>
      </w:r>
      <w:bookmarkStart w:id="38" w:name="OLE_LINK35"/>
      <w:r>
        <w:rPr>
          <w:rFonts w:hint="eastAsia"/>
          <w:szCs w:val="21"/>
          <w:highlight w:val="none"/>
          <w:u w:val="single"/>
        </w:rPr>
        <w:t>港口与航道工程</w:t>
      </w:r>
      <w:bookmarkEnd w:id="38"/>
      <w:r>
        <w:rPr>
          <w:rFonts w:hint="eastAsia"/>
          <w:szCs w:val="21"/>
          <w:highlight w:val="none"/>
          <w:u w:val="single"/>
        </w:rPr>
        <w:t>专业一级建造师注册证书及《公路水运工程施工企业主要负责人和安全生产管理人员安全生产考核合格证书》B类证书。</w:t>
      </w:r>
      <w:bookmarkEnd w:id="35"/>
      <w:bookmarkEnd w:id="37"/>
    </w:p>
    <w:p w14:paraId="206A1872">
      <w:pPr>
        <w:spacing w:line="400" w:lineRule="exact"/>
        <w:rPr>
          <w:rFonts w:hint="eastAsia"/>
          <w:szCs w:val="21"/>
          <w:highlight w:val="none"/>
          <w:u w:val="single"/>
        </w:rPr>
      </w:pPr>
      <w:r>
        <w:rPr>
          <w:szCs w:val="21"/>
          <w:highlight w:val="none"/>
        </w:rPr>
        <w:t>3.</w:t>
      </w:r>
      <w:r>
        <w:rPr>
          <w:rFonts w:hint="eastAsia"/>
          <w:szCs w:val="21"/>
          <w:highlight w:val="none"/>
          <w:lang w:val="en-US" w:eastAsia="zh-CN"/>
        </w:rPr>
        <w:t>3</w:t>
      </w:r>
      <w:r>
        <w:rPr>
          <w:szCs w:val="21"/>
          <w:highlight w:val="none"/>
        </w:rPr>
        <w:t xml:space="preserve"> </w:t>
      </w:r>
      <w:r>
        <w:rPr>
          <w:rFonts w:hint="eastAsia"/>
          <w:szCs w:val="21"/>
          <w:highlight w:val="none"/>
        </w:rPr>
        <w:t>截至递交投标文件的截止时间，投标人经“信用中国”网站（</w:t>
      </w:r>
      <w:r>
        <w:rPr>
          <w:rFonts w:hint="eastAsia"/>
          <w:szCs w:val="21"/>
          <w:highlight w:val="none"/>
          <w:lang w:eastAsia="zh-CN"/>
        </w:rPr>
        <w:t>www.creditchina.gov.cn</w:t>
      </w:r>
      <w:r>
        <w:rPr>
          <w:rFonts w:hint="eastAsia"/>
          <w:szCs w:val="21"/>
          <w:highlight w:val="none"/>
        </w:rPr>
        <w:t>）、“中国执行信息公开网”网站（</w:t>
      </w:r>
      <w:r>
        <w:rPr>
          <w:rFonts w:hint="eastAsia"/>
          <w:szCs w:val="21"/>
          <w:highlight w:val="none"/>
          <w:lang w:eastAsia="zh-CN"/>
        </w:rPr>
        <w:t>https://zxgk.court.gov.cn/</w:t>
      </w:r>
      <w:r>
        <w:rPr>
          <w:rFonts w:hint="eastAsia"/>
          <w:szCs w:val="21"/>
          <w:highlight w:val="none"/>
        </w:rPr>
        <w:t>）查询，未被列入失信被执行人名单。</w:t>
      </w:r>
    </w:p>
    <w:p w14:paraId="7239E19F">
      <w:pPr>
        <w:spacing w:line="400" w:lineRule="exact"/>
        <w:rPr>
          <w:szCs w:val="21"/>
          <w:highlight w:val="none"/>
        </w:rPr>
      </w:pPr>
      <w:r>
        <w:rPr>
          <w:szCs w:val="21"/>
          <w:highlight w:val="none"/>
        </w:rPr>
        <w:t>3.</w:t>
      </w:r>
      <w:r>
        <w:rPr>
          <w:rFonts w:hint="eastAsia"/>
          <w:szCs w:val="21"/>
          <w:highlight w:val="none"/>
          <w:lang w:val="en-US" w:eastAsia="zh-CN"/>
        </w:rPr>
        <w:t>4</w:t>
      </w:r>
      <w:r>
        <w:rPr>
          <w:szCs w:val="21"/>
          <w:highlight w:val="none"/>
        </w:rPr>
        <w:t xml:space="preserve"> 本</w:t>
      </w:r>
      <w:r>
        <w:rPr>
          <w:rFonts w:hint="eastAsia"/>
          <w:szCs w:val="21"/>
          <w:highlight w:val="none"/>
        </w:rPr>
        <w:t>次招标</w:t>
      </w:r>
      <w:r>
        <w:rPr>
          <w:rFonts w:hint="eastAsia"/>
          <w:szCs w:val="21"/>
          <w:highlight w:val="none"/>
          <w:u w:val="single"/>
          <w:lang w:val="en-US" w:eastAsia="zh-CN"/>
        </w:rPr>
        <w:t>不接受</w:t>
      </w:r>
      <w:r>
        <w:rPr>
          <w:szCs w:val="21"/>
          <w:highlight w:val="none"/>
        </w:rPr>
        <w:t>联合体投标。</w:t>
      </w:r>
    </w:p>
    <w:p w14:paraId="05A2B9F0">
      <w:pPr>
        <w:pStyle w:val="46"/>
        <w:rPr>
          <w:highlight w:val="none"/>
        </w:rPr>
      </w:pPr>
      <w:bookmarkStart w:id="39" w:name="_Toc29159"/>
      <w:bookmarkStart w:id="40" w:name="_Toc152045515"/>
      <w:bookmarkStart w:id="41" w:name="_Toc144974483"/>
      <w:bookmarkStart w:id="42" w:name="_Toc152042291"/>
      <w:r>
        <w:rPr>
          <w:highlight w:val="none"/>
        </w:rPr>
        <w:t>4. 招标文件的获取</w:t>
      </w:r>
      <w:bookmarkEnd w:id="39"/>
      <w:bookmarkEnd w:id="40"/>
      <w:bookmarkEnd w:id="41"/>
      <w:bookmarkEnd w:id="42"/>
    </w:p>
    <w:p w14:paraId="29F172BA">
      <w:pPr>
        <w:tabs>
          <w:tab w:val="left" w:pos="360"/>
        </w:tabs>
        <w:spacing w:line="400" w:lineRule="exact"/>
        <w:ind w:firstLine="420" w:firstLineChars="200"/>
        <w:rPr>
          <w:szCs w:val="21"/>
          <w:highlight w:val="none"/>
        </w:rPr>
      </w:pPr>
      <w:r>
        <w:rPr>
          <w:szCs w:val="21"/>
          <w:highlight w:val="none"/>
        </w:rPr>
        <w:t>凡有意参加投标者，请于</w:t>
      </w:r>
      <w:r>
        <w:rPr>
          <w:rFonts w:hint="eastAsia"/>
          <w:szCs w:val="21"/>
          <w:highlight w:val="none"/>
          <w:u w:val="single"/>
          <w:lang w:val="en-US" w:eastAsia="zh-CN"/>
        </w:rPr>
        <w:t>2025</w:t>
      </w:r>
      <w:r>
        <w:rPr>
          <w:szCs w:val="21"/>
          <w:highlight w:val="none"/>
        </w:rPr>
        <w:t>年</w:t>
      </w:r>
      <w:r>
        <w:rPr>
          <w:rFonts w:hint="eastAsia"/>
          <w:szCs w:val="21"/>
          <w:highlight w:val="none"/>
          <w:u w:val="single"/>
          <w:lang w:val="en-US" w:eastAsia="zh-CN"/>
        </w:rPr>
        <w:t>XX</w:t>
      </w:r>
      <w:r>
        <w:rPr>
          <w:szCs w:val="21"/>
          <w:highlight w:val="none"/>
        </w:rPr>
        <w:t>月</w:t>
      </w:r>
      <w:r>
        <w:rPr>
          <w:rFonts w:hint="eastAsia"/>
          <w:szCs w:val="21"/>
          <w:highlight w:val="none"/>
          <w:u w:val="single"/>
          <w:lang w:val="en-US" w:eastAsia="zh-CN"/>
        </w:rPr>
        <w:t>XX</w:t>
      </w:r>
      <w:r>
        <w:rPr>
          <w:szCs w:val="21"/>
          <w:highlight w:val="none"/>
        </w:rPr>
        <w:t>日至</w:t>
      </w:r>
      <w:r>
        <w:rPr>
          <w:rFonts w:hint="eastAsia"/>
          <w:szCs w:val="21"/>
          <w:highlight w:val="none"/>
          <w:u w:val="single"/>
          <w:lang w:val="en-US" w:eastAsia="zh-CN"/>
        </w:rPr>
        <w:t>2025</w:t>
      </w:r>
      <w:r>
        <w:rPr>
          <w:szCs w:val="21"/>
          <w:highlight w:val="none"/>
        </w:rPr>
        <w:t>年</w:t>
      </w:r>
      <w:r>
        <w:rPr>
          <w:rFonts w:hint="eastAsia"/>
          <w:szCs w:val="21"/>
          <w:highlight w:val="none"/>
          <w:u w:val="single"/>
          <w:lang w:val="en-US" w:eastAsia="zh-CN"/>
        </w:rPr>
        <w:t>XX</w:t>
      </w:r>
      <w:r>
        <w:rPr>
          <w:szCs w:val="21"/>
          <w:highlight w:val="none"/>
        </w:rPr>
        <w:t>月</w:t>
      </w:r>
      <w:r>
        <w:rPr>
          <w:rFonts w:hint="eastAsia"/>
          <w:szCs w:val="21"/>
          <w:highlight w:val="none"/>
          <w:u w:val="single"/>
          <w:lang w:val="en-US" w:eastAsia="zh-CN"/>
        </w:rPr>
        <w:t>XX</w:t>
      </w:r>
      <w:r>
        <w:rPr>
          <w:szCs w:val="21"/>
          <w:highlight w:val="none"/>
        </w:rPr>
        <w:t>日，</w:t>
      </w:r>
      <w:r>
        <w:rPr>
          <w:rFonts w:hint="eastAsia"/>
          <w:szCs w:val="21"/>
          <w:highlight w:val="none"/>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r>
        <w:rPr>
          <w:szCs w:val="21"/>
          <w:highlight w:val="none"/>
        </w:rPr>
        <w:t xml:space="preserve"> </w:t>
      </w:r>
    </w:p>
    <w:p w14:paraId="30D78011">
      <w:pPr>
        <w:pStyle w:val="46"/>
        <w:rPr>
          <w:highlight w:val="none"/>
        </w:rPr>
      </w:pPr>
      <w:bookmarkStart w:id="43" w:name="_Toc144974484"/>
      <w:bookmarkStart w:id="44" w:name="_Toc152045516"/>
      <w:bookmarkStart w:id="45" w:name="_Toc7596"/>
      <w:bookmarkStart w:id="46" w:name="_Toc152042292"/>
      <w:r>
        <w:rPr>
          <w:highlight w:val="none"/>
        </w:rPr>
        <w:t>5. 投标文件的递交</w:t>
      </w:r>
      <w:bookmarkEnd w:id="43"/>
      <w:bookmarkEnd w:id="44"/>
      <w:bookmarkEnd w:id="45"/>
      <w:bookmarkEnd w:id="46"/>
    </w:p>
    <w:p w14:paraId="72B65B6F">
      <w:pPr>
        <w:spacing w:line="400" w:lineRule="exact"/>
        <w:rPr>
          <w:rFonts w:hint="eastAsia"/>
          <w:szCs w:val="21"/>
          <w:highlight w:val="none"/>
          <w:lang w:eastAsia="zh-CN"/>
        </w:rPr>
      </w:pPr>
      <w:r>
        <w:rPr>
          <w:szCs w:val="21"/>
          <w:highlight w:val="none"/>
        </w:rPr>
        <w:t>5.1</w:t>
      </w:r>
      <w:r>
        <w:rPr>
          <w:rFonts w:hint="eastAsia"/>
          <w:szCs w:val="21"/>
          <w:highlight w:val="none"/>
        </w:rPr>
        <w:t xml:space="preserve"> </w:t>
      </w:r>
      <w:r>
        <w:rPr>
          <w:szCs w:val="21"/>
          <w:highlight w:val="none"/>
        </w:rPr>
        <w:t>投标文件递交的截止时间为</w:t>
      </w:r>
      <w:r>
        <w:rPr>
          <w:rFonts w:hint="eastAsia"/>
          <w:szCs w:val="21"/>
          <w:highlight w:val="none"/>
          <w:u w:val="single"/>
          <w:lang w:val="en-US" w:eastAsia="zh-CN"/>
        </w:rPr>
        <w:t>2025</w:t>
      </w:r>
      <w:r>
        <w:rPr>
          <w:szCs w:val="21"/>
          <w:highlight w:val="none"/>
        </w:rPr>
        <w:t>年</w:t>
      </w:r>
      <w:r>
        <w:rPr>
          <w:rFonts w:hint="eastAsia"/>
          <w:szCs w:val="21"/>
          <w:highlight w:val="none"/>
          <w:u w:val="single"/>
          <w:lang w:val="en-US" w:eastAsia="zh-CN"/>
        </w:rPr>
        <w:t>XX</w:t>
      </w:r>
      <w:r>
        <w:rPr>
          <w:szCs w:val="21"/>
          <w:highlight w:val="none"/>
        </w:rPr>
        <w:t>月</w:t>
      </w:r>
      <w:r>
        <w:rPr>
          <w:rFonts w:hint="eastAsia"/>
          <w:szCs w:val="21"/>
          <w:highlight w:val="none"/>
          <w:u w:val="single"/>
          <w:lang w:val="en-US" w:eastAsia="zh-CN"/>
        </w:rPr>
        <w:t>XX</w:t>
      </w:r>
      <w:r>
        <w:rPr>
          <w:szCs w:val="21"/>
          <w:highlight w:val="none"/>
        </w:rPr>
        <w:t>日</w:t>
      </w:r>
      <w:r>
        <w:rPr>
          <w:rFonts w:hint="eastAsia"/>
          <w:szCs w:val="21"/>
          <w:highlight w:val="none"/>
          <w:u w:val="single"/>
          <w:lang w:val="en-US" w:eastAsia="zh-CN"/>
        </w:rPr>
        <w:t>09</w:t>
      </w:r>
      <w:r>
        <w:rPr>
          <w:szCs w:val="21"/>
          <w:highlight w:val="none"/>
        </w:rPr>
        <w:t>时</w:t>
      </w:r>
      <w:r>
        <w:rPr>
          <w:rFonts w:hint="eastAsia"/>
          <w:szCs w:val="21"/>
          <w:highlight w:val="none"/>
          <w:u w:val="single"/>
          <w:lang w:val="en-US" w:eastAsia="zh-CN"/>
        </w:rPr>
        <w:t>XX</w:t>
      </w:r>
      <w:r>
        <w:rPr>
          <w:szCs w:val="21"/>
          <w:highlight w:val="none"/>
        </w:rPr>
        <w:t>分</w:t>
      </w:r>
      <w:r>
        <w:rPr>
          <w:rFonts w:hint="eastAsia"/>
          <w:szCs w:val="21"/>
          <w:highlight w:val="none"/>
          <w:lang w:eastAsia="zh-CN"/>
        </w:rPr>
        <w:t>（</w:t>
      </w:r>
      <w:r>
        <w:rPr>
          <w:rFonts w:hint="eastAsia"/>
          <w:szCs w:val="21"/>
          <w:highlight w:val="none"/>
          <w:lang w:val="en-US" w:eastAsia="zh-CN"/>
        </w:rPr>
        <w:t>北京时间</w:t>
      </w:r>
      <w:r>
        <w:rPr>
          <w:rFonts w:hint="eastAsia"/>
          <w:szCs w:val="21"/>
          <w:highlight w:val="none"/>
          <w:lang w:eastAsia="zh-CN"/>
        </w:rPr>
        <w:t>）。</w:t>
      </w:r>
    </w:p>
    <w:p w14:paraId="7ABAFB4B">
      <w:pPr>
        <w:spacing w:line="400" w:lineRule="exact"/>
        <w:rPr>
          <w:rFonts w:hint="eastAsia"/>
          <w:szCs w:val="21"/>
          <w:highlight w:val="none"/>
        </w:rPr>
      </w:pPr>
      <w:r>
        <w:rPr>
          <w:rFonts w:hint="eastAsia"/>
          <w:szCs w:val="21"/>
          <w:highlight w:val="none"/>
          <w:lang w:val="en-US" w:eastAsia="zh-CN"/>
        </w:rPr>
        <w:t>5.2</w:t>
      </w:r>
      <w:r>
        <w:rPr>
          <w:rFonts w:hint="eastAsia"/>
          <w:szCs w:val="21"/>
          <w:highlight w:val="none"/>
        </w:rPr>
        <w:t>投标文件递交地址：</w:t>
      </w:r>
      <w:bookmarkStart w:id="47" w:name="OLE_LINK15"/>
      <w:bookmarkStart w:id="48" w:name="OLE_LINK12"/>
      <w:r>
        <w:rPr>
          <w:rFonts w:hint="eastAsia"/>
          <w:szCs w:val="21"/>
          <w:highlight w:val="none"/>
        </w:rPr>
        <w:t>开标方式</w:t>
      </w:r>
      <w:r>
        <w:rPr>
          <w:rFonts w:hint="eastAsia"/>
          <w:szCs w:val="21"/>
          <w:highlight w:val="none"/>
          <w:lang w:val="en-US" w:eastAsia="zh-CN"/>
        </w:rPr>
        <w:t>为</w:t>
      </w:r>
      <w:r>
        <w:rPr>
          <w:rFonts w:hint="eastAsia"/>
          <w:szCs w:val="21"/>
          <w:highlight w:val="none"/>
          <w:u w:val="single"/>
        </w:rPr>
        <w:t>远程开标（不见面交易）</w:t>
      </w:r>
      <w:r>
        <w:rPr>
          <w:rFonts w:hint="eastAsia"/>
          <w:szCs w:val="21"/>
          <w:highlight w:val="none"/>
        </w:rPr>
        <w:t>。在“辽宁省公共资源交易一张网电子化平台（https://www.lnsggzy.com/EpointSSO/login/oauth2login）”上传投标文件。</w:t>
      </w:r>
      <w:bookmarkEnd w:id="47"/>
    </w:p>
    <w:p w14:paraId="6BAD2091">
      <w:pPr>
        <w:spacing w:line="400" w:lineRule="exact"/>
        <w:rPr>
          <w:rFonts w:hint="default" w:eastAsia="宋体"/>
          <w:szCs w:val="21"/>
          <w:highlight w:val="none"/>
          <w:lang w:val="en-US" w:eastAsia="zh-CN"/>
        </w:rPr>
      </w:pPr>
      <w:r>
        <w:rPr>
          <w:rFonts w:hint="eastAsia"/>
          <w:szCs w:val="21"/>
          <w:highlight w:val="none"/>
          <w:lang w:val="en-US" w:eastAsia="zh-CN"/>
        </w:rPr>
        <w:t>5.3 开标网址：</w:t>
      </w:r>
      <w:r>
        <w:rPr>
          <w:rFonts w:hint="eastAsia"/>
          <w:szCs w:val="21"/>
          <w:highlight w:val="none"/>
          <w:u w:val="single"/>
          <w:lang w:val="en-US" w:eastAsia="zh-CN"/>
        </w:rPr>
        <w:t>https://www.lnsggzy.com/BidOpeningHall/bidhall/dqliaoning/login</w:t>
      </w:r>
      <w:r>
        <w:rPr>
          <w:rFonts w:hint="eastAsia"/>
          <w:szCs w:val="21"/>
          <w:highlight w:val="none"/>
          <w:lang w:val="en-US" w:eastAsia="zh-CN"/>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14:paraId="099B711C">
      <w:pPr>
        <w:tabs>
          <w:tab w:val="left" w:pos="360"/>
        </w:tabs>
        <w:spacing w:line="400" w:lineRule="exact"/>
        <w:rPr>
          <w:rFonts w:hint="eastAsia"/>
          <w:szCs w:val="21"/>
          <w:highlight w:val="none"/>
        </w:rPr>
      </w:pPr>
      <w:r>
        <w:rPr>
          <w:szCs w:val="21"/>
          <w:highlight w:val="none"/>
        </w:rPr>
        <w:t>5.</w:t>
      </w:r>
      <w:r>
        <w:rPr>
          <w:rFonts w:hint="eastAsia"/>
          <w:szCs w:val="21"/>
          <w:highlight w:val="none"/>
          <w:lang w:val="en-US" w:eastAsia="zh-CN"/>
        </w:rPr>
        <w:t>4</w:t>
      </w:r>
      <w:r>
        <w:rPr>
          <w:szCs w:val="21"/>
          <w:highlight w:val="none"/>
        </w:rPr>
        <w:t xml:space="preserve"> 逾期</w:t>
      </w:r>
      <w:r>
        <w:rPr>
          <w:rFonts w:hint="eastAsia"/>
          <w:szCs w:val="21"/>
          <w:highlight w:val="none"/>
          <w:lang w:val="en-US" w:eastAsia="zh-CN"/>
        </w:rPr>
        <w:t>上传</w:t>
      </w:r>
      <w:r>
        <w:rPr>
          <w:szCs w:val="21"/>
          <w:highlight w:val="none"/>
        </w:rPr>
        <w:t>的投标文件，招标人不予受理。</w:t>
      </w:r>
      <w:bookmarkEnd w:id="48"/>
    </w:p>
    <w:p w14:paraId="084373A0">
      <w:pPr>
        <w:pStyle w:val="46"/>
        <w:rPr>
          <w:rFonts w:hint="eastAsia"/>
          <w:highlight w:val="none"/>
        </w:rPr>
      </w:pPr>
      <w:bookmarkStart w:id="49" w:name="_Toc157499355"/>
      <w:bookmarkStart w:id="50" w:name="_Toc8118"/>
      <w:r>
        <w:rPr>
          <w:rFonts w:hint="eastAsia"/>
          <w:highlight w:val="none"/>
        </w:rPr>
        <w:t>6. 发布公告的媒介</w:t>
      </w:r>
      <w:bookmarkEnd w:id="49"/>
      <w:bookmarkEnd w:id="50"/>
    </w:p>
    <w:p w14:paraId="4E55B670">
      <w:pPr>
        <w:spacing w:line="400" w:lineRule="exact"/>
        <w:ind w:firstLine="420" w:firstLineChars="200"/>
        <w:rPr>
          <w:rFonts w:hint="eastAsia"/>
          <w:szCs w:val="21"/>
          <w:highlight w:val="none"/>
        </w:rPr>
      </w:pPr>
      <w:r>
        <w:rPr>
          <w:rFonts w:hint="eastAsia"/>
          <w:highlight w:val="none"/>
        </w:rPr>
        <w:t>本次招标公告同时在</w:t>
      </w:r>
      <w:bookmarkStart w:id="51" w:name="OLE_LINK42"/>
      <w:r>
        <w:rPr>
          <w:rFonts w:hint="eastAsia"/>
          <w:highlight w:val="none"/>
          <w:u w:val="single"/>
        </w:rPr>
        <w:t>辽宁省招标投标监管网、辽宁省公共资源交易网</w:t>
      </w:r>
      <w:r>
        <w:rPr>
          <w:rFonts w:hint="eastAsia"/>
          <w:color w:val="auto"/>
          <w:highlight w:val="none"/>
          <w:u w:val="single"/>
          <w:lang w:eastAsia="zh-CN"/>
        </w:rPr>
        <w:t>、</w:t>
      </w:r>
      <w:r>
        <w:rPr>
          <w:rFonts w:hint="eastAsia"/>
          <w:color w:val="auto"/>
          <w:highlight w:val="none"/>
          <w:u w:val="single"/>
          <w:lang w:val="en-US" w:eastAsia="zh-CN"/>
        </w:rPr>
        <w:t>中国招标投标公共服务平台</w:t>
      </w:r>
      <w:r>
        <w:rPr>
          <w:rFonts w:hint="eastAsia"/>
          <w:highlight w:val="none"/>
          <w:u w:val="single"/>
        </w:rPr>
        <w:t>及营口市公共资源交易网</w:t>
      </w:r>
      <w:bookmarkEnd w:id="51"/>
      <w:r>
        <w:rPr>
          <w:rFonts w:hint="eastAsia"/>
          <w:highlight w:val="none"/>
        </w:rPr>
        <w:t>上发布。</w:t>
      </w:r>
    </w:p>
    <w:p w14:paraId="300A7CB1">
      <w:pPr>
        <w:pStyle w:val="46"/>
        <w:rPr>
          <w:highlight w:val="none"/>
        </w:rPr>
      </w:pPr>
      <w:bookmarkStart w:id="52" w:name="_Toc152045517"/>
      <w:bookmarkStart w:id="53" w:name="_Toc144974485"/>
      <w:bookmarkStart w:id="54" w:name="_Toc25721"/>
      <w:bookmarkStart w:id="55" w:name="_Toc152042293"/>
      <w:r>
        <w:rPr>
          <w:rFonts w:hint="eastAsia"/>
          <w:highlight w:val="none"/>
        </w:rPr>
        <w:t>7</w:t>
      </w:r>
      <w:r>
        <w:rPr>
          <w:highlight w:val="none"/>
        </w:rPr>
        <w:t>. 联系方式</w:t>
      </w:r>
      <w:bookmarkEnd w:id="52"/>
      <w:bookmarkEnd w:id="53"/>
      <w:bookmarkEnd w:id="54"/>
      <w:bookmarkEnd w:id="55"/>
    </w:p>
    <w:p w14:paraId="504B3032">
      <w:pPr>
        <w:topLinePunct/>
        <w:spacing w:line="400" w:lineRule="exact"/>
        <w:ind w:firstLine="420" w:firstLineChars="200"/>
        <w:rPr>
          <w:szCs w:val="21"/>
          <w:highlight w:val="none"/>
        </w:rPr>
      </w:pPr>
      <w:r>
        <w:rPr>
          <w:szCs w:val="21"/>
          <w:highlight w:val="none"/>
        </w:rPr>
        <w:t>招 标 人：</w:t>
      </w:r>
      <w:r>
        <w:rPr>
          <w:rFonts w:hint="eastAsia"/>
          <w:szCs w:val="21"/>
          <w:highlight w:val="none"/>
          <w:u w:val="single"/>
          <w:lang w:val="en-US" w:eastAsia="zh-CN"/>
        </w:rPr>
        <w:t xml:space="preserve">  </w:t>
      </w:r>
      <w:bookmarkStart w:id="56" w:name="OLE_LINK5"/>
      <w:r>
        <w:rPr>
          <w:rFonts w:hint="eastAsia"/>
          <w:szCs w:val="21"/>
          <w:highlight w:val="none"/>
          <w:u w:val="single"/>
          <w:lang w:val="en-US" w:eastAsia="zh-CN"/>
        </w:rPr>
        <w:t xml:space="preserve">  </w:t>
      </w:r>
      <w:r>
        <w:rPr>
          <w:rFonts w:hint="eastAsia"/>
          <w:szCs w:val="21"/>
          <w:highlight w:val="none"/>
          <w:u w:val="single"/>
        </w:rPr>
        <w:t>营口市海洋与渔业局</w:t>
      </w:r>
      <w:bookmarkEnd w:id="56"/>
      <w:r>
        <w:rPr>
          <w:szCs w:val="21"/>
          <w:highlight w:val="none"/>
          <w:u w:val="single"/>
        </w:rPr>
        <w:t xml:space="preserve"> </w:t>
      </w:r>
      <w:r>
        <w:rPr>
          <w:rFonts w:hint="eastAsia"/>
          <w:szCs w:val="21"/>
          <w:highlight w:val="none"/>
          <w:u w:val="single"/>
          <w:lang w:val="en-US" w:eastAsia="zh-CN"/>
        </w:rPr>
        <w:t xml:space="preserve">  </w:t>
      </w:r>
      <w:r>
        <w:rPr>
          <w:szCs w:val="21"/>
          <w:highlight w:val="none"/>
        </w:rPr>
        <w:t xml:space="preserve">   招标代理机构：</w:t>
      </w:r>
      <w:r>
        <w:rPr>
          <w:rFonts w:hint="eastAsia"/>
          <w:szCs w:val="21"/>
          <w:highlight w:val="none"/>
          <w:u w:val="single"/>
        </w:rPr>
        <w:t>大连机械设备成套有限公司</w:t>
      </w:r>
      <w:r>
        <w:rPr>
          <w:szCs w:val="21"/>
          <w:highlight w:val="none"/>
          <w:u w:val="single"/>
        </w:rPr>
        <w:t xml:space="preserve">   </w:t>
      </w:r>
    </w:p>
    <w:p w14:paraId="71FAC85B">
      <w:pPr>
        <w:topLinePunct/>
        <w:spacing w:line="400" w:lineRule="exact"/>
        <w:ind w:firstLine="420" w:firstLineChars="200"/>
        <w:rPr>
          <w:rFonts w:hint="eastAsia"/>
          <w:szCs w:val="21"/>
          <w:highlight w:val="none"/>
          <w:u w:val="single"/>
          <w:lang w:eastAsia="zh-CN"/>
        </w:rPr>
      </w:pPr>
      <w:r>
        <w:rPr>
          <w:szCs w:val="21"/>
          <w:highlight w:val="none"/>
        </w:rPr>
        <w:t>地    址：</w:t>
      </w:r>
      <w:bookmarkStart w:id="57" w:name="OLE_LINK43"/>
      <w:r>
        <w:rPr>
          <w:rFonts w:hint="eastAsia"/>
          <w:szCs w:val="21"/>
          <w:highlight w:val="none"/>
          <w:u w:val="single"/>
          <w:lang w:eastAsia="zh-CN"/>
        </w:rPr>
        <w:t>辽宁省营口市站前区富强里</w:t>
      </w:r>
      <w:r>
        <w:rPr>
          <w:rFonts w:hint="eastAsia"/>
          <w:szCs w:val="21"/>
          <w:highlight w:val="none"/>
          <w:u w:val="none"/>
          <w:lang w:val="en-US" w:eastAsia="zh-CN"/>
        </w:rPr>
        <w:t xml:space="preserve">    </w:t>
      </w:r>
      <w:r>
        <w:rPr>
          <w:szCs w:val="21"/>
          <w:highlight w:val="none"/>
        </w:rPr>
        <w:t>地    址：</w:t>
      </w:r>
      <w:r>
        <w:rPr>
          <w:rFonts w:hint="eastAsia"/>
          <w:szCs w:val="21"/>
          <w:highlight w:val="none"/>
          <w:u w:val="single"/>
        </w:rPr>
        <w:t>大连市沙河口区西南路350-2号</w:t>
      </w:r>
    </w:p>
    <w:p w14:paraId="6610951F">
      <w:pPr>
        <w:topLinePunct/>
        <w:spacing w:line="400" w:lineRule="exact"/>
        <w:ind w:firstLine="1470" w:firstLineChars="700"/>
        <w:rPr>
          <w:szCs w:val="21"/>
          <w:highlight w:val="none"/>
        </w:rPr>
      </w:pPr>
      <w:r>
        <w:rPr>
          <w:rFonts w:hint="eastAsia"/>
          <w:szCs w:val="21"/>
          <w:highlight w:val="none"/>
          <w:u w:val="single"/>
          <w:lang w:eastAsia="zh-CN"/>
        </w:rPr>
        <w:t>学府园A4</w:t>
      </w:r>
      <w:bookmarkEnd w:id="57"/>
      <w:r>
        <w:rPr>
          <w:szCs w:val="21"/>
          <w:highlight w:val="none"/>
        </w:rPr>
        <w:t xml:space="preserve"> </w:t>
      </w:r>
      <w:r>
        <w:rPr>
          <w:rFonts w:hint="eastAsia"/>
          <w:szCs w:val="21"/>
          <w:highlight w:val="none"/>
          <w:lang w:val="en-US" w:eastAsia="zh-CN"/>
        </w:rPr>
        <w:t xml:space="preserve">           </w:t>
      </w:r>
    </w:p>
    <w:p w14:paraId="15E1E037">
      <w:pPr>
        <w:topLinePunct/>
        <w:spacing w:line="400" w:lineRule="exact"/>
        <w:ind w:firstLine="420" w:firstLineChars="200"/>
        <w:rPr>
          <w:rFonts w:hint="default" w:eastAsia="宋体"/>
          <w:szCs w:val="21"/>
          <w:highlight w:val="none"/>
          <w:lang w:val="en-US" w:eastAsia="zh-CN"/>
        </w:rPr>
      </w:pPr>
      <w:r>
        <w:rPr>
          <w:szCs w:val="21"/>
          <w:highlight w:val="none"/>
        </w:rPr>
        <w:t>邮    编：</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115004</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rFonts w:hint="eastAsia"/>
          <w:szCs w:val="21"/>
          <w:highlight w:val="none"/>
          <w:u w:val="single"/>
          <w:lang w:val="en-US" w:eastAsia="zh-CN"/>
        </w:rPr>
        <w:t xml:space="preserve"> </w:t>
      </w:r>
      <w:r>
        <w:rPr>
          <w:szCs w:val="21"/>
          <w:highlight w:val="none"/>
        </w:rPr>
        <w:t xml:space="preserve">   邮    编：</w:t>
      </w:r>
      <w:r>
        <w:rPr>
          <w:szCs w:val="21"/>
          <w:highlight w:val="none"/>
          <w:u w:val="single"/>
        </w:rPr>
        <w:t xml:space="preserve">       </w:t>
      </w:r>
      <w:r>
        <w:rPr>
          <w:rFonts w:hint="eastAsia"/>
          <w:szCs w:val="21"/>
          <w:highlight w:val="none"/>
          <w:u w:val="single"/>
          <w:lang w:val="en-US" w:eastAsia="zh-CN"/>
        </w:rPr>
        <w:t xml:space="preserve">    116021</w:t>
      </w:r>
      <w:r>
        <w:rPr>
          <w:szCs w:val="21"/>
          <w:highlight w:val="none"/>
          <w:u w:val="single"/>
        </w:rPr>
        <w:t xml:space="preserve">          </w:t>
      </w:r>
      <w:r>
        <w:rPr>
          <w:rFonts w:hint="eastAsia"/>
          <w:szCs w:val="21"/>
          <w:highlight w:val="none"/>
          <w:u w:val="single"/>
          <w:lang w:val="en-US" w:eastAsia="zh-CN"/>
        </w:rPr>
        <w:t xml:space="preserve">    </w:t>
      </w:r>
    </w:p>
    <w:p w14:paraId="4B0AFBBC">
      <w:pPr>
        <w:topLinePunct/>
        <w:spacing w:line="400" w:lineRule="exact"/>
        <w:ind w:firstLine="420" w:firstLineChars="200"/>
        <w:rPr>
          <w:rFonts w:hint="default" w:eastAsia="宋体"/>
          <w:szCs w:val="21"/>
          <w:highlight w:val="none"/>
          <w:lang w:val="en-US" w:eastAsia="zh-CN"/>
        </w:rPr>
      </w:pPr>
      <w:r>
        <w:rPr>
          <w:szCs w:val="21"/>
          <w:highlight w:val="none"/>
        </w:rPr>
        <w:t>联 系 人：</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雷卓橙</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 xml:space="preserve">   联 系 人：</w:t>
      </w:r>
      <w:r>
        <w:rPr>
          <w:szCs w:val="21"/>
          <w:highlight w:val="none"/>
          <w:u w:val="single"/>
        </w:rPr>
        <w:t xml:space="preserve">   </w:t>
      </w:r>
      <w:r>
        <w:rPr>
          <w:rFonts w:hint="eastAsia"/>
          <w:szCs w:val="21"/>
          <w:highlight w:val="none"/>
          <w:u w:val="single"/>
          <w:lang w:val="en-US" w:eastAsia="zh-CN"/>
        </w:rPr>
        <w:t xml:space="preserve">  </w:t>
      </w:r>
      <w:bookmarkStart w:id="58" w:name="OLE_LINK6"/>
      <w:r>
        <w:rPr>
          <w:rFonts w:hint="eastAsia"/>
          <w:szCs w:val="21"/>
          <w:highlight w:val="none"/>
          <w:u w:val="single"/>
          <w:lang w:val="en-US" w:eastAsia="zh-CN"/>
        </w:rPr>
        <w:t>周拾、唐瑭、张瑞宸</w:t>
      </w:r>
      <w:bookmarkEnd w:id="58"/>
      <w:r>
        <w:rPr>
          <w:szCs w:val="21"/>
          <w:highlight w:val="none"/>
          <w:u w:val="single"/>
        </w:rPr>
        <w:t xml:space="preserve">         </w:t>
      </w:r>
      <w:r>
        <w:rPr>
          <w:rFonts w:hint="eastAsia"/>
          <w:szCs w:val="21"/>
          <w:highlight w:val="none"/>
          <w:u w:val="single"/>
          <w:lang w:val="en-US" w:eastAsia="zh-CN"/>
        </w:rPr>
        <w:t xml:space="preserve">  </w:t>
      </w:r>
    </w:p>
    <w:p w14:paraId="253BA748">
      <w:pPr>
        <w:topLinePunct/>
        <w:spacing w:line="400" w:lineRule="exact"/>
        <w:ind w:firstLine="420" w:firstLineChars="200"/>
        <w:rPr>
          <w:rFonts w:hint="default" w:eastAsia="宋体"/>
          <w:szCs w:val="21"/>
          <w:highlight w:val="none"/>
          <w:lang w:val="en-US" w:eastAsia="zh-CN"/>
        </w:rPr>
      </w:pPr>
      <w:r>
        <w:rPr>
          <w:szCs w:val="21"/>
          <w:highlight w:val="none"/>
        </w:rPr>
        <w:t>电    话：</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0417-</w:t>
      </w:r>
      <w:r>
        <w:rPr>
          <w:rFonts w:hint="eastAsia"/>
          <w:szCs w:val="21"/>
          <w:highlight w:val="none"/>
          <w:u w:val="single"/>
          <w:lang w:eastAsia="zh-CN"/>
        </w:rPr>
        <w:t>2146066</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 xml:space="preserve">   电    话：</w:t>
      </w:r>
      <w:r>
        <w:rPr>
          <w:rFonts w:hint="eastAsia"/>
          <w:szCs w:val="21"/>
          <w:highlight w:val="none"/>
          <w:u w:val="single"/>
          <w:lang w:val="en-US" w:eastAsia="zh-CN"/>
        </w:rPr>
        <w:t xml:space="preserve"> </w:t>
      </w:r>
      <w:bookmarkStart w:id="59" w:name="OLE_LINK7"/>
      <w:r>
        <w:rPr>
          <w:rFonts w:hint="eastAsia"/>
          <w:szCs w:val="21"/>
          <w:highlight w:val="none"/>
          <w:u w:val="single"/>
          <w:lang w:val="en-US" w:eastAsia="zh-CN"/>
        </w:rPr>
        <w:t>0411-83608842-121、122、123</w:t>
      </w:r>
      <w:bookmarkEnd w:id="59"/>
      <w:r>
        <w:rPr>
          <w:szCs w:val="21"/>
          <w:highlight w:val="none"/>
          <w:u w:val="single"/>
        </w:rPr>
        <w:t xml:space="preserve">    </w:t>
      </w:r>
      <w:r>
        <w:rPr>
          <w:rFonts w:hint="eastAsia"/>
          <w:szCs w:val="21"/>
          <w:highlight w:val="none"/>
          <w:u w:val="single"/>
          <w:lang w:val="en-US" w:eastAsia="zh-CN"/>
        </w:rPr>
        <w:t xml:space="preserve">  </w:t>
      </w:r>
    </w:p>
    <w:p w14:paraId="2840FDC3">
      <w:pPr>
        <w:topLinePunct/>
        <w:spacing w:line="400" w:lineRule="exact"/>
        <w:ind w:firstLine="420" w:firstLineChars="200"/>
        <w:rPr>
          <w:rFonts w:hint="default" w:eastAsia="宋体"/>
          <w:szCs w:val="21"/>
          <w:highlight w:val="none"/>
          <w:lang w:val="en-US" w:eastAsia="zh-CN"/>
        </w:rPr>
      </w:pPr>
      <w:r>
        <w:rPr>
          <w:szCs w:val="21"/>
          <w:highlight w:val="none"/>
        </w:rPr>
        <w:t>传    真：</w:t>
      </w:r>
      <w:r>
        <w:rPr>
          <w:szCs w:val="21"/>
          <w:highlight w:val="none"/>
          <w:u w:val="single"/>
        </w:rPr>
        <w:t xml:space="preserve">                         </w:t>
      </w:r>
      <w:r>
        <w:rPr>
          <w:szCs w:val="21"/>
          <w:highlight w:val="none"/>
        </w:rPr>
        <w:t xml:space="preserve">   传    真：</w:t>
      </w:r>
      <w:r>
        <w:rPr>
          <w:szCs w:val="21"/>
          <w:highlight w:val="none"/>
          <w:u w:val="single"/>
        </w:rPr>
        <w:t xml:space="preserve">                        </w:t>
      </w:r>
      <w:r>
        <w:rPr>
          <w:rFonts w:hint="eastAsia"/>
          <w:szCs w:val="21"/>
          <w:highlight w:val="none"/>
          <w:u w:val="single"/>
          <w:lang w:val="en-US" w:eastAsia="zh-CN"/>
        </w:rPr>
        <w:t xml:space="preserve">   </w:t>
      </w:r>
    </w:p>
    <w:p w14:paraId="58A2B3E4">
      <w:pPr>
        <w:topLinePunct/>
        <w:spacing w:line="400" w:lineRule="exact"/>
        <w:ind w:firstLine="420" w:firstLineChars="200"/>
        <w:rPr>
          <w:rFonts w:hint="default" w:eastAsia="宋体"/>
          <w:szCs w:val="21"/>
          <w:highlight w:val="none"/>
          <w:lang w:val="en-US" w:eastAsia="zh-CN"/>
        </w:rPr>
      </w:pPr>
      <w:r>
        <w:rPr>
          <w:szCs w:val="21"/>
          <w:highlight w:val="none"/>
        </w:rPr>
        <w:t>电子邮件：</w:t>
      </w:r>
      <w:r>
        <w:rPr>
          <w:szCs w:val="21"/>
          <w:highlight w:val="none"/>
          <w:u w:val="single"/>
        </w:rPr>
        <w:t xml:space="preserve">                         </w:t>
      </w:r>
      <w:r>
        <w:rPr>
          <w:szCs w:val="21"/>
          <w:highlight w:val="none"/>
        </w:rPr>
        <w:t xml:space="preserve">   电子邮件：</w:t>
      </w:r>
      <w:r>
        <w:rPr>
          <w:rFonts w:hint="eastAsia"/>
          <w:szCs w:val="21"/>
          <w:highlight w:val="none"/>
          <w:u w:val="single"/>
          <w:lang w:val="en-US" w:eastAsia="zh-CN"/>
        </w:rPr>
        <w:t xml:space="preserve">     dljxsbcttt@163.com</w:t>
      </w:r>
      <w:r>
        <w:rPr>
          <w:szCs w:val="21"/>
          <w:highlight w:val="none"/>
          <w:u w:val="single"/>
        </w:rPr>
        <w:t xml:space="preserve">   </w:t>
      </w:r>
      <w:r>
        <w:rPr>
          <w:rFonts w:hint="eastAsia"/>
          <w:szCs w:val="21"/>
          <w:highlight w:val="none"/>
          <w:u w:val="single"/>
          <w:lang w:val="en-US" w:eastAsia="zh-CN"/>
        </w:rPr>
        <w:t xml:space="preserve">      </w:t>
      </w:r>
    </w:p>
    <w:p w14:paraId="04A86923">
      <w:pPr>
        <w:topLinePunct/>
        <w:spacing w:line="400" w:lineRule="exact"/>
        <w:ind w:firstLine="420" w:firstLineChars="200"/>
        <w:rPr>
          <w:szCs w:val="21"/>
          <w:highlight w:val="none"/>
        </w:rPr>
      </w:pPr>
      <w:r>
        <w:rPr>
          <w:szCs w:val="21"/>
          <w:highlight w:val="none"/>
        </w:rPr>
        <w:t>网    址：</w:t>
      </w:r>
      <w:r>
        <w:rPr>
          <w:szCs w:val="21"/>
          <w:highlight w:val="none"/>
          <w:u w:val="single"/>
        </w:rPr>
        <w:t xml:space="preserve">                         </w:t>
      </w:r>
      <w:r>
        <w:rPr>
          <w:szCs w:val="21"/>
          <w:highlight w:val="none"/>
        </w:rPr>
        <w:t xml:space="preserve">   网    址：</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p>
    <w:p w14:paraId="7AD462E2">
      <w:pPr>
        <w:topLinePunct/>
        <w:spacing w:line="400" w:lineRule="exact"/>
        <w:ind w:firstLine="420" w:firstLineChars="200"/>
        <w:rPr>
          <w:rFonts w:hint="eastAsia" w:eastAsia="宋体"/>
          <w:szCs w:val="21"/>
          <w:highlight w:val="none"/>
          <w:lang w:val="en-US" w:eastAsia="zh-CN"/>
        </w:rPr>
      </w:pPr>
      <w:r>
        <w:rPr>
          <w:szCs w:val="21"/>
          <w:highlight w:val="none"/>
        </w:rPr>
        <w:t>开户银行：</w:t>
      </w:r>
      <w:r>
        <w:rPr>
          <w:szCs w:val="21"/>
          <w:highlight w:val="none"/>
          <w:u w:val="single"/>
        </w:rPr>
        <w:t xml:space="preserve">                         </w:t>
      </w:r>
      <w:r>
        <w:rPr>
          <w:szCs w:val="21"/>
          <w:highlight w:val="none"/>
        </w:rPr>
        <w:t xml:space="preserve">   开户银行：</w:t>
      </w:r>
      <w:r>
        <w:rPr>
          <w:rFonts w:hint="eastAsia"/>
          <w:szCs w:val="21"/>
          <w:highlight w:val="none"/>
          <w:u w:val="single"/>
          <w:lang w:val="en-US" w:eastAsia="zh-CN"/>
        </w:rPr>
        <w:t xml:space="preserve">   </w:t>
      </w:r>
      <w:r>
        <w:rPr>
          <w:rFonts w:hint="eastAsia"/>
          <w:szCs w:val="21"/>
          <w:highlight w:val="none"/>
          <w:u w:val="single"/>
        </w:rPr>
        <w:t>招商银行大连沙河口支行</w:t>
      </w:r>
      <w:r>
        <w:rPr>
          <w:szCs w:val="21"/>
          <w:highlight w:val="none"/>
          <w:u w:val="single"/>
        </w:rPr>
        <w:t xml:space="preserve">   </w:t>
      </w:r>
      <w:r>
        <w:rPr>
          <w:rFonts w:hint="eastAsia"/>
          <w:szCs w:val="21"/>
          <w:highlight w:val="none"/>
          <w:u w:val="single"/>
          <w:lang w:val="en-US" w:eastAsia="zh-CN"/>
        </w:rPr>
        <w:t xml:space="preserve"> </w:t>
      </w:r>
    </w:p>
    <w:p w14:paraId="4E007F4F">
      <w:pPr>
        <w:spacing w:line="400" w:lineRule="exact"/>
        <w:ind w:firstLine="420" w:firstLineChars="200"/>
        <w:rPr>
          <w:rFonts w:hint="default" w:eastAsia="宋体"/>
          <w:szCs w:val="21"/>
          <w:highlight w:val="none"/>
          <w:lang w:val="en-US" w:eastAsia="zh-CN"/>
        </w:rPr>
      </w:pPr>
      <w:r>
        <w:rPr>
          <w:rFonts w:hint="eastAsia"/>
          <w:szCs w:val="21"/>
          <w:highlight w:val="none"/>
        </w:rPr>
        <w:t>账</w:t>
      </w:r>
      <w:r>
        <w:rPr>
          <w:szCs w:val="21"/>
          <w:highlight w:val="none"/>
        </w:rPr>
        <w:t xml:space="preserve">    号：</w:t>
      </w:r>
      <w:r>
        <w:rPr>
          <w:szCs w:val="21"/>
          <w:highlight w:val="none"/>
          <w:u w:val="single"/>
        </w:rPr>
        <w:t xml:space="preserve">                         </w:t>
      </w:r>
      <w:r>
        <w:rPr>
          <w:szCs w:val="21"/>
          <w:highlight w:val="none"/>
        </w:rPr>
        <w:t xml:space="preserve">   </w:t>
      </w:r>
      <w:r>
        <w:rPr>
          <w:rFonts w:hint="eastAsia"/>
          <w:szCs w:val="21"/>
          <w:highlight w:val="none"/>
        </w:rPr>
        <w:t>账</w:t>
      </w:r>
      <w:r>
        <w:rPr>
          <w:szCs w:val="21"/>
          <w:highlight w:val="none"/>
        </w:rPr>
        <w:t xml:space="preserve">    号：</w:t>
      </w:r>
      <w:r>
        <w:rPr>
          <w:rFonts w:hint="eastAsia"/>
          <w:szCs w:val="21"/>
          <w:highlight w:val="none"/>
          <w:u w:val="single"/>
          <w:lang w:val="en-US" w:eastAsia="zh-CN"/>
        </w:rPr>
        <w:t xml:space="preserve">     </w:t>
      </w:r>
      <w:r>
        <w:rPr>
          <w:rFonts w:hint="eastAsia"/>
          <w:szCs w:val="21"/>
          <w:highlight w:val="none"/>
          <w:u w:val="single"/>
        </w:rPr>
        <w:t>411 910 958 510 018</w:t>
      </w:r>
      <w:r>
        <w:rPr>
          <w:rFonts w:hint="eastAsia"/>
          <w:szCs w:val="21"/>
          <w:highlight w:val="none"/>
          <w:u w:val="single"/>
          <w:lang w:val="en-US" w:eastAsia="zh-CN"/>
        </w:rPr>
        <w:t xml:space="preserve">        </w:t>
      </w:r>
    </w:p>
    <w:p w14:paraId="7C020B57">
      <w:pPr>
        <w:spacing w:line="400" w:lineRule="exact"/>
        <w:rPr>
          <w:szCs w:val="21"/>
          <w:highlight w:val="none"/>
        </w:rPr>
      </w:pPr>
      <w:r>
        <w:rPr>
          <w:szCs w:val="21"/>
          <w:highlight w:val="none"/>
        </w:rPr>
        <w:t xml:space="preserve">                                             </w:t>
      </w:r>
    </w:p>
    <w:p w14:paraId="24D1BC2A">
      <w:pPr>
        <w:spacing w:line="400" w:lineRule="exact"/>
        <w:rPr>
          <w:szCs w:val="21"/>
          <w:highlight w:val="none"/>
        </w:rPr>
      </w:pPr>
      <w:r>
        <w:rPr>
          <w:szCs w:val="21"/>
          <w:highlight w:val="none"/>
        </w:rPr>
        <w:t xml:space="preserve">                                             </w:t>
      </w:r>
    </w:p>
    <w:p w14:paraId="710641F8">
      <w:pPr>
        <w:spacing w:line="400" w:lineRule="exact"/>
        <w:rPr>
          <w:szCs w:val="21"/>
          <w:highlight w:val="none"/>
        </w:rPr>
      </w:pPr>
      <w:r>
        <w:rPr>
          <w:szCs w:val="21"/>
          <w:highlight w:val="none"/>
        </w:rPr>
        <w:t>　　　　　　　　　　　　　　　　　　　　　　　　　</w:t>
      </w:r>
      <w:r>
        <w:rPr>
          <w:szCs w:val="21"/>
          <w:highlight w:val="none"/>
          <w:u w:val="single"/>
        </w:rPr>
        <w:t xml:space="preserve"> </w:t>
      </w:r>
      <w:r>
        <w:rPr>
          <w:rFonts w:hint="eastAsia"/>
          <w:szCs w:val="21"/>
          <w:highlight w:val="none"/>
          <w:u w:val="single"/>
          <w:lang w:val="en-US" w:eastAsia="zh-CN"/>
        </w:rPr>
        <w:t>2025</w:t>
      </w:r>
      <w:r>
        <w:rPr>
          <w:szCs w:val="21"/>
          <w:highlight w:val="none"/>
          <w:u w:val="single"/>
        </w:rPr>
        <w:t xml:space="preserve"> </w:t>
      </w:r>
      <w:r>
        <w:rPr>
          <w:szCs w:val="21"/>
          <w:highlight w:val="none"/>
        </w:rPr>
        <w:t xml:space="preserve">年 </w:t>
      </w:r>
      <w:r>
        <w:rPr>
          <w:szCs w:val="21"/>
          <w:highlight w:val="none"/>
          <w:u w:val="single"/>
        </w:rPr>
        <w:t xml:space="preserve"> </w:t>
      </w:r>
      <w:r>
        <w:rPr>
          <w:rFonts w:hint="eastAsia"/>
          <w:szCs w:val="21"/>
          <w:highlight w:val="none"/>
          <w:u w:val="single"/>
          <w:lang w:val="en-US" w:eastAsia="zh-CN"/>
        </w:rPr>
        <w:t>XX</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XX</w:t>
      </w:r>
      <w:r>
        <w:rPr>
          <w:szCs w:val="21"/>
          <w:highlight w:val="none"/>
          <w:u w:val="single"/>
        </w:rPr>
        <w:t xml:space="preserve"> </w:t>
      </w:r>
      <w:r>
        <w:rPr>
          <w:szCs w:val="21"/>
          <w:highlight w:val="none"/>
        </w:rPr>
        <w:t>日</w:t>
      </w:r>
    </w:p>
    <w:p w14:paraId="5EF028C0">
      <w:pPr>
        <w:spacing w:line="440" w:lineRule="exact"/>
        <w:rPr>
          <w:rFonts w:hint="eastAsia"/>
          <w:highlight w:val="none"/>
        </w:rPr>
      </w:pPr>
    </w:p>
    <w:p w14:paraId="1CACB1C9">
      <w:pPr>
        <w:pStyle w:val="3"/>
        <w:spacing w:before="120" w:after="120" w:line="400" w:lineRule="exact"/>
        <w:jc w:val="center"/>
        <w:rPr>
          <w:rFonts w:hint="eastAsia" w:ascii="黑体" w:hAnsi="黑体" w:eastAsia="黑体"/>
          <w:b w:val="0"/>
          <w:bCs w:val="0"/>
          <w:sz w:val="32"/>
          <w:highlight w:val="none"/>
        </w:rPr>
      </w:pPr>
      <w:bookmarkStart w:id="60" w:name="_Toc152045527"/>
      <w:bookmarkStart w:id="61" w:name="_Toc144974495"/>
      <w:bookmarkStart w:id="62" w:name="_Toc152042303"/>
      <w:r>
        <w:rPr>
          <w:rFonts w:hint="eastAsia" w:ascii="黑体" w:hAnsi="黑体" w:eastAsia="黑体"/>
          <w:b w:val="0"/>
          <w:bCs w:val="0"/>
          <w:sz w:val="32"/>
          <w:highlight w:val="none"/>
        </w:rPr>
        <w:br w:type="page"/>
      </w:r>
      <w:bookmarkStart w:id="63" w:name="_Toc25786"/>
      <w:r>
        <w:rPr>
          <w:rFonts w:hint="eastAsia" w:ascii="黑体" w:hAnsi="黑体" w:eastAsia="黑体"/>
          <w:b w:val="0"/>
          <w:bCs w:val="0"/>
          <w:sz w:val="32"/>
          <w:highlight w:val="none"/>
        </w:rPr>
        <w:t>第二章 投标人须知</w:t>
      </w:r>
      <w:bookmarkEnd w:id="60"/>
      <w:bookmarkEnd w:id="61"/>
      <w:bookmarkEnd w:id="62"/>
      <w:bookmarkEnd w:id="63"/>
    </w:p>
    <w:p w14:paraId="51897E0C">
      <w:pPr>
        <w:spacing w:line="400" w:lineRule="exact"/>
        <w:rPr>
          <w:highlight w:val="none"/>
        </w:rPr>
      </w:pPr>
    </w:p>
    <w:p w14:paraId="7E1594B0">
      <w:pPr>
        <w:pStyle w:val="46"/>
        <w:rPr>
          <w:rFonts w:hint="eastAsia"/>
          <w:highlight w:val="none"/>
        </w:rPr>
      </w:pPr>
      <w:bookmarkStart w:id="64" w:name="_Toc152042304"/>
      <w:bookmarkStart w:id="65" w:name="_Toc152045528"/>
      <w:bookmarkStart w:id="66" w:name="_Toc144974496"/>
      <w:bookmarkStart w:id="67" w:name="_Toc10954"/>
      <w:r>
        <w:rPr>
          <w:rFonts w:hint="eastAsia"/>
          <w:highlight w:val="none"/>
        </w:rPr>
        <w:t>投标人须知前附表</w:t>
      </w:r>
      <w:bookmarkEnd w:id="64"/>
      <w:bookmarkEnd w:id="65"/>
      <w:bookmarkEnd w:id="66"/>
      <w:bookmarkEnd w:id="67"/>
    </w:p>
    <w:p w14:paraId="0DE53303">
      <w:pPr>
        <w:adjustRightInd w:val="0"/>
        <w:spacing w:line="440" w:lineRule="exact"/>
        <w:textAlignment w:val="baseline"/>
        <w:rPr>
          <w:rFonts w:hint="eastAsia"/>
          <w:highlight w:val="none"/>
        </w:rPr>
      </w:pPr>
    </w:p>
    <w:tbl>
      <w:tblPr>
        <w:tblStyle w:val="29"/>
        <w:tblW w:w="5305" w:type="pct"/>
        <w:tblInd w:w="-243" w:type="dxa"/>
        <w:tblLayout w:type="fixed"/>
        <w:tblCellMar>
          <w:top w:w="0" w:type="dxa"/>
          <w:left w:w="108" w:type="dxa"/>
          <w:bottom w:w="0" w:type="dxa"/>
          <w:right w:w="108" w:type="dxa"/>
        </w:tblCellMar>
      </w:tblPr>
      <w:tblGrid>
        <w:gridCol w:w="857"/>
        <w:gridCol w:w="2132"/>
        <w:gridCol w:w="6053"/>
      </w:tblGrid>
      <w:tr w14:paraId="5CD66440">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3E5223EC">
            <w:pPr>
              <w:spacing w:line="440" w:lineRule="exact"/>
              <w:jc w:val="center"/>
              <w:rPr>
                <w:b/>
                <w:szCs w:val="21"/>
                <w:highlight w:val="none"/>
              </w:rPr>
            </w:pPr>
            <w:r>
              <w:rPr>
                <w:b/>
                <w:szCs w:val="21"/>
                <w:highlight w:val="none"/>
              </w:rPr>
              <w:t>条款号</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0EE2C51E">
            <w:pPr>
              <w:spacing w:line="440" w:lineRule="exact"/>
              <w:jc w:val="center"/>
              <w:rPr>
                <w:b/>
                <w:szCs w:val="21"/>
                <w:highlight w:val="none"/>
              </w:rPr>
            </w:pPr>
            <w:r>
              <w:rPr>
                <w:b/>
                <w:szCs w:val="21"/>
                <w:highlight w:val="none"/>
              </w:rPr>
              <w:t>条  款  名  称</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4CBD35D6">
            <w:pPr>
              <w:spacing w:line="440" w:lineRule="exact"/>
              <w:jc w:val="center"/>
              <w:rPr>
                <w:b/>
                <w:szCs w:val="21"/>
                <w:highlight w:val="none"/>
              </w:rPr>
            </w:pPr>
            <w:r>
              <w:rPr>
                <w:b/>
                <w:szCs w:val="21"/>
                <w:highlight w:val="none"/>
              </w:rPr>
              <w:t>编  列  内  容</w:t>
            </w:r>
          </w:p>
        </w:tc>
      </w:tr>
      <w:tr w14:paraId="7B80C8B4">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541B3EC1">
            <w:pPr>
              <w:spacing w:line="440" w:lineRule="exact"/>
              <w:jc w:val="center"/>
              <w:rPr>
                <w:szCs w:val="21"/>
                <w:highlight w:val="none"/>
              </w:rPr>
            </w:pPr>
            <w:r>
              <w:rPr>
                <w:szCs w:val="21"/>
                <w:highlight w:val="none"/>
              </w:rPr>
              <w:t>1.1.2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AB2ABB5">
            <w:pPr>
              <w:spacing w:line="440" w:lineRule="exact"/>
              <w:jc w:val="center"/>
              <w:rPr>
                <w:szCs w:val="21"/>
                <w:highlight w:val="none"/>
              </w:rPr>
            </w:pPr>
            <w:r>
              <w:rPr>
                <w:szCs w:val="21"/>
                <w:highlight w:val="none"/>
              </w:rPr>
              <w:t>招标人</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62F60A63">
            <w:pPr>
              <w:spacing w:line="440" w:lineRule="exact"/>
              <w:rPr>
                <w:szCs w:val="21"/>
                <w:highlight w:val="none"/>
              </w:rPr>
            </w:pPr>
            <w:r>
              <w:rPr>
                <w:szCs w:val="21"/>
                <w:highlight w:val="none"/>
              </w:rPr>
              <w:t>名称：</w:t>
            </w:r>
            <w:r>
              <w:rPr>
                <w:rFonts w:hint="eastAsia"/>
                <w:szCs w:val="21"/>
                <w:highlight w:val="none"/>
              </w:rPr>
              <w:t>营口市海洋与渔业局</w:t>
            </w:r>
          </w:p>
          <w:p w14:paraId="7730EA2F">
            <w:pPr>
              <w:spacing w:line="440" w:lineRule="exact"/>
              <w:rPr>
                <w:rFonts w:hint="eastAsia" w:eastAsia="宋体"/>
                <w:szCs w:val="21"/>
                <w:highlight w:val="none"/>
                <w:lang w:eastAsia="zh-CN"/>
              </w:rPr>
            </w:pPr>
            <w:r>
              <w:rPr>
                <w:szCs w:val="21"/>
                <w:highlight w:val="none"/>
              </w:rPr>
              <w:t>地址：</w:t>
            </w:r>
            <w:r>
              <w:rPr>
                <w:rFonts w:hint="eastAsia"/>
                <w:szCs w:val="21"/>
                <w:highlight w:val="none"/>
                <w:lang w:eastAsia="zh-CN"/>
              </w:rPr>
              <w:t>辽宁省营口市站前区富强里学府园A4</w:t>
            </w:r>
          </w:p>
          <w:p w14:paraId="12D1F734">
            <w:pPr>
              <w:spacing w:line="440" w:lineRule="exact"/>
              <w:rPr>
                <w:szCs w:val="21"/>
                <w:highlight w:val="none"/>
              </w:rPr>
            </w:pPr>
            <w:r>
              <w:rPr>
                <w:szCs w:val="21"/>
                <w:highlight w:val="none"/>
              </w:rPr>
              <w:t>联系人：</w:t>
            </w:r>
            <w:r>
              <w:rPr>
                <w:rFonts w:hint="eastAsia"/>
                <w:szCs w:val="21"/>
                <w:highlight w:val="none"/>
              </w:rPr>
              <w:t>雷卓橙</w:t>
            </w:r>
          </w:p>
          <w:p w14:paraId="78C92A30">
            <w:pPr>
              <w:spacing w:line="440" w:lineRule="exact"/>
              <w:rPr>
                <w:rFonts w:hint="eastAsia" w:eastAsia="宋体"/>
                <w:szCs w:val="21"/>
                <w:highlight w:val="none"/>
                <w:lang w:eastAsia="zh-CN"/>
              </w:rPr>
            </w:pPr>
            <w:r>
              <w:rPr>
                <w:szCs w:val="21"/>
                <w:highlight w:val="none"/>
              </w:rPr>
              <w:t>电话：</w:t>
            </w:r>
            <w:r>
              <w:rPr>
                <w:rFonts w:hint="eastAsia"/>
                <w:szCs w:val="21"/>
                <w:highlight w:val="none"/>
              </w:rPr>
              <w:t>0417-</w:t>
            </w:r>
            <w:r>
              <w:rPr>
                <w:rFonts w:hint="eastAsia"/>
                <w:szCs w:val="21"/>
                <w:highlight w:val="none"/>
                <w:lang w:eastAsia="zh-CN"/>
              </w:rPr>
              <w:t>2146066</w:t>
            </w:r>
          </w:p>
        </w:tc>
      </w:tr>
      <w:tr w14:paraId="2172D826">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6CBECCEB">
            <w:pPr>
              <w:spacing w:line="440" w:lineRule="exact"/>
              <w:jc w:val="center"/>
              <w:rPr>
                <w:szCs w:val="21"/>
                <w:highlight w:val="none"/>
              </w:rPr>
            </w:pPr>
            <w:r>
              <w:rPr>
                <w:szCs w:val="21"/>
                <w:highlight w:val="none"/>
              </w:rPr>
              <w:t>1.1.3</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763098A6">
            <w:pPr>
              <w:spacing w:line="440" w:lineRule="exact"/>
              <w:jc w:val="center"/>
              <w:rPr>
                <w:szCs w:val="21"/>
                <w:highlight w:val="none"/>
              </w:rPr>
            </w:pPr>
            <w:r>
              <w:rPr>
                <w:szCs w:val="21"/>
                <w:highlight w:val="none"/>
              </w:rPr>
              <w:t>招标代理机构</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1F96FE9A">
            <w:pPr>
              <w:spacing w:line="440" w:lineRule="exact"/>
              <w:rPr>
                <w:szCs w:val="21"/>
                <w:highlight w:val="none"/>
              </w:rPr>
            </w:pPr>
            <w:r>
              <w:rPr>
                <w:szCs w:val="21"/>
                <w:highlight w:val="none"/>
              </w:rPr>
              <w:t>名称：</w:t>
            </w:r>
            <w:r>
              <w:rPr>
                <w:rFonts w:hint="eastAsia"/>
                <w:szCs w:val="21"/>
                <w:highlight w:val="none"/>
              </w:rPr>
              <w:t>大连机械设备成套有限公司</w:t>
            </w:r>
          </w:p>
          <w:p w14:paraId="56CB0E09">
            <w:pPr>
              <w:spacing w:line="440" w:lineRule="exact"/>
              <w:rPr>
                <w:szCs w:val="21"/>
                <w:highlight w:val="none"/>
              </w:rPr>
            </w:pPr>
            <w:r>
              <w:rPr>
                <w:szCs w:val="21"/>
                <w:highlight w:val="none"/>
              </w:rPr>
              <w:t>地址：</w:t>
            </w:r>
            <w:r>
              <w:rPr>
                <w:rFonts w:hint="eastAsia"/>
                <w:szCs w:val="21"/>
                <w:highlight w:val="none"/>
              </w:rPr>
              <w:t>大连市沙河口区西南路350-2号</w:t>
            </w:r>
          </w:p>
          <w:p w14:paraId="2A37EB42">
            <w:pPr>
              <w:spacing w:line="440" w:lineRule="exact"/>
              <w:rPr>
                <w:szCs w:val="21"/>
                <w:highlight w:val="none"/>
              </w:rPr>
            </w:pPr>
            <w:r>
              <w:rPr>
                <w:szCs w:val="21"/>
                <w:highlight w:val="none"/>
              </w:rPr>
              <w:t>联系人：</w:t>
            </w:r>
            <w:r>
              <w:rPr>
                <w:rFonts w:hint="eastAsia"/>
                <w:szCs w:val="21"/>
                <w:highlight w:val="none"/>
              </w:rPr>
              <w:t>周拾、唐瑭、张瑞宸</w:t>
            </w:r>
          </w:p>
          <w:p w14:paraId="47EE4E67">
            <w:pPr>
              <w:spacing w:line="440" w:lineRule="exact"/>
              <w:rPr>
                <w:szCs w:val="21"/>
                <w:highlight w:val="none"/>
              </w:rPr>
            </w:pPr>
            <w:r>
              <w:rPr>
                <w:szCs w:val="21"/>
                <w:highlight w:val="none"/>
              </w:rPr>
              <w:t>电话：</w:t>
            </w:r>
            <w:r>
              <w:rPr>
                <w:rFonts w:hint="eastAsia"/>
                <w:szCs w:val="21"/>
                <w:highlight w:val="none"/>
              </w:rPr>
              <w:t>0411-83608842-121、122、123</w:t>
            </w:r>
          </w:p>
        </w:tc>
      </w:tr>
      <w:tr w14:paraId="07EB221C">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0DB4EA56">
            <w:pPr>
              <w:spacing w:line="440" w:lineRule="exact"/>
              <w:jc w:val="center"/>
              <w:rPr>
                <w:szCs w:val="21"/>
                <w:highlight w:val="none"/>
              </w:rPr>
            </w:pPr>
            <w:r>
              <w:rPr>
                <w:szCs w:val="21"/>
                <w:highlight w:val="none"/>
              </w:rPr>
              <w:t>1.1.4</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7C92B997">
            <w:pPr>
              <w:spacing w:line="440" w:lineRule="exact"/>
              <w:jc w:val="center"/>
              <w:rPr>
                <w:szCs w:val="21"/>
                <w:highlight w:val="none"/>
              </w:rPr>
            </w:pPr>
            <w:r>
              <w:rPr>
                <w:szCs w:val="21"/>
                <w:highlight w:val="none"/>
              </w:rPr>
              <w:t>项目名称</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5258AE3B">
            <w:pPr>
              <w:spacing w:line="440" w:lineRule="exact"/>
              <w:rPr>
                <w:szCs w:val="21"/>
                <w:highlight w:val="none"/>
              </w:rPr>
            </w:pPr>
            <w:r>
              <w:rPr>
                <w:rFonts w:hint="eastAsia"/>
                <w:szCs w:val="21"/>
                <w:highlight w:val="none"/>
              </w:rPr>
              <w:t>辽宁省营口市海洋生态保护修复工程项目</w:t>
            </w:r>
          </w:p>
        </w:tc>
      </w:tr>
      <w:tr w14:paraId="7519A4C5">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5549FC4A">
            <w:pPr>
              <w:spacing w:line="440" w:lineRule="exact"/>
              <w:jc w:val="center"/>
              <w:rPr>
                <w:szCs w:val="21"/>
                <w:highlight w:val="none"/>
              </w:rPr>
            </w:pPr>
            <w:r>
              <w:rPr>
                <w:szCs w:val="21"/>
                <w:highlight w:val="none"/>
              </w:rPr>
              <w:t>1.1.5</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7DB89DF">
            <w:pPr>
              <w:spacing w:line="440" w:lineRule="exact"/>
              <w:jc w:val="center"/>
              <w:rPr>
                <w:szCs w:val="21"/>
                <w:highlight w:val="none"/>
              </w:rPr>
            </w:pPr>
            <w:r>
              <w:rPr>
                <w:szCs w:val="21"/>
                <w:highlight w:val="none"/>
              </w:rPr>
              <w:t>建设地点</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35B1AA23">
            <w:pPr>
              <w:spacing w:line="440" w:lineRule="exact"/>
              <w:rPr>
                <w:szCs w:val="21"/>
                <w:highlight w:val="none"/>
              </w:rPr>
            </w:pPr>
            <w:r>
              <w:rPr>
                <w:rFonts w:hint="eastAsia"/>
                <w:szCs w:val="21"/>
                <w:highlight w:val="none"/>
              </w:rPr>
              <w:t>大辽河口滨海湿地带保护修复、团山国家级自然保护地生态修复、月亮湾综合治理3个部分，分别位于大辽河口、团山以及月亮湾海域。</w:t>
            </w:r>
          </w:p>
        </w:tc>
      </w:tr>
      <w:tr w14:paraId="6B62C228">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577C07FF">
            <w:pPr>
              <w:spacing w:line="440" w:lineRule="exact"/>
              <w:jc w:val="center"/>
              <w:rPr>
                <w:szCs w:val="21"/>
                <w:highlight w:val="none"/>
              </w:rPr>
            </w:pPr>
            <w:r>
              <w:rPr>
                <w:szCs w:val="21"/>
                <w:highlight w:val="none"/>
              </w:rPr>
              <w:t>1.2.1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C2292A6">
            <w:pPr>
              <w:spacing w:line="440" w:lineRule="exact"/>
              <w:jc w:val="center"/>
              <w:rPr>
                <w:szCs w:val="21"/>
                <w:highlight w:val="none"/>
              </w:rPr>
            </w:pPr>
            <w:r>
              <w:rPr>
                <w:szCs w:val="21"/>
                <w:highlight w:val="none"/>
              </w:rPr>
              <w:t>资金来源</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7B9BD867">
            <w:pPr>
              <w:spacing w:line="440" w:lineRule="exact"/>
              <w:rPr>
                <w:szCs w:val="21"/>
                <w:highlight w:val="none"/>
              </w:rPr>
            </w:pPr>
            <w:r>
              <w:rPr>
                <w:rFonts w:hint="eastAsia"/>
                <w:szCs w:val="21"/>
                <w:highlight w:val="none"/>
              </w:rPr>
              <w:t>中央资金和地方财政资金</w:t>
            </w:r>
          </w:p>
        </w:tc>
      </w:tr>
      <w:tr w14:paraId="32824FF1">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03DF44BD">
            <w:pPr>
              <w:spacing w:line="440" w:lineRule="exact"/>
              <w:jc w:val="center"/>
              <w:rPr>
                <w:szCs w:val="21"/>
                <w:highlight w:val="none"/>
              </w:rPr>
            </w:pPr>
            <w:r>
              <w:rPr>
                <w:szCs w:val="21"/>
                <w:highlight w:val="none"/>
              </w:rPr>
              <w:t>1.2.2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795ADDB">
            <w:pPr>
              <w:spacing w:line="440" w:lineRule="exact"/>
              <w:jc w:val="center"/>
              <w:rPr>
                <w:rFonts w:hint="eastAsia"/>
                <w:szCs w:val="21"/>
                <w:highlight w:val="none"/>
              </w:rPr>
            </w:pPr>
            <w:r>
              <w:rPr>
                <w:szCs w:val="21"/>
                <w:highlight w:val="none"/>
              </w:rPr>
              <w:t>出资比例</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3D776803">
            <w:pPr>
              <w:spacing w:line="440" w:lineRule="exact"/>
              <w:rPr>
                <w:rFonts w:hint="default" w:eastAsia="宋体"/>
                <w:szCs w:val="21"/>
                <w:highlight w:val="none"/>
                <w:lang w:val="en-US" w:eastAsia="zh-CN"/>
              </w:rPr>
            </w:pPr>
            <w:r>
              <w:rPr>
                <w:rFonts w:hint="default" w:eastAsia="宋体"/>
                <w:szCs w:val="21"/>
                <w:highlight w:val="none"/>
                <w:lang w:val="en-US" w:eastAsia="zh-CN"/>
              </w:rPr>
              <w:t>中央资金59.79%，地方财政资金（省本级）3.99%，地方财政资金（市本级）36.22%</w:t>
            </w:r>
          </w:p>
        </w:tc>
      </w:tr>
      <w:tr w14:paraId="79D033BC">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7A0BCEB8">
            <w:pPr>
              <w:spacing w:line="440" w:lineRule="exact"/>
              <w:jc w:val="center"/>
              <w:rPr>
                <w:szCs w:val="21"/>
                <w:highlight w:val="none"/>
              </w:rPr>
            </w:pPr>
            <w:r>
              <w:rPr>
                <w:szCs w:val="21"/>
                <w:highlight w:val="none"/>
              </w:rPr>
              <w:t>1.2.3</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60277DE2">
            <w:pPr>
              <w:spacing w:line="440" w:lineRule="exact"/>
              <w:jc w:val="center"/>
              <w:rPr>
                <w:rFonts w:hint="eastAsia"/>
                <w:szCs w:val="21"/>
                <w:highlight w:val="none"/>
              </w:rPr>
            </w:pPr>
            <w:r>
              <w:rPr>
                <w:rFonts w:hint="eastAsia"/>
                <w:szCs w:val="21"/>
                <w:highlight w:val="none"/>
              </w:rPr>
              <w:t>资金</w:t>
            </w:r>
            <w:r>
              <w:rPr>
                <w:szCs w:val="21"/>
                <w:highlight w:val="none"/>
              </w:rPr>
              <w:t>落实情况</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1F2D531D">
            <w:pPr>
              <w:spacing w:line="440" w:lineRule="exact"/>
              <w:rPr>
                <w:rFonts w:hint="default" w:eastAsia="宋体"/>
                <w:szCs w:val="21"/>
                <w:highlight w:val="none"/>
                <w:lang w:val="en-US" w:eastAsia="zh-CN"/>
              </w:rPr>
            </w:pPr>
            <w:r>
              <w:rPr>
                <w:rFonts w:hint="eastAsia"/>
                <w:szCs w:val="21"/>
                <w:highlight w:val="none"/>
                <w:lang w:val="en-US" w:eastAsia="zh-CN"/>
              </w:rPr>
              <w:t>中央资金和地方财政资金，资金已落实。</w:t>
            </w:r>
          </w:p>
        </w:tc>
      </w:tr>
      <w:tr w14:paraId="456D107D">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641A3A36">
            <w:pPr>
              <w:spacing w:line="440" w:lineRule="exact"/>
              <w:jc w:val="center"/>
              <w:rPr>
                <w:szCs w:val="21"/>
                <w:highlight w:val="none"/>
              </w:rPr>
            </w:pPr>
            <w:r>
              <w:rPr>
                <w:szCs w:val="21"/>
                <w:highlight w:val="none"/>
              </w:rPr>
              <w:t>1.</w:t>
            </w:r>
            <w:r>
              <w:rPr>
                <w:rFonts w:hint="eastAsia"/>
                <w:szCs w:val="21"/>
                <w:highlight w:val="none"/>
              </w:rPr>
              <w:t>3</w:t>
            </w:r>
            <w:r>
              <w:rPr>
                <w:szCs w:val="21"/>
                <w:highlight w:val="none"/>
              </w:rPr>
              <w:t>.1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19627ACD">
            <w:pPr>
              <w:spacing w:line="440" w:lineRule="exact"/>
              <w:jc w:val="center"/>
              <w:rPr>
                <w:szCs w:val="21"/>
                <w:highlight w:val="none"/>
              </w:rPr>
            </w:pPr>
            <w:r>
              <w:rPr>
                <w:szCs w:val="21"/>
                <w:highlight w:val="none"/>
              </w:rPr>
              <w:t>招标范围</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42B708FC">
            <w:pPr>
              <w:spacing w:line="440" w:lineRule="exact"/>
              <w:rPr>
                <w:szCs w:val="21"/>
                <w:highlight w:val="none"/>
              </w:rPr>
            </w:pPr>
            <w:r>
              <w:rPr>
                <w:rFonts w:hint="eastAsia"/>
                <w:szCs w:val="21"/>
                <w:highlight w:val="none"/>
              </w:rPr>
              <w:t>辽宁省营口市海洋生态保护修复工程项目施工，具体详见图纸及工程量清单。</w:t>
            </w:r>
          </w:p>
        </w:tc>
      </w:tr>
      <w:tr w14:paraId="24335125">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05F6B968">
            <w:pPr>
              <w:spacing w:line="440" w:lineRule="exact"/>
              <w:jc w:val="center"/>
              <w:rPr>
                <w:szCs w:val="21"/>
                <w:highlight w:val="none"/>
              </w:rPr>
            </w:pPr>
            <w:r>
              <w:rPr>
                <w:szCs w:val="21"/>
                <w:highlight w:val="none"/>
              </w:rPr>
              <w:t>1.3.2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244FF413">
            <w:pPr>
              <w:spacing w:line="440" w:lineRule="exact"/>
              <w:jc w:val="center"/>
              <w:rPr>
                <w:szCs w:val="21"/>
                <w:highlight w:val="none"/>
              </w:rPr>
            </w:pPr>
            <w:r>
              <w:rPr>
                <w:szCs w:val="21"/>
                <w:highlight w:val="none"/>
              </w:rPr>
              <w:t>计划工期</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0BE395A0">
            <w:pPr>
              <w:spacing w:line="440" w:lineRule="exact"/>
              <w:rPr>
                <w:szCs w:val="21"/>
                <w:highlight w:val="none"/>
              </w:rPr>
            </w:pPr>
            <w:r>
              <w:rPr>
                <w:szCs w:val="21"/>
                <w:highlight w:val="none"/>
              </w:rPr>
              <w:t>计划工期：</w:t>
            </w:r>
            <w:r>
              <w:rPr>
                <w:szCs w:val="21"/>
                <w:highlight w:val="none"/>
                <w:u w:val="single"/>
              </w:rPr>
              <w:t xml:space="preserve"> </w:t>
            </w:r>
            <w:r>
              <w:rPr>
                <w:rFonts w:hint="eastAsia"/>
                <w:szCs w:val="21"/>
                <w:highlight w:val="none"/>
                <w:u w:val="single"/>
                <w:lang w:val="en-US" w:eastAsia="zh-CN"/>
              </w:rPr>
              <w:t>548</w:t>
            </w:r>
            <w:r>
              <w:rPr>
                <w:szCs w:val="21"/>
                <w:highlight w:val="none"/>
                <w:u w:val="single"/>
              </w:rPr>
              <w:t xml:space="preserve"> </w:t>
            </w:r>
            <w:r>
              <w:rPr>
                <w:szCs w:val="21"/>
                <w:highlight w:val="none"/>
              </w:rPr>
              <w:t>日历天</w:t>
            </w:r>
          </w:p>
          <w:p w14:paraId="6DDC7D07">
            <w:pPr>
              <w:spacing w:line="440" w:lineRule="exact"/>
              <w:rPr>
                <w:szCs w:val="21"/>
                <w:highlight w:val="none"/>
              </w:rPr>
            </w:pPr>
            <w:r>
              <w:rPr>
                <w:szCs w:val="21"/>
                <w:highlight w:val="none"/>
              </w:rPr>
              <w:t>计划开工日期：</w:t>
            </w:r>
            <w:r>
              <w:rPr>
                <w:szCs w:val="21"/>
                <w:highlight w:val="none"/>
                <w:u w:val="single"/>
              </w:rPr>
              <w:t xml:space="preserve"> </w:t>
            </w:r>
            <w:r>
              <w:rPr>
                <w:rFonts w:hint="eastAsia"/>
                <w:szCs w:val="21"/>
                <w:highlight w:val="none"/>
                <w:u w:val="single"/>
                <w:lang w:val="en-US" w:eastAsia="zh-CN"/>
              </w:rPr>
              <w:t>2025</w:t>
            </w:r>
            <w:r>
              <w:rPr>
                <w:szCs w:val="21"/>
                <w:highlight w:val="none"/>
                <w:u w:val="single"/>
              </w:rPr>
              <w:t xml:space="preserve"> </w:t>
            </w:r>
            <w:r>
              <w:rPr>
                <w:szCs w:val="21"/>
                <w:highlight w:val="none"/>
              </w:rPr>
              <w:t xml:space="preserve">年 </w:t>
            </w:r>
            <w:r>
              <w:rPr>
                <w:szCs w:val="21"/>
                <w:highlight w:val="none"/>
                <w:u w:val="single"/>
              </w:rPr>
              <w:t xml:space="preserve"> </w:t>
            </w:r>
            <w:r>
              <w:rPr>
                <w:rFonts w:hint="eastAsia"/>
                <w:szCs w:val="21"/>
                <w:highlight w:val="none"/>
                <w:u w:val="single"/>
                <w:lang w:val="en-US" w:eastAsia="zh-CN"/>
              </w:rPr>
              <w:t>03</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31</w:t>
            </w:r>
            <w:r>
              <w:rPr>
                <w:szCs w:val="21"/>
                <w:highlight w:val="none"/>
                <w:u w:val="single"/>
              </w:rPr>
              <w:t xml:space="preserve"> </w:t>
            </w:r>
            <w:r>
              <w:rPr>
                <w:szCs w:val="21"/>
                <w:highlight w:val="none"/>
              </w:rPr>
              <w:t>日</w:t>
            </w:r>
          </w:p>
          <w:p w14:paraId="1DDBE59A">
            <w:pPr>
              <w:spacing w:line="440" w:lineRule="exact"/>
              <w:rPr>
                <w:szCs w:val="21"/>
                <w:highlight w:val="none"/>
              </w:rPr>
            </w:pPr>
            <w:r>
              <w:rPr>
                <w:szCs w:val="21"/>
                <w:highlight w:val="none"/>
              </w:rPr>
              <w:t>计划</w:t>
            </w:r>
            <w:r>
              <w:rPr>
                <w:rFonts w:hint="eastAsia"/>
                <w:highlight w:val="none"/>
              </w:rPr>
              <w:t>竣工</w:t>
            </w:r>
            <w:r>
              <w:rPr>
                <w:szCs w:val="21"/>
                <w:highlight w:val="none"/>
              </w:rPr>
              <w:t>日期：</w:t>
            </w:r>
            <w:r>
              <w:rPr>
                <w:szCs w:val="21"/>
                <w:highlight w:val="none"/>
                <w:u w:val="single"/>
              </w:rPr>
              <w:t xml:space="preserve"> </w:t>
            </w:r>
            <w:r>
              <w:rPr>
                <w:rFonts w:hint="eastAsia"/>
                <w:szCs w:val="21"/>
                <w:highlight w:val="none"/>
                <w:u w:val="single"/>
                <w:lang w:val="en-US" w:eastAsia="zh-CN"/>
              </w:rPr>
              <w:t>2026</w:t>
            </w:r>
            <w:r>
              <w:rPr>
                <w:szCs w:val="21"/>
                <w:highlight w:val="none"/>
                <w:u w:val="single"/>
              </w:rPr>
              <w:t xml:space="preserve"> </w:t>
            </w:r>
            <w:r>
              <w:rPr>
                <w:szCs w:val="21"/>
                <w:highlight w:val="none"/>
              </w:rPr>
              <w:t xml:space="preserve">年 </w:t>
            </w:r>
            <w:r>
              <w:rPr>
                <w:szCs w:val="21"/>
                <w:highlight w:val="none"/>
                <w:u w:val="single"/>
              </w:rPr>
              <w:t xml:space="preserve"> </w:t>
            </w:r>
            <w:r>
              <w:rPr>
                <w:rFonts w:hint="eastAsia"/>
                <w:szCs w:val="21"/>
                <w:highlight w:val="none"/>
                <w:u w:val="single"/>
                <w:lang w:val="en-US" w:eastAsia="zh-CN"/>
              </w:rPr>
              <w:t>09</w:t>
            </w:r>
            <w:r>
              <w:rPr>
                <w:szCs w:val="21"/>
                <w:highlight w:val="none"/>
              </w:rPr>
              <w:t>月</w:t>
            </w:r>
            <w:r>
              <w:rPr>
                <w:szCs w:val="21"/>
                <w:highlight w:val="none"/>
                <w:u w:val="single"/>
              </w:rPr>
              <w:t xml:space="preserve"> </w:t>
            </w:r>
            <w:r>
              <w:rPr>
                <w:rFonts w:hint="eastAsia"/>
                <w:szCs w:val="21"/>
                <w:highlight w:val="none"/>
                <w:u w:val="single"/>
                <w:lang w:val="en-US" w:eastAsia="zh-CN"/>
              </w:rPr>
              <w:t>30</w:t>
            </w:r>
            <w:r>
              <w:rPr>
                <w:szCs w:val="21"/>
                <w:highlight w:val="none"/>
                <w:u w:val="single"/>
              </w:rPr>
              <w:t xml:space="preserve"> </w:t>
            </w:r>
            <w:r>
              <w:rPr>
                <w:szCs w:val="21"/>
                <w:highlight w:val="none"/>
              </w:rPr>
              <w:t>日</w:t>
            </w:r>
          </w:p>
        </w:tc>
      </w:tr>
      <w:tr w14:paraId="322CD5F1">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4122C67D">
            <w:pPr>
              <w:spacing w:line="440" w:lineRule="exact"/>
              <w:jc w:val="center"/>
              <w:rPr>
                <w:szCs w:val="21"/>
                <w:highlight w:val="none"/>
              </w:rPr>
            </w:pPr>
            <w:r>
              <w:rPr>
                <w:szCs w:val="21"/>
                <w:highlight w:val="none"/>
              </w:rPr>
              <w:t>1.3.3</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A24A342">
            <w:pPr>
              <w:spacing w:line="440" w:lineRule="exact"/>
              <w:jc w:val="center"/>
              <w:rPr>
                <w:szCs w:val="21"/>
                <w:highlight w:val="none"/>
              </w:rPr>
            </w:pPr>
            <w:r>
              <w:rPr>
                <w:szCs w:val="21"/>
                <w:highlight w:val="none"/>
              </w:rPr>
              <w:t>质量要求</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6DABEE8F">
            <w:pPr>
              <w:spacing w:line="440" w:lineRule="exact"/>
              <w:rPr>
                <w:szCs w:val="21"/>
                <w:highlight w:val="none"/>
              </w:rPr>
            </w:pPr>
            <w:r>
              <w:rPr>
                <w:rFonts w:hint="eastAsia"/>
                <w:szCs w:val="21"/>
                <w:highlight w:val="none"/>
              </w:rPr>
              <w:t>合格</w:t>
            </w:r>
          </w:p>
        </w:tc>
      </w:tr>
      <w:tr w14:paraId="2E10E23C">
        <w:tblPrEx>
          <w:tblCellMar>
            <w:top w:w="0" w:type="dxa"/>
            <w:left w:w="108" w:type="dxa"/>
            <w:bottom w:w="0" w:type="dxa"/>
            <w:right w:w="108" w:type="dxa"/>
          </w:tblCellMar>
        </w:tblPrEx>
        <w:trPr>
          <w:trHeight w:val="90" w:hRule="atLeast"/>
        </w:trPr>
        <w:tc>
          <w:tcPr>
            <w:tcW w:w="473" w:type="pct"/>
            <w:tcBorders>
              <w:top w:val="single" w:color="auto" w:sz="4" w:space="0"/>
              <w:left w:val="single" w:color="auto" w:sz="4" w:space="0"/>
              <w:bottom w:val="single" w:color="auto" w:sz="4" w:space="0"/>
              <w:right w:val="single" w:color="auto" w:sz="4" w:space="0"/>
            </w:tcBorders>
            <w:noWrap w:val="0"/>
            <w:vAlign w:val="center"/>
          </w:tcPr>
          <w:p w14:paraId="0AD6D894">
            <w:pPr>
              <w:spacing w:line="440" w:lineRule="exact"/>
              <w:jc w:val="center"/>
              <w:rPr>
                <w:szCs w:val="21"/>
                <w:highlight w:val="none"/>
              </w:rPr>
            </w:pPr>
            <w:r>
              <w:rPr>
                <w:szCs w:val="21"/>
                <w:highlight w:val="none"/>
              </w:rPr>
              <w:t>1.4.1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833095A">
            <w:pPr>
              <w:spacing w:line="440" w:lineRule="exact"/>
              <w:jc w:val="center"/>
              <w:rPr>
                <w:color w:val="auto"/>
                <w:szCs w:val="21"/>
                <w:highlight w:val="none"/>
              </w:rPr>
            </w:pPr>
            <w:r>
              <w:rPr>
                <w:color w:val="auto"/>
                <w:szCs w:val="21"/>
                <w:highlight w:val="none"/>
              </w:rPr>
              <w:t>投标人资质条件、能力和信誉</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2D4CFDDE">
            <w:pPr>
              <w:spacing w:line="400" w:lineRule="exact"/>
              <w:rPr>
                <w:rFonts w:hint="eastAsia"/>
                <w:color w:val="auto"/>
                <w:szCs w:val="21"/>
                <w:highlight w:val="none"/>
                <w:lang w:eastAsia="zh-CN"/>
              </w:rPr>
            </w:pPr>
            <w:r>
              <w:rPr>
                <w:rFonts w:hint="eastAsia"/>
                <w:color w:val="auto"/>
                <w:szCs w:val="21"/>
                <w:highlight w:val="none"/>
                <w:lang w:val="en-US" w:eastAsia="zh-CN"/>
              </w:rPr>
              <w:t>①</w:t>
            </w:r>
            <w:r>
              <w:rPr>
                <w:color w:val="auto"/>
                <w:szCs w:val="21"/>
                <w:highlight w:val="none"/>
              </w:rPr>
              <w:t>本次招标要求投标人须具备</w:t>
            </w:r>
            <w:r>
              <w:rPr>
                <w:rFonts w:hint="eastAsia"/>
                <w:color w:val="auto"/>
                <w:szCs w:val="21"/>
                <w:highlight w:val="none"/>
                <w:u w:val="single"/>
              </w:rPr>
              <w:t>建设行政主管部门颁发的港口与航道工程施工总承包</w:t>
            </w:r>
            <w:r>
              <w:rPr>
                <w:rFonts w:hint="eastAsia"/>
                <w:color w:val="auto"/>
                <w:szCs w:val="21"/>
                <w:highlight w:val="none"/>
                <w:u w:val="single"/>
                <w:lang w:val="en-US" w:eastAsia="zh-CN"/>
              </w:rPr>
              <w:t>一</w:t>
            </w:r>
            <w:r>
              <w:rPr>
                <w:rFonts w:hint="eastAsia"/>
                <w:color w:val="auto"/>
                <w:szCs w:val="21"/>
                <w:highlight w:val="none"/>
                <w:u w:val="single"/>
              </w:rPr>
              <w:t>级</w:t>
            </w:r>
            <w:r>
              <w:rPr>
                <w:rFonts w:hint="eastAsia"/>
                <w:color w:val="auto"/>
                <w:szCs w:val="21"/>
                <w:highlight w:val="none"/>
                <w:u w:val="single"/>
                <w:lang w:val="en-US" w:eastAsia="zh-CN"/>
              </w:rPr>
              <w:t>及以上</w:t>
            </w:r>
            <w:r>
              <w:rPr>
                <w:color w:val="auto"/>
                <w:szCs w:val="21"/>
                <w:highlight w:val="none"/>
              </w:rPr>
              <w:t>资质</w:t>
            </w:r>
            <w:r>
              <w:rPr>
                <w:rFonts w:hint="eastAsia"/>
                <w:color w:val="auto"/>
                <w:szCs w:val="21"/>
                <w:highlight w:val="none"/>
              </w:rPr>
              <w:t>，具有在中华人民共和国境内合法注册的独立企业法人资格，无在处罚期内</w:t>
            </w:r>
            <w:r>
              <w:rPr>
                <w:rFonts w:hint="eastAsia"/>
                <w:color w:val="auto"/>
                <w:szCs w:val="21"/>
                <w:highlight w:val="none"/>
                <w:lang w:eastAsia="zh-CN"/>
              </w:rPr>
              <w:t>（</w:t>
            </w:r>
            <w:r>
              <w:rPr>
                <w:rFonts w:hint="eastAsia"/>
                <w:color w:val="auto"/>
                <w:szCs w:val="21"/>
                <w:highlight w:val="none"/>
              </w:rPr>
              <w:t>含公示期</w:t>
            </w:r>
            <w:r>
              <w:rPr>
                <w:rFonts w:hint="eastAsia"/>
                <w:color w:val="auto"/>
                <w:szCs w:val="21"/>
                <w:highlight w:val="none"/>
                <w:lang w:eastAsia="zh-CN"/>
              </w:rPr>
              <w:t>）</w:t>
            </w:r>
            <w:r>
              <w:rPr>
                <w:rFonts w:hint="eastAsia"/>
                <w:color w:val="auto"/>
                <w:szCs w:val="21"/>
                <w:highlight w:val="none"/>
              </w:rPr>
              <w:t>的不良行为记录，具备有效的安全生产许可证</w:t>
            </w:r>
            <w:r>
              <w:rPr>
                <w:rFonts w:hint="eastAsia"/>
                <w:color w:val="auto"/>
                <w:szCs w:val="21"/>
                <w:highlight w:val="none"/>
                <w:lang w:eastAsia="zh-CN"/>
              </w:rPr>
              <w:t>，</w:t>
            </w:r>
            <w:r>
              <w:rPr>
                <w:rFonts w:hint="eastAsia"/>
                <w:color w:val="auto"/>
                <w:szCs w:val="21"/>
                <w:highlight w:val="none"/>
              </w:rPr>
              <w:t>并</w:t>
            </w:r>
            <w:r>
              <w:rPr>
                <w:color w:val="auto"/>
                <w:szCs w:val="21"/>
                <w:highlight w:val="none"/>
              </w:rPr>
              <w:t>在人员、设备、资金等方面具有相应的施工能力。</w:t>
            </w:r>
          </w:p>
          <w:p w14:paraId="4F937BC7">
            <w:pPr>
              <w:spacing w:line="400" w:lineRule="exact"/>
              <w:rPr>
                <w:rFonts w:hint="eastAsia"/>
                <w:color w:val="auto"/>
                <w:szCs w:val="21"/>
                <w:highlight w:val="none"/>
              </w:rPr>
            </w:pPr>
            <w:r>
              <w:rPr>
                <w:rFonts w:hint="eastAsia"/>
                <w:color w:val="auto"/>
                <w:szCs w:val="21"/>
                <w:highlight w:val="none"/>
                <w:lang w:val="en-US" w:eastAsia="zh-CN"/>
              </w:rPr>
              <w:t>②项目</w:t>
            </w:r>
            <w:r>
              <w:rPr>
                <w:rFonts w:hint="eastAsia"/>
                <w:color w:val="auto"/>
                <w:szCs w:val="21"/>
                <w:highlight w:val="none"/>
              </w:rPr>
              <w:t>负责人</w:t>
            </w:r>
            <w:r>
              <w:rPr>
                <w:rFonts w:hint="eastAsia"/>
                <w:color w:val="auto"/>
                <w:szCs w:val="21"/>
                <w:highlight w:val="none"/>
                <w:lang w:val="en-US" w:eastAsia="zh-CN"/>
              </w:rPr>
              <w:t>须</w:t>
            </w:r>
            <w:r>
              <w:rPr>
                <w:rFonts w:hint="eastAsia"/>
                <w:color w:val="auto"/>
                <w:szCs w:val="21"/>
                <w:highlight w:val="none"/>
              </w:rPr>
              <w:t>具备</w:t>
            </w:r>
            <w:r>
              <w:rPr>
                <w:rFonts w:hint="eastAsia"/>
                <w:color w:val="auto"/>
                <w:szCs w:val="21"/>
                <w:highlight w:val="none"/>
                <w:u w:val="single"/>
              </w:rPr>
              <w:t>有效的港口与航道工程专业一级建造师注册证书及《公路水运工程施工企业主要负责人和安全生产管理人员安全生产考核合格证书》B类证书。</w:t>
            </w:r>
          </w:p>
          <w:p w14:paraId="1983D932">
            <w:pPr>
              <w:spacing w:line="440" w:lineRule="exact"/>
              <w:rPr>
                <w:rFonts w:hint="eastAsia" w:eastAsia="宋体"/>
                <w:color w:val="auto"/>
                <w:szCs w:val="21"/>
                <w:highlight w:val="none"/>
                <w:lang w:val="en-US" w:eastAsia="zh-CN"/>
              </w:rPr>
            </w:pPr>
            <w:r>
              <w:rPr>
                <w:color w:val="auto"/>
                <w:szCs w:val="21"/>
                <w:highlight w:val="none"/>
              </w:rPr>
              <w:t>业绩要求：</w:t>
            </w:r>
            <w:r>
              <w:rPr>
                <w:rFonts w:hint="eastAsia"/>
                <w:color w:val="auto"/>
                <w:szCs w:val="21"/>
                <w:highlight w:val="none"/>
                <w:lang w:val="en-US" w:eastAsia="zh-CN"/>
              </w:rPr>
              <w:t>无。</w:t>
            </w:r>
          </w:p>
          <w:p w14:paraId="7D32A90F">
            <w:pPr>
              <w:spacing w:line="440" w:lineRule="exact"/>
              <w:rPr>
                <w:rFonts w:hint="eastAsia"/>
                <w:color w:val="auto"/>
                <w:szCs w:val="21"/>
                <w:highlight w:val="none"/>
              </w:rPr>
            </w:pPr>
            <w:r>
              <w:rPr>
                <w:color w:val="auto"/>
                <w:szCs w:val="21"/>
                <w:highlight w:val="none"/>
              </w:rPr>
              <w:t>信誉要求：</w:t>
            </w:r>
            <w:r>
              <w:rPr>
                <w:rFonts w:hint="eastAsia"/>
                <w:color w:val="auto"/>
                <w:szCs w:val="21"/>
                <w:highlight w:val="none"/>
              </w:rPr>
              <w:t>截至递交投标文件的截止时间，投标人经“信用中国”网站（</w:t>
            </w:r>
            <w:r>
              <w:rPr>
                <w:rFonts w:hint="eastAsia"/>
                <w:color w:val="auto"/>
                <w:szCs w:val="21"/>
                <w:highlight w:val="none"/>
                <w:lang w:eastAsia="zh-CN"/>
              </w:rPr>
              <w:t>www.creditchina.gov.cn</w:t>
            </w:r>
            <w:r>
              <w:rPr>
                <w:rFonts w:hint="eastAsia"/>
                <w:color w:val="auto"/>
                <w:szCs w:val="21"/>
                <w:highlight w:val="none"/>
              </w:rPr>
              <w:t>）、“中国执行信息公开网”网站（</w:t>
            </w:r>
            <w:r>
              <w:rPr>
                <w:rFonts w:hint="eastAsia"/>
                <w:color w:val="auto"/>
                <w:szCs w:val="21"/>
                <w:highlight w:val="none"/>
                <w:lang w:eastAsia="zh-CN"/>
              </w:rPr>
              <w:t>https://zxgk.court.gov.cn/</w:t>
            </w:r>
            <w:r>
              <w:rPr>
                <w:rFonts w:hint="eastAsia"/>
                <w:color w:val="auto"/>
                <w:szCs w:val="21"/>
                <w:highlight w:val="none"/>
              </w:rPr>
              <w:t>）查询，未被列入失信被执行人名单。</w:t>
            </w:r>
          </w:p>
          <w:p w14:paraId="03F6523D">
            <w:pPr>
              <w:spacing w:line="440" w:lineRule="exact"/>
              <w:rPr>
                <w:rFonts w:hint="eastAsia"/>
                <w:color w:val="auto"/>
                <w:szCs w:val="21"/>
                <w:highlight w:val="none"/>
              </w:rPr>
            </w:pPr>
            <w:r>
              <w:rPr>
                <w:rFonts w:hint="eastAsia"/>
                <w:color w:val="auto"/>
                <w:szCs w:val="21"/>
                <w:highlight w:val="none"/>
              </w:rPr>
              <w:t>其他要求：</w:t>
            </w:r>
            <w:r>
              <w:rPr>
                <w:rFonts w:hint="eastAsia"/>
                <w:color w:val="auto"/>
                <w:szCs w:val="21"/>
                <w:highlight w:val="none"/>
                <w:lang w:val="en-US" w:eastAsia="zh-CN"/>
              </w:rPr>
              <w:t>无</w:t>
            </w:r>
            <w:r>
              <w:rPr>
                <w:rFonts w:hint="eastAsia"/>
                <w:color w:val="auto"/>
                <w:szCs w:val="21"/>
                <w:highlight w:val="none"/>
              </w:rPr>
              <w:t>。</w:t>
            </w:r>
          </w:p>
        </w:tc>
      </w:tr>
      <w:tr w14:paraId="77D9D2CB">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745D7F79">
            <w:pPr>
              <w:spacing w:line="440" w:lineRule="exact"/>
              <w:jc w:val="center"/>
              <w:rPr>
                <w:szCs w:val="21"/>
                <w:highlight w:val="none"/>
              </w:rPr>
            </w:pPr>
            <w:r>
              <w:rPr>
                <w:szCs w:val="21"/>
                <w:highlight w:val="none"/>
              </w:rPr>
              <w:t>1.4.2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361FF41C">
            <w:pPr>
              <w:spacing w:line="440" w:lineRule="exact"/>
              <w:jc w:val="center"/>
              <w:rPr>
                <w:szCs w:val="21"/>
                <w:highlight w:val="none"/>
              </w:rPr>
            </w:pPr>
            <w:r>
              <w:rPr>
                <w:szCs w:val="21"/>
                <w:highlight w:val="none"/>
              </w:rPr>
              <w:t>是否接受联合体投标</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30F01006">
            <w:pPr>
              <w:pStyle w:val="14"/>
              <w:topLinePunct/>
              <w:spacing w:line="400" w:lineRule="exact"/>
              <w:rPr>
                <w:rFonts w:hint="eastAsia" w:ascii="Times New Roman"/>
                <w:sz w:val="21"/>
                <w:szCs w:val="21"/>
                <w:highlight w:val="none"/>
              </w:rPr>
            </w:pPr>
            <w:r>
              <w:rPr>
                <w:rFonts w:hint="eastAsia" w:ascii="Times New Roman"/>
                <w:sz w:val="21"/>
                <w:szCs w:val="21"/>
                <w:highlight w:val="none"/>
              </w:rPr>
              <w:t>☑不接受</w:t>
            </w:r>
          </w:p>
          <w:p w14:paraId="0C5B88C4">
            <w:pPr>
              <w:spacing w:line="440" w:lineRule="exact"/>
              <w:rPr>
                <w:szCs w:val="21"/>
                <w:highlight w:val="none"/>
              </w:rPr>
            </w:pPr>
            <w:r>
              <w:rPr>
                <w:sz w:val="32"/>
                <w:szCs w:val="32"/>
                <w:highlight w:val="none"/>
              </w:rPr>
              <w:t>□</w:t>
            </w:r>
            <w:r>
              <w:rPr>
                <w:rFonts w:hint="eastAsia"/>
                <w:szCs w:val="21"/>
                <w:highlight w:val="none"/>
              </w:rPr>
              <w:t>接受，应满足下列要求：</w:t>
            </w:r>
          </w:p>
        </w:tc>
      </w:tr>
      <w:tr w14:paraId="1521DEF7">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5ABC4F8F">
            <w:pPr>
              <w:spacing w:line="440" w:lineRule="exact"/>
              <w:jc w:val="center"/>
              <w:rPr>
                <w:szCs w:val="21"/>
                <w:highlight w:val="none"/>
              </w:rPr>
            </w:pPr>
            <w:r>
              <w:rPr>
                <w:szCs w:val="21"/>
                <w:highlight w:val="none"/>
              </w:rPr>
              <w:t>1.</w:t>
            </w:r>
            <w:r>
              <w:rPr>
                <w:rFonts w:hint="eastAsia"/>
                <w:szCs w:val="21"/>
                <w:highlight w:val="none"/>
              </w:rPr>
              <w:t>9</w:t>
            </w:r>
            <w:r>
              <w:rPr>
                <w:szCs w:val="21"/>
                <w:highlight w:val="none"/>
              </w:rPr>
              <w:t>.1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D74FB44">
            <w:pPr>
              <w:spacing w:line="440" w:lineRule="exact"/>
              <w:jc w:val="center"/>
              <w:rPr>
                <w:rFonts w:hint="eastAsia"/>
                <w:szCs w:val="21"/>
                <w:highlight w:val="none"/>
              </w:rPr>
            </w:pPr>
            <w:r>
              <w:rPr>
                <w:szCs w:val="21"/>
                <w:highlight w:val="none"/>
              </w:rPr>
              <w:t>踏勘</w:t>
            </w:r>
            <w:r>
              <w:rPr>
                <w:rFonts w:hint="eastAsia"/>
                <w:szCs w:val="21"/>
                <w:highlight w:val="none"/>
              </w:rPr>
              <w:t>现场</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5EFBC819">
            <w:pPr>
              <w:spacing w:line="440" w:lineRule="exact"/>
              <w:rPr>
                <w:rFonts w:hint="eastAsia"/>
                <w:szCs w:val="21"/>
                <w:highlight w:val="none"/>
              </w:rPr>
            </w:pPr>
            <w:r>
              <w:rPr>
                <w:rFonts w:hint="eastAsia"/>
                <w:szCs w:val="21"/>
                <w:highlight w:val="none"/>
              </w:rPr>
              <w:t>☑不组织</w:t>
            </w:r>
          </w:p>
          <w:p w14:paraId="4C00AE17">
            <w:pPr>
              <w:spacing w:line="440" w:lineRule="exact"/>
              <w:rPr>
                <w:rFonts w:hint="eastAsia"/>
                <w:szCs w:val="21"/>
                <w:highlight w:val="none"/>
              </w:rPr>
            </w:pPr>
            <w:r>
              <w:rPr>
                <w:sz w:val="32"/>
                <w:szCs w:val="32"/>
                <w:highlight w:val="none"/>
              </w:rPr>
              <w:t>□</w:t>
            </w:r>
            <w:r>
              <w:rPr>
                <w:rFonts w:hint="eastAsia"/>
                <w:szCs w:val="21"/>
                <w:highlight w:val="none"/>
              </w:rPr>
              <w:t>组织，</w:t>
            </w:r>
            <w:r>
              <w:rPr>
                <w:szCs w:val="21"/>
                <w:highlight w:val="none"/>
              </w:rPr>
              <w:t>踏勘时间</w:t>
            </w:r>
            <w:r>
              <w:rPr>
                <w:rFonts w:hint="eastAsia"/>
                <w:szCs w:val="21"/>
                <w:highlight w:val="none"/>
              </w:rPr>
              <w:t>：</w:t>
            </w:r>
          </w:p>
          <w:p w14:paraId="19FEFF47">
            <w:pPr>
              <w:spacing w:line="440" w:lineRule="exact"/>
              <w:ind w:firstLine="840" w:firstLineChars="400"/>
              <w:rPr>
                <w:rFonts w:hint="eastAsia"/>
                <w:szCs w:val="21"/>
                <w:highlight w:val="none"/>
              </w:rPr>
            </w:pPr>
            <w:r>
              <w:rPr>
                <w:rFonts w:hint="eastAsia"/>
                <w:szCs w:val="21"/>
                <w:highlight w:val="none"/>
              </w:rPr>
              <w:t>踏勘集中地点：</w:t>
            </w:r>
          </w:p>
        </w:tc>
      </w:tr>
      <w:tr w14:paraId="26DDAF04">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7B94F7FB">
            <w:pPr>
              <w:spacing w:line="440" w:lineRule="exact"/>
              <w:jc w:val="center"/>
              <w:rPr>
                <w:szCs w:val="21"/>
                <w:highlight w:val="none"/>
              </w:rPr>
            </w:pPr>
            <w:r>
              <w:rPr>
                <w:szCs w:val="21"/>
                <w:highlight w:val="none"/>
              </w:rPr>
              <w:t>1.10.1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0DABCDFC">
            <w:pPr>
              <w:spacing w:line="440" w:lineRule="exact"/>
              <w:jc w:val="center"/>
              <w:rPr>
                <w:szCs w:val="21"/>
                <w:highlight w:val="none"/>
              </w:rPr>
            </w:pPr>
            <w:r>
              <w:rPr>
                <w:szCs w:val="21"/>
                <w:highlight w:val="none"/>
              </w:rPr>
              <w:t>投标预备会</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0FFC44DE">
            <w:pPr>
              <w:pStyle w:val="14"/>
              <w:topLinePunct/>
              <w:spacing w:line="400" w:lineRule="exact"/>
              <w:rPr>
                <w:rFonts w:hint="eastAsia" w:ascii="Times New Roman" w:eastAsia="宋体"/>
                <w:sz w:val="21"/>
                <w:szCs w:val="21"/>
                <w:highlight w:val="none"/>
                <w:lang w:eastAsia="zh-CN"/>
              </w:rPr>
            </w:pPr>
            <w:r>
              <w:rPr>
                <w:rFonts w:hint="eastAsia" w:ascii="Times New Roman"/>
                <w:sz w:val="21"/>
                <w:szCs w:val="21"/>
                <w:highlight w:val="none"/>
              </w:rPr>
              <w:t>☑</w:t>
            </w:r>
            <w:r>
              <w:rPr>
                <w:rFonts w:hint="eastAsia" w:ascii="Times New Roman"/>
                <w:sz w:val="21"/>
                <w:szCs w:val="21"/>
                <w:highlight w:val="none"/>
                <w:lang w:val="en-US" w:eastAsia="zh-CN"/>
              </w:rPr>
              <w:t>不召开</w:t>
            </w:r>
          </w:p>
          <w:p w14:paraId="73BB4A2E">
            <w:pPr>
              <w:spacing w:line="440" w:lineRule="exact"/>
              <w:rPr>
                <w:szCs w:val="21"/>
                <w:highlight w:val="none"/>
              </w:rPr>
            </w:pPr>
            <w:r>
              <w:rPr>
                <w:sz w:val="32"/>
                <w:szCs w:val="32"/>
                <w:highlight w:val="none"/>
              </w:rPr>
              <w:t>□</w:t>
            </w:r>
            <w:r>
              <w:rPr>
                <w:szCs w:val="21"/>
                <w:highlight w:val="none"/>
              </w:rPr>
              <w:t>召开</w:t>
            </w:r>
            <w:r>
              <w:rPr>
                <w:rFonts w:hint="eastAsia"/>
                <w:szCs w:val="21"/>
                <w:highlight w:val="none"/>
              </w:rPr>
              <w:t>，</w:t>
            </w:r>
            <w:r>
              <w:rPr>
                <w:szCs w:val="21"/>
                <w:highlight w:val="none"/>
              </w:rPr>
              <w:t>召开时间：</w:t>
            </w:r>
          </w:p>
          <w:p w14:paraId="16AA065D">
            <w:pPr>
              <w:spacing w:line="440" w:lineRule="exact"/>
              <w:ind w:firstLine="840" w:firstLineChars="400"/>
              <w:rPr>
                <w:szCs w:val="21"/>
                <w:highlight w:val="none"/>
              </w:rPr>
            </w:pPr>
            <w:r>
              <w:rPr>
                <w:szCs w:val="21"/>
                <w:highlight w:val="none"/>
              </w:rPr>
              <w:t>召开地点：</w:t>
            </w:r>
          </w:p>
        </w:tc>
      </w:tr>
      <w:tr w14:paraId="65FF0EB8">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3E6FB6C6">
            <w:pPr>
              <w:spacing w:line="440" w:lineRule="exact"/>
              <w:jc w:val="center"/>
              <w:rPr>
                <w:szCs w:val="21"/>
                <w:highlight w:val="none"/>
              </w:rPr>
            </w:pPr>
            <w:r>
              <w:rPr>
                <w:szCs w:val="21"/>
                <w:highlight w:val="none"/>
              </w:rPr>
              <w:t>1.10.2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6C7BF5C">
            <w:pPr>
              <w:spacing w:line="440" w:lineRule="exact"/>
              <w:jc w:val="center"/>
              <w:rPr>
                <w:szCs w:val="21"/>
                <w:highlight w:val="none"/>
              </w:rPr>
            </w:pPr>
            <w:r>
              <w:rPr>
                <w:szCs w:val="21"/>
                <w:highlight w:val="none"/>
              </w:rPr>
              <w:t>投标人提出问题的截止时间</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1330DEEA">
            <w:pPr>
              <w:spacing w:line="440" w:lineRule="exact"/>
              <w:rPr>
                <w:szCs w:val="21"/>
                <w:highlight w:val="none"/>
              </w:rPr>
            </w:pPr>
            <w:r>
              <w:rPr>
                <w:rFonts w:hint="eastAsia"/>
                <w:szCs w:val="21"/>
                <w:highlight w:val="none"/>
              </w:rPr>
              <w:t>投标截止日10日前</w:t>
            </w:r>
          </w:p>
        </w:tc>
      </w:tr>
      <w:tr w14:paraId="68BA67DB">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56D87EA1">
            <w:pPr>
              <w:spacing w:line="440" w:lineRule="exact"/>
              <w:jc w:val="center"/>
              <w:rPr>
                <w:szCs w:val="21"/>
                <w:highlight w:val="none"/>
              </w:rPr>
            </w:pPr>
            <w:r>
              <w:rPr>
                <w:szCs w:val="21"/>
                <w:highlight w:val="none"/>
              </w:rPr>
              <w:t>1.10.3</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18A3B5F5">
            <w:pPr>
              <w:spacing w:line="440" w:lineRule="exact"/>
              <w:jc w:val="center"/>
              <w:rPr>
                <w:szCs w:val="21"/>
                <w:highlight w:val="none"/>
              </w:rPr>
            </w:pPr>
            <w:r>
              <w:rPr>
                <w:szCs w:val="21"/>
                <w:highlight w:val="none"/>
              </w:rPr>
              <w:t>招标人书面澄清的时间</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4FB82BC0">
            <w:pPr>
              <w:spacing w:line="440" w:lineRule="exact"/>
              <w:rPr>
                <w:rFonts w:hint="eastAsia" w:eastAsia="宋体"/>
                <w:szCs w:val="21"/>
                <w:highlight w:val="none"/>
                <w:lang w:val="en-US" w:eastAsia="zh-CN"/>
              </w:rPr>
            </w:pPr>
            <w:r>
              <w:rPr>
                <w:rFonts w:hint="eastAsia"/>
                <w:szCs w:val="21"/>
                <w:highlight w:val="none"/>
              </w:rPr>
              <w:t>投标截止日</w:t>
            </w:r>
            <w:r>
              <w:rPr>
                <w:rFonts w:hint="eastAsia"/>
                <w:szCs w:val="21"/>
                <w:highlight w:val="none"/>
                <w:lang w:val="en-US" w:eastAsia="zh-CN"/>
              </w:rPr>
              <w:t>前</w:t>
            </w:r>
          </w:p>
        </w:tc>
      </w:tr>
      <w:tr w14:paraId="2C2E6D47">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736B39AB">
            <w:pPr>
              <w:spacing w:line="440" w:lineRule="exact"/>
              <w:jc w:val="center"/>
              <w:rPr>
                <w:rFonts w:hint="eastAsia"/>
                <w:szCs w:val="21"/>
                <w:highlight w:val="none"/>
              </w:rPr>
            </w:pPr>
            <w:r>
              <w:rPr>
                <w:szCs w:val="21"/>
                <w:highlight w:val="none"/>
              </w:rPr>
              <w:t>1.1</w:t>
            </w:r>
            <w:r>
              <w:rPr>
                <w:rFonts w:hint="eastAsia"/>
                <w:szCs w:val="21"/>
                <w:highlight w:val="none"/>
              </w:rPr>
              <w:t>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2AC96F6A">
            <w:pPr>
              <w:spacing w:line="440" w:lineRule="exact"/>
              <w:jc w:val="center"/>
              <w:rPr>
                <w:szCs w:val="21"/>
                <w:highlight w:val="none"/>
              </w:rPr>
            </w:pPr>
            <w:r>
              <w:rPr>
                <w:szCs w:val="21"/>
                <w:highlight w:val="none"/>
              </w:rPr>
              <w:t>分包</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6D5ABAA2">
            <w:pPr>
              <w:pStyle w:val="14"/>
              <w:topLinePunct/>
              <w:spacing w:line="400" w:lineRule="exact"/>
              <w:rPr>
                <w:rFonts w:hint="eastAsia" w:ascii="Times New Roman"/>
                <w:sz w:val="21"/>
                <w:szCs w:val="21"/>
                <w:highlight w:val="none"/>
              </w:rPr>
            </w:pPr>
            <w:r>
              <w:rPr>
                <w:rFonts w:ascii="Times New Roman"/>
                <w:sz w:val="32"/>
                <w:szCs w:val="32"/>
                <w:highlight w:val="none"/>
              </w:rPr>
              <w:t>□</w:t>
            </w:r>
            <w:r>
              <w:rPr>
                <w:rFonts w:hint="eastAsia" w:ascii="Times New Roman"/>
                <w:sz w:val="21"/>
                <w:szCs w:val="21"/>
                <w:highlight w:val="none"/>
              </w:rPr>
              <w:t>不允许</w:t>
            </w:r>
          </w:p>
          <w:p w14:paraId="169098E4">
            <w:pPr>
              <w:spacing w:line="440" w:lineRule="exact"/>
              <w:rPr>
                <w:rFonts w:hint="eastAsia"/>
                <w:szCs w:val="21"/>
                <w:highlight w:val="none"/>
              </w:rPr>
            </w:pPr>
            <w:r>
              <w:rPr>
                <w:rFonts w:hint="eastAsia"/>
                <w:szCs w:val="21"/>
                <w:highlight w:val="none"/>
              </w:rPr>
              <w:t>☑允许，</w:t>
            </w:r>
            <w:r>
              <w:rPr>
                <w:szCs w:val="21"/>
                <w:highlight w:val="none"/>
              </w:rPr>
              <w:t>分包内容</w:t>
            </w:r>
            <w:r>
              <w:rPr>
                <w:rFonts w:hint="eastAsia"/>
                <w:szCs w:val="21"/>
                <w:highlight w:val="none"/>
              </w:rPr>
              <w:t>要求</w:t>
            </w:r>
            <w:r>
              <w:rPr>
                <w:szCs w:val="21"/>
                <w:highlight w:val="none"/>
              </w:rPr>
              <w:t>：</w:t>
            </w:r>
            <w:r>
              <w:rPr>
                <w:rFonts w:hint="eastAsia"/>
                <w:szCs w:val="21"/>
                <w:highlight w:val="none"/>
                <w:lang w:val="en-US" w:eastAsia="zh-CN"/>
              </w:rPr>
              <w:t>主要工程不允许分包。非主要工程</w:t>
            </w:r>
            <w:r>
              <w:rPr>
                <w:rFonts w:hint="eastAsia"/>
                <w:szCs w:val="21"/>
                <w:highlight w:val="none"/>
              </w:rPr>
              <w:t>未经发包人</w:t>
            </w:r>
            <w:r>
              <w:rPr>
                <w:rFonts w:hint="eastAsia"/>
                <w:szCs w:val="21"/>
                <w:highlight w:val="none"/>
                <w:lang w:val="en-US" w:eastAsia="zh-CN"/>
              </w:rPr>
              <w:t>及监理人</w:t>
            </w:r>
            <w:r>
              <w:rPr>
                <w:rFonts w:hint="eastAsia"/>
                <w:szCs w:val="21"/>
                <w:highlight w:val="none"/>
              </w:rPr>
              <w:t>同意不得分包</w:t>
            </w:r>
            <w:r>
              <w:rPr>
                <w:rFonts w:hint="eastAsia"/>
                <w:szCs w:val="21"/>
                <w:highlight w:val="none"/>
                <w:lang w:eastAsia="zh-CN"/>
              </w:rPr>
              <w:t>，</w:t>
            </w:r>
            <w:r>
              <w:rPr>
                <w:rFonts w:hint="eastAsia"/>
                <w:szCs w:val="21"/>
                <w:highlight w:val="none"/>
                <w:lang w:val="en-US" w:eastAsia="zh-CN"/>
              </w:rPr>
              <w:t>分包企业须具备所承包项目应当具备的资质</w:t>
            </w:r>
            <w:r>
              <w:rPr>
                <w:rFonts w:hint="eastAsia"/>
                <w:szCs w:val="21"/>
                <w:highlight w:val="none"/>
              </w:rPr>
              <w:t>。</w:t>
            </w:r>
          </w:p>
        </w:tc>
      </w:tr>
      <w:tr w14:paraId="3357FEFB">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59D8A5D6">
            <w:pPr>
              <w:spacing w:line="440" w:lineRule="exact"/>
              <w:jc w:val="center"/>
              <w:rPr>
                <w:rFonts w:hint="eastAsia"/>
                <w:szCs w:val="21"/>
                <w:highlight w:val="none"/>
              </w:rPr>
            </w:pPr>
            <w:r>
              <w:rPr>
                <w:rFonts w:hint="eastAsia"/>
                <w:szCs w:val="21"/>
                <w:highlight w:val="none"/>
              </w:rPr>
              <w:t>1.12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EF55E9B">
            <w:pPr>
              <w:spacing w:line="440" w:lineRule="exact"/>
              <w:jc w:val="center"/>
              <w:rPr>
                <w:szCs w:val="21"/>
                <w:highlight w:val="none"/>
              </w:rPr>
            </w:pPr>
            <w:r>
              <w:rPr>
                <w:rFonts w:hint="eastAsia"/>
                <w:szCs w:val="21"/>
                <w:highlight w:val="none"/>
              </w:rPr>
              <w:t>偏离</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5A144BDF">
            <w:pPr>
              <w:pStyle w:val="14"/>
              <w:topLinePunct/>
              <w:spacing w:line="400" w:lineRule="exact"/>
              <w:rPr>
                <w:rFonts w:hint="eastAsia" w:ascii="Times New Roman"/>
                <w:sz w:val="21"/>
                <w:szCs w:val="21"/>
                <w:highlight w:val="none"/>
              </w:rPr>
            </w:pPr>
            <w:r>
              <w:rPr>
                <w:rFonts w:hint="eastAsia" w:ascii="Times New Roman"/>
                <w:sz w:val="21"/>
                <w:szCs w:val="21"/>
                <w:highlight w:val="none"/>
              </w:rPr>
              <w:t>☑不允许</w:t>
            </w:r>
          </w:p>
          <w:p w14:paraId="05D02928">
            <w:pPr>
              <w:pStyle w:val="14"/>
              <w:topLinePunct/>
              <w:spacing w:line="400" w:lineRule="exact"/>
              <w:rPr>
                <w:rFonts w:ascii="Times New Roman"/>
                <w:sz w:val="21"/>
                <w:szCs w:val="21"/>
                <w:highlight w:val="none"/>
              </w:rPr>
            </w:pPr>
            <w:r>
              <w:rPr>
                <w:rFonts w:ascii="Times New Roman"/>
                <w:sz w:val="32"/>
                <w:szCs w:val="32"/>
                <w:highlight w:val="none"/>
              </w:rPr>
              <w:t>□</w:t>
            </w:r>
            <w:r>
              <w:rPr>
                <w:rFonts w:hint="eastAsia"/>
                <w:sz w:val="21"/>
                <w:szCs w:val="21"/>
                <w:highlight w:val="none"/>
              </w:rPr>
              <w:t>允许</w:t>
            </w:r>
          </w:p>
        </w:tc>
      </w:tr>
      <w:tr w14:paraId="1DAE5B58">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2865BB8B">
            <w:pPr>
              <w:spacing w:line="440" w:lineRule="exact"/>
              <w:jc w:val="center"/>
              <w:rPr>
                <w:szCs w:val="21"/>
                <w:highlight w:val="none"/>
              </w:rPr>
            </w:pPr>
            <w:r>
              <w:rPr>
                <w:szCs w:val="21"/>
                <w:highlight w:val="none"/>
              </w:rPr>
              <w:t>2.1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0934BAA1">
            <w:pPr>
              <w:spacing w:line="440" w:lineRule="exact"/>
              <w:jc w:val="center"/>
              <w:rPr>
                <w:szCs w:val="21"/>
                <w:highlight w:val="none"/>
              </w:rPr>
            </w:pPr>
            <w:r>
              <w:rPr>
                <w:szCs w:val="21"/>
                <w:highlight w:val="none"/>
              </w:rPr>
              <w:t>构成招标文件的其他材料</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26271743">
            <w:pPr>
              <w:spacing w:line="440" w:lineRule="exact"/>
              <w:rPr>
                <w:szCs w:val="21"/>
                <w:highlight w:val="none"/>
              </w:rPr>
            </w:pPr>
            <w:r>
              <w:rPr>
                <w:rFonts w:hint="eastAsia"/>
                <w:szCs w:val="21"/>
                <w:highlight w:val="none"/>
              </w:rPr>
              <w:t>答疑文件、补充文件、设计图纸等招标人开标前发出的所有有关本项目的资料，均是招标文件的组成部分，对投标人起约束作用。</w:t>
            </w:r>
          </w:p>
        </w:tc>
      </w:tr>
      <w:tr w14:paraId="2E943E6D">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40E8774B">
            <w:pPr>
              <w:spacing w:line="440" w:lineRule="exact"/>
              <w:jc w:val="center"/>
              <w:rPr>
                <w:szCs w:val="21"/>
                <w:highlight w:val="none"/>
              </w:rPr>
            </w:pPr>
            <w:r>
              <w:rPr>
                <w:szCs w:val="21"/>
                <w:highlight w:val="none"/>
              </w:rPr>
              <w:t>2.2.1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1AD5EB8">
            <w:pPr>
              <w:spacing w:line="440" w:lineRule="exact"/>
              <w:jc w:val="center"/>
              <w:rPr>
                <w:szCs w:val="21"/>
                <w:highlight w:val="none"/>
              </w:rPr>
            </w:pPr>
            <w:r>
              <w:rPr>
                <w:szCs w:val="21"/>
                <w:highlight w:val="none"/>
              </w:rPr>
              <w:t>投标人要求澄清招标文件的截止时间</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39F5528B">
            <w:pPr>
              <w:spacing w:line="440" w:lineRule="exact"/>
              <w:rPr>
                <w:rFonts w:hint="eastAsia" w:eastAsia="宋体"/>
                <w:szCs w:val="21"/>
                <w:highlight w:val="none"/>
                <w:lang w:val="en-US" w:eastAsia="zh-CN"/>
              </w:rPr>
            </w:pPr>
            <w:r>
              <w:rPr>
                <w:rFonts w:hint="eastAsia" w:eastAsia="宋体"/>
                <w:szCs w:val="21"/>
                <w:highlight w:val="none"/>
                <w:lang w:val="en-US" w:eastAsia="zh-CN"/>
              </w:rPr>
              <w:t>投标截止日10日前</w:t>
            </w:r>
          </w:p>
        </w:tc>
      </w:tr>
      <w:tr w14:paraId="093C4567">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04F6EAAF">
            <w:pPr>
              <w:spacing w:line="440" w:lineRule="exact"/>
              <w:jc w:val="center"/>
              <w:rPr>
                <w:szCs w:val="21"/>
                <w:highlight w:val="none"/>
              </w:rPr>
            </w:pPr>
            <w:r>
              <w:rPr>
                <w:szCs w:val="21"/>
                <w:highlight w:val="none"/>
              </w:rPr>
              <w:t>2.2.2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6C3D2AD9">
            <w:pPr>
              <w:spacing w:line="440" w:lineRule="exact"/>
              <w:jc w:val="center"/>
              <w:rPr>
                <w:szCs w:val="21"/>
                <w:highlight w:val="none"/>
              </w:rPr>
            </w:pPr>
            <w:r>
              <w:rPr>
                <w:szCs w:val="21"/>
                <w:highlight w:val="none"/>
              </w:rPr>
              <w:t>投标截止时间</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18FE3A94">
            <w:pPr>
              <w:spacing w:line="440" w:lineRule="exact"/>
              <w:rPr>
                <w:rFonts w:hint="eastAsia"/>
                <w:szCs w:val="21"/>
                <w:highlight w:val="none"/>
              </w:rPr>
            </w:pPr>
            <w:r>
              <w:rPr>
                <w:rFonts w:hint="eastAsia"/>
                <w:szCs w:val="21"/>
                <w:highlight w:val="none"/>
                <w:u w:val="single"/>
              </w:rPr>
              <w:t xml:space="preserve"> </w:t>
            </w:r>
            <w:r>
              <w:rPr>
                <w:rFonts w:hint="eastAsia"/>
                <w:szCs w:val="21"/>
                <w:highlight w:val="none"/>
                <w:u w:val="single"/>
                <w:lang w:val="en-US" w:eastAsia="zh-CN"/>
              </w:rPr>
              <w:t>2025</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XX</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XX</w:t>
            </w:r>
            <w:r>
              <w:rPr>
                <w:rFonts w:hint="eastAsia"/>
                <w:szCs w:val="21"/>
                <w:highlight w:val="none"/>
                <w:u w:val="single"/>
              </w:rPr>
              <w:t xml:space="preserve"> </w:t>
            </w:r>
            <w:r>
              <w:rPr>
                <w:rFonts w:hint="eastAsia"/>
                <w:szCs w:val="21"/>
                <w:highlight w:val="none"/>
              </w:rPr>
              <w:t>日</w:t>
            </w:r>
            <w:r>
              <w:rPr>
                <w:rFonts w:hint="eastAsia"/>
                <w:szCs w:val="21"/>
                <w:highlight w:val="none"/>
                <w:u w:val="single"/>
              </w:rPr>
              <w:t xml:space="preserve"> </w:t>
            </w:r>
            <w:r>
              <w:rPr>
                <w:rFonts w:hint="eastAsia"/>
                <w:szCs w:val="21"/>
                <w:highlight w:val="none"/>
                <w:u w:val="single"/>
                <w:lang w:val="en-US" w:eastAsia="zh-CN"/>
              </w:rPr>
              <w:t>09</w:t>
            </w:r>
            <w:r>
              <w:rPr>
                <w:rFonts w:hint="eastAsia"/>
                <w:szCs w:val="21"/>
                <w:highlight w:val="none"/>
                <w:u w:val="single"/>
              </w:rPr>
              <w:t xml:space="preserve"> </w:t>
            </w:r>
            <w:r>
              <w:rPr>
                <w:rFonts w:hint="eastAsia"/>
                <w:szCs w:val="21"/>
                <w:highlight w:val="none"/>
              </w:rPr>
              <w:t>时</w:t>
            </w:r>
            <w:r>
              <w:rPr>
                <w:rFonts w:hint="eastAsia"/>
                <w:szCs w:val="21"/>
                <w:highlight w:val="none"/>
                <w:u w:val="single"/>
              </w:rPr>
              <w:t xml:space="preserve"> </w:t>
            </w:r>
            <w:r>
              <w:rPr>
                <w:rFonts w:hint="eastAsia"/>
                <w:szCs w:val="21"/>
                <w:highlight w:val="none"/>
                <w:u w:val="single"/>
                <w:lang w:val="en-US" w:eastAsia="zh-CN"/>
              </w:rPr>
              <w:t>00</w:t>
            </w:r>
            <w:r>
              <w:rPr>
                <w:rFonts w:hint="eastAsia"/>
                <w:szCs w:val="21"/>
                <w:highlight w:val="none"/>
                <w:u w:val="single"/>
              </w:rPr>
              <w:t xml:space="preserve"> </w:t>
            </w:r>
            <w:r>
              <w:rPr>
                <w:rFonts w:hint="eastAsia"/>
                <w:szCs w:val="21"/>
                <w:highlight w:val="none"/>
              </w:rPr>
              <w:t>分</w:t>
            </w:r>
          </w:p>
        </w:tc>
      </w:tr>
      <w:tr w14:paraId="6277A662">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4499DD54">
            <w:pPr>
              <w:spacing w:line="440" w:lineRule="exact"/>
              <w:jc w:val="center"/>
              <w:rPr>
                <w:szCs w:val="21"/>
                <w:highlight w:val="none"/>
              </w:rPr>
            </w:pPr>
            <w:r>
              <w:rPr>
                <w:szCs w:val="21"/>
                <w:highlight w:val="none"/>
              </w:rPr>
              <w:t>2.2.3</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69CE7931">
            <w:pPr>
              <w:spacing w:line="440" w:lineRule="exact"/>
              <w:jc w:val="center"/>
              <w:rPr>
                <w:szCs w:val="21"/>
                <w:highlight w:val="none"/>
              </w:rPr>
            </w:pPr>
            <w:r>
              <w:rPr>
                <w:szCs w:val="21"/>
                <w:highlight w:val="none"/>
              </w:rPr>
              <w:t>投标人确认收到招标文件澄清的时间</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399E9E16">
            <w:pPr>
              <w:spacing w:line="440" w:lineRule="exact"/>
              <w:rPr>
                <w:szCs w:val="21"/>
                <w:highlight w:val="none"/>
              </w:rPr>
            </w:pPr>
            <w:r>
              <w:rPr>
                <w:rFonts w:hint="eastAsia"/>
                <w:szCs w:val="21"/>
                <w:highlight w:val="none"/>
              </w:rPr>
              <w:t>投标单位自</w:t>
            </w:r>
            <w:r>
              <w:rPr>
                <w:rFonts w:hint="eastAsia"/>
                <w:szCs w:val="21"/>
                <w:highlight w:val="none"/>
                <w:lang w:val="en-US" w:eastAsia="zh-CN"/>
              </w:rPr>
              <w:t>下载</w:t>
            </w:r>
            <w:r>
              <w:rPr>
                <w:rFonts w:hint="eastAsia"/>
                <w:szCs w:val="21"/>
                <w:highlight w:val="none"/>
              </w:rPr>
              <w:t>招标文件起应每天网上查询、下载澄清文件，此项不再另行通知，也不需确认收到。没主动查询、下载者，后果自负。</w:t>
            </w:r>
          </w:p>
        </w:tc>
      </w:tr>
      <w:tr w14:paraId="26595AE2">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4E569CFB">
            <w:pPr>
              <w:spacing w:line="440" w:lineRule="exact"/>
              <w:jc w:val="center"/>
              <w:rPr>
                <w:szCs w:val="21"/>
                <w:highlight w:val="none"/>
              </w:rPr>
            </w:pPr>
            <w:r>
              <w:rPr>
                <w:szCs w:val="21"/>
                <w:highlight w:val="none"/>
              </w:rPr>
              <w:t>2.3.2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D935A28">
            <w:pPr>
              <w:spacing w:line="440" w:lineRule="exact"/>
              <w:jc w:val="center"/>
              <w:rPr>
                <w:szCs w:val="21"/>
                <w:highlight w:val="none"/>
              </w:rPr>
            </w:pPr>
            <w:r>
              <w:rPr>
                <w:szCs w:val="21"/>
                <w:highlight w:val="none"/>
              </w:rPr>
              <w:t>投标人确认收到招标文件修改的时间</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51775B6F">
            <w:pPr>
              <w:spacing w:line="440" w:lineRule="exact"/>
              <w:rPr>
                <w:szCs w:val="21"/>
                <w:highlight w:val="none"/>
              </w:rPr>
            </w:pPr>
            <w:r>
              <w:rPr>
                <w:rFonts w:hint="eastAsia"/>
                <w:szCs w:val="21"/>
                <w:highlight w:val="none"/>
              </w:rPr>
              <w:t>投标单位自下载招标文件起应每天网上查询、下载澄清文件，此项不再另行通知，也不需确认收到。没主动查询、下载者，后果自负。</w:t>
            </w:r>
          </w:p>
        </w:tc>
      </w:tr>
      <w:tr w14:paraId="694150DD">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758C4997">
            <w:pPr>
              <w:spacing w:line="440" w:lineRule="exact"/>
              <w:jc w:val="center"/>
              <w:rPr>
                <w:rFonts w:hint="eastAsia"/>
                <w:szCs w:val="21"/>
                <w:highlight w:val="none"/>
              </w:rPr>
            </w:pPr>
            <w:r>
              <w:rPr>
                <w:szCs w:val="21"/>
                <w:highlight w:val="none"/>
              </w:rPr>
              <w:t>3.1</w:t>
            </w:r>
            <w:r>
              <w:rPr>
                <w:rFonts w:hint="eastAsia"/>
                <w:szCs w:val="21"/>
                <w:highlight w:val="none"/>
              </w:rPr>
              <w:t>.1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5746E8E">
            <w:pPr>
              <w:spacing w:line="440" w:lineRule="exact"/>
              <w:jc w:val="center"/>
              <w:rPr>
                <w:szCs w:val="21"/>
                <w:highlight w:val="none"/>
              </w:rPr>
            </w:pPr>
            <w:r>
              <w:rPr>
                <w:szCs w:val="21"/>
                <w:highlight w:val="none"/>
              </w:rPr>
              <w:t>构成投标文件的其他材料</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73B80719">
            <w:pPr>
              <w:spacing w:line="440" w:lineRule="exact"/>
              <w:rPr>
                <w:szCs w:val="21"/>
                <w:highlight w:val="none"/>
              </w:rPr>
            </w:pPr>
            <w:r>
              <w:rPr>
                <w:rFonts w:hint="eastAsia"/>
                <w:szCs w:val="21"/>
                <w:highlight w:val="none"/>
              </w:rPr>
              <w:t>承诺书</w:t>
            </w:r>
            <w:r>
              <w:rPr>
                <w:rFonts w:hint="eastAsia"/>
                <w:szCs w:val="21"/>
                <w:highlight w:val="none"/>
                <w:lang w:eastAsia="zh-CN"/>
              </w:rPr>
              <w:t>、</w:t>
            </w:r>
            <w:bookmarkStart w:id="68" w:name="OLE_LINK33"/>
            <w:r>
              <w:rPr>
                <w:rFonts w:hint="eastAsia" w:ascii="宋体" w:hAnsi="宋体" w:cs="宋体"/>
                <w:color w:val="auto"/>
                <w:highlight w:val="none"/>
              </w:rPr>
              <w:t>投标人认为所需要的其他材料</w:t>
            </w:r>
            <w:bookmarkEnd w:id="68"/>
            <w:r>
              <w:rPr>
                <w:rFonts w:hint="eastAsia" w:ascii="宋体" w:hAnsi="宋体" w:cs="宋体"/>
                <w:color w:val="auto"/>
                <w:highlight w:val="none"/>
                <w:lang w:val="en-US" w:eastAsia="zh-CN"/>
              </w:rPr>
              <w:t>等。</w:t>
            </w:r>
          </w:p>
        </w:tc>
      </w:tr>
      <w:tr w14:paraId="0E328A91">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0F030ADB">
            <w:pPr>
              <w:spacing w:line="440" w:lineRule="exact"/>
              <w:jc w:val="center"/>
              <w:rPr>
                <w:rFonts w:hint="eastAsia"/>
                <w:szCs w:val="21"/>
                <w:highlight w:val="none"/>
              </w:rPr>
            </w:pPr>
            <w:r>
              <w:rPr>
                <w:szCs w:val="21"/>
                <w:highlight w:val="none"/>
              </w:rPr>
              <w:t>3.3</w:t>
            </w:r>
            <w:r>
              <w:rPr>
                <w:rFonts w:hint="eastAsia"/>
                <w:szCs w:val="21"/>
                <w:highlight w:val="none"/>
              </w:rPr>
              <w:t>.1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11D0453E">
            <w:pPr>
              <w:spacing w:line="440" w:lineRule="exact"/>
              <w:jc w:val="center"/>
              <w:rPr>
                <w:szCs w:val="21"/>
                <w:highlight w:val="none"/>
              </w:rPr>
            </w:pPr>
            <w:r>
              <w:rPr>
                <w:szCs w:val="21"/>
                <w:highlight w:val="none"/>
              </w:rPr>
              <w:t>投标有效期</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57A0F1CF">
            <w:pPr>
              <w:spacing w:line="440" w:lineRule="exact"/>
              <w:rPr>
                <w:szCs w:val="21"/>
                <w:highlight w:val="none"/>
              </w:rPr>
            </w:pPr>
            <w:r>
              <w:rPr>
                <w:rFonts w:hint="eastAsia"/>
                <w:szCs w:val="21"/>
                <w:highlight w:val="none"/>
              </w:rPr>
              <w:t>90</w:t>
            </w:r>
            <w:r>
              <w:rPr>
                <w:rFonts w:hint="eastAsia"/>
                <w:szCs w:val="21"/>
                <w:highlight w:val="none"/>
                <w:lang w:val="en-US" w:eastAsia="zh-CN"/>
              </w:rPr>
              <w:t>日历</w:t>
            </w:r>
            <w:r>
              <w:rPr>
                <w:rFonts w:hint="eastAsia"/>
                <w:szCs w:val="21"/>
                <w:highlight w:val="none"/>
              </w:rPr>
              <w:t>天</w:t>
            </w:r>
          </w:p>
        </w:tc>
      </w:tr>
      <w:tr w14:paraId="23E9F61F">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1448B243">
            <w:pPr>
              <w:spacing w:line="440" w:lineRule="exact"/>
              <w:jc w:val="center"/>
              <w:rPr>
                <w:szCs w:val="21"/>
                <w:highlight w:val="none"/>
              </w:rPr>
            </w:pPr>
            <w:r>
              <w:rPr>
                <w:szCs w:val="21"/>
                <w:highlight w:val="none"/>
              </w:rPr>
              <w:t>3.4.1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185C1B91">
            <w:pPr>
              <w:spacing w:line="440" w:lineRule="exact"/>
              <w:jc w:val="center"/>
              <w:rPr>
                <w:szCs w:val="21"/>
                <w:highlight w:val="none"/>
              </w:rPr>
            </w:pPr>
            <w:r>
              <w:rPr>
                <w:szCs w:val="21"/>
                <w:highlight w:val="none"/>
              </w:rPr>
              <w:t>投标保证金</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14B3B229">
            <w:pPr>
              <w:spacing w:line="440" w:lineRule="exact"/>
              <w:rPr>
                <w:szCs w:val="21"/>
                <w:highlight w:val="none"/>
              </w:rPr>
            </w:pPr>
            <w:r>
              <w:rPr>
                <w:rFonts w:hint="eastAsia"/>
                <w:szCs w:val="21"/>
                <w:highlight w:val="none"/>
              </w:rPr>
              <w:t>投标保证金的</w:t>
            </w:r>
            <w:r>
              <w:rPr>
                <w:szCs w:val="21"/>
                <w:highlight w:val="none"/>
              </w:rPr>
              <w:t>形式：</w:t>
            </w:r>
            <w:r>
              <w:rPr>
                <w:rFonts w:hint="eastAsia"/>
                <w:szCs w:val="21"/>
                <w:highlight w:val="none"/>
                <w:lang w:eastAsia="zh-CN"/>
              </w:rPr>
              <w:t>☑</w:t>
            </w:r>
            <w:r>
              <w:rPr>
                <w:rFonts w:hint="eastAsia"/>
                <w:szCs w:val="21"/>
                <w:highlight w:val="none"/>
              </w:rPr>
              <w:t>电汇 ☑保函</w:t>
            </w:r>
          </w:p>
          <w:p w14:paraId="1E91EA4F">
            <w:pPr>
              <w:spacing w:line="440" w:lineRule="exact"/>
              <w:rPr>
                <w:rFonts w:hint="eastAsia"/>
                <w:szCs w:val="21"/>
                <w:highlight w:val="none"/>
              </w:rPr>
            </w:pPr>
            <w:r>
              <w:rPr>
                <w:rFonts w:hint="eastAsia"/>
                <w:szCs w:val="21"/>
                <w:highlight w:val="none"/>
              </w:rPr>
              <w:t>投标保证金的</w:t>
            </w:r>
            <w:r>
              <w:rPr>
                <w:szCs w:val="21"/>
                <w:highlight w:val="none"/>
              </w:rPr>
              <w:t>金额：</w:t>
            </w:r>
            <w:r>
              <w:rPr>
                <w:rFonts w:hint="eastAsia"/>
                <w:szCs w:val="21"/>
                <w:highlight w:val="none"/>
              </w:rPr>
              <w:t>人民币</w:t>
            </w:r>
            <w:r>
              <w:rPr>
                <w:rFonts w:hint="eastAsia"/>
                <w:szCs w:val="21"/>
                <w:highlight w:val="none"/>
                <w:lang w:val="en-US" w:eastAsia="zh-CN"/>
              </w:rPr>
              <w:t>500</w:t>
            </w:r>
            <w:r>
              <w:rPr>
                <w:rFonts w:hint="eastAsia"/>
                <w:szCs w:val="21"/>
                <w:highlight w:val="none"/>
              </w:rPr>
              <w:t>000.00元。</w:t>
            </w:r>
          </w:p>
          <w:p w14:paraId="410655AA">
            <w:pPr>
              <w:spacing w:line="440" w:lineRule="exact"/>
              <w:rPr>
                <w:rFonts w:hint="eastAsia"/>
                <w:szCs w:val="21"/>
                <w:highlight w:val="none"/>
              </w:rPr>
            </w:pPr>
            <w:r>
              <w:rPr>
                <w:rFonts w:hint="eastAsia"/>
                <w:szCs w:val="21"/>
                <w:highlight w:val="none"/>
              </w:rPr>
              <w:t>（1）电汇：投标保证金必须是从投标人单位的基本账户转入收取投标保证金的账户。</w:t>
            </w:r>
          </w:p>
          <w:p w14:paraId="633EFD0B">
            <w:pPr>
              <w:spacing w:line="440" w:lineRule="exact"/>
              <w:rPr>
                <w:rFonts w:hint="eastAsia"/>
                <w:szCs w:val="21"/>
                <w:highlight w:val="none"/>
              </w:rPr>
            </w:pPr>
            <w:r>
              <w:rPr>
                <w:rFonts w:hint="eastAsia"/>
                <w:szCs w:val="21"/>
                <w:highlight w:val="none"/>
              </w:rPr>
              <w:t>（2）此账户仅为递交投标保证金的账户，汇款时请备注项目编号及款项。</w:t>
            </w:r>
          </w:p>
          <w:p w14:paraId="39828273">
            <w:pPr>
              <w:spacing w:line="440" w:lineRule="exact"/>
              <w:rPr>
                <w:rFonts w:hint="eastAsia"/>
                <w:szCs w:val="21"/>
                <w:highlight w:val="none"/>
              </w:rPr>
            </w:pPr>
            <w:r>
              <w:rPr>
                <w:rFonts w:hint="eastAsia"/>
                <w:szCs w:val="21"/>
                <w:highlight w:val="none"/>
              </w:rPr>
              <w:t>收取投标保证金账号：</w:t>
            </w:r>
          </w:p>
          <w:p w14:paraId="40DFE84D">
            <w:pPr>
              <w:spacing w:line="440" w:lineRule="exact"/>
              <w:rPr>
                <w:rFonts w:hint="eastAsia"/>
                <w:szCs w:val="21"/>
                <w:highlight w:val="none"/>
              </w:rPr>
            </w:pPr>
            <w:r>
              <w:rPr>
                <w:rFonts w:hint="eastAsia"/>
                <w:szCs w:val="21"/>
                <w:highlight w:val="none"/>
              </w:rPr>
              <w:t>账户名称：大连机械设备成套有限公司</w:t>
            </w:r>
          </w:p>
          <w:p w14:paraId="5244489B">
            <w:pPr>
              <w:spacing w:line="440" w:lineRule="exact"/>
              <w:rPr>
                <w:rFonts w:hint="eastAsia"/>
                <w:szCs w:val="21"/>
                <w:highlight w:val="none"/>
              </w:rPr>
            </w:pPr>
            <w:r>
              <w:rPr>
                <w:rFonts w:hint="eastAsia"/>
                <w:szCs w:val="21"/>
                <w:highlight w:val="none"/>
              </w:rPr>
              <w:t>账户名称：农业银行大连高新万达广场支行</w:t>
            </w:r>
          </w:p>
          <w:p w14:paraId="3E7849CC">
            <w:pPr>
              <w:spacing w:line="440" w:lineRule="exact"/>
              <w:rPr>
                <w:rFonts w:hint="eastAsia"/>
                <w:szCs w:val="21"/>
                <w:highlight w:val="none"/>
              </w:rPr>
            </w:pPr>
            <w:r>
              <w:rPr>
                <w:rFonts w:hint="eastAsia"/>
                <w:szCs w:val="21"/>
                <w:highlight w:val="none"/>
              </w:rPr>
              <w:t>账    号：34 06300 10400 05029</w:t>
            </w:r>
          </w:p>
          <w:p w14:paraId="33F8082F">
            <w:pPr>
              <w:spacing w:line="440" w:lineRule="exact"/>
              <w:rPr>
                <w:rFonts w:hint="eastAsia"/>
                <w:szCs w:val="21"/>
                <w:highlight w:val="none"/>
              </w:rPr>
            </w:pPr>
            <w:r>
              <w:rPr>
                <w:rFonts w:hint="eastAsia"/>
                <w:szCs w:val="21"/>
                <w:highlight w:val="none"/>
              </w:rPr>
              <w:t xml:space="preserve">行  </w:t>
            </w:r>
            <w:r>
              <w:rPr>
                <w:rFonts w:hint="eastAsia"/>
                <w:szCs w:val="21"/>
                <w:highlight w:val="none"/>
                <w:lang w:val="en-US" w:eastAsia="zh-CN"/>
              </w:rPr>
              <w:t xml:space="preserve">  </w:t>
            </w:r>
            <w:r>
              <w:rPr>
                <w:rFonts w:hint="eastAsia"/>
                <w:szCs w:val="21"/>
                <w:highlight w:val="none"/>
              </w:rPr>
              <w:t>号：103 222 006 805</w:t>
            </w:r>
          </w:p>
          <w:p w14:paraId="37B16FD2">
            <w:pPr>
              <w:spacing w:line="440" w:lineRule="exact"/>
              <w:rPr>
                <w:rFonts w:hint="eastAsia"/>
                <w:szCs w:val="21"/>
                <w:highlight w:val="none"/>
              </w:rPr>
            </w:pPr>
            <w:r>
              <w:rPr>
                <w:rFonts w:hint="eastAsia"/>
                <w:szCs w:val="21"/>
                <w:highlight w:val="none"/>
              </w:rPr>
              <w:t>客</w:t>
            </w:r>
            <w:r>
              <w:rPr>
                <w:rFonts w:hint="eastAsia"/>
                <w:szCs w:val="21"/>
                <w:highlight w:val="none"/>
                <w:lang w:val="en-US" w:eastAsia="zh-CN"/>
              </w:rPr>
              <w:t xml:space="preserve"> </w:t>
            </w:r>
            <w:r>
              <w:rPr>
                <w:rFonts w:hint="eastAsia"/>
                <w:szCs w:val="21"/>
                <w:highlight w:val="none"/>
              </w:rPr>
              <w:t>户</w:t>
            </w:r>
            <w:r>
              <w:rPr>
                <w:rFonts w:hint="eastAsia"/>
                <w:szCs w:val="21"/>
                <w:highlight w:val="none"/>
                <w:lang w:val="en-US" w:eastAsia="zh-CN"/>
              </w:rPr>
              <w:t xml:space="preserve"> </w:t>
            </w:r>
            <w:r>
              <w:rPr>
                <w:rFonts w:hint="eastAsia"/>
                <w:szCs w:val="21"/>
                <w:highlight w:val="none"/>
              </w:rPr>
              <w:t>号：859 989 501 95</w:t>
            </w:r>
          </w:p>
          <w:p w14:paraId="3AA7F26B">
            <w:pPr>
              <w:spacing w:line="440" w:lineRule="exact"/>
              <w:rPr>
                <w:rFonts w:hint="eastAsia"/>
                <w:szCs w:val="21"/>
                <w:highlight w:val="none"/>
              </w:rPr>
            </w:pPr>
            <w:r>
              <w:rPr>
                <w:rFonts w:hint="eastAsia"/>
                <w:szCs w:val="21"/>
                <w:highlight w:val="none"/>
              </w:rPr>
              <w:t>汇款时请注明招标项目名称及编号，不接受个人名头汇款。</w:t>
            </w:r>
          </w:p>
          <w:p w14:paraId="65E57CD2">
            <w:pPr>
              <w:spacing w:line="440" w:lineRule="exact"/>
              <w:rPr>
                <w:rFonts w:hint="eastAsia"/>
                <w:szCs w:val="21"/>
                <w:highlight w:val="none"/>
              </w:rPr>
            </w:pPr>
            <w:r>
              <w:rPr>
                <w:rFonts w:hint="eastAsia"/>
                <w:szCs w:val="21"/>
                <w:highlight w:val="none"/>
              </w:rPr>
              <w:t>财务电话：0411-83683835</w:t>
            </w:r>
          </w:p>
          <w:p w14:paraId="33A29AA9">
            <w:pPr>
              <w:spacing w:line="440" w:lineRule="exact"/>
              <w:rPr>
                <w:rFonts w:hint="eastAsia"/>
                <w:szCs w:val="21"/>
                <w:highlight w:val="none"/>
              </w:rPr>
            </w:pPr>
            <w:r>
              <w:rPr>
                <w:rFonts w:hint="eastAsia"/>
                <w:szCs w:val="21"/>
                <w:highlight w:val="none"/>
              </w:rPr>
              <w:t>若在投标保证金的递交截止时间前没有收到任何形式的付款，则视为自动放弃此次投标。</w:t>
            </w:r>
          </w:p>
          <w:p w14:paraId="10CE596F">
            <w:pPr>
              <w:spacing w:line="440" w:lineRule="exact"/>
              <w:rPr>
                <w:rFonts w:hint="eastAsia"/>
                <w:szCs w:val="21"/>
                <w:highlight w:val="none"/>
              </w:rPr>
            </w:pPr>
            <w:r>
              <w:rPr>
                <w:rFonts w:hint="eastAsia"/>
                <w:szCs w:val="21"/>
                <w:highlight w:val="none"/>
              </w:rPr>
              <w:t>a.请将投标保证金在投标截止时间前转入收取投标保证金的账户，以到账时间为准。</w:t>
            </w:r>
          </w:p>
          <w:p w14:paraId="169C05C4">
            <w:pPr>
              <w:spacing w:line="440" w:lineRule="exact"/>
              <w:rPr>
                <w:rFonts w:hint="eastAsia"/>
                <w:szCs w:val="21"/>
                <w:highlight w:val="none"/>
              </w:rPr>
            </w:pPr>
            <w:r>
              <w:rPr>
                <w:rFonts w:hint="eastAsia"/>
                <w:szCs w:val="21"/>
                <w:highlight w:val="none"/>
              </w:rPr>
              <w:t>b.投标保证金退还时一律以银行转账方式退回，不退现金。</w:t>
            </w:r>
          </w:p>
          <w:p w14:paraId="0A8A2DC0">
            <w:pPr>
              <w:spacing w:line="440" w:lineRule="exact"/>
              <w:rPr>
                <w:rFonts w:hint="eastAsia"/>
                <w:szCs w:val="21"/>
                <w:highlight w:val="none"/>
              </w:rPr>
            </w:pPr>
            <w:r>
              <w:rPr>
                <w:rFonts w:hint="eastAsia"/>
                <w:szCs w:val="21"/>
                <w:highlight w:val="none"/>
              </w:rPr>
              <w:t>c.投标保证金的退还事宜请与招标代理机构联系，电话：0411-83683835。</w:t>
            </w:r>
          </w:p>
          <w:p w14:paraId="775A113D">
            <w:pPr>
              <w:spacing w:line="440" w:lineRule="exact"/>
              <w:rPr>
                <w:rFonts w:hint="eastAsia"/>
                <w:szCs w:val="21"/>
                <w:highlight w:val="none"/>
              </w:rPr>
            </w:pPr>
            <w:r>
              <w:rPr>
                <w:rFonts w:hint="eastAsia"/>
                <w:szCs w:val="21"/>
                <w:highlight w:val="none"/>
              </w:rPr>
              <w:t>（2）保函（包括：银行业金融机构保函、担保公司担保保函等）</w:t>
            </w:r>
          </w:p>
          <w:p w14:paraId="4968E8E5">
            <w:pPr>
              <w:spacing w:line="440" w:lineRule="exact"/>
              <w:rPr>
                <w:rFonts w:hint="eastAsia"/>
                <w:szCs w:val="21"/>
                <w:highlight w:val="none"/>
              </w:rPr>
            </w:pPr>
            <w:r>
              <w:rPr>
                <w:rFonts w:hint="eastAsia"/>
                <w:szCs w:val="21"/>
                <w:highlight w:val="none"/>
              </w:rPr>
              <w:t>递交要求：投标人须将有效的保函及投标人的基本账户开户许可证（或基本存款账户信息）的原件扫描件或截图编制在招标文件指定位置中。</w:t>
            </w:r>
          </w:p>
          <w:p w14:paraId="7BF06988">
            <w:pPr>
              <w:spacing w:line="440" w:lineRule="exact"/>
              <w:rPr>
                <w:szCs w:val="21"/>
                <w:highlight w:val="none"/>
              </w:rPr>
            </w:pPr>
            <w:r>
              <w:rPr>
                <w:rFonts w:hint="eastAsia"/>
                <w:szCs w:val="21"/>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w:t>
            </w:r>
            <w:r>
              <w:rPr>
                <w:rFonts w:hint="eastAsia"/>
                <w:szCs w:val="21"/>
                <w:highlight w:val="none"/>
                <w:lang w:val="en-US" w:eastAsia="zh-CN"/>
              </w:rPr>
              <w:t>dljxsbcttt</w:t>
            </w:r>
            <w:r>
              <w:rPr>
                <w:rFonts w:hint="eastAsia"/>
                <w:szCs w:val="21"/>
                <w:highlight w:val="none"/>
              </w:rPr>
              <w:t>@</w:t>
            </w:r>
            <w:r>
              <w:rPr>
                <w:rFonts w:hint="eastAsia"/>
                <w:szCs w:val="21"/>
                <w:highlight w:val="none"/>
                <w:lang w:val="en-US" w:eastAsia="zh-CN"/>
              </w:rPr>
              <w:t>163</w:t>
            </w:r>
            <w:r>
              <w:rPr>
                <w:rFonts w:hint="eastAsia"/>
                <w:szCs w:val="21"/>
                <w:highlight w:val="none"/>
              </w:rPr>
              <w:t>.com，联系电话：0411- 83608842-121、</w:t>
            </w:r>
            <w:r>
              <w:rPr>
                <w:rFonts w:hint="eastAsia"/>
                <w:szCs w:val="21"/>
                <w:highlight w:val="none"/>
                <w:lang w:val="en-US" w:eastAsia="zh-CN"/>
              </w:rPr>
              <w:t>122、</w:t>
            </w:r>
            <w:r>
              <w:rPr>
                <w:rFonts w:hint="eastAsia"/>
                <w:szCs w:val="21"/>
                <w:highlight w:val="none"/>
              </w:rPr>
              <w:t>123，邮件主题和正文需注明投标单位名称和项目名称。</w:t>
            </w:r>
          </w:p>
        </w:tc>
      </w:tr>
      <w:tr w14:paraId="5ECFAD06">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41C35676">
            <w:pPr>
              <w:spacing w:line="440" w:lineRule="exact"/>
              <w:jc w:val="center"/>
              <w:rPr>
                <w:szCs w:val="21"/>
                <w:highlight w:val="none"/>
              </w:rPr>
            </w:pPr>
            <w:r>
              <w:rPr>
                <w:szCs w:val="21"/>
                <w:highlight w:val="none"/>
              </w:rPr>
              <w:t>3.5.</w:t>
            </w:r>
            <w:r>
              <w:rPr>
                <w:rFonts w:hint="eastAsia"/>
                <w:szCs w:val="21"/>
                <w:highlight w:val="none"/>
              </w:rPr>
              <w:t>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652074B6">
            <w:pPr>
              <w:spacing w:line="440" w:lineRule="exact"/>
              <w:jc w:val="center"/>
              <w:rPr>
                <w:rFonts w:hint="eastAsia"/>
                <w:szCs w:val="21"/>
                <w:highlight w:val="none"/>
              </w:rPr>
            </w:pPr>
            <w:r>
              <w:rPr>
                <w:szCs w:val="21"/>
                <w:highlight w:val="none"/>
              </w:rPr>
              <w:t>近年</w:t>
            </w:r>
            <w:bookmarkStart w:id="69" w:name="OLE_LINK10"/>
            <w:r>
              <w:rPr>
                <w:szCs w:val="21"/>
                <w:highlight w:val="none"/>
              </w:rPr>
              <w:t>财务状况</w:t>
            </w:r>
            <w:bookmarkEnd w:id="69"/>
            <w:r>
              <w:rPr>
                <w:rFonts w:hint="eastAsia"/>
                <w:szCs w:val="21"/>
                <w:highlight w:val="none"/>
              </w:rPr>
              <w:t>的年份要求</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1CDE1D56">
            <w:pPr>
              <w:spacing w:line="440" w:lineRule="exact"/>
              <w:rPr>
                <w:rFonts w:hint="eastAsia" w:eastAsia="宋体"/>
                <w:szCs w:val="21"/>
                <w:highlight w:val="none"/>
                <w:lang w:eastAsia="zh-CN"/>
              </w:rPr>
            </w:pPr>
            <w:r>
              <w:rPr>
                <w:rFonts w:hint="eastAsia" w:eastAsia="宋体"/>
                <w:szCs w:val="21"/>
                <w:highlight w:val="none"/>
                <w:lang w:val="en-US" w:eastAsia="zh-CN"/>
              </w:rPr>
              <w:t>详见</w:t>
            </w:r>
            <w:r>
              <w:rPr>
                <w:rFonts w:hint="eastAsia" w:eastAsia="宋体"/>
                <w:szCs w:val="21"/>
                <w:highlight w:val="none"/>
                <w:lang w:eastAsia="zh-CN"/>
              </w:rPr>
              <w:t>评标办法</w:t>
            </w:r>
          </w:p>
        </w:tc>
      </w:tr>
      <w:tr w14:paraId="0D5A9C96">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5EDB56F3">
            <w:pPr>
              <w:spacing w:line="440" w:lineRule="exact"/>
              <w:jc w:val="center"/>
              <w:rPr>
                <w:szCs w:val="21"/>
                <w:highlight w:val="none"/>
              </w:rPr>
            </w:pPr>
            <w:r>
              <w:rPr>
                <w:szCs w:val="21"/>
                <w:highlight w:val="none"/>
              </w:rPr>
              <w:t>3.5.</w:t>
            </w:r>
            <w:r>
              <w:rPr>
                <w:rFonts w:hint="eastAsia"/>
                <w:szCs w:val="21"/>
                <w:highlight w:val="none"/>
              </w:rPr>
              <w:t>3</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38D00B5C">
            <w:pPr>
              <w:spacing w:line="440" w:lineRule="exact"/>
              <w:jc w:val="center"/>
              <w:rPr>
                <w:rFonts w:hint="eastAsia"/>
                <w:color w:val="auto"/>
                <w:szCs w:val="21"/>
                <w:highlight w:val="none"/>
              </w:rPr>
            </w:pPr>
            <w:r>
              <w:rPr>
                <w:color w:val="auto"/>
                <w:szCs w:val="21"/>
                <w:highlight w:val="none"/>
              </w:rPr>
              <w:t>近年完成的类似项目</w:t>
            </w:r>
            <w:r>
              <w:rPr>
                <w:rFonts w:hint="eastAsia"/>
                <w:color w:val="auto"/>
                <w:szCs w:val="21"/>
                <w:highlight w:val="none"/>
              </w:rPr>
              <w:t>的年份要求</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5B25CF3A">
            <w:pPr>
              <w:spacing w:line="440" w:lineRule="exact"/>
              <w:rPr>
                <w:color w:val="auto"/>
                <w:szCs w:val="21"/>
                <w:highlight w:val="none"/>
              </w:rPr>
            </w:pPr>
            <w:r>
              <w:rPr>
                <w:rFonts w:hint="eastAsia" w:eastAsia="宋体"/>
                <w:szCs w:val="21"/>
                <w:highlight w:val="none"/>
                <w:lang w:val="en-US" w:eastAsia="zh-CN"/>
              </w:rPr>
              <w:t>详见</w:t>
            </w:r>
            <w:r>
              <w:rPr>
                <w:rFonts w:hint="eastAsia" w:eastAsia="宋体"/>
                <w:szCs w:val="21"/>
                <w:highlight w:val="none"/>
                <w:lang w:eastAsia="zh-CN"/>
              </w:rPr>
              <w:t>评标办法</w:t>
            </w:r>
          </w:p>
        </w:tc>
      </w:tr>
      <w:tr w14:paraId="3C50938D">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6951AC5D">
            <w:pPr>
              <w:spacing w:line="440" w:lineRule="exact"/>
              <w:jc w:val="center"/>
              <w:rPr>
                <w:szCs w:val="21"/>
                <w:highlight w:val="none"/>
              </w:rPr>
            </w:pPr>
            <w:r>
              <w:rPr>
                <w:szCs w:val="21"/>
                <w:highlight w:val="none"/>
              </w:rPr>
              <w:t>3.5.</w:t>
            </w:r>
            <w:r>
              <w:rPr>
                <w:rFonts w:hint="eastAsia"/>
                <w:szCs w:val="21"/>
                <w:highlight w:val="none"/>
              </w:rPr>
              <w:t>5</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1EE1C2A6">
            <w:pPr>
              <w:spacing w:line="440" w:lineRule="exact"/>
              <w:jc w:val="center"/>
              <w:rPr>
                <w:rFonts w:hint="eastAsia"/>
                <w:szCs w:val="21"/>
                <w:highlight w:val="none"/>
              </w:rPr>
            </w:pPr>
            <w:r>
              <w:rPr>
                <w:szCs w:val="21"/>
                <w:highlight w:val="none"/>
              </w:rPr>
              <w:t>近年发生的诉讼及仲裁情况</w:t>
            </w:r>
            <w:r>
              <w:rPr>
                <w:rFonts w:hint="eastAsia"/>
                <w:szCs w:val="21"/>
                <w:highlight w:val="none"/>
              </w:rPr>
              <w:t>的年份要求</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627944CF">
            <w:pPr>
              <w:spacing w:line="440" w:lineRule="exact"/>
              <w:rPr>
                <w:rFonts w:hint="default" w:eastAsia="宋体"/>
                <w:szCs w:val="21"/>
                <w:highlight w:val="none"/>
                <w:lang w:val="en-US" w:eastAsia="zh-CN"/>
              </w:rPr>
            </w:pPr>
            <w:r>
              <w:rPr>
                <w:rFonts w:hint="eastAsia"/>
                <w:color w:val="auto"/>
                <w:szCs w:val="21"/>
                <w:highlight w:val="none"/>
                <w:lang w:val="en-US" w:eastAsia="zh-CN"/>
              </w:rPr>
              <w:t>详见招标文件</w:t>
            </w:r>
          </w:p>
        </w:tc>
      </w:tr>
      <w:tr w14:paraId="5367D18A">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52CA4096">
            <w:pPr>
              <w:spacing w:line="440" w:lineRule="exact"/>
              <w:jc w:val="center"/>
              <w:rPr>
                <w:szCs w:val="21"/>
                <w:highlight w:val="none"/>
              </w:rPr>
            </w:pPr>
            <w:r>
              <w:rPr>
                <w:szCs w:val="21"/>
                <w:highlight w:val="none"/>
              </w:rPr>
              <w:t>3.6</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5AB1DF4A">
            <w:pPr>
              <w:spacing w:line="440" w:lineRule="exact"/>
              <w:jc w:val="center"/>
              <w:rPr>
                <w:szCs w:val="21"/>
                <w:highlight w:val="none"/>
              </w:rPr>
            </w:pPr>
            <w:r>
              <w:rPr>
                <w:szCs w:val="21"/>
                <w:highlight w:val="none"/>
              </w:rPr>
              <w:t>是否允许</w:t>
            </w:r>
            <w:r>
              <w:rPr>
                <w:rFonts w:hint="eastAsia"/>
                <w:szCs w:val="21"/>
                <w:highlight w:val="none"/>
              </w:rPr>
              <w:t>递交备</w:t>
            </w:r>
            <w:r>
              <w:rPr>
                <w:szCs w:val="21"/>
                <w:highlight w:val="none"/>
              </w:rPr>
              <w:t>选投标方案</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623EA1ED">
            <w:pPr>
              <w:pStyle w:val="14"/>
              <w:topLinePunct/>
              <w:spacing w:line="400" w:lineRule="exact"/>
              <w:rPr>
                <w:rFonts w:hint="eastAsia" w:ascii="Times New Roman"/>
                <w:sz w:val="21"/>
                <w:szCs w:val="21"/>
                <w:highlight w:val="none"/>
              </w:rPr>
            </w:pPr>
            <w:r>
              <w:rPr>
                <w:rFonts w:hint="eastAsia" w:ascii="Times New Roman"/>
                <w:sz w:val="21"/>
                <w:szCs w:val="21"/>
                <w:highlight w:val="none"/>
              </w:rPr>
              <w:t>☑不允许</w:t>
            </w:r>
          </w:p>
          <w:p w14:paraId="18BC0890">
            <w:pPr>
              <w:spacing w:line="440" w:lineRule="exact"/>
              <w:rPr>
                <w:szCs w:val="21"/>
                <w:highlight w:val="none"/>
              </w:rPr>
            </w:pPr>
            <w:r>
              <w:rPr>
                <w:sz w:val="32"/>
                <w:szCs w:val="32"/>
                <w:highlight w:val="none"/>
              </w:rPr>
              <w:t>□</w:t>
            </w:r>
            <w:r>
              <w:rPr>
                <w:rFonts w:hint="eastAsia"/>
                <w:szCs w:val="21"/>
                <w:highlight w:val="none"/>
              </w:rPr>
              <w:t>允许</w:t>
            </w:r>
          </w:p>
        </w:tc>
      </w:tr>
      <w:tr w14:paraId="4F822C8B">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68F493C0">
            <w:pPr>
              <w:spacing w:line="440" w:lineRule="exact"/>
              <w:jc w:val="center"/>
              <w:rPr>
                <w:szCs w:val="21"/>
                <w:highlight w:val="none"/>
              </w:rPr>
            </w:pPr>
            <w:r>
              <w:rPr>
                <w:szCs w:val="21"/>
                <w:highlight w:val="none"/>
              </w:rPr>
              <w:t>3.7.3</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534463E">
            <w:pPr>
              <w:spacing w:line="440" w:lineRule="exact"/>
              <w:jc w:val="center"/>
              <w:rPr>
                <w:szCs w:val="21"/>
                <w:highlight w:val="none"/>
              </w:rPr>
            </w:pPr>
            <w:r>
              <w:rPr>
                <w:szCs w:val="21"/>
                <w:highlight w:val="none"/>
              </w:rPr>
              <w:t>签字或盖章要求</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6D21AA49">
            <w:pPr>
              <w:spacing w:line="440" w:lineRule="exact"/>
              <w:rPr>
                <w:szCs w:val="21"/>
                <w:highlight w:val="none"/>
              </w:rPr>
            </w:pPr>
            <w:r>
              <w:rPr>
                <w:rFonts w:hint="eastAsia"/>
                <w:szCs w:val="21"/>
                <w:highlight w:val="none"/>
              </w:rPr>
              <w:t>电子文件CA印章签章</w:t>
            </w:r>
            <w:r>
              <w:rPr>
                <w:rFonts w:hint="eastAsia"/>
                <w:szCs w:val="21"/>
                <w:highlight w:val="none"/>
                <w:lang w:eastAsia="zh-CN"/>
              </w:rPr>
              <w:t>。</w:t>
            </w:r>
            <w:r>
              <w:rPr>
                <w:rFonts w:hint="eastAsia"/>
                <w:szCs w:val="21"/>
                <w:highlight w:val="none"/>
              </w:rPr>
              <w:t>制作电子标书时如遇到需要签字而电子版无法签字时，请在纸质文件上签好后扫描至电子标书。</w:t>
            </w:r>
          </w:p>
        </w:tc>
      </w:tr>
      <w:tr w14:paraId="30309D92">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4697A126">
            <w:pPr>
              <w:spacing w:line="440" w:lineRule="exact"/>
              <w:jc w:val="center"/>
              <w:rPr>
                <w:szCs w:val="21"/>
                <w:highlight w:val="none"/>
              </w:rPr>
            </w:pPr>
            <w:r>
              <w:rPr>
                <w:szCs w:val="21"/>
                <w:highlight w:val="none"/>
              </w:rPr>
              <w:t>3.7.4</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83B11B9">
            <w:pPr>
              <w:spacing w:line="440" w:lineRule="exact"/>
              <w:jc w:val="center"/>
              <w:rPr>
                <w:szCs w:val="21"/>
                <w:highlight w:val="none"/>
              </w:rPr>
            </w:pPr>
            <w:bookmarkStart w:id="70" w:name="OLE_LINK11"/>
            <w:r>
              <w:rPr>
                <w:szCs w:val="21"/>
                <w:highlight w:val="none"/>
              </w:rPr>
              <w:t>投标文件</w:t>
            </w:r>
            <w:bookmarkEnd w:id="70"/>
            <w:r>
              <w:rPr>
                <w:szCs w:val="21"/>
                <w:highlight w:val="none"/>
              </w:rPr>
              <w:t>份数</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75E81C81">
            <w:pPr>
              <w:spacing w:line="440" w:lineRule="exact"/>
              <w:rPr>
                <w:rFonts w:hint="eastAsia"/>
                <w:szCs w:val="21"/>
                <w:highlight w:val="none"/>
              </w:rPr>
            </w:pPr>
            <w:r>
              <w:rPr>
                <w:rFonts w:hint="eastAsia"/>
                <w:szCs w:val="21"/>
                <w:highlight w:val="none"/>
              </w:rPr>
              <w:t>1、正本</w:t>
            </w:r>
            <w:r>
              <w:rPr>
                <w:rFonts w:hint="eastAsia"/>
                <w:szCs w:val="21"/>
                <w:highlight w:val="none"/>
                <w:u w:val="single"/>
              </w:rPr>
              <w:t>壹</w:t>
            </w:r>
            <w:r>
              <w:rPr>
                <w:rFonts w:hint="eastAsia"/>
                <w:szCs w:val="21"/>
                <w:highlight w:val="none"/>
              </w:rPr>
              <w:t>本，副本</w:t>
            </w:r>
            <w:r>
              <w:rPr>
                <w:rFonts w:hint="eastAsia"/>
                <w:szCs w:val="21"/>
                <w:highlight w:val="none"/>
                <w:u w:val="single"/>
              </w:rPr>
              <w:t>肆</w:t>
            </w:r>
            <w:r>
              <w:rPr>
                <w:rFonts w:hint="eastAsia"/>
                <w:szCs w:val="21"/>
                <w:highlight w:val="none"/>
              </w:rPr>
              <w:t>本，封面应分别注明正、副本字样。</w:t>
            </w:r>
          </w:p>
          <w:p w14:paraId="036AC03C">
            <w:pPr>
              <w:spacing w:line="440" w:lineRule="exact"/>
              <w:rPr>
                <w:rFonts w:hint="eastAsia"/>
                <w:szCs w:val="21"/>
                <w:highlight w:val="none"/>
              </w:rPr>
            </w:pPr>
            <w:r>
              <w:rPr>
                <w:rFonts w:hint="eastAsia"/>
                <w:szCs w:val="21"/>
                <w:highlight w:val="none"/>
              </w:rPr>
              <w:t>2、投标文件电子文档贰份</w:t>
            </w:r>
            <w:r>
              <w:rPr>
                <w:rFonts w:hint="eastAsia"/>
                <w:szCs w:val="21"/>
                <w:highlight w:val="none"/>
                <w:lang w:eastAsia="zh-CN"/>
              </w:rPr>
              <w:t>（</w:t>
            </w:r>
            <w:r>
              <w:rPr>
                <w:rFonts w:hint="eastAsia"/>
                <w:szCs w:val="21"/>
                <w:highlight w:val="none"/>
              </w:rPr>
              <w:t>U 盘word 版一份，加盖公章的PDF 版一份）。</w:t>
            </w:r>
          </w:p>
          <w:p w14:paraId="76EE6D8A">
            <w:pPr>
              <w:spacing w:line="440" w:lineRule="exact"/>
              <w:rPr>
                <w:szCs w:val="21"/>
                <w:highlight w:val="none"/>
              </w:rPr>
            </w:pPr>
            <w:r>
              <w:rPr>
                <w:rFonts w:hint="eastAsia"/>
                <w:szCs w:val="21"/>
                <w:highlight w:val="none"/>
              </w:rPr>
              <w:t>3、仅由中标人提供</w:t>
            </w:r>
            <w:r>
              <w:rPr>
                <w:rFonts w:hint="eastAsia"/>
                <w:szCs w:val="21"/>
                <w:highlight w:val="none"/>
                <w:lang w:eastAsia="zh-CN"/>
              </w:rPr>
              <w:t>（</w:t>
            </w:r>
            <w:r>
              <w:rPr>
                <w:rFonts w:hint="eastAsia"/>
                <w:szCs w:val="21"/>
                <w:highlight w:val="none"/>
                <w:lang w:val="en-US" w:eastAsia="zh-CN"/>
              </w:rPr>
              <w:t>中标结果公告发布后提供）</w:t>
            </w:r>
            <w:r>
              <w:rPr>
                <w:rFonts w:hint="eastAsia"/>
                <w:szCs w:val="21"/>
                <w:highlight w:val="none"/>
              </w:rPr>
              <w:t>。</w:t>
            </w:r>
          </w:p>
        </w:tc>
      </w:tr>
      <w:tr w14:paraId="5C701F86">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21A72C5D">
            <w:pPr>
              <w:spacing w:line="440" w:lineRule="exact"/>
              <w:jc w:val="center"/>
              <w:rPr>
                <w:szCs w:val="21"/>
                <w:highlight w:val="none"/>
              </w:rPr>
            </w:pPr>
            <w:r>
              <w:rPr>
                <w:szCs w:val="21"/>
                <w:highlight w:val="none"/>
              </w:rPr>
              <w:t>3.7.5</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158C7C3D">
            <w:pPr>
              <w:spacing w:line="440" w:lineRule="exact"/>
              <w:jc w:val="center"/>
              <w:rPr>
                <w:szCs w:val="21"/>
                <w:highlight w:val="none"/>
              </w:rPr>
            </w:pPr>
            <w:r>
              <w:rPr>
                <w:szCs w:val="21"/>
                <w:highlight w:val="none"/>
              </w:rPr>
              <w:t>装订要求</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0B2B531D">
            <w:pPr>
              <w:spacing w:line="440" w:lineRule="exact"/>
              <w:rPr>
                <w:rFonts w:hint="eastAsia" w:eastAsia="宋体"/>
                <w:szCs w:val="21"/>
                <w:highlight w:val="none"/>
                <w:lang w:val="en-US" w:eastAsia="zh-CN"/>
              </w:rPr>
            </w:pPr>
            <w:r>
              <w:rPr>
                <w:rFonts w:hint="eastAsia"/>
                <w:szCs w:val="21"/>
                <w:highlight w:val="none"/>
                <w:lang w:val="en-US" w:eastAsia="zh-CN"/>
              </w:rPr>
              <w:t>纸质</w:t>
            </w:r>
            <w:r>
              <w:rPr>
                <w:szCs w:val="21"/>
                <w:highlight w:val="none"/>
              </w:rPr>
              <w:t>投标文件</w:t>
            </w:r>
            <w:r>
              <w:rPr>
                <w:rFonts w:hint="eastAsia"/>
                <w:szCs w:val="21"/>
                <w:highlight w:val="none"/>
                <w:lang w:val="en-US" w:eastAsia="zh-CN"/>
              </w:rPr>
              <w:t>正副本均应采用胶封。</w:t>
            </w:r>
          </w:p>
        </w:tc>
      </w:tr>
      <w:tr w14:paraId="4D6CC30F">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7EA74C56">
            <w:pPr>
              <w:spacing w:line="440" w:lineRule="exact"/>
              <w:jc w:val="center"/>
              <w:rPr>
                <w:szCs w:val="21"/>
                <w:highlight w:val="none"/>
              </w:rPr>
            </w:pPr>
            <w:r>
              <w:rPr>
                <w:szCs w:val="21"/>
                <w:highlight w:val="none"/>
              </w:rPr>
              <w:t>4.1.2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3E9F492A">
            <w:pPr>
              <w:spacing w:line="440" w:lineRule="exact"/>
              <w:jc w:val="center"/>
              <w:rPr>
                <w:szCs w:val="21"/>
                <w:highlight w:val="none"/>
              </w:rPr>
            </w:pPr>
            <w:r>
              <w:rPr>
                <w:szCs w:val="21"/>
                <w:highlight w:val="none"/>
              </w:rPr>
              <w:t>封套上写明</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6004239D">
            <w:pPr>
              <w:spacing w:line="440" w:lineRule="exact"/>
              <w:rPr>
                <w:rFonts w:hint="eastAsia" w:eastAsia="宋体"/>
                <w:szCs w:val="21"/>
                <w:highlight w:val="none"/>
                <w:lang w:val="en-US" w:eastAsia="zh-CN"/>
              </w:rPr>
            </w:pPr>
            <w:r>
              <w:rPr>
                <w:rFonts w:hint="eastAsia"/>
                <w:szCs w:val="21"/>
                <w:highlight w:val="none"/>
                <w:lang w:val="en-US" w:eastAsia="zh-CN"/>
              </w:rPr>
              <w:t>无</w:t>
            </w:r>
          </w:p>
        </w:tc>
      </w:tr>
      <w:tr w14:paraId="69D870DC">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4332CC0C">
            <w:pPr>
              <w:spacing w:line="440" w:lineRule="exact"/>
              <w:jc w:val="center"/>
              <w:rPr>
                <w:szCs w:val="21"/>
                <w:highlight w:val="none"/>
              </w:rPr>
            </w:pPr>
            <w:r>
              <w:rPr>
                <w:szCs w:val="21"/>
                <w:highlight w:val="none"/>
              </w:rPr>
              <w:t>4.2.2</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4652467A">
            <w:pPr>
              <w:spacing w:line="440" w:lineRule="exact"/>
              <w:jc w:val="center"/>
              <w:rPr>
                <w:szCs w:val="21"/>
                <w:highlight w:val="none"/>
              </w:rPr>
            </w:pPr>
            <w:r>
              <w:rPr>
                <w:szCs w:val="21"/>
                <w:highlight w:val="none"/>
              </w:rPr>
              <w:t>递交投标文件地点</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2FF4A56E">
            <w:pPr>
              <w:spacing w:line="440" w:lineRule="exact"/>
              <w:rPr>
                <w:szCs w:val="21"/>
                <w:highlight w:val="none"/>
              </w:rPr>
            </w:pPr>
            <w:bookmarkStart w:id="71" w:name="OLE_LINK13"/>
            <w:r>
              <w:rPr>
                <w:rFonts w:hint="eastAsia"/>
                <w:szCs w:val="21"/>
                <w:highlight w:val="none"/>
              </w:rPr>
              <w:t>在“辽宁省公共资源交易一张网电子化平台（https://www.lnsggzy.com/EpointSSO/login/oauth2login）”上传投标文件。</w:t>
            </w:r>
            <w:bookmarkEnd w:id="71"/>
          </w:p>
        </w:tc>
      </w:tr>
      <w:tr w14:paraId="2378F64F">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3DD120AA">
            <w:pPr>
              <w:spacing w:line="440" w:lineRule="exact"/>
              <w:jc w:val="center"/>
              <w:rPr>
                <w:szCs w:val="21"/>
                <w:highlight w:val="none"/>
              </w:rPr>
            </w:pPr>
            <w:r>
              <w:rPr>
                <w:szCs w:val="21"/>
                <w:highlight w:val="none"/>
              </w:rPr>
              <w:t>4.2.3</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22BB8EC6">
            <w:pPr>
              <w:spacing w:line="440" w:lineRule="exact"/>
              <w:jc w:val="center"/>
              <w:rPr>
                <w:szCs w:val="21"/>
                <w:highlight w:val="none"/>
              </w:rPr>
            </w:pPr>
            <w:r>
              <w:rPr>
                <w:szCs w:val="21"/>
                <w:highlight w:val="none"/>
              </w:rPr>
              <w:t>是否退还投标文件</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4B472CF6">
            <w:pPr>
              <w:pStyle w:val="14"/>
              <w:topLinePunct/>
              <w:spacing w:line="400" w:lineRule="exact"/>
              <w:rPr>
                <w:rFonts w:hint="eastAsia" w:ascii="Times New Roman"/>
                <w:sz w:val="21"/>
                <w:szCs w:val="21"/>
                <w:highlight w:val="none"/>
              </w:rPr>
            </w:pPr>
            <w:bookmarkStart w:id="72" w:name="OLE_LINK14"/>
            <w:r>
              <w:rPr>
                <w:rFonts w:hint="eastAsia" w:ascii="Times New Roman"/>
                <w:sz w:val="21"/>
                <w:szCs w:val="21"/>
                <w:highlight w:val="none"/>
              </w:rPr>
              <w:t>☑</w:t>
            </w:r>
            <w:bookmarkEnd w:id="72"/>
            <w:r>
              <w:rPr>
                <w:rFonts w:hint="eastAsia" w:ascii="Times New Roman"/>
                <w:sz w:val="21"/>
                <w:szCs w:val="21"/>
                <w:highlight w:val="none"/>
              </w:rPr>
              <w:t>否</w:t>
            </w:r>
          </w:p>
          <w:p w14:paraId="7DFE4690">
            <w:pPr>
              <w:spacing w:line="440" w:lineRule="exact"/>
              <w:rPr>
                <w:szCs w:val="21"/>
                <w:highlight w:val="none"/>
              </w:rPr>
            </w:pPr>
            <w:r>
              <w:rPr>
                <w:sz w:val="32"/>
                <w:szCs w:val="32"/>
                <w:highlight w:val="none"/>
              </w:rPr>
              <w:t>□</w:t>
            </w:r>
            <w:r>
              <w:rPr>
                <w:rFonts w:hint="eastAsia"/>
                <w:szCs w:val="21"/>
                <w:highlight w:val="none"/>
              </w:rPr>
              <w:t>是</w:t>
            </w:r>
          </w:p>
        </w:tc>
      </w:tr>
      <w:tr w14:paraId="1457B53A">
        <w:tblPrEx>
          <w:tblCellMar>
            <w:top w:w="0" w:type="dxa"/>
            <w:left w:w="108" w:type="dxa"/>
            <w:bottom w:w="0" w:type="dxa"/>
            <w:right w:w="108" w:type="dxa"/>
          </w:tblCellMar>
        </w:tblPrEx>
        <w:trPr>
          <w:trHeight w:val="880" w:hRule="atLeast"/>
        </w:trPr>
        <w:tc>
          <w:tcPr>
            <w:tcW w:w="473" w:type="pct"/>
            <w:tcBorders>
              <w:top w:val="single" w:color="auto" w:sz="4" w:space="0"/>
              <w:left w:val="single" w:color="auto" w:sz="4" w:space="0"/>
              <w:right w:val="single" w:color="auto" w:sz="4" w:space="0"/>
            </w:tcBorders>
            <w:noWrap w:val="0"/>
            <w:vAlign w:val="center"/>
          </w:tcPr>
          <w:p w14:paraId="13E8A70E">
            <w:pPr>
              <w:spacing w:line="440" w:lineRule="exact"/>
              <w:jc w:val="center"/>
              <w:rPr>
                <w:rFonts w:hint="eastAsia"/>
                <w:szCs w:val="21"/>
                <w:highlight w:val="none"/>
              </w:rPr>
            </w:pPr>
            <w:r>
              <w:rPr>
                <w:szCs w:val="21"/>
                <w:highlight w:val="none"/>
              </w:rPr>
              <w:t>5.1</w:t>
            </w:r>
          </w:p>
        </w:tc>
        <w:tc>
          <w:tcPr>
            <w:tcW w:w="1178" w:type="pct"/>
            <w:tcBorders>
              <w:top w:val="single" w:color="auto" w:sz="4" w:space="0"/>
              <w:left w:val="single" w:color="auto" w:sz="4" w:space="0"/>
              <w:right w:val="single" w:color="auto" w:sz="4" w:space="0"/>
            </w:tcBorders>
            <w:noWrap w:val="0"/>
            <w:vAlign w:val="center"/>
          </w:tcPr>
          <w:p w14:paraId="1099B68D">
            <w:pPr>
              <w:spacing w:line="440" w:lineRule="exact"/>
              <w:jc w:val="center"/>
              <w:rPr>
                <w:szCs w:val="21"/>
                <w:highlight w:val="none"/>
              </w:rPr>
            </w:pPr>
            <w:r>
              <w:rPr>
                <w:rFonts w:hint="eastAsia"/>
                <w:szCs w:val="21"/>
                <w:highlight w:val="none"/>
              </w:rPr>
              <w:t>开标时间和地点</w:t>
            </w:r>
          </w:p>
        </w:tc>
        <w:tc>
          <w:tcPr>
            <w:tcW w:w="3347" w:type="pct"/>
            <w:tcBorders>
              <w:top w:val="single" w:color="auto" w:sz="4" w:space="0"/>
              <w:left w:val="single" w:color="auto" w:sz="4" w:space="0"/>
              <w:right w:val="single" w:color="auto" w:sz="4" w:space="0"/>
            </w:tcBorders>
            <w:noWrap w:val="0"/>
            <w:vAlign w:val="center"/>
          </w:tcPr>
          <w:p w14:paraId="58FB2291">
            <w:pPr>
              <w:spacing w:line="440" w:lineRule="exact"/>
              <w:rPr>
                <w:szCs w:val="21"/>
                <w:highlight w:val="none"/>
              </w:rPr>
            </w:pPr>
            <w:r>
              <w:rPr>
                <w:szCs w:val="21"/>
                <w:highlight w:val="none"/>
              </w:rPr>
              <w:t>开标时间</w:t>
            </w:r>
            <w:r>
              <w:rPr>
                <w:rFonts w:hint="eastAsia"/>
                <w:szCs w:val="21"/>
                <w:highlight w:val="none"/>
              </w:rPr>
              <w:t>：</w:t>
            </w:r>
            <w:r>
              <w:rPr>
                <w:rFonts w:hint="eastAsia"/>
                <w:szCs w:val="21"/>
                <w:highlight w:val="none"/>
                <w:u w:val="single"/>
              </w:rPr>
              <w:t xml:space="preserve"> </w:t>
            </w:r>
            <w:r>
              <w:rPr>
                <w:rFonts w:hint="eastAsia"/>
                <w:szCs w:val="21"/>
                <w:highlight w:val="none"/>
                <w:u w:val="single"/>
                <w:lang w:val="en-US" w:eastAsia="zh-CN"/>
              </w:rPr>
              <w:t>2025</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XX</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XX</w:t>
            </w:r>
            <w:r>
              <w:rPr>
                <w:rFonts w:hint="eastAsia"/>
                <w:szCs w:val="21"/>
                <w:highlight w:val="none"/>
                <w:u w:val="single"/>
              </w:rPr>
              <w:t xml:space="preserve"> </w:t>
            </w:r>
            <w:r>
              <w:rPr>
                <w:rFonts w:hint="eastAsia"/>
                <w:szCs w:val="21"/>
                <w:highlight w:val="none"/>
              </w:rPr>
              <w:t>日</w:t>
            </w:r>
            <w:r>
              <w:rPr>
                <w:rFonts w:hint="eastAsia"/>
                <w:szCs w:val="21"/>
                <w:highlight w:val="none"/>
                <w:u w:val="single"/>
              </w:rPr>
              <w:t xml:space="preserve"> </w:t>
            </w:r>
            <w:r>
              <w:rPr>
                <w:rFonts w:hint="eastAsia"/>
                <w:szCs w:val="21"/>
                <w:highlight w:val="none"/>
                <w:u w:val="single"/>
                <w:lang w:val="en-US" w:eastAsia="zh-CN"/>
              </w:rPr>
              <w:t>09</w:t>
            </w:r>
            <w:r>
              <w:rPr>
                <w:rFonts w:hint="eastAsia"/>
                <w:szCs w:val="21"/>
                <w:highlight w:val="none"/>
                <w:u w:val="single"/>
              </w:rPr>
              <w:t xml:space="preserve"> </w:t>
            </w:r>
            <w:r>
              <w:rPr>
                <w:rFonts w:hint="eastAsia"/>
                <w:szCs w:val="21"/>
                <w:highlight w:val="none"/>
              </w:rPr>
              <w:t>时</w:t>
            </w:r>
            <w:r>
              <w:rPr>
                <w:rFonts w:hint="eastAsia"/>
                <w:szCs w:val="21"/>
                <w:highlight w:val="none"/>
                <w:u w:val="single"/>
              </w:rPr>
              <w:t xml:space="preserve"> </w:t>
            </w:r>
            <w:r>
              <w:rPr>
                <w:rFonts w:hint="eastAsia"/>
                <w:szCs w:val="21"/>
                <w:highlight w:val="none"/>
                <w:u w:val="single"/>
                <w:lang w:val="en-US" w:eastAsia="zh-CN"/>
              </w:rPr>
              <w:t>00</w:t>
            </w:r>
            <w:r>
              <w:rPr>
                <w:rFonts w:hint="eastAsia"/>
                <w:szCs w:val="21"/>
                <w:highlight w:val="none"/>
                <w:u w:val="single"/>
              </w:rPr>
              <w:t xml:space="preserve"> </w:t>
            </w:r>
            <w:r>
              <w:rPr>
                <w:rFonts w:hint="eastAsia"/>
                <w:szCs w:val="21"/>
                <w:highlight w:val="none"/>
              </w:rPr>
              <w:t>分</w:t>
            </w:r>
          </w:p>
          <w:p w14:paraId="40E53EA9">
            <w:pPr>
              <w:spacing w:line="440" w:lineRule="exact"/>
              <w:rPr>
                <w:szCs w:val="21"/>
                <w:highlight w:val="none"/>
              </w:rPr>
            </w:pPr>
            <w:r>
              <w:rPr>
                <w:szCs w:val="21"/>
                <w:highlight w:val="none"/>
              </w:rPr>
              <w:t>开标地点</w:t>
            </w:r>
            <w:r>
              <w:rPr>
                <w:rFonts w:hint="eastAsia"/>
                <w:szCs w:val="21"/>
                <w:highlight w:val="none"/>
              </w:rPr>
              <w:t>：在“辽宁省公共资源交易一张网电子化平台（https://www.lnsggzy.com/EpointSSO/login/oauth2login）”上传投标文件。</w:t>
            </w:r>
          </w:p>
        </w:tc>
      </w:tr>
      <w:tr w14:paraId="279CF603">
        <w:tblPrEx>
          <w:tblCellMar>
            <w:top w:w="0" w:type="dxa"/>
            <w:left w:w="108" w:type="dxa"/>
            <w:bottom w:w="0" w:type="dxa"/>
            <w:right w:w="108" w:type="dxa"/>
          </w:tblCellMar>
        </w:tblPrEx>
        <w:trPr>
          <w:trHeight w:val="381" w:hRule="atLeast"/>
        </w:trPr>
        <w:tc>
          <w:tcPr>
            <w:tcW w:w="473" w:type="pct"/>
            <w:tcBorders>
              <w:top w:val="single" w:color="auto" w:sz="4" w:space="0"/>
              <w:left w:val="single" w:color="auto" w:sz="4" w:space="0"/>
              <w:right w:val="single" w:color="auto" w:sz="4" w:space="0"/>
            </w:tcBorders>
            <w:noWrap w:val="0"/>
            <w:vAlign w:val="center"/>
          </w:tcPr>
          <w:p w14:paraId="6CB4A03A">
            <w:pPr>
              <w:spacing w:line="440" w:lineRule="exact"/>
              <w:jc w:val="center"/>
              <w:rPr>
                <w:szCs w:val="21"/>
                <w:highlight w:val="none"/>
              </w:rPr>
            </w:pPr>
            <w:r>
              <w:rPr>
                <w:rFonts w:hint="eastAsia"/>
                <w:szCs w:val="21"/>
                <w:highlight w:val="none"/>
              </w:rPr>
              <w:t>5.2</w:t>
            </w:r>
          </w:p>
        </w:tc>
        <w:tc>
          <w:tcPr>
            <w:tcW w:w="1178" w:type="pct"/>
            <w:tcBorders>
              <w:top w:val="single" w:color="auto" w:sz="4" w:space="0"/>
              <w:left w:val="single" w:color="auto" w:sz="4" w:space="0"/>
              <w:right w:val="single" w:color="auto" w:sz="4" w:space="0"/>
            </w:tcBorders>
            <w:noWrap w:val="0"/>
            <w:vAlign w:val="center"/>
          </w:tcPr>
          <w:p w14:paraId="679A8AFF">
            <w:pPr>
              <w:spacing w:line="440" w:lineRule="exact"/>
              <w:jc w:val="center"/>
              <w:rPr>
                <w:rFonts w:hint="eastAsia"/>
                <w:szCs w:val="21"/>
                <w:highlight w:val="none"/>
              </w:rPr>
            </w:pPr>
            <w:r>
              <w:rPr>
                <w:rFonts w:hint="eastAsia"/>
                <w:szCs w:val="21"/>
                <w:highlight w:val="none"/>
              </w:rPr>
              <w:t>开标程序</w:t>
            </w:r>
          </w:p>
        </w:tc>
        <w:tc>
          <w:tcPr>
            <w:tcW w:w="3347" w:type="pct"/>
            <w:tcBorders>
              <w:top w:val="single" w:color="auto" w:sz="4" w:space="0"/>
              <w:left w:val="single" w:color="auto" w:sz="4" w:space="0"/>
              <w:right w:val="single" w:color="auto" w:sz="4" w:space="0"/>
            </w:tcBorders>
            <w:noWrap w:val="0"/>
            <w:vAlign w:val="center"/>
          </w:tcPr>
          <w:p w14:paraId="00948B23">
            <w:pPr>
              <w:spacing w:line="440" w:lineRule="exact"/>
              <w:rPr>
                <w:rFonts w:hint="eastAsia" w:eastAsia="宋体"/>
                <w:szCs w:val="21"/>
                <w:highlight w:val="none"/>
                <w:lang w:eastAsia="zh-CN"/>
              </w:rPr>
            </w:pPr>
            <w:r>
              <w:rPr>
                <w:rFonts w:hint="eastAsia"/>
                <w:szCs w:val="21"/>
                <w:highlight w:val="none"/>
              </w:rPr>
              <w:t>开标顺序：按其他方式开标</w:t>
            </w:r>
            <w:r>
              <w:rPr>
                <w:rFonts w:hint="eastAsia"/>
                <w:szCs w:val="21"/>
                <w:highlight w:val="none"/>
                <w:lang w:eastAsia="zh-CN"/>
              </w:rPr>
              <w:t>。</w:t>
            </w:r>
          </w:p>
        </w:tc>
      </w:tr>
      <w:tr w14:paraId="663E830A">
        <w:tblPrEx>
          <w:tblCellMar>
            <w:top w:w="0" w:type="dxa"/>
            <w:left w:w="108" w:type="dxa"/>
            <w:bottom w:w="0" w:type="dxa"/>
            <w:right w:w="108" w:type="dxa"/>
          </w:tblCellMar>
        </w:tblPrEx>
        <w:trPr>
          <w:trHeight w:val="880" w:hRule="atLeast"/>
        </w:trPr>
        <w:tc>
          <w:tcPr>
            <w:tcW w:w="473" w:type="pct"/>
            <w:tcBorders>
              <w:top w:val="single" w:color="auto" w:sz="4" w:space="0"/>
              <w:left w:val="single" w:color="auto" w:sz="4" w:space="0"/>
              <w:right w:val="single" w:color="auto" w:sz="4" w:space="0"/>
            </w:tcBorders>
            <w:noWrap w:val="0"/>
            <w:vAlign w:val="center"/>
          </w:tcPr>
          <w:p w14:paraId="011D8116">
            <w:pPr>
              <w:spacing w:line="440" w:lineRule="exact"/>
              <w:jc w:val="center"/>
              <w:rPr>
                <w:rFonts w:hint="eastAsia"/>
                <w:szCs w:val="21"/>
                <w:highlight w:val="none"/>
              </w:rPr>
            </w:pPr>
            <w:r>
              <w:rPr>
                <w:szCs w:val="21"/>
                <w:highlight w:val="none"/>
              </w:rPr>
              <w:t>6.1.1</w:t>
            </w:r>
          </w:p>
        </w:tc>
        <w:tc>
          <w:tcPr>
            <w:tcW w:w="1178" w:type="pct"/>
            <w:tcBorders>
              <w:top w:val="single" w:color="auto" w:sz="4" w:space="0"/>
              <w:left w:val="single" w:color="auto" w:sz="4" w:space="0"/>
              <w:right w:val="single" w:color="auto" w:sz="4" w:space="0"/>
            </w:tcBorders>
            <w:noWrap w:val="0"/>
            <w:vAlign w:val="center"/>
          </w:tcPr>
          <w:p w14:paraId="1CE420C2">
            <w:pPr>
              <w:spacing w:line="440" w:lineRule="exact"/>
              <w:jc w:val="center"/>
              <w:rPr>
                <w:szCs w:val="21"/>
                <w:highlight w:val="none"/>
              </w:rPr>
            </w:pPr>
            <w:r>
              <w:rPr>
                <w:rFonts w:hint="eastAsia"/>
                <w:szCs w:val="21"/>
                <w:highlight w:val="none"/>
              </w:rPr>
              <w:t>评标委员会的组建</w:t>
            </w:r>
          </w:p>
        </w:tc>
        <w:tc>
          <w:tcPr>
            <w:tcW w:w="3347" w:type="pct"/>
            <w:tcBorders>
              <w:top w:val="single" w:color="auto" w:sz="4" w:space="0"/>
              <w:left w:val="single" w:color="auto" w:sz="4" w:space="0"/>
              <w:right w:val="single" w:color="auto" w:sz="4" w:space="0"/>
            </w:tcBorders>
            <w:noWrap w:val="0"/>
            <w:vAlign w:val="center"/>
          </w:tcPr>
          <w:p w14:paraId="125A05E1">
            <w:pPr>
              <w:spacing w:line="440" w:lineRule="exact"/>
              <w:rPr>
                <w:rFonts w:hint="eastAsia"/>
                <w:szCs w:val="21"/>
                <w:highlight w:val="none"/>
              </w:rPr>
            </w:pPr>
            <w:r>
              <w:rPr>
                <w:szCs w:val="21"/>
                <w:highlight w:val="none"/>
              </w:rPr>
              <w:t>评标委员会</w:t>
            </w:r>
            <w:r>
              <w:rPr>
                <w:rFonts w:hint="eastAsia"/>
                <w:szCs w:val="21"/>
                <w:highlight w:val="none"/>
              </w:rPr>
              <w:t>构成：</w:t>
            </w:r>
            <w:r>
              <w:rPr>
                <w:rFonts w:hint="eastAsia"/>
                <w:szCs w:val="21"/>
                <w:highlight w:val="none"/>
                <w:u w:val="single"/>
              </w:rPr>
              <w:t xml:space="preserve"> </w:t>
            </w:r>
            <w:r>
              <w:rPr>
                <w:rFonts w:hint="eastAsia"/>
                <w:szCs w:val="21"/>
                <w:highlight w:val="none"/>
                <w:u w:val="single"/>
                <w:lang w:val="en-US" w:eastAsia="zh-CN"/>
              </w:rPr>
              <w:t>9</w:t>
            </w:r>
            <w:r>
              <w:rPr>
                <w:rFonts w:hint="eastAsia"/>
                <w:szCs w:val="21"/>
                <w:highlight w:val="none"/>
                <w:u w:val="single"/>
              </w:rPr>
              <w:t xml:space="preserve"> </w:t>
            </w:r>
            <w:r>
              <w:rPr>
                <w:rFonts w:hint="eastAsia"/>
                <w:szCs w:val="21"/>
                <w:highlight w:val="none"/>
              </w:rPr>
              <w:t>人，其中招标人代表</w:t>
            </w:r>
            <w:r>
              <w:rPr>
                <w:rFonts w:hint="eastAsia"/>
                <w:szCs w:val="21"/>
                <w:highlight w:val="none"/>
                <w:u w:val="single"/>
              </w:rPr>
              <w:t xml:space="preserve"> </w:t>
            </w:r>
            <w:r>
              <w:rPr>
                <w:rFonts w:hint="eastAsia"/>
                <w:szCs w:val="21"/>
                <w:highlight w:val="none"/>
                <w:u w:val="single"/>
                <w:lang w:val="en-US" w:eastAsia="zh-CN"/>
              </w:rPr>
              <w:t>0</w:t>
            </w:r>
            <w:r>
              <w:rPr>
                <w:rFonts w:hint="eastAsia"/>
                <w:szCs w:val="21"/>
                <w:highlight w:val="none"/>
                <w:u w:val="single"/>
              </w:rPr>
              <w:t xml:space="preserve"> </w:t>
            </w:r>
            <w:r>
              <w:rPr>
                <w:rFonts w:hint="eastAsia"/>
                <w:szCs w:val="21"/>
                <w:highlight w:val="none"/>
              </w:rPr>
              <w:t>人，专家</w:t>
            </w:r>
            <w:r>
              <w:rPr>
                <w:rFonts w:hint="eastAsia"/>
                <w:szCs w:val="21"/>
                <w:highlight w:val="none"/>
                <w:u w:val="single"/>
              </w:rPr>
              <w:t xml:space="preserve"> </w:t>
            </w:r>
            <w:r>
              <w:rPr>
                <w:rFonts w:hint="eastAsia"/>
                <w:szCs w:val="21"/>
                <w:highlight w:val="none"/>
                <w:u w:val="single"/>
                <w:lang w:val="en-US" w:eastAsia="zh-CN"/>
              </w:rPr>
              <w:t>9</w:t>
            </w:r>
            <w:r>
              <w:rPr>
                <w:rFonts w:hint="eastAsia"/>
                <w:szCs w:val="21"/>
                <w:highlight w:val="none"/>
                <w:u w:val="single"/>
              </w:rPr>
              <w:t xml:space="preserve"> </w:t>
            </w:r>
            <w:r>
              <w:rPr>
                <w:rFonts w:hint="eastAsia"/>
                <w:szCs w:val="21"/>
                <w:highlight w:val="none"/>
              </w:rPr>
              <w:t>人；</w:t>
            </w:r>
          </w:p>
          <w:p w14:paraId="2F41AD43">
            <w:pPr>
              <w:spacing w:line="440" w:lineRule="exact"/>
              <w:rPr>
                <w:rFonts w:hint="eastAsia" w:eastAsia="宋体"/>
                <w:szCs w:val="21"/>
                <w:highlight w:val="none"/>
                <w:lang w:eastAsia="zh-CN"/>
              </w:rPr>
            </w:pPr>
            <w:r>
              <w:rPr>
                <w:szCs w:val="21"/>
                <w:highlight w:val="none"/>
              </w:rPr>
              <w:t>评标专家确定方式</w:t>
            </w:r>
            <w:r>
              <w:rPr>
                <w:rFonts w:hint="eastAsia"/>
                <w:szCs w:val="21"/>
                <w:highlight w:val="none"/>
              </w:rPr>
              <w:t>：计算机随机抽取语音通知</w:t>
            </w:r>
            <w:r>
              <w:rPr>
                <w:rFonts w:hint="eastAsia"/>
                <w:szCs w:val="21"/>
                <w:highlight w:val="none"/>
                <w:lang w:eastAsia="zh-CN"/>
              </w:rPr>
              <w:t>。</w:t>
            </w:r>
          </w:p>
        </w:tc>
      </w:tr>
      <w:tr w14:paraId="4114292C">
        <w:tblPrEx>
          <w:tblCellMar>
            <w:top w:w="0" w:type="dxa"/>
            <w:left w:w="108" w:type="dxa"/>
            <w:bottom w:w="0" w:type="dxa"/>
            <w:right w:w="108" w:type="dxa"/>
          </w:tblCellMar>
        </w:tblPrEx>
        <w:trPr>
          <w:trHeight w:val="880" w:hRule="atLeast"/>
        </w:trPr>
        <w:tc>
          <w:tcPr>
            <w:tcW w:w="473" w:type="pct"/>
            <w:tcBorders>
              <w:top w:val="single" w:color="auto" w:sz="4" w:space="0"/>
              <w:left w:val="single" w:color="auto" w:sz="4" w:space="0"/>
              <w:right w:val="single" w:color="auto" w:sz="4" w:space="0"/>
            </w:tcBorders>
            <w:noWrap w:val="0"/>
            <w:vAlign w:val="center"/>
          </w:tcPr>
          <w:p w14:paraId="1215DC2F">
            <w:pPr>
              <w:spacing w:line="440" w:lineRule="exact"/>
              <w:jc w:val="center"/>
              <w:rPr>
                <w:rFonts w:hint="eastAsia"/>
                <w:szCs w:val="21"/>
                <w:highlight w:val="none"/>
              </w:rPr>
            </w:pPr>
            <w:r>
              <w:rPr>
                <w:szCs w:val="21"/>
                <w:highlight w:val="none"/>
              </w:rPr>
              <w:t>7.1</w:t>
            </w:r>
          </w:p>
        </w:tc>
        <w:tc>
          <w:tcPr>
            <w:tcW w:w="1178" w:type="pct"/>
            <w:tcBorders>
              <w:top w:val="single" w:color="auto" w:sz="4" w:space="0"/>
              <w:left w:val="single" w:color="auto" w:sz="4" w:space="0"/>
              <w:right w:val="single" w:color="auto" w:sz="4" w:space="0"/>
            </w:tcBorders>
            <w:noWrap w:val="0"/>
            <w:vAlign w:val="center"/>
          </w:tcPr>
          <w:p w14:paraId="1285651F">
            <w:pPr>
              <w:spacing w:line="440" w:lineRule="exact"/>
              <w:jc w:val="center"/>
              <w:rPr>
                <w:szCs w:val="21"/>
                <w:highlight w:val="none"/>
              </w:rPr>
            </w:pPr>
            <w:r>
              <w:rPr>
                <w:rFonts w:hint="eastAsia"/>
                <w:szCs w:val="21"/>
                <w:highlight w:val="none"/>
              </w:rPr>
              <w:t>是否授权评标委员会确定中标人</w:t>
            </w:r>
          </w:p>
        </w:tc>
        <w:tc>
          <w:tcPr>
            <w:tcW w:w="3347" w:type="pct"/>
            <w:tcBorders>
              <w:top w:val="single" w:color="auto" w:sz="4" w:space="0"/>
              <w:left w:val="single" w:color="auto" w:sz="4" w:space="0"/>
              <w:right w:val="single" w:color="auto" w:sz="4" w:space="0"/>
            </w:tcBorders>
            <w:noWrap w:val="0"/>
            <w:vAlign w:val="center"/>
          </w:tcPr>
          <w:p w14:paraId="13C964DD">
            <w:pPr>
              <w:spacing w:line="440" w:lineRule="exact"/>
              <w:rPr>
                <w:szCs w:val="21"/>
                <w:highlight w:val="none"/>
              </w:rPr>
            </w:pPr>
            <w:r>
              <w:rPr>
                <w:rFonts w:hint="eastAsia"/>
                <w:szCs w:val="21"/>
                <w:highlight w:val="none"/>
                <w:lang w:eastAsia="zh-CN"/>
              </w:rPr>
              <w:t>□</w:t>
            </w:r>
            <w:r>
              <w:rPr>
                <w:rFonts w:hint="eastAsia"/>
                <w:szCs w:val="21"/>
                <w:highlight w:val="none"/>
              </w:rPr>
              <w:t>是</w:t>
            </w:r>
          </w:p>
          <w:p w14:paraId="3E9F41B2">
            <w:pPr>
              <w:spacing w:line="440" w:lineRule="exact"/>
              <w:rPr>
                <w:rFonts w:hint="default" w:eastAsia="宋体"/>
                <w:szCs w:val="21"/>
                <w:highlight w:val="none"/>
                <w:lang w:val="en-US" w:eastAsia="zh-CN"/>
              </w:rPr>
            </w:pPr>
            <w:r>
              <w:rPr>
                <w:rFonts w:hint="eastAsia"/>
                <w:color w:val="auto"/>
                <w:szCs w:val="21"/>
                <w:highlight w:val="none"/>
                <w:lang w:eastAsia="zh-CN"/>
              </w:rPr>
              <w:t>☑</w:t>
            </w:r>
            <w:r>
              <w:rPr>
                <w:rFonts w:hint="eastAsia"/>
                <w:color w:val="auto"/>
                <w:szCs w:val="21"/>
                <w:highlight w:val="none"/>
              </w:rPr>
              <w:t>否，</w:t>
            </w:r>
            <w:r>
              <w:rPr>
                <w:color w:val="auto"/>
                <w:szCs w:val="21"/>
                <w:highlight w:val="none"/>
              </w:rPr>
              <w:t>推荐的中标候选人数</w:t>
            </w:r>
            <w:r>
              <w:rPr>
                <w:rFonts w:hint="eastAsia"/>
                <w:color w:val="auto"/>
                <w:szCs w:val="21"/>
                <w:highlight w:val="none"/>
              </w:rPr>
              <w:t>：</w:t>
            </w:r>
            <w:r>
              <w:rPr>
                <w:rFonts w:hint="eastAsia"/>
                <w:color w:val="auto"/>
                <w:szCs w:val="21"/>
                <w:highlight w:val="none"/>
                <w:lang w:val="en-US" w:eastAsia="zh-CN"/>
              </w:rPr>
              <w:t>3人</w:t>
            </w:r>
          </w:p>
        </w:tc>
      </w:tr>
      <w:tr w14:paraId="0E6F4B8A">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213DF90E">
            <w:pPr>
              <w:spacing w:line="440" w:lineRule="exact"/>
              <w:jc w:val="center"/>
              <w:rPr>
                <w:szCs w:val="21"/>
                <w:highlight w:val="none"/>
              </w:rPr>
            </w:pPr>
            <w:r>
              <w:rPr>
                <w:szCs w:val="21"/>
                <w:highlight w:val="none"/>
              </w:rPr>
              <w:t>7.3.1</w:t>
            </w:r>
          </w:p>
        </w:tc>
        <w:tc>
          <w:tcPr>
            <w:tcW w:w="1178" w:type="pct"/>
            <w:tcBorders>
              <w:top w:val="single" w:color="auto" w:sz="4" w:space="0"/>
              <w:left w:val="single" w:color="auto" w:sz="4" w:space="0"/>
              <w:bottom w:val="single" w:color="auto" w:sz="4" w:space="0"/>
              <w:right w:val="single" w:color="auto" w:sz="4" w:space="0"/>
            </w:tcBorders>
            <w:noWrap w:val="0"/>
            <w:vAlign w:val="center"/>
          </w:tcPr>
          <w:p w14:paraId="18D04F7B">
            <w:pPr>
              <w:spacing w:line="440" w:lineRule="exact"/>
              <w:jc w:val="center"/>
              <w:rPr>
                <w:szCs w:val="21"/>
                <w:highlight w:val="none"/>
              </w:rPr>
            </w:pPr>
            <w:r>
              <w:rPr>
                <w:szCs w:val="21"/>
                <w:highlight w:val="none"/>
              </w:rPr>
              <w:t>履约担保</w:t>
            </w:r>
          </w:p>
        </w:tc>
        <w:tc>
          <w:tcPr>
            <w:tcW w:w="3347" w:type="pct"/>
            <w:tcBorders>
              <w:top w:val="single" w:color="auto" w:sz="4" w:space="0"/>
              <w:left w:val="single" w:color="auto" w:sz="4" w:space="0"/>
              <w:bottom w:val="single" w:color="auto" w:sz="4" w:space="0"/>
              <w:right w:val="single" w:color="auto" w:sz="4" w:space="0"/>
            </w:tcBorders>
            <w:noWrap w:val="0"/>
            <w:vAlign w:val="center"/>
          </w:tcPr>
          <w:p w14:paraId="19FC1276">
            <w:pPr>
              <w:spacing w:line="440" w:lineRule="exact"/>
              <w:rPr>
                <w:szCs w:val="21"/>
                <w:highlight w:val="none"/>
              </w:rPr>
            </w:pPr>
            <w:r>
              <w:rPr>
                <w:szCs w:val="21"/>
                <w:highlight w:val="none"/>
              </w:rPr>
              <w:t>履约担保的形式：</w:t>
            </w:r>
            <w:r>
              <w:rPr>
                <w:rFonts w:hint="eastAsia"/>
                <w:szCs w:val="21"/>
                <w:highlight w:val="none"/>
              </w:rPr>
              <w:t>银行出具的不可撤销的履约保函、支票、电汇、转账、担保公司或者保险公司出具的履约担保书。</w:t>
            </w:r>
          </w:p>
          <w:p w14:paraId="6738C1C5">
            <w:pPr>
              <w:spacing w:line="440" w:lineRule="exact"/>
              <w:rPr>
                <w:szCs w:val="21"/>
                <w:highlight w:val="none"/>
              </w:rPr>
            </w:pPr>
            <w:r>
              <w:rPr>
                <w:szCs w:val="21"/>
                <w:highlight w:val="none"/>
              </w:rPr>
              <w:t>履约担保的金额：</w:t>
            </w:r>
            <w:r>
              <w:rPr>
                <w:rFonts w:hint="eastAsia"/>
                <w:szCs w:val="21"/>
                <w:highlight w:val="none"/>
              </w:rPr>
              <w:t>合同价款的5%。</w:t>
            </w:r>
          </w:p>
        </w:tc>
      </w:tr>
      <w:tr w14:paraId="29511BF8">
        <w:tblPrEx>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7F3974CA">
            <w:pPr>
              <w:spacing w:line="440" w:lineRule="exact"/>
              <w:jc w:val="center"/>
              <w:rPr>
                <w:rFonts w:hint="eastAsia" w:eastAsia="宋体"/>
                <w:b/>
                <w:szCs w:val="21"/>
                <w:highlight w:val="none"/>
                <w:lang w:val="en-US" w:eastAsia="zh-CN"/>
              </w:rPr>
            </w:pPr>
          </w:p>
        </w:tc>
      </w:tr>
      <w:tr w14:paraId="4AC6B584">
        <w:tblPrEx>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14:paraId="3C550071">
            <w:pPr>
              <w:spacing w:line="44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8</w:t>
            </w:r>
          </w:p>
        </w:tc>
        <w:tc>
          <w:tcPr>
            <w:tcW w:w="4526" w:type="pct"/>
            <w:gridSpan w:val="2"/>
            <w:tcBorders>
              <w:top w:val="single" w:color="auto" w:sz="4" w:space="0"/>
              <w:left w:val="single" w:color="auto" w:sz="4" w:space="0"/>
              <w:bottom w:val="single" w:color="auto" w:sz="4" w:space="0"/>
              <w:right w:val="single" w:color="auto" w:sz="4" w:space="0"/>
            </w:tcBorders>
            <w:noWrap w:val="0"/>
            <w:vAlign w:val="center"/>
          </w:tcPr>
          <w:p w14:paraId="0B696470">
            <w:pPr>
              <w:spacing w:line="44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需要</w:t>
            </w:r>
            <w:r>
              <w:rPr>
                <w:rFonts w:ascii="Times New Roman" w:hAnsi="Times New Roman" w:eastAsia="宋体" w:cs="Times New Roman"/>
                <w:szCs w:val="21"/>
                <w:highlight w:val="none"/>
              </w:rPr>
              <w:t>补充</w:t>
            </w:r>
            <w:r>
              <w:rPr>
                <w:rFonts w:hint="eastAsia" w:ascii="Times New Roman" w:hAnsi="Times New Roman" w:eastAsia="宋体" w:cs="Times New Roman"/>
                <w:szCs w:val="21"/>
                <w:highlight w:val="none"/>
              </w:rPr>
              <w:t>的其他</w:t>
            </w:r>
            <w:r>
              <w:rPr>
                <w:rFonts w:ascii="Times New Roman" w:hAnsi="Times New Roman" w:eastAsia="宋体" w:cs="Times New Roman"/>
                <w:szCs w:val="21"/>
                <w:highlight w:val="none"/>
              </w:rPr>
              <w:t>内容</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见投标人须知第10条</w:t>
            </w:r>
            <w:r>
              <w:rPr>
                <w:rFonts w:hint="eastAsia" w:ascii="Times New Roman" w:hAnsi="Times New Roman" w:eastAsia="宋体" w:cs="Times New Roman"/>
                <w:szCs w:val="21"/>
                <w:highlight w:val="none"/>
                <w:lang w:eastAsia="zh-CN"/>
              </w:rPr>
              <w:t>）</w:t>
            </w:r>
          </w:p>
        </w:tc>
      </w:tr>
    </w:tbl>
    <w:p w14:paraId="456263AA">
      <w:pPr>
        <w:spacing w:line="400" w:lineRule="exact"/>
        <w:rPr>
          <w:highlight w:val="none"/>
        </w:rPr>
      </w:pPr>
    </w:p>
    <w:p w14:paraId="47CEE39F">
      <w:pPr>
        <w:pStyle w:val="46"/>
        <w:rPr>
          <w:rFonts w:hint="eastAsia"/>
          <w:highlight w:val="none"/>
        </w:rPr>
      </w:pPr>
      <w:bookmarkStart w:id="73" w:name="_Toc152045529"/>
      <w:bookmarkStart w:id="74" w:name="_Toc144974497"/>
      <w:bookmarkStart w:id="75" w:name="_Toc152042305"/>
      <w:r>
        <w:rPr>
          <w:rFonts w:hint="eastAsia"/>
          <w:highlight w:val="none"/>
        </w:rPr>
        <w:br w:type="page"/>
      </w:r>
      <w:bookmarkStart w:id="76" w:name="_Toc11475"/>
      <w:r>
        <w:rPr>
          <w:rFonts w:hint="eastAsia"/>
          <w:highlight w:val="none"/>
        </w:rPr>
        <w:t>1. 总则</w:t>
      </w:r>
      <w:bookmarkEnd w:id="73"/>
      <w:bookmarkEnd w:id="74"/>
      <w:bookmarkEnd w:id="75"/>
      <w:bookmarkEnd w:id="76"/>
    </w:p>
    <w:p w14:paraId="569903CA">
      <w:pPr>
        <w:pStyle w:val="45"/>
        <w:rPr>
          <w:rFonts w:hint="eastAsia"/>
          <w:highlight w:val="none"/>
        </w:rPr>
      </w:pPr>
      <w:bookmarkStart w:id="77" w:name="_Toc152045530"/>
      <w:bookmarkStart w:id="78" w:name="_Toc152042306"/>
      <w:bookmarkStart w:id="79" w:name="_Toc144974498"/>
      <w:bookmarkStart w:id="80" w:name="_Toc28669"/>
      <w:r>
        <w:rPr>
          <w:rFonts w:hint="eastAsia"/>
          <w:highlight w:val="none"/>
        </w:rPr>
        <w:t>1.1 项目概况</w:t>
      </w:r>
      <w:bookmarkEnd w:id="77"/>
      <w:bookmarkEnd w:id="78"/>
      <w:bookmarkEnd w:id="79"/>
      <w:bookmarkEnd w:id="80"/>
    </w:p>
    <w:p w14:paraId="4D63EB91">
      <w:pPr>
        <w:spacing w:line="400" w:lineRule="exact"/>
        <w:ind w:firstLine="420" w:firstLineChars="200"/>
        <w:rPr>
          <w:rFonts w:hint="eastAsia"/>
          <w:highlight w:val="none"/>
        </w:rPr>
      </w:pPr>
      <w:r>
        <w:rPr>
          <w:rFonts w:hint="eastAsia"/>
          <w:highlight w:val="none"/>
        </w:rPr>
        <w:t>1.1.1根据《中华人民共和国招标投标法》等有关法律、法规和规章的规定，本招标项目已具备招标条件，现对本标段施工进行招标。</w:t>
      </w:r>
    </w:p>
    <w:p w14:paraId="3C783C5B">
      <w:pPr>
        <w:spacing w:line="400" w:lineRule="exact"/>
        <w:ind w:firstLine="420" w:firstLineChars="200"/>
        <w:rPr>
          <w:rFonts w:hint="eastAsia"/>
          <w:highlight w:val="none"/>
        </w:rPr>
      </w:pPr>
      <w:r>
        <w:rPr>
          <w:rFonts w:hint="eastAsia"/>
          <w:highlight w:val="none"/>
        </w:rPr>
        <w:t>1.1.2 本招标项目招标人：见投标人须知前附表。</w:t>
      </w:r>
    </w:p>
    <w:p w14:paraId="225E8B8E">
      <w:pPr>
        <w:spacing w:line="400" w:lineRule="exact"/>
        <w:ind w:firstLine="420" w:firstLineChars="200"/>
        <w:rPr>
          <w:rFonts w:hint="eastAsia"/>
          <w:highlight w:val="none"/>
        </w:rPr>
      </w:pPr>
      <w:r>
        <w:rPr>
          <w:rFonts w:hint="eastAsia"/>
          <w:highlight w:val="none"/>
        </w:rPr>
        <w:t>1.1.3 本标段招标代理机构：见投标人须知前附表。</w:t>
      </w:r>
    </w:p>
    <w:p w14:paraId="450A20E2">
      <w:pPr>
        <w:spacing w:line="400" w:lineRule="exact"/>
        <w:ind w:firstLine="420" w:firstLineChars="200"/>
        <w:rPr>
          <w:rFonts w:hint="eastAsia"/>
          <w:highlight w:val="none"/>
        </w:rPr>
      </w:pPr>
      <w:r>
        <w:rPr>
          <w:rFonts w:hint="eastAsia"/>
          <w:highlight w:val="none"/>
        </w:rPr>
        <w:t>1.1.4 本招标项目名称：见投标人须知前附表。</w:t>
      </w:r>
    </w:p>
    <w:p w14:paraId="19591E1E">
      <w:pPr>
        <w:spacing w:line="400" w:lineRule="exact"/>
        <w:ind w:firstLine="420" w:firstLineChars="200"/>
        <w:rPr>
          <w:rFonts w:hint="eastAsia"/>
          <w:highlight w:val="none"/>
        </w:rPr>
      </w:pPr>
      <w:r>
        <w:rPr>
          <w:rFonts w:hint="eastAsia"/>
          <w:highlight w:val="none"/>
        </w:rPr>
        <w:t>1.1.5 本标段建设地点：见投标人须知前附表。</w:t>
      </w:r>
    </w:p>
    <w:p w14:paraId="3D911A43">
      <w:pPr>
        <w:pStyle w:val="45"/>
        <w:rPr>
          <w:rFonts w:hint="eastAsia"/>
          <w:highlight w:val="none"/>
        </w:rPr>
      </w:pPr>
      <w:bookmarkStart w:id="81" w:name="_Toc144974499"/>
      <w:bookmarkStart w:id="82" w:name="_Toc152042307"/>
      <w:bookmarkStart w:id="83" w:name="_Toc152045531"/>
      <w:bookmarkStart w:id="84" w:name="_Toc14557"/>
      <w:r>
        <w:rPr>
          <w:rFonts w:hint="eastAsia"/>
          <w:highlight w:val="none"/>
        </w:rPr>
        <w:t>1.2 资金来源和落实情况</w:t>
      </w:r>
      <w:bookmarkEnd w:id="81"/>
      <w:bookmarkEnd w:id="82"/>
      <w:bookmarkEnd w:id="83"/>
      <w:bookmarkEnd w:id="84"/>
    </w:p>
    <w:p w14:paraId="11221D4A">
      <w:pPr>
        <w:spacing w:line="400" w:lineRule="exact"/>
        <w:ind w:firstLine="420" w:firstLineChars="200"/>
        <w:rPr>
          <w:rFonts w:hint="eastAsia"/>
          <w:highlight w:val="none"/>
        </w:rPr>
      </w:pPr>
      <w:r>
        <w:rPr>
          <w:rFonts w:hint="eastAsia"/>
          <w:highlight w:val="none"/>
        </w:rPr>
        <w:t>1.2.1 本招标项目的资金来源：见投标人须知前附表。</w:t>
      </w:r>
    </w:p>
    <w:p w14:paraId="4A3D0A40">
      <w:pPr>
        <w:spacing w:line="400" w:lineRule="exact"/>
        <w:ind w:firstLine="420" w:firstLineChars="200"/>
        <w:rPr>
          <w:rFonts w:hint="eastAsia"/>
          <w:highlight w:val="none"/>
        </w:rPr>
      </w:pPr>
      <w:r>
        <w:rPr>
          <w:rFonts w:hint="eastAsia"/>
          <w:highlight w:val="none"/>
        </w:rPr>
        <w:t>1.2.2 本招标项目的出资比例：见投标人须知前附表。</w:t>
      </w:r>
    </w:p>
    <w:p w14:paraId="2C7C14D7">
      <w:pPr>
        <w:spacing w:line="400" w:lineRule="exact"/>
        <w:ind w:firstLine="420" w:firstLineChars="200"/>
        <w:rPr>
          <w:rFonts w:hint="eastAsia"/>
          <w:highlight w:val="none"/>
        </w:rPr>
      </w:pPr>
      <w:r>
        <w:rPr>
          <w:rFonts w:hint="eastAsia"/>
          <w:highlight w:val="none"/>
        </w:rPr>
        <w:t>1.2.3 本招标项目的资金落实情况：见投标人须知前附表。</w:t>
      </w:r>
    </w:p>
    <w:p w14:paraId="462FA4E0">
      <w:pPr>
        <w:pStyle w:val="45"/>
        <w:rPr>
          <w:rFonts w:hint="eastAsia"/>
          <w:highlight w:val="none"/>
        </w:rPr>
      </w:pPr>
      <w:bookmarkStart w:id="85" w:name="_Toc144974500"/>
      <w:bookmarkStart w:id="86" w:name="_Toc152042308"/>
      <w:bookmarkStart w:id="87" w:name="_Toc152045532"/>
      <w:bookmarkStart w:id="88" w:name="_Toc7315"/>
      <w:r>
        <w:rPr>
          <w:rFonts w:hint="eastAsia"/>
          <w:highlight w:val="none"/>
        </w:rPr>
        <w:t>1.3 招标范围、计划工期和质量要求</w:t>
      </w:r>
      <w:bookmarkEnd w:id="85"/>
      <w:bookmarkEnd w:id="86"/>
      <w:bookmarkEnd w:id="87"/>
      <w:bookmarkEnd w:id="88"/>
    </w:p>
    <w:p w14:paraId="5786AF40">
      <w:pPr>
        <w:spacing w:line="400" w:lineRule="exact"/>
        <w:ind w:firstLine="420" w:firstLineChars="200"/>
        <w:rPr>
          <w:rFonts w:hint="eastAsia"/>
          <w:highlight w:val="none"/>
        </w:rPr>
      </w:pPr>
      <w:r>
        <w:rPr>
          <w:rFonts w:hint="eastAsia"/>
          <w:highlight w:val="none"/>
        </w:rPr>
        <w:t>1.3.1 本次招标范围：见投标人须知前附表。</w:t>
      </w:r>
    </w:p>
    <w:p w14:paraId="719F61A3">
      <w:pPr>
        <w:spacing w:line="400" w:lineRule="exact"/>
        <w:ind w:firstLine="420" w:firstLineChars="200"/>
        <w:rPr>
          <w:rFonts w:hint="eastAsia"/>
          <w:highlight w:val="none"/>
        </w:rPr>
      </w:pPr>
      <w:r>
        <w:rPr>
          <w:rFonts w:hint="eastAsia"/>
          <w:highlight w:val="none"/>
        </w:rPr>
        <w:t>1.3.2 本标段的计划工期：见投标人须知前附表。</w:t>
      </w:r>
    </w:p>
    <w:p w14:paraId="0024CF12">
      <w:pPr>
        <w:spacing w:line="400" w:lineRule="exact"/>
        <w:ind w:firstLine="420" w:firstLineChars="200"/>
        <w:rPr>
          <w:rFonts w:hint="eastAsia"/>
          <w:highlight w:val="none"/>
        </w:rPr>
      </w:pPr>
      <w:r>
        <w:rPr>
          <w:rFonts w:hint="eastAsia"/>
          <w:highlight w:val="none"/>
        </w:rPr>
        <w:t>1.3.3 本标段的质量要求：见投标人须知前附表。</w:t>
      </w:r>
    </w:p>
    <w:p w14:paraId="5DDE9F81">
      <w:pPr>
        <w:pStyle w:val="45"/>
        <w:rPr>
          <w:rFonts w:hint="eastAsia"/>
          <w:highlight w:val="none"/>
        </w:rPr>
      </w:pPr>
      <w:bookmarkStart w:id="89" w:name="_Toc144974502"/>
      <w:bookmarkStart w:id="90" w:name="_Toc5668"/>
      <w:bookmarkStart w:id="91" w:name="_Toc152045534"/>
      <w:bookmarkStart w:id="92" w:name="_Toc152042310"/>
      <w:r>
        <w:rPr>
          <w:rFonts w:hint="eastAsia"/>
          <w:highlight w:val="none"/>
        </w:rPr>
        <w:t>1.4 投标人资格要求</w:t>
      </w:r>
      <w:bookmarkEnd w:id="89"/>
      <w:bookmarkEnd w:id="90"/>
      <w:bookmarkEnd w:id="91"/>
      <w:bookmarkEnd w:id="92"/>
    </w:p>
    <w:p w14:paraId="4F67B819">
      <w:pPr>
        <w:spacing w:line="400" w:lineRule="exact"/>
        <w:ind w:firstLine="420" w:firstLineChars="200"/>
        <w:rPr>
          <w:rFonts w:hint="eastAsia"/>
          <w:highlight w:val="none"/>
        </w:rPr>
      </w:pPr>
      <w:r>
        <w:rPr>
          <w:rFonts w:hint="eastAsia"/>
          <w:highlight w:val="none"/>
        </w:rPr>
        <w:t>1.4.1投标人应具备承担本标段施工的资质条件、能力和信誉。</w:t>
      </w:r>
    </w:p>
    <w:p w14:paraId="21719B1E">
      <w:pPr>
        <w:spacing w:line="400" w:lineRule="exact"/>
        <w:ind w:firstLine="718" w:firstLineChars="342"/>
        <w:rPr>
          <w:rFonts w:hint="eastAsia"/>
          <w:highlight w:val="none"/>
        </w:rPr>
      </w:pPr>
      <w:r>
        <w:rPr>
          <w:rFonts w:hint="eastAsia"/>
          <w:highlight w:val="none"/>
        </w:rPr>
        <w:t>（1）资质条件：见投标人须知前附表；</w:t>
      </w:r>
    </w:p>
    <w:p w14:paraId="4B529E81">
      <w:pPr>
        <w:spacing w:line="400" w:lineRule="exact"/>
        <w:ind w:firstLine="718" w:firstLineChars="342"/>
        <w:rPr>
          <w:rFonts w:hint="eastAsia"/>
          <w:highlight w:val="none"/>
        </w:rPr>
      </w:pPr>
      <w:r>
        <w:rPr>
          <w:rFonts w:hint="eastAsia"/>
          <w:highlight w:val="none"/>
        </w:rPr>
        <w:t>（2）财务要求：见投标人须知前附表；</w:t>
      </w:r>
    </w:p>
    <w:p w14:paraId="4321DE83">
      <w:pPr>
        <w:spacing w:line="400" w:lineRule="exact"/>
        <w:ind w:firstLine="718" w:firstLineChars="342"/>
        <w:rPr>
          <w:rFonts w:hint="eastAsia"/>
          <w:highlight w:val="none"/>
        </w:rPr>
      </w:pPr>
      <w:r>
        <w:rPr>
          <w:rFonts w:hint="eastAsia"/>
          <w:highlight w:val="none"/>
        </w:rPr>
        <w:t>（3）业绩要求：见投标人须知前附表；</w:t>
      </w:r>
    </w:p>
    <w:p w14:paraId="7419699E">
      <w:pPr>
        <w:spacing w:line="400" w:lineRule="exact"/>
        <w:ind w:firstLine="718" w:firstLineChars="342"/>
        <w:rPr>
          <w:rFonts w:hint="eastAsia"/>
          <w:highlight w:val="none"/>
        </w:rPr>
      </w:pPr>
      <w:r>
        <w:rPr>
          <w:rFonts w:hint="eastAsia"/>
          <w:highlight w:val="none"/>
        </w:rPr>
        <w:t>（4）信誉要求：见投标人须知前附表;</w:t>
      </w:r>
    </w:p>
    <w:p w14:paraId="7607A8EC">
      <w:pPr>
        <w:spacing w:line="400" w:lineRule="exact"/>
        <w:ind w:firstLine="735" w:firstLineChars="350"/>
        <w:rPr>
          <w:rFonts w:hint="eastAsia"/>
          <w:highlight w:val="none"/>
        </w:rPr>
      </w:pPr>
      <w:r>
        <w:rPr>
          <w:rFonts w:hint="eastAsia"/>
          <w:highlight w:val="none"/>
        </w:rPr>
        <w:t>（5）项目经理资格：见投标人须知前附表；</w:t>
      </w:r>
    </w:p>
    <w:p w14:paraId="36631D7B">
      <w:pPr>
        <w:spacing w:line="400" w:lineRule="exact"/>
        <w:ind w:firstLine="735" w:firstLineChars="350"/>
        <w:rPr>
          <w:rFonts w:hint="eastAsia"/>
          <w:highlight w:val="none"/>
        </w:rPr>
      </w:pPr>
      <w:r>
        <w:rPr>
          <w:rFonts w:hint="eastAsia"/>
          <w:highlight w:val="none"/>
        </w:rPr>
        <w:t>（6）其他要求：见投标人须知前附表。</w:t>
      </w:r>
    </w:p>
    <w:p w14:paraId="659E7CF8">
      <w:pPr>
        <w:spacing w:line="400" w:lineRule="exact"/>
        <w:ind w:firstLine="420" w:firstLineChars="200"/>
        <w:rPr>
          <w:rFonts w:hint="eastAsia"/>
          <w:highlight w:val="none"/>
        </w:rPr>
      </w:pPr>
      <w:r>
        <w:rPr>
          <w:rFonts w:hint="eastAsia"/>
          <w:highlight w:val="none"/>
        </w:rPr>
        <w:t xml:space="preserve">1.4.2 投标人须知前附表规定接受联合体投标的，除应符合本章第1.4.1项和投标人须知前附表的要求外，还应遵守以下规定： </w:t>
      </w:r>
    </w:p>
    <w:p w14:paraId="0985C845">
      <w:pPr>
        <w:spacing w:line="400" w:lineRule="exact"/>
        <w:ind w:firstLine="718" w:firstLineChars="342"/>
        <w:rPr>
          <w:rFonts w:hint="eastAsia"/>
          <w:highlight w:val="none"/>
        </w:rPr>
      </w:pPr>
      <w:r>
        <w:rPr>
          <w:rFonts w:hint="eastAsia"/>
          <w:highlight w:val="none"/>
        </w:rPr>
        <w:t>（1）联合体各方应按招标文件提供的格式签订联合体协议书，明确联合体牵头人和各方权利义务；</w:t>
      </w:r>
    </w:p>
    <w:p w14:paraId="0F10A1A3">
      <w:pPr>
        <w:spacing w:line="400" w:lineRule="exact"/>
        <w:ind w:firstLine="718" w:firstLineChars="342"/>
        <w:rPr>
          <w:rFonts w:hint="eastAsia"/>
          <w:highlight w:val="none"/>
        </w:rPr>
      </w:pPr>
      <w:r>
        <w:rPr>
          <w:rFonts w:hint="eastAsia"/>
          <w:highlight w:val="none"/>
        </w:rPr>
        <w:t xml:space="preserve">（2）由同一专业的单位组成的联合体，按照资质等级较低的单位确定资质等级； </w:t>
      </w:r>
    </w:p>
    <w:p w14:paraId="4373A4FE">
      <w:pPr>
        <w:spacing w:line="400" w:lineRule="exact"/>
        <w:ind w:firstLine="718" w:firstLineChars="342"/>
        <w:rPr>
          <w:rFonts w:hint="eastAsia"/>
          <w:highlight w:val="none"/>
        </w:rPr>
      </w:pPr>
      <w:r>
        <w:rPr>
          <w:rFonts w:hint="eastAsia"/>
          <w:highlight w:val="none"/>
        </w:rPr>
        <w:t>（3）联合体各方不得再以自己名义单独或参加其他联合体在同一标段中投标。</w:t>
      </w:r>
    </w:p>
    <w:p w14:paraId="2B801445">
      <w:pPr>
        <w:spacing w:line="400" w:lineRule="exact"/>
        <w:ind w:firstLine="420" w:firstLineChars="200"/>
        <w:rPr>
          <w:rFonts w:hint="eastAsia"/>
          <w:highlight w:val="none"/>
        </w:rPr>
      </w:pPr>
      <w:r>
        <w:rPr>
          <w:rFonts w:hint="eastAsia"/>
          <w:highlight w:val="none"/>
        </w:rPr>
        <w:t>1.4.3 投标人不得存在下列情形之一：</w:t>
      </w:r>
    </w:p>
    <w:p w14:paraId="212E30EA">
      <w:pPr>
        <w:spacing w:line="400" w:lineRule="exact"/>
        <w:ind w:firstLine="718" w:firstLineChars="342"/>
        <w:rPr>
          <w:rFonts w:hint="eastAsia"/>
          <w:highlight w:val="none"/>
        </w:rPr>
      </w:pPr>
      <w:r>
        <w:rPr>
          <w:rFonts w:hint="eastAsia"/>
          <w:highlight w:val="none"/>
        </w:rPr>
        <w:t xml:space="preserve">（1）为招标人不具有独立法人资格的附属机构（单位）； </w:t>
      </w:r>
    </w:p>
    <w:p w14:paraId="7C24B184">
      <w:pPr>
        <w:spacing w:line="400" w:lineRule="exact"/>
        <w:ind w:firstLine="718" w:firstLineChars="342"/>
        <w:rPr>
          <w:rFonts w:hint="eastAsia"/>
          <w:highlight w:val="none"/>
        </w:rPr>
      </w:pPr>
      <w:r>
        <w:rPr>
          <w:rFonts w:hint="eastAsia"/>
          <w:highlight w:val="none"/>
        </w:rPr>
        <w:t xml:space="preserve">（2）为本标段前期准备提供设计或咨询服务的，但设计施工总承包的除外； </w:t>
      </w:r>
    </w:p>
    <w:p w14:paraId="5FE85585">
      <w:pPr>
        <w:spacing w:line="400" w:lineRule="exact"/>
        <w:ind w:firstLine="718" w:firstLineChars="342"/>
        <w:rPr>
          <w:rFonts w:hint="eastAsia"/>
          <w:highlight w:val="none"/>
        </w:rPr>
      </w:pPr>
      <w:r>
        <w:rPr>
          <w:rFonts w:hint="eastAsia"/>
          <w:highlight w:val="none"/>
        </w:rPr>
        <w:t>（3）为本标段的监理人；</w:t>
      </w:r>
    </w:p>
    <w:p w14:paraId="7B2D693C">
      <w:pPr>
        <w:spacing w:line="400" w:lineRule="exact"/>
        <w:ind w:firstLine="718" w:firstLineChars="342"/>
        <w:rPr>
          <w:rFonts w:hint="eastAsia"/>
          <w:highlight w:val="none"/>
        </w:rPr>
      </w:pPr>
      <w:r>
        <w:rPr>
          <w:rFonts w:hint="eastAsia"/>
          <w:highlight w:val="none"/>
        </w:rPr>
        <w:t xml:space="preserve">（4）为本标段的代建人； </w:t>
      </w:r>
    </w:p>
    <w:p w14:paraId="324CAF5F">
      <w:pPr>
        <w:spacing w:line="400" w:lineRule="exact"/>
        <w:ind w:firstLine="718" w:firstLineChars="342"/>
        <w:rPr>
          <w:rFonts w:hint="eastAsia"/>
          <w:highlight w:val="none"/>
        </w:rPr>
      </w:pPr>
      <w:r>
        <w:rPr>
          <w:rFonts w:hint="eastAsia"/>
          <w:highlight w:val="none"/>
        </w:rPr>
        <w:t xml:space="preserve">（5）为本标段提供招标代理服务的； </w:t>
      </w:r>
    </w:p>
    <w:p w14:paraId="30D7E567">
      <w:pPr>
        <w:spacing w:line="400" w:lineRule="exact"/>
        <w:ind w:firstLine="718" w:firstLineChars="342"/>
        <w:rPr>
          <w:rFonts w:hint="eastAsia"/>
          <w:highlight w:val="none"/>
        </w:rPr>
      </w:pPr>
      <w:r>
        <w:rPr>
          <w:rFonts w:hint="eastAsia"/>
          <w:highlight w:val="none"/>
        </w:rPr>
        <w:t>（6）与本标段的监理人或代建人或招标代理机构同为一个法定代表人的；</w:t>
      </w:r>
    </w:p>
    <w:p w14:paraId="2A041F69">
      <w:pPr>
        <w:spacing w:line="400" w:lineRule="exact"/>
        <w:ind w:firstLine="718" w:firstLineChars="342"/>
        <w:rPr>
          <w:rFonts w:hint="eastAsia"/>
          <w:highlight w:val="none"/>
        </w:rPr>
      </w:pPr>
      <w:r>
        <w:rPr>
          <w:rFonts w:hint="eastAsia"/>
          <w:highlight w:val="none"/>
        </w:rPr>
        <w:t>（7）与本标段的监理人或代建人或招标代理机构相互控股或参股的；</w:t>
      </w:r>
    </w:p>
    <w:p w14:paraId="6FBCEED4">
      <w:pPr>
        <w:spacing w:line="400" w:lineRule="exact"/>
        <w:ind w:firstLine="718" w:firstLineChars="342"/>
        <w:rPr>
          <w:rFonts w:hint="eastAsia"/>
          <w:highlight w:val="none"/>
        </w:rPr>
      </w:pPr>
      <w:r>
        <w:rPr>
          <w:rFonts w:hint="eastAsia"/>
          <w:highlight w:val="none"/>
        </w:rPr>
        <w:t>（8）与本标段的监理人或代建人或招标代理机构相互任职或工作的；</w:t>
      </w:r>
    </w:p>
    <w:p w14:paraId="5AAB153E">
      <w:pPr>
        <w:spacing w:line="400" w:lineRule="exact"/>
        <w:ind w:firstLine="718" w:firstLineChars="342"/>
        <w:rPr>
          <w:rFonts w:hint="eastAsia"/>
          <w:highlight w:val="none"/>
        </w:rPr>
      </w:pPr>
      <w:r>
        <w:rPr>
          <w:rFonts w:hint="eastAsia"/>
          <w:highlight w:val="none"/>
        </w:rPr>
        <w:t xml:space="preserve">（9）被责令停业的； </w:t>
      </w:r>
    </w:p>
    <w:p w14:paraId="5C6DCEB2">
      <w:pPr>
        <w:spacing w:line="400" w:lineRule="exact"/>
        <w:ind w:firstLine="718" w:firstLineChars="342"/>
        <w:rPr>
          <w:rFonts w:hint="eastAsia"/>
          <w:highlight w:val="none"/>
        </w:rPr>
      </w:pPr>
      <w:r>
        <w:rPr>
          <w:rFonts w:hint="eastAsia"/>
          <w:highlight w:val="none"/>
        </w:rPr>
        <w:t xml:space="preserve">（10）被暂停或取消投标资格的； </w:t>
      </w:r>
    </w:p>
    <w:p w14:paraId="3499FAE6">
      <w:pPr>
        <w:spacing w:line="400" w:lineRule="exact"/>
        <w:ind w:firstLine="718" w:firstLineChars="342"/>
        <w:rPr>
          <w:rFonts w:hint="eastAsia"/>
          <w:highlight w:val="none"/>
        </w:rPr>
      </w:pPr>
      <w:r>
        <w:rPr>
          <w:rFonts w:hint="eastAsia"/>
          <w:highlight w:val="none"/>
        </w:rPr>
        <w:t>（11）财产被接管或冻结的；</w:t>
      </w:r>
    </w:p>
    <w:p w14:paraId="25437C4E">
      <w:pPr>
        <w:spacing w:line="400" w:lineRule="exact"/>
        <w:ind w:firstLine="718" w:firstLineChars="342"/>
        <w:rPr>
          <w:rFonts w:hint="eastAsia"/>
          <w:highlight w:val="none"/>
        </w:rPr>
      </w:pPr>
      <w:r>
        <w:rPr>
          <w:rFonts w:hint="eastAsia"/>
          <w:highlight w:val="none"/>
        </w:rPr>
        <w:t>（12）在最近三年内有骗取中标或严重违约或重大工程质量问题的。</w:t>
      </w:r>
    </w:p>
    <w:p w14:paraId="3D6E5CBE">
      <w:pPr>
        <w:pStyle w:val="45"/>
        <w:rPr>
          <w:rFonts w:hint="eastAsia"/>
          <w:highlight w:val="none"/>
        </w:rPr>
      </w:pPr>
      <w:bookmarkStart w:id="93" w:name="_Toc144974503"/>
      <w:bookmarkStart w:id="94" w:name="_Toc152045535"/>
      <w:bookmarkStart w:id="95" w:name="_Toc152042311"/>
      <w:bookmarkStart w:id="96" w:name="_Toc23623"/>
      <w:r>
        <w:rPr>
          <w:rFonts w:hint="eastAsia"/>
          <w:highlight w:val="none"/>
        </w:rPr>
        <w:t>1.5 费用承担</w:t>
      </w:r>
      <w:bookmarkEnd w:id="93"/>
      <w:bookmarkEnd w:id="94"/>
      <w:bookmarkEnd w:id="95"/>
      <w:bookmarkEnd w:id="96"/>
    </w:p>
    <w:p w14:paraId="40776379">
      <w:pPr>
        <w:spacing w:line="400" w:lineRule="exact"/>
        <w:ind w:firstLine="420" w:firstLineChars="200"/>
        <w:rPr>
          <w:rFonts w:hint="eastAsia"/>
          <w:highlight w:val="none"/>
        </w:rPr>
      </w:pPr>
      <w:r>
        <w:rPr>
          <w:rFonts w:hint="eastAsia"/>
          <w:highlight w:val="none"/>
        </w:rPr>
        <w:t>投标人准备和参加投标活动发生的费用自理。</w:t>
      </w:r>
    </w:p>
    <w:p w14:paraId="09E3DEBD">
      <w:pPr>
        <w:pStyle w:val="45"/>
        <w:rPr>
          <w:rFonts w:hint="eastAsia"/>
          <w:highlight w:val="none"/>
        </w:rPr>
      </w:pPr>
      <w:bookmarkStart w:id="97" w:name="_Toc152045536"/>
      <w:bookmarkStart w:id="98" w:name="_Toc152042312"/>
      <w:bookmarkStart w:id="99" w:name="_Toc20108"/>
      <w:bookmarkStart w:id="100" w:name="_Toc144974504"/>
      <w:r>
        <w:rPr>
          <w:rFonts w:hint="eastAsia"/>
          <w:highlight w:val="none"/>
        </w:rPr>
        <w:t>1.6 保密</w:t>
      </w:r>
      <w:bookmarkEnd w:id="97"/>
      <w:bookmarkEnd w:id="98"/>
      <w:bookmarkEnd w:id="99"/>
      <w:bookmarkEnd w:id="100"/>
    </w:p>
    <w:p w14:paraId="0D1774C9">
      <w:pPr>
        <w:spacing w:line="400" w:lineRule="exact"/>
        <w:ind w:firstLine="420" w:firstLineChars="200"/>
        <w:rPr>
          <w:rFonts w:hint="eastAsia"/>
          <w:highlight w:val="none"/>
        </w:rPr>
      </w:pPr>
      <w:r>
        <w:rPr>
          <w:rFonts w:hint="eastAsia"/>
          <w:highlight w:val="none"/>
        </w:rPr>
        <w:t xml:space="preserve">参与招标投标活动的各方应对招标文件和投标文件中的商业和技术等秘密保密，违者应对由此造成的后果承担法律责任。 </w:t>
      </w:r>
    </w:p>
    <w:p w14:paraId="377B3D25">
      <w:pPr>
        <w:pStyle w:val="45"/>
        <w:rPr>
          <w:rFonts w:hint="eastAsia"/>
          <w:highlight w:val="none"/>
        </w:rPr>
      </w:pPr>
      <w:bookmarkStart w:id="101" w:name="_Toc144974505"/>
      <w:bookmarkStart w:id="102" w:name="_Toc152042313"/>
      <w:bookmarkStart w:id="103" w:name="_Toc152045537"/>
      <w:bookmarkStart w:id="104" w:name="_Toc21022"/>
      <w:r>
        <w:rPr>
          <w:rFonts w:hint="eastAsia"/>
          <w:highlight w:val="none"/>
        </w:rPr>
        <w:t>1.7 语言</w:t>
      </w:r>
      <w:bookmarkEnd w:id="101"/>
      <w:r>
        <w:rPr>
          <w:rFonts w:hint="eastAsia"/>
          <w:highlight w:val="none"/>
        </w:rPr>
        <w:t>文字</w:t>
      </w:r>
      <w:bookmarkEnd w:id="102"/>
      <w:bookmarkEnd w:id="103"/>
      <w:bookmarkEnd w:id="104"/>
    </w:p>
    <w:p w14:paraId="7709632F">
      <w:pPr>
        <w:spacing w:line="400" w:lineRule="exact"/>
        <w:ind w:firstLine="420" w:firstLineChars="200"/>
        <w:rPr>
          <w:rFonts w:hint="eastAsia"/>
          <w:highlight w:val="none"/>
        </w:rPr>
      </w:pPr>
      <w:r>
        <w:rPr>
          <w:rFonts w:hint="eastAsia"/>
          <w:highlight w:val="none"/>
        </w:rPr>
        <w:t>除专用术语外，与招标投标有关的语言均使用中文。必要时专用术语应附有中文注释。</w:t>
      </w:r>
    </w:p>
    <w:p w14:paraId="3A546BDD">
      <w:pPr>
        <w:pStyle w:val="45"/>
        <w:rPr>
          <w:rFonts w:hint="eastAsia"/>
          <w:highlight w:val="none"/>
        </w:rPr>
      </w:pPr>
      <w:bookmarkStart w:id="105" w:name="_Toc144974506"/>
      <w:bookmarkStart w:id="106" w:name="_Toc32500"/>
      <w:bookmarkStart w:id="107" w:name="_Toc152045538"/>
      <w:bookmarkStart w:id="108" w:name="_Toc152042314"/>
      <w:r>
        <w:rPr>
          <w:rFonts w:hint="eastAsia"/>
          <w:highlight w:val="none"/>
        </w:rPr>
        <w:t>1.8 计量单位</w:t>
      </w:r>
      <w:bookmarkEnd w:id="105"/>
      <w:bookmarkEnd w:id="106"/>
      <w:bookmarkEnd w:id="107"/>
      <w:bookmarkEnd w:id="108"/>
    </w:p>
    <w:p w14:paraId="5E2088F0">
      <w:pPr>
        <w:spacing w:line="400" w:lineRule="exact"/>
        <w:ind w:firstLine="420" w:firstLineChars="200"/>
        <w:rPr>
          <w:rFonts w:hint="eastAsia"/>
          <w:highlight w:val="none"/>
        </w:rPr>
      </w:pPr>
      <w:r>
        <w:rPr>
          <w:rFonts w:hint="eastAsia"/>
          <w:highlight w:val="none"/>
        </w:rPr>
        <w:t>所有计量均采用中华人民共和国法定计量单位。</w:t>
      </w:r>
    </w:p>
    <w:p w14:paraId="65F6A5FE">
      <w:pPr>
        <w:pStyle w:val="45"/>
        <w:rPr>
          <w:rFonts w:hint="eastAsia"/>
          <w:highlight w:val="none"/>
        </w:rPr>
      </w:pPr>
      <w:bookmarkStart w:id="109" w:name="_Toc152042315"/>
      <w:bookmarkStart w:id="110" w:name="_Toc15812"/>
      <w:bookmarkStart w:id="111" w:name="_Toc152045539"/>
      <w:bookmarkStart w:id="112" w:name="_Toc144974507"/>
      <w:r>
        <w:rPr>
          <w:rFonts w:hint="eastAsia"/>
          <w:highlight w:val="none"/>
        </w:rPr>
        <w:t>1.9 踏勘现场</w:t>
      </w:r>
      <w:bookmarkEnd w:id="109"/>
      <w:bookmarkEnd w:id="110"/>
      <w:bookmarkEnd w:id="111"/>
      <w:bookmarkEnd w:id="112"/>
    </w:p>
    <w:p w14:paraId="435DEFD3">
      <w:pPr>
        <w:spacing w:line="400" w:lineRule="exact"/>
        <w:ind w:firstLine="420" w:firstLineChars="200"/>
        <w:rPr>
          <w:rFonts w:hint="eastAsia"/>
          <w:highlight w:val="none"/>
        </w:rPr>
      </w:pPr>
      <w:r>
        <w:rPr>
          <w:rFonts w:hint="eastAsia"/>
          <w:highlight w:val="none"/>
        </w:rPr>
        <w:t xml:space="preserve">1.9.1 投标人须知前附表规定组织踏勘现场的，招标人按投标人须知前附表规定的时间、地点组织投标人踏勘项目现场。 </w:t>
      </w:r>
    </w:p>
    <w:p w14:paraId="5C92102E">
      <w:pPr>
        <w:spacing w:line="400" w:lineRule="exact"/>
        <w:ind w:firstLine="420" w:firstLineChars="200"/>
        <w:rPr>
          <w:rFonts w:hint="eastAsia"/>
          <w:highlight w:val="none"/>
        </w:rPr>
      </w:pPr>
      <w:r>
        <w:rPr>
          <w:rFonts w:hint="eastAsia"/>
          <w:highlight w:val="none"/>
        </w:rPr>
        <w:t>1.9.2 投标人踏勘现场发生的费用自理。</w:t>
      </w:r>
    </w:p>
    <w:p w14:paraId="66F5C12B">
      <w:pPr>
        <w:spacing w:line="400" w:lineRule="exact"/>
        <w:ind w:firstLine="420" w:firstLineChars="200"/>
        <w:rPr>
          <w:rFonts w:hint="eastAsia"/>
          <w:highlight w:val="none"/>
        </w:rPr>
      </w:pPr>
      <w:r>
        <w:rPr>
          <w:rFonts w:hint="eastAsia"/>
          <w:highlight w:val="none"/>
        </w:rPr>
        <w:t>1.9.3 除招标人的原因外，投标人自行负责在踏勘现场中所发生的人员伤亡和财产损失。</w:t>
      </w:r>
    </w:p>
    <w:p w14:paraId="763AA347">
      <w:pPr>
        <w:spacing w:line="400" w:lineRule="exact"/>
        <w:ind w:firstLine="420" w:firstLineChars="200"/>
        <w:rPr>
          <w:rFonts w:hint="eastAsia"/>
          <w:highlight w:val="none"/>
        </w:rPr>
      </w:pPr>
      <w:r>
        <w:rPr>
          <w:rFonts w:hint="eastAsia"/>
          <w:highlight w:val="none"/>
        </w:rPr>
        <w:t>1.9.4 招标人在踏勘现场中介绍的工程场地和相关的周边环境情况，供投标人在编制投标文件时参考，招标人不对投标人据此作出的判断和决策负责。</w:t>
      </w:r>
    </w:p>
    <w:p w14:paraId="1A173EAC">
      <w:pPr>
        <w:pStyle w:val="45"/>
        <w:rPr>
          <w:rFonts w:hint="eastAsia"/>
          <w:highlight w:val="none"/>
        </w:rPr>
      </w:pPr>
      <w:bookmarkStart w:id="113" w:name="_Toc152045540"/>
      <w:bookmarkStart w:id="114" w:name="_Toc11663"/>
      <w:bookmarkStart w:id="115" w:name="_Toc152042316"/>
      <w:bookmarkStart w:id="116" w:name="_Toc144974508"/>
      <w:r>
        <w:rPr>
          <w:rFonts w:hint="eastAsia"/>
          <w:highlight w:val="none"/>
        </w:rPr>
        <w:t>1.10 投标预备会</w:t>
      </w:r>
      <w:bookmarkEnd w:id="113"/>
      <w:bookmarkEnd w:id="114"/>
      <w:bookmarkEnd w:id="115"/>
      <w:bookmarkEnd w:id="116"/>
    </w:p>
    <w:p w14:paraId="1E143987">
      <w:pPr>
        <w:spacing w:line="400" w:lineRule="exact"/>
        <w:ind w:firstLine="420" w:firstLineChars="200"/>
        <w:rPr>
          <w:rFonts w:hint="eastAsia"/>
          <w:highlight w:val="none"/>
        </w:rPr>
      </w:pPr>
      <w:r>
        <w:rPr>
          <w:rFonts w:hint="eastAsia"/>
          <w:highlight w:val="none"/>
        </w:rPr>
        <w:t>1.10.1 投标人须知前附表规定召开投标预备会的，招标人按投标人须知前附表规定的时间和地点召开投标预备会，澄清投标人提出的问题。</w:t>
      </w:r>
    </w:p>
    <w:p w14:paraId="05FD022C">
      <w:pPr>
        <w:spacing w:line="400" w:lineRule="exact"/>
        <w:ind w:firstLine="420" w:firstLineChars="200"/>
        <w:rPr>
          <w:rFonts w:hint="eastAsia"/>
          <w:highlight w:val="none"/>
        </w:rPr>
      </w:pPr>
      <w:r>
        <w:rPr>
          <w:rFonts w:hint="eastAsia"/>
          <w:highlight w:val="none"/>
        </w:rPr>
        <w:t>1.10.2 投标人应在投标人须知前附表规定的时间前，以书面形式将提出的问题送达招标人，以便招标人在会议期间澄清。</w:t>
      </w:r>
    </w:p>
    <w:p w14:paraId="110CF42C">
      <w:pPr>
        <w:spacing w:line="400" w:lineRule="exact"/>
        <w:ind w:firstLine="420" w:firstLineChars="200"/>
        <w:rPr>
          <w:rFonts w:hint="eastAsia"/>
          <w:highlight w:val="none"/>
        </w:rPr>
      </w:pPr>
      <w:r>
        <w:rPr>
          <w:rFonts w:hint="eastAsia"/>
          <w:highlight w:val="none"/>
        </w:rPr>
        <w:t>1.10.3 投标预备会后，招标人在投标人须知前附表规定的时间内，将对投标人所提问题的澄清，以书面方式通知所有购买招标文件的投标人。该澄清内容为招标文件的组成部分。</w:t>
      </w:r>
    </w:p>
    <w:p w14:paraId="39999265">
      <w:pPr>
        <w:pStyle w:val="45"/>
        <w:rPr>
          <w:rFonts w:hint="eastAsia"/>
          <w:highlight w:val="none"/>
        </w:rPr>
      </w:pPr>
      <w:bookmarkStart w:id="117" w:name="_Toc9449"/>
      <w:bookmarkStart w:id="118" w:name="_Toc152042317"/>
      <w:bookmarkStart w:id="119" w:name="_Toc152045541"/>
      <w:bookmarkStart w:id="120" w:name="_Toc144974509"/>
      <w:r>
        <w:rPr>
          <w:rFonts w:hint="eastAsia"/>
          <w:highlight w:val="none"/>
        </w:rPr>
        <w:t>1.11 分包</w:t>
      </w:r>
      <w:bookmarkEnd w:id="117"/>
      <w:bookmarkEnd w:id="118"/>
      <w:bookmarkEnd w:id="119"/>
      <w:bookmarkEnd w:id="120"/>
    </w:p>
    <w:p w14:paraId="3698BF96">
      <w:pPr>
        <w:spacing w:line="400" w:lineRule="exact"/>
        <w:ind w:firstLine="567" w:firstLineChars="270"/>
        <w:rPr>
          <w:rFonts w:hint="eastAsia"/>
          <w:highlight w:val="none"/>
        </w:rPr>
      </w:pPr>
      <w:r>
        <w:rPr>
          <w:rFonts w:hint="eastAsia"/>
          <w:highlight w:val="none"/>
        </w:rPr>
        <w:t>投标人拟在中标后将中标项目的部分非主体、非关键性工作进行分包的，应符合投标人须知前附表规定的分包内容、分包金额和接受分包的第三人资质要求等限制性条件。</w:t>
      </w:r>
    </w:p>
    <w:p w14:paraId="52C14A77">
      <w:pPr>
        <w:pStyle w:val="45"/>
        <w:rPr>
          <w:rFonts w:hint="eastAsia"/>
          <w:highlight w:val="none"/>
        </w:rPr>
      </w:pPr>
      <w:bookmarkStart w:id="121" w:name="_Toc18520"/>
      <w:r>
        <w:rPr>
          <w:rFonts w:hint="eastAsia"/>
          <w:highlight w:val="none"/>
        </w:rPr>
        <w:t>1.12 偏离</w:t>
      </w:r>
      <w:bookmarkEnd w:id="121"/>
    </w:p>
    <w:p w14:paraId="30B19221">
      <w:pPr>
        <w:spacing w:line="400" w:lineRule="exact"/>
        <w:ind w:firstLine="359" w:firstLineChars="171"/>
        <w:rPr>
          <w:rFonts w:hint="eastAsia"/>
          <w:highlight w:val="none"/>
        </w:rPr>
      </w:pPr>
      <w:r>
        <w:rPr>
          <w:rFonts w:hint="eastAsia"/>
          <w:highlight w:val="none"/>
        </w:rPr>
        <w:t>投标人须知前附表允许投标文件偏离招标文件某些要求的，偏离应当符合招标文件规定的偏离范围和幅度。</w:t>
      </w:r>
    </w:p>
    <w:p w14:paraId="255AEB2A">
      <w:pPr>
        <w:pStyle w:val="46"/>
        <w:rPr>
          <w:rFonts w:hint="eastAsia"/>
          <w:highlight w:val="none"/>
        </w:rPr>
      </w:pPr>
      <w:bookmarkStart w:id="122" w:name="_Toc26755"/>
      <w:bookmarkStart w:id="123" w:name="_Toc144974510"/>
      <w:bookmarkStart w:id="124" w:name="_Toc152045542"/>
      <w:bookmarkStart w:id="125" w:name="_Toc152042318"/>
      <w:r>
        <w:rPr>
          <w:rFonts w:hint="eastAsia"/>
          <w:highlight w:val="none"/>
        </w:rPr>
        <w:t>2. 招标文件</w:t>
      </w:r>
      <w:bookmarkEnd w:id="122"/>
      <w:bookmarkEnd w:id="123"/>
      <w:bookmarkEnd w:id="124"/>
      <w:bookmarkEnd w:id="125"/>
    </w:p>
    <w:p w14:paraId="7E2D0C7F">
      <w:pPr>
        <w:pStyle w:val="45"/>
        <w:rPr>
          <w:rFonts w:hint="eastAsia"/>
          <w:highlight w:val="none"/>
        </w:rPr>
      </w:pPr>
      <w:bookmarkStart w:id="126" w:name="_Toc152042319"/>
      <w:bookmarkStart w:id="127" w:name="_Toc13255"/>
      <w:bookmarkStart w:id="128" w:name="_Toc152045543"/>
      <w:bookmarkStart w:id="129" w:name="_Toc144974511"/>
      <w:r>
        <w:rPr>
          <w:rFonts w:hint="eastAsia"/>
          <w:highlight w:val="none"/>
        </w:rPr>
        <w:t>2.1 招标文件的组成</w:t>
      </w:r>
      <w:bookmarkEnd w:id="126"/>
      <w:bookmarkEnd w:id="127"/>
      <w:bookmarkEnd w:id="128"/>
      <w:bookmarkEnd w:id="129"/>
    </w:p>
    <w:p w14:paraId="1F67D225">
      <w:pPr>
        <w:spacing w:line="400" w:lineRule="exact"/>
        <w:rPr>
          <w:rFonts w:hint="eastAsia"/>
          <w:highlight w:val="none"/>
        </w:rPr>
      </w:pPr>
      <w:r>
        <w:rPr>
          <w:rFonts w:hint="eastAsia"/>
          <w:highlight w:val="none"/>
        </w:rPr>
        <w:t>　　本招标文件包括：</w:t>
      </w:r>
    </w:p>
    <w:p w14:paraId="679BF59E">
      <w:pPr>
        <w:spacing w:line="400" w:lineRule="exact"/>
        <w:ind w:firstLine="359" w:firstLineChars="171"/>
        <w:rPr>
          <w:rFonts w:hint="eastAsia"/>
          <w:highlight w:val="none"/>
        </w:rPr>
      </w:pPr>
      <w:r>
        <w:rPr>
          <w:rFonts w:hint="eastAsia"/>
          <w:highlight w:val="none"/>
        </w:rPr>
        <w:t>（1）招标公告；</w:t>
      </w:r>
    </w:p>
    <w:p w14:paraId="2D0122D9">
      <w:pPr>
        <w:spacing w:line="400" w:lineRule="exact"/>
        <w:ind w:firstLine="359" w:firstLineChars="171"/>
        <w:rPr>
          <w:rFonts w:hint="eastAsia"/>
          <w:highlight w:val="none"/>
        </w:rPr>
      </w:pPr>
      <w:r>
        <w:rPr>
          <w:rFonts w:hint="eastAsia"/>
          <w:highlight w:val="none"/>
        </w:rPr>
        <w:t>（2）投标人须知；</w:t>
      </w:r>
    </w:p>
    <w:p w14:paraId="398E73A3">
      <w:pPr>
        <w:spacing w:line="400" w:lineRule="exact"/>
        <w:ind w:firstLine="359" w:firstLineChars="171"/>
        <w:rPr>
          <w:rFonts w:hint="eastAsia"/>
          <w:highlight w:val="none"/>
        </w:rPr>
      </w:pPr>
      <w:r>
        <w:rPr>
          <w:rFonts w:hint="eastAsia"/>
          <w:highlight w:val="none"/>
        </w:rPr>
        <w:t>（3）评标办法；</w:t>
      </w:r>
    </w:p>
    <w:p w14:paraId="107FEAB2">
      <w:pPr>
        <w:spacing w:line="400" w:lineRule="exact"/>
        <w:ind w:firstLine="359" w:firstLineChars="171"/>
        <w:rPr>
          <w:rFonts w:hint="eastAsia"/>
          <w:highlight w:val="none"/>
        </w:rPr>
      </w:pPr>
      <w:r>
        <w:rPr>
          <w:rFonts w:hint="eastAsia"/>
          <w:highlight w:val="none"/>
        </w:rPr>
        <w:t>（4）合同条款及格式；</w:t>
      </w:r>
    </w:p>
    <w:p w14:paraId="6847130C">
      <w:pPr>
        <w:spacing w:line="400" w:lineRule="exact"/>
        <w:ind w:firstLine="359" w:firstLineChars="171"/>
        <w:rPr>
          <w:rFonts w:hint="eastAsia"/>
          <w:highlight w:val="none"/>
        </w:rPr>
      </w:pPr>
      <w:r>
        <w:rPr>
          <w:rFonts w:hint="eastAsia"/>
          <w:highlight w:val="none"/>
        </w:rPr>
        <w:t xml:space="preserve">（5）工程量清单； </w:t>
      </w:r>
    </w:p>
    <w:p w14:paraId="7A153818">
      <w:pPr>
        <w:spacing w:line="400" w:lineRule="exact"/>
        <w:ind w:firstLine="359" w:firstLineChars="171"/>
        <w:rPr>
          <w:rFonts w:hint="eastAsia"/>
          <w:highlight w:val="none"/>
        </w:rPr>
      </w:pPr>
      <w:r>
        <w:rPr>
          <w:rFonts w:hint="eastAsia"/>
          <w:highlight w:val="none"/>
        </w:rPr>
        <w:t xml:space="preserve">（6）图纸； </w:t>
      </w:r>
    </w:p>
    <w:p w14:paraId="71958C12">
      <w:pPr>
        <w:spacing w:line="400" w:lineRule="exact"/>
        <w:ind w:firstLine="359" w:firstLineChars="171"/>
        <w:rPr>
          <w:rFonts w:hint="eastAsia"/>
          <w:highlight w:val="none"/>
        </w:rPr>
      </w:pPr>
      <w:r>
        <w:rPr>
          <w:rFonts w:hint="eastAsia"/>
          <w:highlight w:val="none"/>
        </w:rPr>
        <w:t xml:space="preserve">（7）技术标准和要求； </w:t>
      </w:r>
    </w:p>
    <w:p w14:paraId="18718E7F">
      <w:pPr>
        <w:spacing w:line="400" w:lineRule="exact"/>
        <w:ind w:firstLine="359" w:firstLineChars="171"/>
        <w:rPr>
          <w:rFonts w:hint="eastAsia"/>
          <w:highlight w:val="none"/>
        </w:rPr>
      </w:pPr>
      <w:r>
        <w:rPr>
          <w:rFonts w:hint="eastAsia"/>
          <w:highlight w:val="none"/>
        </w:rPr>
        <w:t>（8）投标文件格式；</w:t>
      </w:r>
    </w:p>
    <w:p w14:paraId="3F69392C">
      <w:pPr>
        <w:spacing w:line="400" w:lineRule="exact"/>
        <w:ind w:firstLine="359" w:firstLineChars="171"/>
        <w:rPr>
          <w:rFonts w:hint="eastAsia"/>
          <w:highlight w:val="none"/>
        </w:rPr>
      </w:pPr>
      <w:r>
        <w:rPr>
          <w:rFonts w:hint="eastAsia"/>
          <w:highlight w:val="none"/>
        </w:rPr>
        <w:t>（9）投标人须知前附表规定的其他材料。</w:t>
      </w:r>
    </w:p>
    <w:p w14:paraId="41E52577">
      <w:pPr>
        <w:spacing w:line="400" w:lineRule="exact"/>
        <w:ind w:firstLine="420" w:firstLineChars="200"/>
        <w:rPr>
          <w:rFonts w:hint="eastAsia"/>
          <w:highlight w:val="none"/>
        </w:rPr>
      </w:pPr>
      <w:r>
        <w:rPr>
          <w:rFonts w:hint="eastAsia"/>
          <w:highlight w:val="none"/>
        </w:rPr>
        <w:t>根据本章第1.10款、第2.2款和第2.3款对招标文件所作的澄清、修改，构成招标文件的组成部分。</w:t>
      </w:r>
    </w:p>
    <w:p w14:paraId="4D792758">
      <w:pPr>
        <w:pStyle w:val="45"/>
        <w:rPr>
          <w:rFonts w:hint="eastAsia"/>
          <w:highlight w:val="none"/>
        </w:rPr>
      </w:pPr>
      <w:bookmarkStart w:id="130" w:name="_Toc152045544"/>
      <w:bookmarkStart w:id="131" w:name="_Toc144974512"/>
      <w:bookmarkStart w:id="132" w:name="_Toc152042320"/>
      <w:bookmarkStart w:id="133" w:name="_Toc11550"/>
      <w:r>
        <w:rPr>
          <w:rFonts w:hint="eastAsia"/>
          <w:highlight w:val="none"/>
        </w:rPr>
        <w:t>2.2 招标文件的澄清</w:t>
      </w:r>
      <w:bookmarkEnd w:id="130"/>
      <w:bookmarkEnd w:id="131"/>
      <w:bookmarkEnd w:id="132"/>
      <w:bookmarkEnd w:id="133"/>
    </w:p>
    <w:p w14:paraId="1F4B9DEC">
      <w:pPr>
        <w:spacing w:line="400" w:lineRule="exact"/>
        <w:ind w:firstLine="420" w:firstLineChars="200"/>
        <w:rPr>
          <w:rFonts w:hint="eastAsia"/>
          <w:highlight w:val="none"/>
        </w:rPr>
      </w:pPr>
      <w:r>
        <w:rPr>
          <w:rFonts w:hint="eastAsia"/>
          <w:highlight w:val="none"/>
        </w:rPr>
        <w:t>2.2.1投标人应仔细阅读和检查招标文件的全部内容。</w:t>
      </w:r>
      <w:r>
        <w:rPr>
          <w:rFonts w:hint="eastAsia" w:ascii="宋体" w:hAnsi="宋体"/>
          <w:szCs w:val="21"/>
          <w:highlight w:val="none"/>
        </w:rPr>
        <w:t>如发现缺页或附件不全，应及时向招标人提出，以便补齐。</w:t>
      </w:r>
      <w:r>
        <w:rPr>
          <w:rFonts w:hint="eastAsia"/>
          <w:highlight w:val="none"/>
        </w:rPr>
        <w:t>如有疑问，应在投标人须知前附表规定的时间前以书面形式，要求招标人对招标文件予以澄清。</w:t>
      </w:r>
    </w:p>
    <w:p w14:paraId="41AD3622">
      <w:pPr>
        <w:spacing w:line="400" w:lineRule="exact"/>
        <w:ind w:firstLine="420" w:firstLineChars="200"/>
        <w:rPr>
          <w:rFonts w:hint="eastAsia"/>
          <w:highlight w:val="none"/>
        </w:rPr>
      </w:pPr>
      <w:r>
        <w:rPr>
          <w:rFonts w:hint="eastAsia"/>
          <w:highlight w:val="none"/>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14:paraId="7D292305">
      <w:pPr>
        <w:pStyle w:val="45"/>
        <w:rPr>
          <w:rFonts w:hint="eastAsia"/>
          <w:highlight w:val="none"/>
        </w:rPr>
      </w:pPr>
      <w:bookmarkStart w:id="134" w:name="_Toc21606"/>
      <w:bookmarkStart w:id="135" w:name="_Toc152042321"/>
      <w:bookmarkStart w:id="136" w:name="_Toc144974513"/>
      <w:bookmarkStart w:id="137" w:name="_Toc152045545"/>
      <w:r>
        <w:rPr>
          <w:rFonts w:hint="eastAsia"/>
          <w:highlight w:val="none"/>
        </w:rPr>
        <w:t>2.3 招标文件的修改</w:t>
      </w:r>
      <w:bookmarkEnd w:id="134"/>
      <w:bookmarkEnd w:id="135"/>
      <w:bookmarkEnd w:id="136"/>
      <w:bookmarkEnd w:id="137"/>
    </w:p>
    <w:p w14:paraId="6486C298">
      <w:pPr>
        <w:spacing w:line="400" w:lineRule="exact"/>
        <w:ind w:firstLine="420" w:firstLineChars="200"/>
        <w:rPr>
          <w:rFonts w:hint="eastAsia"/>
          <w:highlight w:val="none"/>
        </w:rPr>
      </w:pPr>
      <w:r>
        <w:rPr>
          <w:rFonts w:hint="eastAsia"/>
          <w:highlight w:val="none"/>
        </w:rPr>
        <w:t>2.3.1 在投标截止时间15天前，招标人可以书面形式修改招标文件，并通知所有已</w:t>
      </w:r>
      <w:r>
        <w:rPr>
          <w:rFonts w:hint="eastAsia"/>
          <w:highlight w:val="none"/>
          <w:lang w:val="en-US" w:eastAsia="zh-CN"/>
        </w:rPr>
        <w:t>下载</w:t>
      </w:r>
      <w:r>
        <w:rPr>
          <w:rFonts w:hint="eastAsia"/>
          <w:highlight w:val="none"/>
        </w:rPr>
        <w:t xml:space="preserve">招标文件的投标人。如果修改招标文件的时间距投标截止时间不足15天，相应延长投标截止时间。 </w:t>
      </w:r>
    </w:p>
    <w:p w14:paraId="5E1DE17F">
      <w:pPr>
        <w:pStyle w:val="46"/>
        <w:rPr>
          <w:rFonts w:hint="eastAsia"/>
          <w:highlight w:val="none"/>
        </w:rPr>
      </w:pPr>
      <w:bookmarkStart w:id="138" w:name="_Toc152045546"/>
      <w:bookmarkStart w:id="139" w:name="_Toc144974514"/>
      <w:bookmarkStart w:id="140" w:name="_Toc30362"/>
      <w:bookmarkStart w:id="141" w:name="_Toc152042322"/>
      <w:r>
        <w:rPr>
          <w:rFonts w:hint="eastAsia"/>
          <w:highlight w:val="none"/>
        </w:rPr>
        <w:t>3. 投标文件</w:t>
      </w:r>
      <w:bookmarkEnd w:id="138"/>
      <w:bookmarkEnd w:id="139"/>
      <w:bookmarkEnd w:id="140"/>
      <w:bookmarkEnd w:id="141"/>
    </w:p>
    <w:p w14:paraId="29702A56">
      <w:pPr>
        <w:pStyle w:val="45"/>
        <w:rPr>
          <w:rFonts w:hint="eastAsia"/>
          <w:highlight w:val="none"/>
        </w:rPr>
      </w:pPr>
      <w:bookmarkStart w:id="142" w:name="_Toc152045547"/>
      <w:bookmarkStart w:id="143" w:name="_Toc144974515"/>
      <w:bookmarkStart w:id="144" w:name="_Toc4615"/>
      <w:bookmarkStart w:id="145" w:name="_Toc152042323"/>
      <w:r>
        <w:rPr>
          <w:rFonts w:hint="eastAsia"/>
          <w:highlight w:val="none"/>
        </w:rPr>
        <w:t>3.1 投标文件的组成</w:t>
      </w:r>
      <w:bookmarkEnd w:id="142"/>
      <w:bookmarkEnd w:id="143"/>
      <w:bookmarkEnd w:id="144"/>
      <w:bookmarkEnd w:id="145"/>
    </w:p>
    <w:p w14:paraId="54318B15">
      <w:pPr>
        <w:spacing w:line="400" w:lineRule="exact"/>
        <w:rPr>
          <w:rFonts w:hint="eastAsia"/>
          <w:highlight w:val="none"/>
        </w:rPr>
      </w:pPr>
      <w:r>
        <w:rPr>
          <w:rFonts w:hint="eastAsia"/>
          <w:highlight w:val="none"/>
        </w:rPr>
        <w:t>　　3.1.1投标文件应包括下列内容：</w:t>
      </w:r>
    </w:p>
    <w:p w14:paraId="6B4874E7">
      <w:pPr>
        <w:spacing w:line="400" w:lineRule="exact"/>
        <w:ind w:firstLine="359" w:firstLineChars="171"/>
        <w:rPr>
          <w:rFonts w:hint="eastAsia"/>
          <w:highlight w:val="none"/>
        </w:rPr>
      </w:pPr>
      <w:r>
        <w:rPr>
          <w:rFonts w:hint="eastAsia"/>
          <w:highlight w:val="none"/>
        </w:rPr>
        <w:t>（1）投标函及投标函附录；</w:t>
      </w:r>
    </w:p>
    <w:p w14:paraId="6E1840AA">
      <w:pPr>
        <w:spacing w:line="400" w:lineRule="exact"/>
        <w:ind w:firstLine="359" w:firstLineChars="171"/>
        <w:rPr>
          <w:rFonts w:hint="eastAsia"/>
          <w:highlight w:val="none"/>
        </w:rPr>
      </w:pPr>
      <w:r>
        <w:rPr>
          <w:rFonts w:hint="eastAsia"/>
          <w:highlight w:val="none"/>
        </w:rPr>
        <w:t>（2）法定代表人身份证明或附有法定代表人身份证明的授权委托书；</w:t>
      </w:r>
    </w:p>
    <w:p w14:paraId="60A69A02">
      <w:pPr>
        <w:spacing w:line="400" w:lineRule="exact"/>
        <w:ind w:firstLine="359" w:firstLineChars="171"/>
        <w:rPr>
          <w:rFonts w:hint="eastAsia"/>
          <w:highlight w:val="none"/>
        </w:rPr>
      </w:pPr>
      <w:r>
        <w:rPr>
          <w:rFonts w:hint="eastAsia"/>
          <w:highlight w:val="none"/>
        </w:rPr>
        <w:t>（3）联合体协议书；</w:t>
      </w:r>
    </w:p>
    <w:p w14:paraId="025AA6AB">
      <w:pPr>
        <w:spacing w:line="400" w:lineRule="exact"/>
        <w:ind w:firstLine="359" w:firstLineChars="171"/>
        <w:rPr>
          <w:rFonts w:hint="eastAsia"/>
          <w:highlight w:val="none"/>
        </w:rPr>
      </w:pPr>
      <w:r>
        <w:rPr>
          <w:rFonts w:hint="eastAsia"/>
          <w:highlight w:val="none"/>
        </w:rPr>
        <w:t>（4）投标保证金；</w:t>
      </w:r>
    </w:p>
    <w:p w14:paraId="7717E28D">
      <w:pPr>
        <w:spacing w:line="400" w:lineRule="exact"/>
        <w:ind w:firstLine="359" w:firstLineChars="171"/>
        <w:rPr>
          <w:rFonts w:hint="eastAsia"/>
          <w:highlight w:val="none"/>
        </w:rPr>
      </w:pPr>
      <w:r>
        <w:rPr>
          <w:rFonts w:hint="eastAsia"/>
          <w:highlight w:val="none"/>
        </w:rPr>
        <w:t>（5）已标价工程量清单；</w:t>
      </w:r>
    </w:p>
    <w:p w14:paraId="78555AF8">
      <w:pPr>
        <w:spacing w:line="400" w:lineRule="exact"/>
        <w:ind w:firstLine="359" w:firstLineChars="171"/>
        <w:rPr>
          <w:rFonts w:hint="eastAsia"/>
          <w:highlight w:val="none"/>
        </w:rPr>
      </w:pPr>
      <w:r>
        <w:rPr>
          <w:rFonts w:hint="eastAsia"/>
          <w:highlight w:val="none"/>
        </w:rPr>
        <w:t xml:space="preserve">（6）施工组织设计； </w:t>
      </w:r>
    </w:p>
    <w:p w14:paraId="128FCFD4">
      <w:pPr>
        <w:spacing w:line="400" w:lineRule="exact"/>
        <w:ind w:firstLine="359" w:firstLineChars="171"/>
        <w:rPr>
          <w:rFonts w:hint="eastAsia"/>
          <w:highlight w:val="none"/>
        </w:rPr>
      </w:pPr>
      <w:r>
        <w:rPr>
          <w:rFonts w:hint="eastAsia"/>
          <w:highlight w:val="none"/>
        </w:rPr>
        <w:t>（7）项目管理机构；</w:t>
      </w:r>
    </w:p>
    <w:p w14:paraId="04A37FAD">
      <w:pPr>
        <w:spacing w:line="400" w:lineRule="exact"/>
        <w:ind w:firstLine="359" w:firstLineChars="171"/>
        <w:rPr>
          <w:rFonts w:hint="eastAsia"/>
          <w:highlight w:val="none"/>
        </w:rPr>
      </w:pPr>
      <w:r>
        <w:rPr>
          <w:rFonts w:hint="eastAsia"/>
          <w:highlight w:val="none"/>
        </w:rPr>
        <w:t>（8）拟分包项目情况表；</w:t>
      </w:r>
    </w:p>
    <w:p w14:paraId="02FDDE03">
      <w:pPr>
        <w:spacing w:line="400" w:lineRule="exact"/>
        <w:ind w:firstLine="359" w:firstLineChars="171"/>
        <w:rPr>
          <w:rFonts w:hint="eastAsia"/>
          <w:highlight w:val="none"/>
        </w:rPr>
      </w:pPr>
      <w:r>
        <w:rPr>
          <w:rFonts w:hint="eastAsia"/>
          <w:highlight w:val="none"/>
        </w:rPr>
        <w:t>（9）资格审查资料；</w:t>
      </w:r>
    </w:p>
    <w:p w14:paraId="58E9D425">
      <w:pPr>
        <w:spacing w:line="400" w:lineRule="exact"/>
        <w:ind w:firstLine="359" w:firstLineChars="171"/>
        <w:rPr>
          <w:rFonts w:hint="eastAsia"/>
          <w:highlight w:val="none"/>
        </w:rPr>
      </w:pPr>
      <w:r>
        <w:rPr>
          <w:rFonts w:hint="eastAsia"/>
          <w:highlight w:val="none"/>
        </w:rPr>
        <w:t>（10）投标人须知前附表规定的其他材料。</w:t>
      </w:r>
    </w:p>
    <w:p w14:paraId="3B22D653">
      <w:pPr>
        <w:spacing w:line="400" w:lineRule="exact"/>
        <w:ind w:firstLine="359" w:firstLineChars="171"/>
        <w:rPr>
          <w:rFonts w:hint="eastAsia"/>
          <w:highlight w:val="none"/>
        </w:rPr>
      </w:pPr>
      <w:r>
        <w:rPr>
          <w:rFonts w:hint="eastAsia"/>
          <w:highlight w:val="none"/>
        </w:rPr>
        <w:t xml:space="preserve">3.1.2 投标人须知前附表规定不接受联合体投标的，或投标人没有组成联合体的，投标文件不包括本章第3.1.1（3）目所指的联合体协议书。 </w:t>
      </w:r>
    </w:p>
    <w:p w14:paraId="3DE8E56E">
      <w:pPr>
        <w:pStyle w:val="45"/>
        <w:rPr>
          <w:rFonts w:hint="eastAsia"/>
          <w:highlight w:val="none"/>
        </w:rPr>
      </w:pPr>
      <w:bookmarkStart w:id="146" w:name="_Toc144974516"/>
      <w:bookmarkStart w:id="147" w:name="_Toc152042324"/>
      <w:bookmarkStart w:id="148" w:name="_Toc6932"/>
      <w:bookmarkStart w:id="149" w:name="_Toc152045548"/>
      <w:r>
        <w:rPr>
          <w:rFonts w:hint="eastAsia"/>
          <w:highlight w:val="none"/>
        </w:rPr>
        <w:t>3.2 投标报价</w:t>
      </w:r>
      <w:bookmarkEnd w:id="146"/>
      <w:bookmarkEnd w:id="147"/>
      <w:bookmarkEnd w:id="148"/>
      <w:bookmarkEnd w:id="149"/>
    </w:p>
    <w:p w14:paraId="7B4EF143">
      <w:pPr>
        <w:spacing w:line="400" w:lineRule="exact"/>
        <w:ind w:firstLine="420" w:firstLineChars="200"/>
        <w:rPr>
          <w:rFonts w:hint="eastAsia"/>
          <w:highlight w:val="none"/>
        </w:rPr>
      </w:pPr>
      <w:r>
        <w:rPr>
          <w:rFonts w:hint="eastAsia"/>
          <w:highlight w:val="none"/>
        </w:rPr>
        <w:t>3.2.1 投标人应按第五章“工程量清单”的要求填写相应表格。</w:t>
      </w:r>
    </w:p>
    <w:p w14:paraId="6B69232A">
      <w:pPr>
        <w:spacing w:line="400" w:lineRule="exact"/>
        <w:ind w:firstLine="420" w:firstLineChars="200"/>
        <w:rPr>
          <w:rFonts w:hint="eastAsia"/>
          <w:highlight w:val="none"/>
        </w:rPr>
      </w:pPr>
      <w:r>
        <w:rPr>
          <w:rFonts w:hint="eastAsia"/>
          <w:highlight w:val="none"/>
        </w:rPr>
        <w:t>3.2.2 投标人在投标截止时间前修改投标函中的投标总报价，应同时修改第五章“工程量清单”中的相应报价。此修改须符合本章第4.3款的有关要求。　　</w:t>
      </w:r>
    </w:p>
    <w:p w14:paraId="4855B8CE">
      <w:pPr>
        <w:pStyle w:val="45"/>
        <w:rPr>
          <w:rFonts w:hint="eastAsia"/>
          <w:highlight w:val="none"/>
        </w:rPr>
      </w:pPr>
      <w:bookmarkStart w:id="150" w:name="_Toc152045549"/>
      <w:bookmarkStart w:id="151" w:name="_Toc2466"/>
      <w:bookmarkStart w:id="152" w:name="_Toc144974517"/>
      <w:bookmarkStart w:id="153" w:name="_Toc152042325"/>
      <w:r>
        <w:rPr>
          <w:rFonts w:hint="eastAsia"/>
          <w:highlight w:val="none"/>
        </w:rPr>
        <w:t>3.3 投标有效期</w:t>
      </w:r>
      <w:bookmarkEnd w:id="150"/>
      <w:bookmarkEnd w:id="151"/>
      <w:bookmarkEnd w:id="152"/>
      <w:bookmarkEnd w:id="153"/>
    </w:p>
    <w:p w14:paraId="0E82DDEA">
      <w:pPr>
        <w:spacing w:line="400" w:lineRule="exact"/>
        <w:ind w:firstLine="420" w:firstLineChars="200"/>
        <w:rPr>
          <w:rFonts w:hint="eastAsia"/>
          <w:highlight w:val="none"/>
        </w:rPr>
      </w:pPr>
      <w:r>
        <w:rPr>
          <w:rFonts w:hint="eastAsia"/>
          <w:highlight w:val="none"/>
        </w:rPr>
        <w:t>3.3.1 在投标人须知前附表规定的投标有效期内，投标人不得要求撤销或修改其投标文件。</w:t>
      </w:r>
    </w:p>
    <w:p w14:paraId="7A57C28F">
      <w:pPr>
        <w:spacing w:line="400" w:lineRule="exact"/>
        <w:ind w:firstLine="420" w:firstLineChars="200"/>
        <w:rPr>
          <w:rFonts w:hint="eastAsia"/>
          <w:highlight w:val="none"/>
        </w:rPr>
      </w:pPr>
      <w:r>
        <w:rPr>
          <w:rFonts w:hint="eastAsia"/>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7CC04280">
      <w:pPr>
        <w:pStyle w:val="45"/>
        <w:rPr>
          <w:rFonts w:hint="eastAsia"/>
          <w:highlight w:val="none"/>
        </w:rPr>
      </w:pPr>
      <w:bookmarkStart w:id="154" w:name="_Toc152045550"/>
      <w:bookmarkStart w:id="155" w:name="_Toc152042326"/>
      <w:bookmarkStart w:id="156" w:name="_Toc3526"/>
      <w:bookmarkStart w:id="157" w:name="_Toc144974518"/>
      <w:r>
        <w:rPr>
          <w:rFonts w:hint="eastAsia"/>
          <w:highlight w:val="none"/>
        </w:rPr>
        <w:t>3.4 投标保证金</w:t>
      </w:r>
      <w:bookmarkEnd w:id="154"/>
      <w:bookmarkEnd w:id="155"/>
      <w:bookmarkEnd w:id="156"/>
      <w:bookmarkEnd w:id="157"/>
    </w:p>
    <w:p w14:paraId="05158A78">
      <w:pPr>
        <w:spacing w:line="400" w:lineRule="exact"/>
        <w:ind w:firstLine="420" w:firstLineChars="200"/>
        <w:rPr>
          <w:rFonts w:hint="eastAsia"/>
          <w:highlight w:val="none"/>
        </w:rPr>
      </w:pPr>
      <w:r>
        <w:rPr>
          <w:rFonts w:hint="eastAsia"/>
          <w:highlight w:val="none"/>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14:paraId="71AF7074">
      <w:pPr>
        <w:spacing w:line="400" w:lineRule="exact"/>
        <w:ind w:firstLine="420" w:firstLineChars="200"/>
        <w:rPr>
          <w:rFonts w:hint="eastAsia"/>
          <w:highlight w:val="none"/>
        </w:rPr>
      </w:pPr>
      <w:r>
        <w:rPr>
          <w:rFonts w:hint="eastAsia"/>
          <w:highlight w:val="none"/>
        </w:rPr>
        <w:t>3.4.2 投标人不按本章第3.4.1项要求提交投标保证金的，其投标文件作废标处理。</w:t>
      </w:r>
    </w:p>
    <w:p w14:paraId="685C933B">
      <w:pPr>
        <w:spacing w:line="400" w:lineRule="exact"/>
        <w:ind w:firstLine="420" w:firstLineChars="200"/>
        <w:rPr>
          <w:rFonts w:hint="eastAsia"/>
          <w:highlight w:val="none"/>
        </w:rPr>
      </w:pPr>
      <w:r>
        <w:rPr>
          <w:rFonts w:hint="eastAsia"/>
          <w:highlight w:val="none"/>
        </w:rPr>
        <w:t>3.4.3 招标人与中标人签订合同后5个工作日内，向未中标的投标人和中标人退还投标保证金。</w:t>
      </w:r>
    </w:p>
    <w:p w14:paraId="39A373BA">
      <w:pPr>
        <w:spacing w:line="400" w:lineRule="exact"/>
        <w:ind w:firstLine="420" w:firstLineChars="200"/>
        <w:rPr>
          <w:rFonts w:hint="eastAsia"/>
          <w:highlight w:val="none"/>
        </w:rPr>
      </w:pPr>
      <w:r>
        <w:rPr>
          <w:rFonts w:hint="eastAsia"/>
          <w:highlight w:val="none"/>
        </w:rPr>
        <w:t xml:space="preserve">3.4.4 有下列情形之一的，投标保证金将不予退还： </w:t>
      </w:r>
    </w:p>
    <w:p w14:paraId="16D540A1">
      <w:pPr>
        <w:spacing w:line="400" w:lineRule="exact"/>
        <w:ind w:firstLine="718" w:firstLineChars="342"/>
        <w:rPr>
          <w:rFonts w:hint="eastAsia"/>
          <w:highlight w:val="none"/>
        </w:rPr>
      </w:pPr>
      <w:r>
        <w:rPr>
          <w:rFonts w:hint="eastAsia"/>
          <w:highlight w:val="none"/>
        </w:rPr>
        <w:t>（1）投标人在规定的投标有效期内撤销或修改其投标文件；</w:t>
      </w:r>
    </w:p>
    <w:p w14:paraId="01CD7271">
      <w:pPr>
        <w:spacing w:line="400" w:lineRule="exact"/>
        <w:ind w:firstLine="718" w:firstLineChars="342"/>
        <w:rPr>
          <w:rFonts w:hint="eastAsia"/>
          <w:highlight w:val="none"/>
        </w:rPr>
      </w:pPr>
      <w:r>
        <w:rPr>
          <w:rFonts w:hint="eastAsia"/>
          <w:highlight w:val="none"/>
        </w:rPr>
        <w:t>（2）中标人在收到中标通知书后，无正当理由拒签合同协议书或未按招标文件规定提交履约担保。</w:t>
      </w:r>
    </w:p>
    <w:p w14:paraId="3F5D05AB">
      <w:pPr>
        <w:pStyle w:val="45"/>
        <w:rPr>
          <w:rFonts w:hint="eastAsia"/>
          <w:highlight w:val="none"/>
        </w:rPr>
      </w:pPr>
      <w:bookmarkStart w:id="158" w:name="_Toc152042328"/>
      <w:bookmarkStart w:id="159" w:name="_Toc144974520"/>
      <w:bookmarkStart w:id="160" w:name="_Toc152045552"/>
      <w:bookmarkStart w:id="161" w:name="_Toc2853"/>
      <w:r>
        <w:rPr>
          <w:rFonts w:hint="eastAsia"/>
          <w:highlight w:val="none"/>
        </w:rPr>
        <w:t>3.5 资格审查资料</w:t>
      </w:r>
      <w:bookmarkEnd w:id="158"/>
      <w:bookmarkEnd w:id="159"/>
      <w:bookmarkEnd w:id="160"/>
      <w:bookmarkEnd w:id="161"/>
    </w:p>
    <w:p w14:paraId="11DA62C9">
      <w:pPr>
        <w:spacing w:line="400" w:lineRule="exact"/>
        <w:ind w:firstLine="420" w:firstLineChars="200"/>
        <w:rPr>
          <w:rFonts w:hint="eastAsia"/>
          <w:highlight w:val="none"/>
        </w:rPr>
      </w:pPr>
      <w:r>
        <w:rPr>
          <w:rFonts w:hint="eastAsia"/>
          <w:highlight w:val="none"/>
        </w:rPr>
        <w:t>3.5.1 “投标人基本情况表”应附投标人营业执照副本及其年检合格的证明材料、资质证书副本和安全生产许可证等材料的复印件。</w:t>
      </w:r>
    </w:p>
    <w:p w14:paraId="6FCAEEFC">
      <w:pPr>
        <w:spacing w:line="400" w:lineRule="exact"/>
        <w:ind w:firstLine="420" w:firstLineChars="200"/>
        <w:rPr>
          <w:rFonts w:hint="eastAsia"/>
          <w:highlight w:val="none"/>
        </w:rPr>
      </w:pPr>
      <w:r>
        <w:rPr>
          <w:rFonts w:hint="eastAsia"/>
          <w:highlight w:val="none"/>
        </w:rPr>
        <w:t>3.5.2 “近年财务状况表”应附经会计师事务所或审计机构审计的财务会计报表，包括资产负债表、现金流量表、利润表和财务情况说明书的复印件，具体年份要求见投标人须知前附表。</w:t>
      </w:r>
    </w:p>
    <w:p w14:paraId="17CD67A6">
      <w:pPr>
        <w:spacing w:line="400" w:lineRule="exact"/>
        <w:ind w:firstLine="420" w:firstLineChars="200"/>
        <w:rPr>
          <w:rFonts w:hint="eastAsia"/>
          <w:highlight w:val="none"/>
        </w:rPr>
      </w:pPr>
      <w:r>
        <w:rPr>
          <w:rFonts w:hint="eastAsia"/>
          <w:highlight w:val="none"/>
        </w:rPr>
        <w:t>3.5.3 “近年完成的类似项目情况表”应附中标通知书和（或）合同协议书、工程接收证书（工程竣工验收证书）的复印件，具体年份要求见投标人须知前附表。每张表格只填写一个项目，并标明序号。</w:t>
      </w:r>
    </w:p>
    <w:p w14:paraId="354A5C50">
      <w:pPr>
        <w:spacing w:line="400" w:lineRule="exact"/>
        <w:ind w:firstLine="420" w:firstLineChars="200"/>
        <w:rPr>
          <w:rFonts w:hint="eastAsia"/>
          <w:highlight w:val="none"/>
        </w:rPr>
      </w:pPr>
      <w:r>
        <w:rPr>
          <w:rFonts w:hint="eastAsia"/>
          <w:highlight w:val="none"/>
        </w:rPr>
        <w:t>3.5.4 “正在施工和新承接的项目情况表”应附中标通知书和（或）合同协议书复印件。每张表格只填写一个项目，并标明序号。</w:t>
      </w:r>
    </w:p>
    <w:p w14:paraId="1D1E0666">
      <w:pPr>
        <w:spacing w:line="400" w:lineRule="exact"/>
        <w:ind w:firstLine="420" w:firstLineChars="200"/>
        <w:rPr>
          <w:rFonts w:hint="eastAsia"/>
          <w:highlight w:val="none"/>
        </w:rPr>
      </w:pPr>
      <w:r>
        <w:rPr>
          <w:rFonts w:hint="eastAsia"/>
          <w:highlight w:val="none"/>
        </w:rPr>
        <w:t>3.5.5 “近年发生的诉讼及仲裁情况”应说明相关情况，并附法院或仲裁机构作出的判决、裁决等有关法律文书复印件，具体年份要求见投标人须知前附表。</w:t>
      </w:r>
    </w:p>
    <w:p w14:paraId="7777053C">
      <w:pPr>
        <w:spacing w:line="400" w:lineRule="exact"/>
        <w:ind w:firstLine="420" w:firstLineChars="200"/>
        <w:rPr>
          <w:rFonts w:hint="eastAsia"/>
          <w:highlight w:val="none"/>
        </w:rPr>
      </w:pPr>
      <w:r>
        <w:rPr>
          <w:rFonts w:hint="eastAsia"/>
          <w:highlight w:val="none"/>
        </w:rPr>
        <w:t>3.5.6 投标人须知前附表规定接受联合体投标的，本章第3.5.1项至第3.5.5项规定的表格和资料应包括联合体各方相关情况。</w:t>
      </w:r>
    </w:p>
    <w:p w14:paraId="1A88A8AF">
      <w:pPr>
        <w:pStyle w:val="45"/>
        <w:rPr>
          <w:rFonts w:hint="eastAsia"/>
          <w:highlight w:val="none"/>
        </w:rPr>
      </w:pPr>
      <w:bookmarkStart w:id="162" w:name="_Toc18969"/>
      <w:bookmarkStart w:id="163" w:name="_Toc152042329"/>
      <w:bookmarkStart w:id="164" w:name="_Toc144974521"/>
      <w:bookmarkStart w:id="165" w:name="_Toc152045553"/>
      <w:r>
        <w:rPr>
          <w:rFonts w:hint="eastAsia"/>
          <w:highlight w:val="none"/>
        </w:rPr>
        <w:t>3.6 备选投标方案</w:t>
      </w:r>
      <w:bookmarkEnd w:id="162"/>
      <w:bookmarkEnd w:id="163"/>
      <w:bookmarkEnd w:id="164"/>
      <w:bookmarkEnd w:id="165"/>
    </w:p>
    <w:p w14:paraId="19C391FF">
      <w:pPr>
        <w:spacing w:line="400" w:lineRule="exact"/>
        <w:ind w:firstLine="420" w:firstLineChars="200"/>
        <w:rPr>
          <w:rFonts w:hint="eastAsia"/>
          <w:highlight w:val="none"/>
        </w:rPr>
      </w:pPr>
      <w:r>
        <w:rPr>
          <w:rFonts w:hint="eastAsia"/>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5B7F473B">
      <w:pPr>
        <w:pStyle w:val="45"/>
        <w:rPr>
          <w:rFonts w:hint="eastAsia"/>
          <w:highlight w:val="none"/>
        </w:rPr>
      </w:pPr>
      <w:bookmarkStart w:id="166" w:name="_Toc144974522"/>
      <w:bookmarkStart w:id="167" w:name="_Toc10937"/>
      <w:bookmarkStart w:id="168" w:name="_Toc152045554"/>
      <w:bookmarkStart w:id="169" w:name="_Toc152042330"/>
      <w:r>
        <w:rPr>
          <w:rFonts w:hint="eastAsia"/>
          <w:highlight w:val="none"/>
        </w:rPr>
        <w:t>3.7 投标文件的编制</w:t>
      </w:r>
      <w:bookmarkEnd w:id="166"/>
      <w:bookmarkEnd w:id="167"/>
      <w:bookmarkEnd w:id="168"/>
      <w:bookmarkEnd w:id="169"/>
    </w:p>
    <w:p w14:paraId="73AB3DBF">
      <w:pPr>
        <w:spacing w:line="400" w:lineRule="exact"/>
        <w:ind w:firstLine="420" w:firstLineChars="200"/>
        <w:rPr>
          <w:rFonts w:hint="eastAsia"/>
          <w:highlight w:val="none"/>
        </w:rPr>
      </w:pPr>
      <w:r>
        <w:rPr>
          <w:rFonts w:hint="eastAsia"/>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7BBC82A3">
      <w:pPr>
        <w:spacing w:line="400" w:lineRule="exact"/>
        <w:ind w:firstLine="420" w:firstLineChars="200"/>
        <w:rPr>
          <w:rFonts w:hint="eastAsia"/>
          <w:szCs w:val="21"/>
          <w:highlight w:val="none"/>
        </w:rPr>
      </w:pPr>
      <w:r>
        <w:rPr>
          <w:rFonts w:hint="eastAsia"/>
          <w:highlight w:val="none"/>
        </w:rPr>
        <w:t>3.7.2 投标文件应当对招标文件有关</w:t>
      </w:r>
      <w:r>
        <w:rPr>
          <w:rFonts w:hint="eastAsia"/>
          <w:szCs w:val="21"/>
          <w:highlight w:val="none"/>
        </w:rPr>
        <w:t>工期、投标有效期、质量要求、技术标准和要求、招标范围等实质性内容作出响应。</w:t>
      </w:r>
    </w:p>
    <w:p w14:paraId="0F1DDC77">
      <w:pPr>
        <w:spacing w:line="400" w:lineRule="exact"/>
        <w:ind w:firstLine="420" w:firstLineChars="200"/>
        <w:rPr>
          <w:rFonts w:hint="default" w:eastAsia="宋体"/>
          <w:szCs w:val="21"/>
          <w:highlight w:val="none"/>
          <w:lang w:val="en-US" w:eastAsia="zh-CN"/>
        </w:rPr>
      </w:pPr>
      <w:r>
        <w:rPr>
          <w:rFonts w:hint="eastAsia"/>
          <w:szCs w:val="21"/>
          <w:highlight w:val="none"/>
          <w:lang w:val="en-US" w:eastAsia="zh-CN"/>
        </w:rPr>
        <w:t>3.7.3 本项目开标方式为远程开标（不见面交易）。在“辽宁省公共资源交易一张网电子化平台（https://www.lnsggzy.com/EpointSSO/login/oauth2login）”上传投标文件。</w:t>
      </w:r>
    </w:p>
    <w:p w14:paraId="7A2884C5">
      <w:pPr>
        <w:pStyle w:val="46"/>
        <w:rPr>
          <w:rFonts w:hint="eastAsia"/>
          <w:highlight w:val="none"/>
        </w:rPr>
      </w:pPr>
      <w:bookmarkStart w:id="170" w:name="_Toc152045555"/>
      <w:bookmarkStart w:id="171" w:name="_Toc152042331"/>
      <w:bookmarkStart w:id="172" w:name="_Toc10321"/>
      <w:bookmarkStart w:id="173" w:name="_Toc144974523"/>
      <w:r>
        <w:rPr>
          <w:rFonts w:hint="eastAsia"/>
          <w:highlight w:val="none"/>
        </w:rPr>
        <w:t>4. 投标</w:t>
      </w:r>
      <w:bookmarkEnd w:id="170"/>
      <w:bookmarkEnd w:id="171"/>
      <w:bookmarkEnd w:id="172"/>
      <w:bookmarkEnd w:id="173"/>
    </w:p>
    <w:p w14:paraId="3E45EE99">
      <w:pPr>
        <w:pStyle w:val="45"/>
        <w:rPr>
          <w:rFonts w:hint="eastAsia"/>
          <w:highlight w:val="none"/>
        </w:rPr>
      </w:pPr>
      <w:bookmarkStart w:id="174" w:name="_Toc152042332"/>
      <w:bookmarkStart w:id="175" w:name="_Toc144974524"/>
      <w:bookmarkStart w:id="176" w:name="_Toc10576"/>
      <w:bookmarkStart w:id="177" w:name="_Toc152045556"/>
      <w:r>
        <w:rPr>
          <w:rFonts w:hint="eastAsia"/>
          <w:highlight w:val="none"/>
        </w:rPr>
        <w:t>4.1 投标文件的密封和标记</w:t>
      </w:r>
      <w:bookmarkEnd w:id="174"/>
      <w:bookmarkEnd w:id="175"/>
      <w:bookmarkEnd w:id="176"/>
      <w:bookmarkEnd w:id="177"/>
    </w:p>
    <w:p w14:paraId="1BDF78A5">
      <w:pPr>
        <w:spacing w:line="400" w:lineRule="exact"/>
        <w:ind w:firstLine="420" w:firstLineChars="200"/>
        <w:rPr>
          <w:rFonts w:hint="eastAsia"/>
          <w:highlight w:val="none"/>
        </w:rPr>
      </w:pPr>
      <w:r>
        <w:rPr>
          <w:rFonts w:hint="eastAsia"/>
          <w:highlight w:val="none"/>
          <w:lang w:val="en-US" w:eastAsia="zh-CN"/>
        </w:rPr>
        <w:t>本项目</w:t>
      </w:r>
      <w:r>
        <w:rPr>
          <w:rFonts w:hint="eastAsia"/>
          <w:highlight w:val="none"/>
        </w:rPr>
        <w:t>开标方式为远程开标（不见面交易）。在“辽宁省公共资源交易一张网电子化平台（https://www.lnsggzy.com/EpointSSO/login/oauth2login）”上传投标文件。</w:t>
      </w:r>
    </w:p>
    <w:p w14:paraId="47D43D48">
      <w:pPr>
        <w:pStyle w:val="45"/>
        <w:rPr>
          <w:rFonts w:hint="eastAsia"/>
          <w:highlight w:val="none"/>
        </w:rPr>
      </w:pPr>
      <w:bookmarkStart w:id="178" w:name="_Toc28783"/>
      <w:bookmarkStart w:id="179" w:name="_Toc152042333"/>
      <w:bookmarkStart w:id="180" w:name="_Toc144974525"/>
      <w:bookmarkStart w:id="181" w:name="_Toc152045557"/>
      <w:r>
        <w:rPr>
          <w:rFonts w:hint="eastAsia"/>
          <w:highlight w:val="none"/>
        </w:rPr>
        <w:t>4.2 投标文件的递交</w:t>
      </w:r>
      <w:bookmarkEnd w:id="178"/>
      <w:bookmarkEnd w:id="179"/>
      <w:bookmarkEnd w:id="180"/>
      <w:bookmarkEnd w:id="181"/>
    </w:p>
    <w:p w14:paraId="7C9B1BFB">
      <w:pPr>
        <w:spacing w:line="400" w:lineRule="exact"/>
        <w:ind w:firstLine="420" w:firstLineChars="200"/>
        <w:rPr>
          <w:rFonts w:hint="eastAsia"/>
          <w:highlight w:val="none"/>
        </w:rPr>
      </w:pPr>
      <w:r>
        <w:rPr>
          <w:rFonts w:hint="eastAsia"/>
          <w:highlight w:val="none"/>
        </w:rPr>
        <w:t>4.2.1 投标人应在本章第2.2.2项规定的投标截止时间前递交投标文件。</w:t>
      </w:r>
    </w:p>
    <w:p w14:paraId="0B216617">
      <w:pPr>
        <w:spacing w:line="400" w:lineRule="exact"/>
        <w:ind w:firstLine="420" w:firstLineChars="200"/>
        <w:rPr>
          <w:rFonts w:hint="eastAsia"/>
          <w:highlight w:val="none"/>
        </w:rPr>
      </w:pPr>
      <w:r>
        <w:rPr>
          <w:rFonts w:hint="eastAsia"/>
          <w:highlight w:val="none"/>
        </w:rPr>
        <w:t>4.2.2 投标人递交投标文件的地点：</w:t>
      </w:r>
      <w:bookmarkStart w:id="182" w:name="OLE_LINK16"/>
      <w:r>
        <w:rPr>
          <w:rFonts w:hint="eastAsia"/>
          <w:highlight w:val="none"/>
        </w:rPr>
        <w:t>见投标人须知前附表。</w:t>
      </w:r>
      <w:bookmarkEnd w:id="182"/>
    </w:p>
    <w:p w14:paraId="15BE0B78">
      <w:pPr>
        <w:spacing w:line="400" w:lineRule="exact"/>
        <w:ind w:firstLine="420" w:firstLineChars="200"/>
        <w:rPr>
          <w:rFonts w:hint="eastAsia"/>
          <w:highlight w:val="none"/>
        </w:rPr>
      </w:pPr>
      <w:r>
        <w:rPr>
          <w:rFonts w:hint="eastAsia"/>
          <w:highlight w:val="none"/>
        </w:rPr>
        <w:t>4.2.3 除投标人须知前附表另有规定外，投标人所递交的投标文件不予退还。</w:t>
      </w:r>
    </w:p>
    <w:p w14:paraId="1268BB47">
      <w:pPr>
        <w:spacing w:line="400" w:lineRule="exact"/>
        <w:ind w:firstLine="420" w:firstLineChars="200"/>
        <w:rPr>
          <w:rFonts w:hint="eastAsia"/>
          <w:highlight w:val="none"/>
        </w:rPr>
      </w:pPr>
      <w:r>
        <w:rPr>
          <w:rFonts w:hint="eastAsia"/>
          <w:highlight w:val="none"/>
        </w:rPr>
        <w:t>4.2.4 逾期送达的或者未送达指定地点的投标文件，招标人不予受理。</w:t>
      </w:r>
    </w:p>
    <w:p w14:paraId="2A95C8D3">
      <w:pPr>
        <w:pStyle w:val="45"/>
        <w:rPr>
          <w:rFonts w:hint="eastAsia"/>
          <w:highlight w:val="none"/>
        </w:rPr>
      </w:pPr>
      <w:bookmarkStart w:id="183" w:name="_Toc152045558"/>
      <w:bookmarkStart w:id="184" w:name="_Toc152042334"/>
      <w:bookmarkStart w:id="185" w:name="_Toc22130"/>
      <w:bookmarkStart w:id="186" w:name="_Toc144974526"/>
      <w:r>
        <w:rPr>
          <w:rFonts w:hint="eastAsia"/>
          <w:highlight w:val="none"/>
        </w:rPr>
        <w:t>4.3 投标文件的修改与撤回</w:t>
      </w:r>
      <w:bookmarkEnd w:id="183"/>
      <w:bookmarkEnd w:id="184"/>
      <w:bookmarkEnd w:id="185"/>
      <w:bookmarkEnd w:id="186"/>
    </w:p>
    <w:p w14:paraId="651B5631">
      <w:pPr>
        <w:spacing w:line="400" w:lineRule="exact"/>
        <w:ind w:firstLine="420" w:firstLineChars="200"/>
        <w:rPr>
          <w:rFonts w:hint="eastAsia"/>
          <w:highlight w:val="none"/>
        </w:rPr>
      </w:pPr>
      <w:r>
        <w:rPr>
          <w:rFonts w:hint="eastAsia"/>
          <w:highlight w:val="none"/>
          <w:lang w:val="en-US" w:eastAsia="zh-CN"/>
        </w:rPr>
        <w:t>本项目</w:t>
      </w:r>
      <w:r>
        <w:rPr>
          <w:rFonts w:hint="eastAsia"/>
          <w:highlight w:val="none"/>
        </w:rPr>
        <w:t>开标方式为远程开标（不见面交易）。在“辽宁省公共资源交易一张网电子化平台（https://www.lnsggzy.com/EpointSSO/login/oauth2login）”上传投标文件。</w:t>
      </w:r>
    </w:p>
    <w:p w14:paraId="77159316">
      <w:pPr>
        <w:pStyle w:val="46"/>
        <w:rPr>
          <w:rFonts w:hint="eastAsia"/>
          <w:highlight w:val="none"/>
        </w:rPr>
      </w:pPr>
      <w:bookmarkStart w:id="187" w:name="_Toc152045559"/>
      <w:bookmarkStart w:id="188" w:name="_Toc152042335"/>
      <w:bookmarkStart w:id="189" w:name="_Toc144974527"/>
      <w:bookmarkStart w:id="190" w:name="_Toc25913"/>
      <w:r>
        <w:rPr>
          <w:rFonts w:hint="eastAsia"/>
          <w:highlight w:val="none"/>
        </w:rPr>
        <w:t>5. 开标</w:t>
      </w:r>
      <w:bookmarkEnd w:id="187"/>
      <w:bookmarkEnd w:id="188"/>
      <w:bookmarkEnd w:id="189"/>
      <w:bookmarkEnd w:id="190"/>
    </w:p>
    <w:p w14:paraId="66CF95B7">
      <w:pPr>
        <w:pStyle w:val="45"/>
        <w:rPr>
          <w:rFonts w:hint="eastAsia"/>
          <w:highlight w:val="none"/>
        </w:rPr>
      </w:pPr>
      <w:bookmarkStart w:id="191" w:name="_Toc144974528"/>
      <w:bookmarkStart w:id="192" w:name="_Toc152042336"/>
      <w:bookmarkStart w:id="193" w:name="_Toc23971"/>
      <w:bookmarkStart w:id="194" w:name="_Toc152045560"/>
      <w:r>
        <w:rPr>
          <w:rFonts w:hint="eastAsia"/>
          <w:highlight w:val="none"/>
        </w:rPr>
        <w:t>5.1 开标时间和地点</w:t>
      </w:r>
      <w:bookmarkEnd w:id="191"/>
      <w:bookmarkEnd w:id="192"/>
      <w:bookmarkEnd w:id="193"/>
      <w:bookmarkEnd w:id="194"/>
    </w:p>
    <w:p w14:paraId="25D37511">
      <w:pPr>
        <w:spacing w:line="400" w:lineRule="exact"/>
        <w:ind w:firstLine="420" w:firstLineChars="200"/>
        <w:rPr>
          <w:rFonts w:hint="eastAsia"/>
          <w:highlight w:val="none"/>
        </w:rPr>
      </w:pPr>
      <w:r>
        <w:rPr>
          <w:rFonts w:hint="eastAsia"/>
          <w:highlight w:val="none"/>
        </w:rPr>
        <w:t>招标人在本章第2.2.2项规定的投标截止时间（开标时间）和投标人须知前附表规定的地点公开开标，并邀请所有投标人的法定代表人或其委托代理人准时参加。</w:t>
      </w:r>
    </w:p>
    <w:p w14:paraId="55C6EB81">
      <w:pPr>
        <w:pStyle w:val="45"/>
        <w:rPr>
          <w:rFonts w:hint="eastAsia"/>
          <w:highlight w:val="none"/>
        </w:rPr>
      </w:pPr>
      <w:bookmarkStart w:id="195" w:name="_Toc4244"/>
      <w:bookmarkStart w:id="196" w:name="_Toc144974529"/>
      <w:bookmarkStart w:id="197" w:name="_Toc152045561"/>
      <w:bookmarkStart w:id="198" w:name="_Toc152042337"/>
      <w:r>
        <w:rPr>
          <w:rFonts w:hint="eastAsia"/>
          <w:highlight w:val="none"/>
        </w:rPr>
        <w:t>5.2 开标程序</w:t>
      </w:r>
      <w:bookmarkEnd w:id="195"/>
      <w:bookmarkEnd w:id="196"/>
      <w:bookmarkEnd w:id="197"/>
      <w:bookmarkEnd w:id="198"/>
    </w:p>
    <w:p w14:paraId="290E44BA">
      <w:pPr>
        <w:spacing w:line="400" w:lineRule="exact"/>
        <w:ind w:firstLine="420" w:firstLineChars="200"/>
        <w:rPr>
          <w:rFonts w:hint="eastAsia"/>
          <w:highlight w:val="none"/>
        </w:rPr>
      </w:pPr>
      <w:r>
        <w:rPr>
          <w:rFonts w:hint="eastAsia"/>
          <w:highlight w:val="none"/>
        </w:rPr>
        <w:t>主持人按下列程序进行开标：见投标人须知前附表。</w:t>
      </w:r>
    </w:p>
    <w:p w14:paraId="7DD57178">
      <w:pPr>
        <w:pStyle w:val="46"/>
        <w:rPr>
          <w:rFonts w:hint="eastAsia"/>
          <w:highlight w:val="none"/>
        </w:rPr>
      </w:pPr>
      <w:bookmarkStart w:id="199" w:name="_Toc152045562"/>
      <w:bookmarkStart w:id="200" w:name="_Toc152042338"/>
      <w:bookmarkStart w:id="201" w:name="_Toc144974530"/>
      <w:bookmarkStart w:id="202" w:name="_Toc17377"/>
      <w:r>
        <w:rPr>
          <w:rFonts w:hint="eastAsia"/>
          <w:highlight w:val="none"/>
        </w:rPr>
        <w:t>6. 评标</w:t>
      </w:r>
      <w:bookmarkEnd w:id="199"/>
      <w:bookmarkEnd w:id="200"/>
      <w:bookmarkEnd w:id="201"/>
      <w:bookmarkEnd w:id="202"/>
    </w:p>
    <w:p w14:paraId="3297247A">
      <w:pPr>
        <w:pStyle w:val="45"/>
        <w:rPr>
          <w:rFonts w:hint="eastAsia"/>
          <w:highlight w:val="none"/>
        </w:rPr>
      </w:pPr>
      <w:bookmarkStart w:id="203" w:name="_Toc152042339"/>
      <w:bookmarkStart w:id="204" w:name="_Toc9102"/>
      <w:bookmarkStart w:id="205" w:name="_Toc152045563"/>
      <w:bookmarkStart w:id="206" w:name="_Toc144974531"/>
      <w:r>
        <w:rPr>
          <w:rFonts w:hint="eastAsia"/>
          <w:highlight w:val="none"/>
        </w:rPr>
        <w:t>6.1 评标委员会</w:t>
      </w:r>
      <w:bookmarkEnd w:id="203"/>
      <w:bookmarkEnd w:id="204"/>
      <w:bookmarkEnd w:id="205"/>
      <w:bookmarkEnd w:id="206"/>
    </w:p>
    <w:p w14:paraId="47BAB83B">
      <w:pPr>
        <w:spacing w:line="400" w:lineRule="exact"/>
        <w:ind w:firstLine="420" w:firstLineChars="200"/>
        <w:rPr>
          <w:rFonts w:hint="eastAsia"/>
          <w:highlight w:val="none"/>
        </w:rPr>
      </w:pPr>
      <w:r>
        <w:rPr>
          <w:rFonts w:hint="eastAsia"/>
          <w:highlight w:val="none"/>
        </w:rPr>
        <w:t>6.1.1 评标由招标人依法组建的评标委员会负责。评标委员会由招标人代表，以及有关技术、经济等方面的专家组成。评标委员会成员人数以及技术、经济等方面专家的确定方式见投标人须知前附表。</w:t>
      </w:r>
    </w:p>
    <w:p w14:paraId="753FE88C">
      <w:pPr>
        <w:spacing w:line="400" w:lineRule="exact"/>
        <w:ind w:firstLine="420" w:firstLineChars="200"/>
        <w:rPr>
          <w:rFonts w:hint="eastAsia"/>
          <w:highlight w:val="none"/>
        </w:rPr>
      </w:pPr>
      <w:r>
        <w:rPr>
          <w:rFonts w:hint="eastAsia"/>
          <w:highlight w:val="none"/>
        </w:rPr>
        <w:t>6.1.2 评标委员会成员有下列情形之一的，应当回避：</w:t>
      </w:r>
    </w:p>
    <w:p w14:paraId="4738A12A">
      <w:pPr>
        <w:spacing w:line="400" w:lineRule="exact"/>
        <w:ind w:firstLine="718" w:firstLineChars="342"/>
        <w:rPr>
          <w:rFonts w:hint="eastAsia"/>
          <w:highlight w:val="none"/>
        </w:rPr>
      </w:pPr>
      <w:r>
        <w:rPr>
          <w:rFonts w:hint="eastAsia"/>
          <w:highlight w:val="none"/>
        </w:rPr>
        <w:t>（1）招标人或投标人的主要负责人的近亲属；</w:t>
      </w:r>
    </w:p>
    <w:p w14:paraId="2A34C7D9">
      <w:pPr>
        <w:spacing w:line="400" w:lineRule="exact"/>
        <w:ind w:firstLine="718" w:firstLineChars="342"/>
        <w:rPr>
          <w:rFonts w:hint="eastAsia"/>
          <w:highlight w:val="none"/>
        </w:rPr>
      </w:pPr>
      <w:r>
        <w:rPr>
          <w:rFonts w:hint="eastAsia"/>
          <w:highlight w:val="none"/>
        </w:rPr>
        <w:t>（2）项目主管部门或者行政监督部门的人员；</w:t>
      </w:r>
    </w:p>
    <w:p w14:paraId="0EFD1913">
      <w:pPr>
        <w:spacing w:line="400" w:lineRule="exact"/>
        <w:ind w:firstLine="718" w:firstLineChars="342"/>
        <w:rPr>
          <w:rFonts w:hint="eastAsia"/>
          <w:highlight w:val="none"/>
        </w:rPr>
      </w:pPr>
      <w:r>
        <w:rPr>
          <w:rFonts w:hint="eastAsia"/>
          <w:highlight w:val="none"/>
        </w:rPr>
        <w:t>（3）与投标人有经济利益关系，可能影响对投标公正评审的；</w:t>
      </w:r>
    </w:p>
    <w:p w14:paraId="1A2122F0">
      <w:pPr>
        <w:spacing w:line="400" w:lineRule="exact"/>
        <w:ind w:firstLine="718" w:firstLineChars="342"/>
        <w:rPr>
          <w:rFonts w:hint="eastAsia"/>
          <w:highlight w:val="none"/>
        </w:rPr>
      </w:pPr>
      <w:r>
        <w:rPr>
          <w:rFonts w:hint="eastAsia"/>
          <w:highlight w:val="none"/>
        </w:rPr>
        <w:t>（4）曾因在招标、评标以及其他与招标投标有关活动中从事违法行为而受过行政处罚或刑事处罚的；</w:t>
      </w:r>
    </w:p>
    <w:p w14:paraId="2B1BD209">
      <w:pPr>
        <w:spacing w:line="400" w:lineRule="exact"/>
        <w:ind w:firstLine="718" w:firstLineChars="342"/>
        <w:rPr>
          <w:rFonts w:hint="eastAsia"/>
          <w:highlight w:val="none"/>
        </w:rPr>
      </w:pPr>
      <w:r>
        <w:rPr>
          <w:rFonts w:hint="eastAsia"/>
          <w:highlight w:val="none"/>
        </w:rPr>
        <w:t>（5）有不良行为记录，且记录期未满的人员；</w:t>
      </w:r>
    </w:p>
    <w:p w14:paraId="481F531C">
      <w:pPr>
        <w:spacing w:line="400" w:lineRule="exact"/>
        <w:ind w:firstLine="718" w:firstLineChars="342"/>
        <w:rPr>
          <w:rFonts w:hint="eastAsia"/>
          <w:highlight w:val="none"/>
        </w:rPr>
      </w:pPr>
      <w:r>
        <w:rPr>
          <w:rFonts w:hint="eastAsia"/>
          <w:highlight w:val="none"/>
        </w:rPr>
        <w:t>（6）专家库以外和未通过身份证实名认证的人员；</w:t>
      </w:r>
    </w:p>
    <w:p w14:paraId="4BE9FBBE">
      <w:pPr>
        <w:spacing w:line="400" w:lineRule="exact"/>
        <w:ind w:firstLine="718" w:firstLineChars="342"/>
        <w:rPr>
          <w:rFonts w:hint="eastAsia"/>
          <w:highlight w:val="none"/>
        </w:rPr>
      </w:pPr>
      <w:r>
        <w:rPr>
          <w:rFonts w:hint="eastAsia"/>
          <w:highlight w:val="none"/>
        </w:rPr>
        <w:t>（7）从事专业与评标专业不相符的人员；</w:t>
      </w:r>
    </w:p>
    <w:p w14:paraId="5EF69050">
      <w:pPr>
        <w:spacing w:line="400" w:lineRule="exact"/>
        <w:ind w:firstLine="718" w:firstLineChars="342"/>
        <w:rPr>
          <w:rFonts w:hint="eastAsia"/>
          <w:highlight w:val="none"/>
        </w:rPr>
      </w:pPr>
      <w:r>
        <w:rPr>
          <w:rFonts w:hint="eastAsia"/>
          <w:highlight w:val="none"/>
        </w:rPr>
        <w:t>（8）电子评标未经过培训，无法胜任评标工作的人员；</w:t>
      </w:r>
    </w:p>
    <w:p w14:paraId="1249E058">
      <w:pPr>
        <w:spacing w:line="400" w:lineRule="exact"/>
        <w:ind w:firstLine="718" w:firstLineChars="342"/>
        <w:rPr>
          <w:rFonts w:hint="eastAsia"/>
          <w:highlight w:val="none"/>
        </w:rPr>
      </w:pPr>
      <w:r>
        <w:rPr>
          <w:rFonts w:hint="eastAsia"/>
          <w:highlight w:val="none"/>
        </w:rPr>
        <w:t>（9）未按照投标人须知表6.1.1项规定的抽取方式所确定的人员；</w:t>
      </w:r>
    </w:p>
    <w:p w14:paraId="0820EBAB">
      <w:pPr>
        <w:spacing w:line="400" w:lineRule="exact"/>
        <w:ind w:firstLine="718" w:firstLineChars="342"/>
        <w:rPr>
          <w:rFonts w:hint="eastAsia"/>
          <w:highlight w:val="none"/>
        </w:rPr>
      </w:pPr>
      <w:r>
        <w:rPr>
          <w:rFonts w:hint="eastAsia"/>
          <w:highlight w:val="none"/>
        </w:rPr>
        <w:t>（10）已被清除评标专家库的人员。</w:t>
      </w:r>
    </w:p>
    <w:p w14:paraId="103AC834">
      <w:pPr>
        <w:pStyle w:val="45"/>
        <w:tabs>
          <w:tab w:val="left" w:pos="2620"/>
        </w:tabs>
        <w:rPr>
          <w:rFonts w:hint="eastAsia"/>
          <w:highlight w:val="none"/>
        </w:rPr>
      </w:pPr>
      <w:bookmarkStart w:id="207" w:name="_Toc15867"/>
      <w:bookmarkStart w:id="208" w:name="_Toc152042340"/>
      <w:bookmarkStart w:id="209" w:name="_Toc152045564"/>
      <w:bookmarkStart w:id="210" w:name="_Toc144974532"/>
      <w:r>
        <w:rPr>
          <w:rFonts w:hint="eastAsia"/>
          <w:highlight w:val="none"/>
        </w:rPr>
        <w:t>6.2 评标原则</w:t>
      </w:r>
      <w:bookmarkEnd w:id="207"/>
      <w:bookmarkEnd w:id="208"/>
      <w:bookmarkEnd w:id="209"/>
      <w:bookmarkEnd w:id="210"/>
      <w:r>
        <w:rPr>
          <w:highlight w:val="none"/>
        </w:rPr>
        <w:tab/>
      </w:r>
    </w:p>
    <w:p w14:paraId="6C31F0F9">
      <w:pPr>
        <w:spacing w:line="400" w:lineRule="exact"/>
        <w:ind w:firstLine="420" w:firstLineChars="200"/>
        <w:rPr>
          <w:rFonts w:hint="eastAsia"/>
          <w:highlight w:val="none"/>
        </w:rPr>
      </w:pPr>
      <w:r>
        <w:rPr>
          <w:rFonts w:hint="eastAsia"/>
          <w:highlight w:val="none"/>
        </w:rPr>
        <w:t>评标活动遵循公平、公正、科学和择优的原则。</w:t>
      </w:r>
    </w:p>
    <w:p w14:paraId="0A54515E">
      <w:pPr>
        <w:pStyle w:val="45"/>
        <w:rPr>
          <w:rFonts w:hint="eastAsia"/>
          <w:highlight w:val="none"/>
        </w:rPr>
      </w:pPr>
      <w:bookmarkStart w:id="211" w:name="_Toc152045565"/>
      <w:bookmarkStart w:id="212" w:name="_Toc144974533"/>
      <w:bookmarkStart w:id="213" w:name="_Toc4038"/>
      <w:bookmarkStart w:id="214" w:name="_Toc152042341"/>
      <w:r>
        <w:rPr>
          <w:rFonts w:hint="eastAsia"/>
          <w:highlight w:val="none"/>
        </w:rPr>
        <w:t>6.3 评标</w:t>
      </w:r>
      <w:bookmarkEnd w:id="211"/>
      <w:bookmarkEnd w:id="212"/>
      <w:bookmarkEnd w:id="213"/>
      <w:bookmarkEnd w:id="214"/>
    </w:p>
    <w:p w14:paraId="49FB76F4">
      <w:pPr>
        <w:spacing w:line="400" w:lineRule="exact"/>
        <w:ind w:firstLine="420" w:firstLineChars="200"/>
        <w:rPr>
          <w:rFonts w:hint="eastAsia"/>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14:paraId="72FEF65E">
      <w:pPr>
        <w:pStyle w:val="46"/>
        <w:rPr>
          <w:rFonts w:hint="eastAsia"/>
          <w:highlight w:val="none"/>
        </w:rPr>
      </w:pPr>
      <w:bookmarkStart w:id="215" w:name="_Toc144974534"/>
      <w:bookmarkStart w:id="216" w:name="_Toc152045566"/>
      <w:bookmarkStart w:id="217" w:name="_Toc3806"/>
      <w:bookmarkStart w:id="218" w:name="_Toc152042342"/>
      <w:r>
        <w:rPr>
          <w:rFonts w:hint="eastAsia"/>
          <w:highlight w:val="none"/>
        </w:rPr>
        <w:t>7. 合同授予</w:t>
      </w:r>
      <w:bookmarkEnd w:id="215"/>
      <w:bookmarkEnd w:id="216"/>
      <w:bookmarkEnd w:id="217"/>
      <w:bookmarkEnd w:id="218"/>
    </w:p>
    <w:p w14:paraId="7B64B2A9">
      <w:pPr>
        <w:pStyle w:val="45"/>
        <w:rPr>
          <w:rFonts w:hint="eastAsia"/>
          <w:highlight w:val="none"/>
        </w:rPr>
      </w:pPr>
      <w:bookmarkStart w:id="219" w:name="_Toc144974535"/>
      <w:bookmarkStart w:id="220" w:name="_Toc152045567"/>
      <w:bookmarkStart w:id="221" w:name="_Toc152042343"/>
      <w:bookmarkStart w:id="222" w:name="_Toc27932"/>
      <w:r>
        <w:rPr>
          <w:rFonts w:hint="eastAsia"/>
          <w:highlight w:val="none"/>
        </w:rPr>
        <w:t>7.1 定标方式</w:t>
      </w:r>
      <w:bookmarkEnd w:id="219"/>
      <w:bookmarkEnd w:id="220"/>
      <w:bookmarkEnd w:id="221"/>
      <w:bookmarkEnd w:id="222"/>
    </w:p>
    <w:p w14:paraId="748A6273">
      <w:pPr>
        <w:spacing w:line="400" w:lineRule="exact"/>
        <w:ind w:firstLine="420" w:firstLineChars="200"/>
        <w:rPr>
          <w:rFonts w:hint="eastAsia"/>
          <w:highlight w:val="none"/>
        </w:rPr>
      </w:pPr>
      <w:r>
        <w:rPr>
          <w:rFonts w:hint="eastAsia"/>
          <w:highlight w:val="none"/>
        </w:rPr>
        <w:t>除投标人须知前附表规定评标委员会直接确定中标人外，招标人依据评标委员会推荐的中标候选人确定中标人，评标委员会推荐中标候选人的人数见投标人须知前附表。</w:t>
      </w:r>
    </w:p>
    <w:p w14:paraId="34929986">
      <w:pPr>
        <w:pStyle w:val="45"/>
        <w:rPr>
          <w:rFonts w:hint="eastAsia"/>
          <w:highlight w:val="none"/>
        </w:rPr>
      </w:pPr>
      <w:bookmarkStart w:id="223" w:name="_Toc152045568"/>
      <w:bookmarkStart w:id="224" w:name="_Toc144974536"/>
      <w:bookmarkStart w:id="225" w:name="_Toc152042344"/>
      <w:bookmarkStart w:id="226" w:name="_Toc21766"/>
      <w:r>
        <w:rPr>
          <w:rFonts w:hint="eastAsia"/>
          <w:highlight w:val="none"/>
        </w:rPr>
        <w:t>7.2 中标通知</w:t>
      </w:r>
      <w:bookmarkEnd w:id="223"/>
      <w:bookmarkEnd w:id="224"/>
      <w:bookmarkEnd w:id="225"/>
      <w:bookmarkEnd w:id="226"/>
    </w:p>
    <w:p w14:paraId="5B7CC9E4">
      <w:pPr>
        <w:spacing w:line="400" w:lineRule="exact"/>
        <w:ind w:firstLine="420" w:firstLineChars="200"/>
        <w:rPr>
          <w:rFonts w:hint="eastAsia"/>
          <w:highlight w:val="none"/>
        </w:rPr>
      </w:pPr>
      <w:r>
        <w:rPr>
          <w:rFonts w:hint="eastAsia"/>
          <w:highlight w:val="none"/>
        </w:rPr>
        <w:t>在本章第3.3款规定的投标有效期内，招标人以书面形式向中标人发出中标通知书，同时将中标结果通知未中标的投标人。</w:t>
      </w:r>
    </w:p>
    <w:p w14:paraId="7A6F83C8">
      <w:pPr>
        <w:pStyle w:val="45"/>
        <w:rPr>
          <w:rFonts w:hint="eastAsia"/>
          <w:highlight w:val="none"/>
        </w:rPr>
      </w:pPr>
      <w:bookmarkStart w:id="227" w:name="_Toc5575"/>
      <w:bookmarkStart w:id="228" w:name="_Toc152042345"/>
      <w:bookmarkStart w:id="229" w:name="_Toc144974537"/>
      <w:bookmarkStart w:id="230" w:name="_Toc152045569"/>
      <w:r>
        <w:rPr>
          <w:rFonts w:hint="eastAsia"/>
          <w:highlight w:val="none"/>
        </w:rPr>
        <w:t>7.3 履约担保</w:t>
      </w:r>
      <w:bookmarkEnd w:id="227"/>
      <w:bookmarkEnd w:id="228"/>
      <w:bookmarkEnd w:id="229"/>
      <w:bookmarkEnd w:id="230"/>
    </w:p>
    <w:p w14:paraId="1C0511CE">
      <w:pPr>
        <w:spacing w:line="400" w:lineRule="exact"/>
        <w:ind w:firstLine="420" w:firstLineChars="200"/>
        <w:rPr>
          <w:rFonts w:hint="eastAsia"/>
          <w:highlight w:val="none"/>
        </w:rPr>
      </w:pPr>
      <w:r>
        <w:rPr>
          <w:rFonts w:hint="eastAsia"/>
          <w:highlight w:val="none"/>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0F11809">
      <w:pPr>
        <w:spacing w:line="400" w:lineRule="exact"/>
        <w:ind w:firstLine="420" w:firstLineChars="200"/>
        <w:rPr>
          <w:rFonts w:hint="eastAsia"/>
          <w:highlight w:val="none"/>
        </w:rPr>
      </w:pPr>
      <w:r>
        <w:rPr>
          <w:rFonts w:hint="eastAsia"/>
          <w:highlight w:val="none"/>
        </w:rPr>
        <w:t>7.3.2 中标人不能按本章第7.3.1项要求提交履约担保的，视为放弃中标，其投标保证金不予退还，给招标人造成的损失超过投标保证金数额的，中标人还应当对超过部分予以赔偿。</w:t>
      </w:r>
    </w:p>
    <w:p w14:paraId="418304E5">
      <w:pPr>
        <w:pStyle w:val="45"/>
        <w:rPr>
          <w:rFonts w:hint="eastAsia"/>
          <w:highlight w:val="none"/>
        </w:rPr>
      </w:pPr>
      <w:bookmarkStart w:id="231" w:name="_Toc152042346"/>
      <w:bookmarkStart w:id="232" w:name="_Toc10421"/>
      <w:bookmarkStart w:id="233" w:name="_Toc152045570"/>
      <w:bookmarkStart w:id="234" w:name="_Toc144974538"/>
      <w:r>
        <w:rPr>
          <w:rFonts w:hint="eastAsia"/>
          <w:highlight w:val="none"/>
        </w:rPr>
        <w:t>7.4 签订合同</w:t>
      </w:r>
      <w:bookmarkEnd w:id="231"/>
      <w:bookmarkEnd w:id="232"/>
      <w:bookmarkEnd w:id="233"/>
      <w:bookmarkEnd w:id="234"/>
    </w:p>
    <w:p w14:paraId="71526D0D">
      <w:pPr>
        <w:spacing w:line="400" w:lineRule="exact"/>
        <w:ind w:firstLine="420" w:firstLineChars="200"/>
        <w:rPr>
          <w:rFonts w:hint="eastAsia"/>
          <w:highlight w:val="none"/>
        </w:rPr>
      </w:pPr>
      <w:r>
        <w:rPr>
          <w:rFonts w:hint="eastAsia"/>
          <w:highlight w:val="none"/>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02BAF89E">
      <w:pPr>
        <w:spacing w:line="400" w:lineRule="exact"/>
        <w:ind w:firstLine="420" w:firstLineChars="200"/>
        <w:rPr>
          <w:rFonts w:hint="eastAsia"/>
          <w:highlight w:val="none"/>
        </w:rPr>
      </w:pPr>
      <w:r>
        <w:rPr>
          <w:rFonts w:hint="eastAsia"/>
          <w:highlight w:val="none"/>
        </w:rPr>
        <w:t xml:space="preserve">7.4.2 发出中标通知书后，招标人无正当理由拒签合同的，招标人向中标人退还投标保证金；给中标人造成损失的，还应当赔偿损失。 </w:t>
      </w:r>
    </w:p>
    <w:p w14:paraId="3D77A156">
      <w:pPr>
        <w:pStyle w:val="46"/>
        <w:rPr>
          <w:rFonts w:hint="eastAsia"/>
          <w:highlight w:val="none"/>
        </w:rPr>
      </w:pPr>
      <w:bookmarkStart w:id="235" w:name="_Toc152042347"/>
      <w:bookmarkStart w:id="236" w:name="_Toc29770"/>
      <w:bookmarkStart w:id="237" w:name="_Toc144974539"/>
      <w:bookmarkStart w:id="238" w:name="_Toc152045571"/>
      <w:r>
        <w:rPr>
          <w:rFonts w:hint="eastAsia"/>
          <w:highlight w:val="none"/>
        </w:rPr>
        <w:t>8. 重新招标和不再招标</w:t>
      </w:r>
      <w:bookmarkEnd w:id="235"/>
      <w:bookmarkEnd w:id="236"/>
      <w:bookmarkEnd w:id="237"/>
      <w:bookmarkEnd w:id="238"/>
    </w:p>
    <w:p w14:paraId="21579691">
      <w:pPr>
        <w:pStyle w:val="45"/>
        <w:rPr>
          <w:rFonts w:hint="eastAsia"/>
          <w:highlight w:val="none"/>
        </w:rPr>
      </w:pPr>
      <w:bookmarkStart w:id="239" w:name="_Toc14493"/>
      <w:bookmarkStart w:id="240" w:name="_Toc152045572"/>
      <w:bookmarkStart w:id="241" w:name="_Toc152042348"/>
      <w:bookmarkStart w:id="242" w:name="_Toc144974540"/>
      <w:r>
        <w:rPr>
          <w:rFonts w:hint="eastAsia"/>
          <w:highlight w:val="none"/>
        </w:rPr>
        <w:t>8.1 重新招标</w:t>
      </w:r>
      <w:bookmarkEnd w:id="239"/>
      <w:bookmarkEnd w:id="240"/>
      <w:bookmarkEnd w:id="241"/>
      <w:bookmarkEnd w:id="242"/>
    </w:p>
    <w:p w14:paraId="61F5277D">
      <w:pPr>
        <w:spacing w:line="400" w:lineRule="exact"/>
        <w:ind w:firstLine="420" w:firstLineChars="200"/>
        <w:rPr>
          <w:rFonts w:hint="eastAsia"/>
          <w:highlight w:val="none"/>
        </w:rPr>
      </w:pPr>
      <w:r>
        <w:rPr>
          <w:rFonts w:hint="eastAsia"/>
          <w:highlight w:val="none"/>
        </w:rPr>
        <w:t>有下列情形之一的，招标人将重新招标：</w:t>
      </w:r>
    </w:p>
    <w:p w14:paraId="2965A3B8">
      <w:pPr>
        <w:spacing w:line="400" w:lineRule="exact"/>
        <w:ind w:firstLine="359" w:firstLineChars="171"/>
        <w:rPr>
          <w:rFonts w:hint="eastAsia"/>
          <w:highlight w:val="none"/>
        </w:rPr>
      </w:pPr>
      <w:r>
        <w:rPr>
          <w:rFonts w:hint="eastAsia"/>
          <w:highlight w:val="none"/>
        </w:rPr>
        <w:t>重新招标</w:t>
      </w:r>
    </w:p>
    <w:p w14:paraId="12326BBC">
      <w:pPr>
        <w:spacing w:line="400" w:lineRule="exact"/>
        <w:ind w:firstLine="359" w:firstLineChars="171"/>
        <w:rPr>
          <w:rFonts w:hint="eastAsia"/>
          <w:highlight w:val="none"/>
        </w:rPr>
      </w:pPr>
      <w:r>
        <w:rPr>
          <w:rFonts w:hint="eastAsia"/>
          <w:highlight w:val="none"/>
        </w:rPr>
        <w:t>有下列情形之一的，招标人将重新招标：</w:t>
      </w:r>
    </w:p>
    <w:p w14:paraId="166E96F1">
      <w:pPr>
        <w:spacing w:line="400" w:lineRule="exact"/>
        <w:ind w:firstLine="359" w:firstLineChars="171"/>
        <w:rPr>
          <w:rFonts w:hint="eastAsia"/>
          <w:highlight w:val="none"/>
        </w:rPr>
      </w:pPr>
      <w:r>
        <w:rPr>
          <w:rFonts w:hint="eastAsia"/>
          <w:highlight w:val="none"/>
        </w:rPr>
        <w:t>（1）投标截止时间止，投标人数量少于3家的；</w:t>
      </w:r>
    </w:p>
    <w:p w14:paraId="2ABB2A76">
      <w:pPr>
        <w:spacing w:line="400" w:lineRule="exact"/>
        <w:ind w:firstLine="359" w:firstLineChars="171"/>
        <w:rPr>
          <w:rFonts w:hint="eastAsia"/>
          <w:highlight w:val="none"/>
        </w:rPr>
      </w:pPr>
      <w:r>
        <w:rPr>
          <w:rFonts w:hint="eastAsia"/>
          <w:highlight w:val="none"/>
        </w:rPr>
        <w:t>（2）经评审有效的投标人不足三家的；</w:t>
      </w:r>
    </w:p>
    <w:p w14:paraId="360653E5">
      <w:pPr>
        <w:spacing w:line="400" w:lineRule="exact"/>
        <w:ind w:firstLine="359" w:firstLineChars="171"/>
        <w:rPr>
          <w:rFonts w:hint="eastAsia"/>
          <w:highlight w:val="none"/>
        </w:rPr>
      </w:pPr>
      <w:r>
        <w:rPr>
          <w:rFonts w:hint="eastAsia"/>
          <w:highlight w:val="none"/>
        </w:rPr>
        <w:t>（3）经评标委员会评审后否决所有投标的；</w:t>
      </w:r>
    </w:p>
    <w:p w14:paraId="668275F2">
      <w:pPr>
        <w:spacing w:line="400" w:lineRule="exact"/>
        <w:ind w:firstLine="359" w:firstLineChars="171"/>
        <w:rPr>
          <w:rFonts w:hint="eastAsia"/>
          <w:highlight w:val="none"/>
        </w:rPr>
      </w:pPr>
      <w:r>
        <w:rPr>
          <w:rFonts w:hint="eastAsia"/>
          <w:highlight w:val="none"/>
        </w:rPr>
        <w:t>（4）除非已经产生中标候选人，在投标有效期内同意延长投标有效期的投标人少于三个的；</w:t>
      </w:r>
    </w:p>
    <w:p w14:paraId="4E13A127">
      <w:pPr>
        <w:spacing w:line="400" w:lineRule="exact"/>
        <w:ind w:firstLine="359" w:firstLineChars="171"/>
        <w:rPr>
          <w:rFonts w:hint="eastAsia"/>
          <w:highlight w:val="none"/>
        </w:rPr>
      </w:pPr>
      <w:r>
        <w:rPr>
          <w:rFonts w:hint="eastAsia"/>
          <w:highlight w:val="none"/>
        </w:rPr>
        <w:t>（5）所推荐的中标候选人在不同程度上均存在问题，不能满足要求的。</w:t>
      </w:r>
    </w:p>
    <w:p w14:paraId="3EEE28A0">
      <w:pPr>
        <w:spacing w:line="400" w:lineRule="exact"/>
        <w:ind w:firstLine="359" w:firstLineChars="171"/>
        <w:rPr>
          <w:rFonts w:hint="eastAsia"/>
          <w:highlight w:val="none"/>
        </w:rPr>
      </w:pPr>
      <w:r>
        <w:rPr>
          <w:rFonts w:hint="eastAsia"/>
          <w:highlight w:val="none"/>
        </w:rPr>
        <w:t>（6）法律规定的其他情况。</w:t>
      </w:r>
    </w:p>
    <w:p w14:paraId="139CB7ED">
      <w:pPr>
        <w:pStyle w:val="45"/>
        <w:rPr>
          <w:rFonts w:hint="eastAsia"/>
          <w:highlight w:val="none"/>
        </w:rPr>
      </w:pPr>
      <w:bookmarkStart w:id="243" w:name="_Toc144974541"/>
      <w:bookmarkStart w:id="244" w:name="_Toc152042349"/>
      <w:bookmarkStart w:id="245" w:name="_Toc6622"/>
      <w:bookmarkStart w:id="246" w:name="_Toc152045573"/>
      <w:r>
        <w:rPr>
          <w:rFonts w:hint="eastAsia"/>
          <w:highlight w:val="none"/>
        </w:rPr>
        <w:t>8.2 不再招标</w:t>
      </w:r>
      <w:bookmarkEnd w:id="243"/>
      <w:bookmarkEnd w:id="244"/>
      <w:bookmarkEnd w:id="245"/>
      <w:bookmarkEnd w:id="246"/>
    </w:p>
    <w:p w14:paraId="42E37ACA">
      <w:pPr>
        <w:spacing w:line="400" w:lineRule="exact"/>
        <w:ind w:firstLine="420" w:firstLineChars="200"/>
        <w:rPr>
          <w:rFonts w:hint="eastAsia"/>
          <w:highlight w:val="none"/>
        </w:rPr>
      </w:pPr>
      <w:r>
        <w:rPr>
          <w:rFonts w:hint="eastAsia"/>
          <w:highlight w:val="none"/>
        </w:rPr>
        <w:t>8.2.1 重新招标后投标人仍少于3个或者所有投标被否决的，属于必须审批或核准的工程建设项目，经原审批或核准部门批准后可选用其他方式或不再进行招标。</w:t>
      </w:r>
    </w:p>
    <w:p w14:paraId="32C032B3">
      <w:pPr>
        <w:spacing w:line="400" w:lineRule="exact"/>
        <w:ind w:firstLine="420" w:firstLineChars="200"/>
        <w:rPr>
          <w:rFonts w:hint="eastAsia"/>
          <w:highlight w:val="none"/>
        </w:rPr>
      </w:pPr>
      <w:r>
        <w:rPr>
          <w:rFonts w:hint="eastAsia"/>
          <w:highlight w:val="none"/>
        </w:rPr>
        <w:t>8.2.2 招标人因两次或多次招标失败，需向原审批或核准部门申请改变招标方式或不再招标。</w:t>
      </w:r>
    </w:p>
    <w:p w14:paraId="5866C39E">
      <w:pPr>
        <w:spacing w:line="400" w:lineRule="exact"/>
        <w:ind w:firstLine="420" w:firstLineChars="200"/>
        <w:rPr>
          <w:rFonts w:hint="eastAsia"/>
          <w:highlight w:val="none"/>
        </w:rPr>
      </w:pPr>
      <w:r>
        <w:rPr>
          <w:rFonts w:hint="eastAsia"/>
          <w:highlight w:val="none"/>
        </w:rPr>
        <w:t>8.2.3 法律法规规定不再招标的情形。</w:t>
      </w:r>
    </w:p>
    <w:p w14:paraId="75E6A6DB">
      <w:pPr>
        <w:pStyle w:val="46"/>
        <w:rPr>
          <w:rFonts w:hint="eastAsia"/>
          <w:highlight w:val="none"/>
        </w:rPr>
      </w:pPr>
      <w:bookmarkStart w:id="247" w:name="_Toc144974542"/>
      <w:bookmarkStart w:id="248" w:name="_Toc16671"/>
      <w:bookmarkStart w:id="249" w:name="_Toc152042350"/>
      <w:bookmarkStart w:id="250" w:name="_Toc152045574"/>
      <w:r>
        <w:rPr>
          <w:rFonts w:hint="eastAsia"/>
          <w:highlight w:val="none"/>
        </w:rPr>
        <w:t>9. 纪律和监督</w:t>
      </w:r>
      <w:bookmarkEnd w:id="247"/>
      <w:bookmarkEnd w:id="248"/>
      <w:bookmarkEnd w:id="249"/>
      <w:bookmarkEnd w:id="250"/>
    </w:p>
    <w:p w14:paraId="0A080543">
      <w:pPr>
        <w:pStyle w:val="45"/>
        <w:rPr>
          <w:rFonts w:hint="eastAsia"/>
          <w:highlight w:val="none"/>
        </w:rPr>
      </w:pPr>
      <w:bookmarkStart w:id="251" w:name="_Toc152042351"/>
      <w:bookmarkStart w:id="252" w:name="_Toc144974543"/>
      <w:bookmarkStart w:id="253" w:name="_Toc152045575"/>
      <w:bookmarkStart w:id="254" w:name="_Toc10562"/>
      <w:r>
        <w:rPr>
          <w:rFonts w:hint="eastAsia"/>
          <w:highlight w:val="none"/>
        </w:rPr>
        <w:t>9.1 对招标人的纪律要求</w:t>
      </w:r>
      <w:bookmarkEnd w:id="251"/>
      <w:bookmarkEnd w:id="252"/>
      <w:bookmarkEnd w:id="253"/>
      <w:bookmarkEnd w:id="254"/>
    </w:p>
    <w:p w14:paraId="55DA15D2">
      <w:pPr>
        <w:spacing w:line="400" w:lineRule="exact"/>
        <w:ind w:firstLine="420" w:firstLineChars="200"/>
        <w:rPr>
          <w:rFonts w:hint="eastAsia"/>
          <w:highlight w:val="none"/>
        </w:rPr>
      </w:pPr>
      <w:r>
        <w:rPr>
          <w:rFonts w:hint="eastAsia"/>
          <w:highlight w:val="none"/>
        </w:rPr>
        <w:t>招标人不得泄漏招标投标活动中应当保密的情况和资料，不得与投标人串通损害国家利益、社会公共利益或者他人合法权益。</w:t>
      </w:r>
    </w:p>
    <w:p w14:paraId="20ABC8AB">
      <w:pPr>
        <w:pStyle w:val="45"/>
        <w:rPr>
          <w:rFonts w:hint="eastAsia"/>
          <w:highlight w:val="none"/>
        </w:rPr>
      </w:pPr>
      <w:bookmarkStart w:id="255" w:name="_Toc23124"/>
      <w:bookmarkStart w:id="256" w:name="_Toc152045576"/>
      <w:bookmarkStart w:id="257" w:name="_Toc144974544"/>
      <w:bookmarkStart w:id="258" w:name="_Toc152042352"/>
      <w:r>
        <w:rPr>
          <w:rFonts w:hint="eastAsia"/>
          <w:highlight w:val="none"/>
        </w:rPr>
        <w:t>9.2 对投标人的纪律要求</w:t>
      </w:r>
      <w:bookmarkEnd w:id="255"/>
      <w:bookmarkEnd w:id="256"/>
      <w:bookmarkEnd w:id="257"/>
      <w:bookmarkEnd w:id="258"/>
    </w:p>
    <w:p w14:paraId="10E2FE46">
      <w:pPr>
        <w:spacing w:line="400" w:lineRule="exact"/>
        <w:ind w:firstLine="420" w:firstLineChars="200"/>
        <w:rPr>
          <w:rFonts w:hint="eastAsia"/>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D54D281">
      <w:pPr>
        <w:spacing w:line="400" w:lineRule="exact"/>
        <w:ind w:firstLine="420" w:firstLineChars="200"/>
        <w:rPr>
          <w:rFonts w:hint="eastAsia"/>
          <w:highlight w:val="none"/>
        </w:rPr>
      </w:pPr>
      <w:r>
        <w:rPr>
          <w:rFonts w:hint="eastAsia"/>
          <w:highlight w:val="none"/>
        </w:rPr>
        <w:t>上述行为一经发现，已经中标的，取消中标资格，未中标的，取消参评资格，并记入不良行为记录。</w:t>
      </w:r>
    </w:p>
    <w:p w14:paraId="1E1E9252">
      <w:pPr>
        <w:pStyle w:val="45"/>
        <w:rPr>
          <w:rFonts w:hint="eastAsia"/>
          <w:highlight w:val="none"/>
        </w:rPr>
      </w:pPr>
      <w:bookmarkStart w:id="259" w:name="_Toc152042353"/>
      <w:bookmarkStart w:id="260" w:name="_Toc144974545"/>
      <w:bookmarkStart w:id="261" w:name="_Toc16670"/>
      <w:bookmarkStart w:id="262" w:name="_Toc152045577"/>
      <w:r>
        <w:rPr>
          <w:rFonts w:hint="eastAsia"/>
          <w:highlight w:val="none"/>
        </w:rPr>
        <w:t>9.3 对评标委员会成员的纪律要求</w:t>
      </w:r>
      <w:bookmarkEnd w:id="259"/>
      <w:bookmarkEnd w:id="260"/>
      <w:bookmarkEnd w:id="261"/>
      <w:bookmarkEnd w:id="262"/>
    </w:p>
    <w:p w14:paraId="2F0CA79B">
      <w:pPr>
        <w:spacing w:line="400" w:lineRule="exact"/>
        <w:ind w:firstLine="420" w:firstLineChars="200"/>
        <w:rPr>
          <w:rFonts w:hint="eastAsia"/>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593A92D">
      <w:pPr>
        <w:pStyle w:val="45"/>
        <w:rPr>
          <w:rFonts w:hint="eastAsia"/>
          <w:highlight w:val="none"/>
        </w:rPr>
      </w:pPr>
      <w:bookmarkStart w:id="263" w:name="_Toc152042354"/>
      <w:bookmarkStart w:id="264" w:name="_Toc15217"/>
      <w:bookmarkStart w:id="265" w:name="_Toc152045578"/>
      <w:bookmarkStart w:id="266" w:name="_Toc144974546"/>
      <w:r>
        <w:rPr>
          <w:rFonts w:hint="eastAsia"/>
          <w:highlight w:val="none"/>
        </w:rPr>
        <w:t>9.4 对与评标活动有关的工作人员的纪律要求</w:t>
      </w:r>
      <w:bookmarkEnd w:id="263"/>
      <w:bookmarkEnd w:id="264"/>
      <w:bookmarkEnd w:id="265"/>
    </w:p>
    <w:p w14:paraId="5B41B54E">
      <w:pPr>
        <w:spacing w:line="400" w:lineRule="exact"/>
        <w:ind w:firstLine="420" w:firstLineChars="200"/>
        <w:rPr>
          <w:rFonts w:hint="eastAsia"/>
          <w:highlight w:val="none"/>
        </w:rPr>
      </w:pPr>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14:paraId="491857D7">
      <w:pPr>
        <w:pStyle w:val="45"/>
        <w:rPr>
          <w:rFonts w:hint="eastAsia"/>
          <w:highlight w:val="none"/>
        </w:rPr>
      </w:pPr>
      <w:bookmarkStart w:id="267" w:name="_Toc10834"/>
      <w:bookmarkStart w:id="268" w:name="_Toc152045579"/>
      <w:bookmarkStart w:id="269" w:name="_Toc152042356"/>
      <w:r>
        <w:rPr>
          <w:rFonts w:hint="eastAsia"/>
          <w:highlight w:val="none"/>
        </w:rPr>
        <w:t>9.5 投诉</w:t>
      </w:r>
      <w:bookmarkEnd w:id="266"/>
      <w:bookmarkEnd w:id="267"/>
      <w:bookmarkEnd w:id="268"/>
      <w:bookmarkEnd w:id="269"/>
    </w:p>
    <w:p w14:paraId="74D0510F">
      <w:pPr>
        <w:spacing w:line="400" w:lineRule="exact"/>
        <w:ind w:firstLine="420" w:firstLineChars="200"/>
        <w:rPr>
          <w:rFonts w:hint="eastAsia"/>
          <w:highlight w:val="none"/>
        </w:rPr>
      </w:pPr>
      <w:r>
        <w:rPr>
          <w:rFonts w:hint="eastAsia"/>
          <w:highlight w:val="none"/>
        </w:rPr>
        <w:t>投标人和其他利害关系人认为本次招标活动违反法律、法规和规章规定的，有权向有关行政监督部门投诉。</w:t>
      </w:r>
    </w:p>
    <w:p w14:paraId="5E59482A">
      <w:pPr>
        <w:spacing w:line="400" w:lineRule="exact"/>
        <w:ind w:firstLine="420" w:firstLineChars="200"/>
        <w:rPr>
          <w:rFonts w:hint="eastAsia"/>
          <w:highlight w:val="none"/>
        </w:rPr>
      </w:pPr>
      <w:r>
        <w:rPr>
          <w:rFonts w:hint="eastAsia"/>
          <w:highlight w:val="none"/>
        </w:rPr>
        <w:t>投标人或者其他利害关系人有关资格预审文件、招标文件、开标和评标结果事项的投诉，应当先按规定提出异议。</w:t>
      </w:r>
    </w:p>
    <w:p w14:paraId="6EF80C01">
      <w:pPr>
        <w:spacing w:line="400" w:lineRule="exact"/>
        <w:ind w:firstLine="420" w:firstLineChars="200"/>
        <w:rPr>
          <w:rFonts w:hint="eastAsia"/>
          <w:highlight w:val="none"/>
        </w:rPr>
      </w:pPr>
      <w:r>
        <w:rPr>
          <w:rFonts w:hint="eastAsia"/>
          <w:highlight w:val="none"/>
        </w:rPr>
        <w:t>招标人无正当理由不在规定时间内答复或者投标人对答复有异议的，可就相关事项向行政监督部门投诉。</w:t>
      </w:r>
    </w:p>
    <w:p w14:paraId="5F30AB25">
      <w:pPr>
        <w:pStyle w:val="46"/>
        <w:rPr>
          <w:rFonts w:hint="eastAsia"/>
          <w:highlight w:val="none"/>
        </w:rPr>
      </w:pPr>
      <w:bookmarkStart w:id="270" w:name="_Toc152042357"/>
      <w:bookmarkStart w:id="271" w:name="_Toc152045580"/>
      <w:bookmarkStart w:id="272" w:name="_Toc17999"/>
      <w:bookmarkStart w:id="273" w:name="_Toc144974547"/>
      <w:r>
        <w:rPr>
          <w:rFonts w:hint="eastAsia"/>
          <w:highlight w:val="none"/>
        </w:rPr>
        <w:t>10. 需要补充的其他内容</w:t>
      </w:r>
      <w:bookmarkEnd w:id="270"/>
      <w:bookmarkEnd w:id="271"/>
      <w:bookmarkEnd w:id="272"/>
      <w:bookmarkEnd w:id="273"/>
    </w:p>
    <w:p w14:paraId="29392D06">
      <w:pPr>
        <w:spacing w:line="400" w:lineRule="exact"/>
        <w:ind w:firstLine="420" w:firstLineChars="200"/>
        <w:rPr>
          <w:rFonts w:hint="eastAsia"/>
          <w:highlight w:val="none"/>
        </w:rPr>
      </w:pPr>
      <w:r>
        <w:rPr>
          <w:rFonts w:hint="eastAsia"/>
          <w:highlight w:val="none"/>
        </w:rPr>
        <w:t>10.1 不良行为</w:t>
      </w:r>
    </w:p>
    <w:p w14:paraId="0E2487BB">
      <w:pPr>
        <w:spacing w:line="400" w:lineRule="exact"/>
        <w:ind w:firstLine="420" w:firstLineChars="200"/>
        <w:rPr>
          <w:rFonts w:hint="eastAsia"/>
          <w:highlight w:val="none"/>
        </w:rPr>
      </w:pPr>
      <w:r>
        <w:rPr>
          <w:rFonts w:hint="eastAsia"/>
          <w:highlight w:val="none"/>
        </w:rPr>
        <w:t>10.1.1投标企业或中介机构存在的以下情况，将被认定为不良行为：</w:t>
      </w:r>
    </w:p>
    <w:p w14:paraId="28DE509E">
      <w:pPr>
        <w:spacing w:line="400" w:lineRule="exact"/>
        <w:ind w:firstLine="420" w:firstLineChars="200"/>
        <w:rPr>
          <w:rFonts w:hint="eastAsia"/>
          <w:highlight w:val="none"/>
        </w:rPr>
      </w:pPr>
      <w:r>
        <w:rPr>
          <w:rFonts w:hint="eastAsia"/>
          <w:highlight w:val="none"/>
        </w:rPr>
        <w:t>（1）被责令停业的，暂扣或者吊销营业执照，或者吊销资质的；</w:t>
      </w:r>
    </w:p>
    <w:p w14:paraId="5E9846E7">
      <w:pPr>
        <w:spacing w:line="400" w:lineRule="exact"/>
        <w:ind w:firstLine="420" w:firstLineChars="200"/>
        <w:rPr>
          <w:rFonts w:hint="eastAsia"/>
          <w:highlight w:val="none"/>
        </w:rPr>
      </w:pPr>
      <w:r>
        <w:rPr>
          <w:rFonts w:hint="eastAsia"/>
          <w:highlight w:val="none"/>
        </w:rPr>
        <w:t>（2）被依法暂停或者取消投标资格的；</w:t>
      </w:r>
    </w:p>
    <w:p w14:paraId="07E50B77">
      <w:pPr>
        <w:spacing w:line="400" w:lineRule="exact"/>
        <w:ind w:firstLine="420" w:firstLineChars="200"/>
        <w:rPr>
          <w:rFonts w:hint="eastAsia"/>
          <w:highlight w:val="none"/>
        </w:rPr>
      </w:pPr>
      <w:r>
        <w:rPr>
          <w:rFonts w:hint="eastAsia"/>
          <w:highlight w:val="none"/>
        </w:rPr>
        <w:t>（3）财产被接管或者冻结的；</w:t>
      </w:r>
    </w:p>
    <w:p w14:paraId="412DE63F">
      <w:pPr>
        <w:spacing w:line="400" w:lineRule="exact"/>
        <w:ind w:firstLine="420" w:firstLineChars="200"/>
        <w:rPr>
          <w:rFonts w:hint="eastAsia"/>
          <w:highlight w:val="none"/>
        </w:rPr>
      </w:pPr>
      <w:r>
        <w:rPr>
          <w:rFonts w:hint="eastAsia"/>
          <w:highlight w:val="none"/>
        </w:rPr>
        <w:t>（4）进入清算程序，或被宣告破产，或其他丧失履约能力的情形；</w:t>
      </w:r>
    </w:p>
    <w:p w14:paraId="0E5F9712">
      <w:pPr>
        <w:spacing w:line="400" w:lineRule="exact"/>
        <w:ind w:firstLine="420" w:firstLineChars="200"/>
        <w:rPr>
          <w:rFonts w:hint="eastAsia"/>
          <w:highlight w:val="none"/>
        </w:rPr>
      </w:pPr>
      <w:r>
        <w:rPr>
          <w:rFonts w:hint="eastAsia"/>
          <w:highlight w:val="none"/>
        </w:rPr>
        <w:t>（5）在“信用中国”网站或各级信用信息共享平台中列入失信被执行人名单的。</w:t>
      </w:r>
    </w:p>
    <w:p w14:paraId="0866735D">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2</w:t>
      </w:r>
      <w:r>
        <w:rPr>
          <w:rFonts w:hint="eastAsia"/>
          <w:highlight w:val="none"/>
        </w:rPr>
        <w:t xml:space="preserve"> 知识产权</w:t>
      </w:r>
    </w:p>
    <w:p w14:paraId="03160CB7">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2</w:t>
      </w:r>
      <w:r>
        <w:rPr>
          <w:rFonts w:hint="eastAsia"/>
          <w:highlight w:val="none"/>
        </w:rPr>
        <w:t>.1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62A8D028">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3</w:t>
      </w:r>
      <w:r>
        <w:rPr>
          <w:rFonts w:hint="eastAsia"/>
          <w:highlight w:val="none"/>
        </w:rPr>
        <w:t xml:space="preserve"> 同义词语</w:t>
      </w:r>
    </w:p>
    <w:p w14:paraId="65C4BABB">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3</w:t>
      </w:r>
      <w:r>
        <w:rPr>
          <w:rFonts w:hint="eastAsia"/>
          <w:highlight w:val="none"/>
        </w:rPr>
        <w:t>.1 构成招标文件组成部分的“通用合同条款”、“专用合同条款”、“技术标准和要求”和“工程量清单”等章节中出现的措辞“发包人”和“承包人”，在招标投标阶段应当分别按“招标人”和“投标人”进行理解。</w:t>
      </w:r>
    </w:p>
    <w:p w14:paraId="1067E2DF">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4</w:t>
      </w:r>
      <w:r>
        <w:rPr>
          <w:rFonts w:hint="eastAsia"/>
          <w:highlight w:val="none"/>
        </w:rPr>
        <w:t xml:space="preserve"> 监督</w:t>
      </w:r>
    </w:p>
    <w:p w14:paraId="44A614EB">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4</w:t>
      </w:r>
      <w:r>
        <w:rPr>
          <w:rFonts w:hint="eastAsia"/>
          <w:highlight w:val="none"/>
        </w:rPr>
        <w:t>.1 本项目的招标投标活动及其相关当事人应当接受有管辖权的建设工程招标投标行政监督部门依法实施的监督。</w:t>
      </w:r>
    </w:p>
    <w:p w14:paraId="671B575D">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5</w:t>
      </w:r>
      <w:r>
        <w:rPr>
          <w:rFonts w:hint="eastAsia"/>
          <w:highlight w:val="none"/>
        </w:rPr>
        <w:t xml:space="preserve"> 解释权</w:t>
      </w:r>
    </w:p>
    <w:p w14:paraId="3286285F">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5</w:t>
      </w:r>
      <w:r>
        <w:rPr>
          <w:rFonts w:hint="eastAsia"/>
          <w:highlight w:val="none"/>
        </w:rPr>
        <w:t>.1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文件不同版本之间有不一致的，以形成时间在后者为准。按本款前述规定仍不能形成结论的，由招标人负责解释。</w:t>
      </w:r>
    </w:p>
    <w:p w14:paraId="586DDD12">
      <w:pPr>
        <w:spacing w:line="400" w:lineRule="exact"/>
        <w:ind w:firstLine="420" w:firstLineChars="200"/>
        <w:rPr>
          <w:rFonts w:hint="eastAsia"/>
          <w:highlight w:val="none"/>
        </w:rPr>
      </w:pPr>
      <w:r>
        <w:rPr>
          <w:rFonts w:hint="eastAsia"/>
          <w:highlight w:val="none"/>
        </w:rPr>
        <w:t>10.</w:t>
      </w:r>
      <w:r>
        <w:rPr>
          <w:rFonts w:hint="eastAsia"/>
          <w:highlight w:val="none"/>
          <w:lang w:val="en-US" w:eastAsia="zh-CN"/>
        </w:rPr>
        <w:t>6</w:t>
      </w:r>
      <w:r>
        <w:rPr>
          <w:rFonts w:hint="eastAsia"/>
          <w:highlight w:val="none"/>
        </w:rPr>
        <w:t xml:space="preserve"> 招标人认为需要补充的其他内容</w:t>
      </w:r>
    </w:p>
    <w:p w14:paraId="50FFA876">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.1</w:t>
      </w:r>
      <w:r>
        <w:rPr>
          <w:rFonts w:hint="default" w:ascii="Times New Roman" w:hAnsi="Times New Roman" w:eastAsia="宋体" w:cs="Times New Roman"/>
          <w:color w:val="0000FF"/>
          <w:szCs w:val="21"/>
          <w:highlight w:val="none"/>
          <w:lang w:val="en-US" w:eastAsia="zh-CN"/>
        </w:rPr>
        <w:t xml:space="preserve"> </w:t>
      </w:r>
      <w:r>
        <w:rPr>
          <w:rFonts w:hint="default" w:ascii="Times New Roman" w:hAnsi="Times New Roman" w:eastAsia="宋体" w:cs="Times New Roman"/>
          <w:color w:val="0000FF"/>
          <w:szCs w:val="21"/>
          <w:highlight w:val="none"/>
        </w:rPr>
        <w:t>综合单价合同：投标报价文件包含投标总价及</w:t>
      </w:r>
      <w:bookmarkStart w:id="274" w:name="OLE_LINK17"/>
      <w:r>
        <w:rPr>
          <w:rFonts w:hint="default" w:ascii="Times New Roman" w:hAnsi="Times New Roman" w:eastAsia="宋体" w:cs="Times New Roman"/>
          <w:color w:val="0000FF"/>
          <w:szCs w:val="21"/>
          <w:highlight w:val="none"/>
        </w:rPr>
        <w:t>综合单价</w:t>
      </w:r>
      <w:bookmarkEnd w:id="274"/>
      <w:r>
        <w:rPr>
          <w:rFonts w:hint="default" w:ascii="Times New Roman" w:hAnsi="Times New Roman" w:eastAsia="宋体" w:cs="Times New Roman"/>
          <w:color w:val="0000FF"/>
          <w:szCs w:val="21"/>
          <w:highlight w:val="none"/>
        </w:rPr>
        <w:t>时，</w:t>
      </w:r>
      <w:r>
        <w:rPr>
          <w:rFonts w:hint="default" w:ascii="Times New Roman" w:hAnsi="Times New Roman" w:eastAsia="宋体" w:cs="Times New Roman"/>
          <w:color w:val="0000FF"/>
          <w:szCs w:val="21"/>
          <w:highlight w:val="none"/>
          <w:lang w:val="en-US" w:eastAsia="zh-CN"/>
        </w:rPr>
        <w:t>合同价</w:t>
      </w:r>
      <w:r>
        <w:rPr>
          <w:rFonts w:hint="default" w:ascii="Times New Roman" w:hAnsi="Times New Roman" w:eastAsia="宋体" w:cs="Times New Roman"/>
          <w:color w:val="0000FF"/>
          <w:szCs w:val="21"/>
          <w:highlight w:val="none"/>
        </w:rPr>
        <w:t xml:space="preserve">为综合单价。综合单价在招标文件及施工合同约定的招标内容（工程内容）及相应风险范围之内不可调整。                   </w:t>
      </w:r>
    </w:p>
    <w:p w14:paraId="1FE21D6B">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.2</w:t>
      </w:r>
      <w:r>
        <w:rPr>
          <w:rFonts w:hint="default" w:ascii="Times New Roman" w:hAnsi="Times New Roman" w:eastAsia="宋体" w:cs="Times New Roman"/>
          <w:color w:val="0000FF"/>
          <w:szCs w:val="21"/>
          <w:highlight w:val="none"/>
          <w:lang w:val="en-US" w:eastAsia="zh-CN"/>
        </w:rPr>
        <w:t xml:space="preserve"> </w:t>
      </w:r>
      <w:r>
        <w:rPr>
          <w:rFonts w:hint="default" w:ascii="Times New Roman" w:hAnsi="Times New Roman" w:eastAsia="宋体" w:cs="Times New Roman"/>
          <w:color w:val="0000FF"/>
          <w:szCs w:val="21"/>
          <w:highlight w:val="none"/>
        </w:rPr>
        <w:t>投标报价：</w:t>
      </w:r>
    </w:p>
    <w:p w14:paraId="42AA30F2">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 xml:space="preserve">（1）投标人依据招标文件提供的工程量清单、设计图纸等资料并自行考虑施工生产作业避让等风险因素计算投标报价。一旦中标，投标综合单价将不会因市场、现场等任何变化因素而得到调整。 </w:t>
      </w:r>
    </w:p>
    <w:p w14:paraId="2741AE85">
      <w:pPr>
        <w:spacing w:line="400" w:lineRule="exact"/>
        <w:ind w:firstLine="420" w:firstLineChars="200"/>
        <w:rPr>
          <w:rFonts w:hint="eastAsia"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rPr>
        <w:t>（2）投标综合单价中应包括工程项目所发生的人工费、材料费、机械费、管理费、利润以及招标文件中约定投标人承担的所有风险费用</w:t>
      </w:r>
      <w:r>
        <w:rPr>
          <w:rFonts w:hint="eastAsia" w:ascii="Times New Roman" w:hAnsi="Times New Roman" w:eastAsia="宋体" w:cs="Times New Roman"/>
          <w:color w:val="0000FF"/>
          <w:szCs w:val="21"/>
          <w:highlight w:val="none"/>
          <w:lang w:val="en-US" w:eastAsia="zh-CN"/>
        </w:rPr>
        <w:t>等</w:t>
      </w:r>
      <w:r>
        <w:rPr>
          <w:rFonts w:hint="default"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投标人负责</w:t>
      </w:r>
      <w:r>
        <w:rPr>
          <w:rFonts w:hint="default" w:ascii="Times New Roman" w:hAnsi="Times New Roman" w:eastAsia="宋体" w:cs="Times New Roman"/>
          <w:color w:val="0000FF"/>
          <w:szCs w:val="21"/>
          <w:highlight w:val="none"/>
        </w:rPr>
        <w:t>办理各项施工手续</w:t>
      </w:r>
      <w:r>
        <w:rPr>
          <w:rFonts w:hint="eastAsia" w:ascii="Times New Roman" w:hAnsi="Times New Roman" w:eastAsia="宋体" w:cs="Times New Roman"/>
          <w:color w:val="0000FF"/>
          <w:szCs w:val="21"/>
          <w:highlight w:val="none"/>
          <w:lang w:val="en-US" w:eastAsia="zh-CN"/>
        </w:rPr>
        <w:t>及费用</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包括</w:t>
      </w:r>
      <w:r>
        <w:rPr>
          <w:rFonts w:hint="default" w:ascii="Times New Roman" w:hAnsi="Times New Roman" w:eastAsia="宋体" w:cs="Times New Roman"/>
          <w:color w:val="0000FF"/>
          <w:szCs w:val="21"/>
          <w:highlight w:val="none"/>
        </w:rPr>
        <w:t>办理运输船只、车辆、堆放清淤疏浚</w:t>
      </w:r>
      <w:r>
        <w:rPr>
          <w:rFonts w:hint="eastAsia" w:ascii="Times New Roman" w:hAnsi="Times New Roman" w:eastAsia="宋体" w:cs="Times New Roman"/>
          <w:color w:val="0000FF"/>
          <w:szCs w:val="21"/>
          <w:highlight w:val="none"/>
          <w:lang w:val="en-US" w:eastAsia="zh-CN"/>
        </w:rPr>
        <w:t>等。</w:t>
      </w:r>
    </w:p>
    <w:p w14:paraId="3FDEC8C4">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（3）招标人发出的招标文件工程量清单内容和格式不许增加和修改，投标人确认工程量清单存在的缺项、漏项或认为施工图纸存在不明确、不一致时，应在投标截止日</w:t>
      </w:r>
      <w:r>
        <w:rPr>
          <w:rFonts w:hint="eastAsia" w:ascii="Times New Roman" w:hAnsi="Times New Roman" w:eastAsia="宋体" w:cs="Times New Roman"/>
          <w:color w:val="0000FF"/>
          <w:szCs w:val="21"/>
          <w:highlight w:val="none"/>
          <w:lang w:val="en-US" w:eastAsia="zh-CN"/>
        </w:rPr>
        <w:t>10</w:t>
      </w:r>
      <w:r>
        <w:rPr>
          <w:rFonts w:hint="default" w:ascii="Times New Roman" w:hAnsi="Times New Roman" w:eastAsia="宋体" w:cs="Times New Roman"/>
          <w:color w:val="0000FF"/>
          <w:szCs w:val="21"/>
          <w:highlight w:val="none"/>
        </w:rPr>
        <w:t xml:space="preserve">日前，以书面方式向招标人提出。投标人未在规定的时间内向招标人提出异议，则视为投标人已认可该工程量清单包含了设计文件全部内容。 </w:t>
      </w:r>
    </w:p>
    <w:p w14:paraId="530FC43A">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 xml:space="preserve">（4）除非招标人对招标文件予以修改，投标人应按招标人提供的工程量清单中列出的工程项目和工程量填报单价和合价。每一项目只允许有一个报价。任何有选择的报价将不予接受。工程量清单报价表中的每一单项均应填写单价和合价，投标人未填、错填或漏填单价或合价的工程项目，在实施后招标人将不予支付款项，并视为该项费用已包括在其它的单价或合价内。 </w:t>
      </w:r>
    </w:p>
    <w:p w14:paraId="26D11D12">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 xml:space="preserve">（5）投标人提出清单工程量修正意见而招标人未予采纳时，投标人应自行考虑由此引起的报价风险。投标人在报价中未计算此类风险的，责任和费用由投标人承担。 </w:t>
      </w:r>
    </w:p>
    <w:p w14:paraId="27DB1339">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 xml:space="preserve">（6）投标人必须充分理解招标人提供的设计图纸及地质勘探等资料，并对施工现场及周边环境、施工工地的气候条件等不可预见及不可抗力因素做出充分考虑，若实际施工中发生变化，招标人将不予增加任何费用。 </w:t>
      </w:r>
    </w:p>
    <w:p w14:paraId="47B507A5">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 xml:space="preserve">（7）投标人在投标截止时间前修改投标函中的投标总报价，应同时修改“工程量清单”中的相应报价。                    </w:t>
      </w:r>
    </w:p>
    <w:p w14:paraId="4874F2E7">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 xml:space="preserve">3 </w:t>
      </w:r>
      <w:r>
        <w:rPr>
          <w:rFonts w:hint="default" w:ascii="Times New Roman" w:hAnsi="Times New Roman" w:eastAsia="宋体" w:cs="Times New Roman"/>
          <w:color w:val="0000FF"/>
          <w:szCs w:val="21"/>
          <w:highlight w:val="none"/>
        </w:rPr>
        <w:t>规费、税金</w:t>
      </w:r>
      <w:r>
        <w:rPr>
          <w:rFonts w:hint="default"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 xml:space="preserve">①规费是指政府和有关职能部门规定必须缴纳的费用，包括社会保险费、住房公积金、工程排污费、其他应列未列的规费。②投标报价中的工程排污费、社会保险费、住房公积金根据有权部门的规定和企业缴纳支出情况，自行确定。③税金：按各行业专业计价依据及调整办法计算税金，增值税税率按国家最新标准执行。                    </w:t>
      </w:r>
    </w:p>
    <w:p w14:paraId="53550D9C">
      <w:pPr>
        <w:spacing w:line="400" w:lineRule="exact"/>
        <w:ind w:left="210" w:leftChars="100" w:firstLine="210" w:firstLineChars="100"/>
        <w:rPr>
          <w:rFonts w:hint="eastAsia" w:ascii="Times New Roman" w:hAnsi="Times New Roman" w:eastAsia="宋体" w:cs="Times New Roman"/>
          <w:color w:val="0000FF"/>
          <w:szCs w:val="21"/>
          <w:highlight w:val="none"/>
          <w:lang w:val="en-US" w:eastAsia="zh-CN"/>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4 投标人请下载新点投标文件制作软件（更新至最新版本），进行制作投标文件。</w:t>
      </w:r>
    </w:p>
    <w:p w14:paraId="2DD2413A">
      <w:pPr>
        <w:spacing w:line="400" w:lineRule="exact"/>
        <w:ind w:firstLine="420" w:firstLineChars="200"/>
        <w:rPr>
          <w:rFonts w:hint="eastAsia"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 xml:space="preserve">5 </w:t>
      </w:r>
      <w:r>
        <w:rPr>
          <w:rFonts w:hint="default" w:ascii="Times New Roman" w:hAnsi="Times New Roman" w:eastAsia="宋体" w:cs="Times New Roman"/>
          <w:color w:val="0000FF"/>
          <w:szCs w:val="21"/>
          <w:highlight w:val="none"/>
        </w:rPr>
        <w:t>本项目的招标代理服务费由中标人支付。中标人在中标公示发布后须向本项目的招标代理机构支付代理服务费。收费标准按差额定率累进法计算，中标金额100万元以下费率1.0%；100万元-500万元费率0.7%；500万元-1000万元费率0.55%；1000万元-5000万元费率0.35%；5000万元-10000万元</w:t>
      </w:r>
      <w:bookmarkStart w:id="275" w:name="OLE_LINK18"/>
      <w:r>
        <w:rPr>
          <w:rFonts w:hint="default" w:ascii="Times New Roman" w:hAnsi="Times New Roman" w:eastAsia="宋体" w:cs="Times New Roman"/>
          <w:color w:val="0000FF"/>
          <w:szCs w:val="21"/>
          <w:highlight w:val="none"/>
        </w:rPr>
        <w:t>费率0.2%</w:t>
      </w:r>
      <w:bookmarkEnd w:id="275"/>
      <w:r>
        <w:rPr>
          <w:rFonts w:hint="eastAsia"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10000</w:t>
      </w:r>
      <w:r>
        <w:rPr>
          <w:rFonts w:hint="default" w:ascii="Times New Roman" w:hAnsi="Times New Roman" w:eastAsia="宋体" w:cs="Times New Roman"/>
          <w:color w:val="0000FF"/>
          <w:szCs w:val="21"/>
          <w:highlight w:val="none"/>
        </w:rPr>
        <w:t>万元</w:t>
      </w:r>
      <w:r>
        <w:rPr>
          <w:rFonts w:hint="default" w:ascii="Times New Roman" w:hAnsi="Times New Roman" w:eastAsia="宋体" w:cs="Times New Roman"/>
          <w:color w:val="0000FF"/>
          <w:szCs w:val="21"/>
          <w:highlight w:val="none"/>
        </w:rPr>
        <w:t>-100000</w:t>
      </w:r>
      <w:r>
        <w:rPr>
          <w:rFonts w:hint="default" w:ascii="Times New Roman" w:hAnsi="Times New Roman" w:eastAsia="宋体" w:cs="Times New Roman"/>
          <w:color w:val="0000FF"/>
          <w:szCs w:val="21"/>
          <w:highlight w:val="none"/>
        </w:rPr>
        <w:t>万元费率0.05%。</w:t>
      </w:r>
      <w:r>
        <w:rPr>
          <w:rFonts w:hint="default" w:ascii="Times New Roman" w:hAnsi="Times New Roman" w:eastAsia="宋体" w:cs="Times New Roman"/>
          <w:color w:val="0000FF"/>
          <w:szCs w:val="21"/>
          <w:highlight w:val="none"/>
        </w:rPr>
        <w:t>此部分费用隐含在投标报价中，投标单位不得单独列项，本项目代理费收费根据中标金额按上述标准取费</w:t>
      </w:r>
      <w:r>
        <w:rPr>
          <w:rFonts w:hint="eastAsia" w:ascii="Times New Roman" w:hAnsi="Times New Roman" w:eastAsia="宋体" w:cs="Times New Roman"/>
          <w:color w:val="0000FF"/>
          <w:szCs w:val="21"/>
          <w:highlight w:val="none"/>
          <w:lang w:eastAsia="zh-CN"/>
        </w:rPr>
        <w:t>。</w:t>
      </w:r>
    </w:p>
    <w:p w14:paraId="7387938B">
      <w:pPr>
        <w:spacing w:line="400" w:lineRule="exact"/>
        <w:ind w:firstLine="420" w:firstLineChars="200"/>
        <w:rPr>
          <w:rFonts w:hint="eastAsia" w:ascii="Times New Roman" w:hAnsi="Times New Roman" w:eastAsia="宋体" w:cs="Times New Roman"/>
          <w:color w:val="0000FF"/>
          <w:szCs w:val="21"/>
          <w:highlight w:val="none"/>
          <w:lang w:eastAsia="zh-CN"/>
        </w:rPr>
      </w:pPr>
      <w:r>
        <w:rPr>
          <w:rFonts w:hint="eastAsia" w:ascii="Times New Roman" w:hAnsi="Times New Roman" w:eastAsia="宋体" w:cs="Times New Roman"/>
          <w:color w:val="0000FF"/>
          <w:szCs w:val="21"/>
          <w:highlight w:val="none"/>
          <w:lang w:eastAsia="zh-CN"/>
        </w:rPr>
        <w:t>注：采购代理服务费收费按差额定率累进法计算。</w:t>
      </w:r>
    </w:p>
    <w:p w14:paraId="24D1F6FC">
      <w:pPr>
        <w:spacing w:line="400" w:lineRule="exact"/>
        <w:ind w:firstLine="420" w:firstLineChars="200"/>
        <w:rPr>
          <w:rFonts w:hint="eastAsia" w:ascii="Times New Roman" w:hAnsi="Times New Roman" w:eastAsia="宋体" w:cs="Times New Roman"/>
          <w:color w:val="0000FF"/>
          <w:szCs w:val="21"/>
          <w:highlight w:val="none"/>
          <w:lang w:eastAsia="zh-CN"/>
        </w:rPr>
      </w:pPr>
      <w:r>
        <w:rPr>
          <w:rFonts w:hint="eastAsia" w:ascii="Times New Roman" w:hAnsi="Times New Roman" w:eastAsia="宋体" w:cs="Times New Roman"/>
          <w:color w:val="0000FF"/>
          <w:szCs w:val="21"/>
          <w:highlight w:val="none"/>
          <w:lang w:eastAsia="zh-CN"/>
        </w:rPr>
        <w:t>采购代理机构账号信息：</w:t>
      </w:r>
    </w:p>
    <w:p w14:paraId="7B7CCA34">
      <w:pPr>
        <w:spacing w:line="400" w:lineRule="exact"/>
        <w:ind w:firstLine="420" w:firstLineChars="200"/>
        <w:rPr>
          <w:rFonts w:hint="eastAsia" w:ascii="Times New Roman" w:hAnsi="Times New Roman" w:eastAsia="宋体" w:cs="Times New Roman"/>
          <w:color w:val="0000FF"/>
          <w:szCs w:val="21"/>
          <w:highlight w:val="none"/>
          <w:lang w:eastAsia="zh-CN"/>
        </w:rPr>
      </w:pPr>
      <w:r>
        <w:rPr>
          <w:rFonts w:hint="eastAsia" w:ascii="Times New Roman" w:hAnsi="Times New Roman" w:eastAsia="宋体" w:cs="Times New Roman"/>
          <w:color w:val="0000FF"/>
          <w:szCs w:val="21"/>
          <w:highlight w:val="none"/>
          <w:lang w:eastAsia="zh-CN"/>
        </w:rPr>
        <w:t>账户名称：大连机械设备成套有限公司</w:t>
      </w:r>
    </w:p>
    <w:p w14:paraId="2701FAFE">
      <w:pPr>
        <w:spacing w:line="400" w:lineRule="exact"/>
        <w:ind w:firstLine="420" w:firstLineChars="200"/>
        <w:rPr>
          <w:rFonts w:hint="eastAsia" w:ascii="Times New Roman" w:hAnsi="Times New Roman" w:eastAsia="宋体" w:cs="Times New Roman"/>
          <w:color w:val="0000FF"/>
          <w:szCs w:val="21"/>
          <w:highlight w:val="none"/>
          <w:lang w:eastAsia="zh-CN"/>
        </w:rPr>
      </w:pPr>
      <w:r>
        <w:rPr>
          <w:rFonts w:hint="eastAsia" w:ascii="Times New Roman" w:hAnsi="Times New Roman" w:eastAsia="宋体" w:cs="Times New Roman"/>
          <w:color w:val="0000FF"/>
          <w:szCs w:val="21"/>
          <w:highlight w:val="none"/>
          <w:lang w:eastAsia="zh-CN"/>
        </w:rPr>
        <w:t>开户行：招商银行大连沙河口支行</w:t>
      </w:r>
    </w:p>
    <w:p w14:paraId="6F0F4A9B">
      <w:pPr>
        <w:spacing w:line="400" w:lineRule="exact"/>
        <w:ind w:firstLine="420" w:firstLineChars="200"/>
        <w:rPr>
          <w:rFonts w:hint="eastAsia" w:ascii="Times New Roman" w:hAnsi="Times New Roman" w:eastAsia="宋体" w:cs="Times New Roman"/>
          <w:color w:val="0000FF"/>
          <w:szCs w:val="21"/>
          <w:highlight w:val="none"/>
          <w:lang w:eastAsia="zh-CN"/>
        </w:rPr>
      </w:pPr>
      <w:r>
        <w:rPr>
          <w:rFonts w:hint="eastAsia" w:ascii="Times New Roman" w:hAnsi="Times New Roman" w:eastAsia="宋体" w:cs="Times New Roman"/>
          <w:color w:val="0000FF"/>
          <w:szCs w:val="21"/>
          <w:highlight w:val="none"/>
          <w:lang w:eastAsia="zh-CN"/>
        </w:rPr>
        <w:t>账号：411910958510018</w:t>
      </w:r>
    </w:p>
    <w:p w14:paraId="78404DAB">
      <w:pPr>
        <w:spacing w:line="400" w:lineRule="exact"/>
        <w:ind w:firstLine="420" w:firstLineChars="200"/>
        <w:rPr>
          <w:rFonts w:hint="default"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10.6.7 交易中心服务费：按辽发改价格 (2023) 128 号规定执行。由中标人向营口市建设工程交易服务中心有限公司全额缴纳，此项费用不得在投标报价中单列。</w:t>
      </w:r>
      <w:r>
        <w:rPr>
          <w:rFonts w:hint="default" w:ascii="Times New Roman" w:hAnsi="Times New Roman" w:eastAsia="宋体" w:cs="Times New Roman"/>
          <w:color w:val="0000FF"/>
          <w:szCs w:val="21"/>
          <w:highlight w:val="none"/>
        </w:rPr>
        <w:t xml:space="preserve">               </w:t>
      </w:r>
    </w:p>
    <w:p w14:paraId="0B0C9FFC">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 xml:space="preserve">8 付款方式：1）无预付款；          </w:t>
      </w:r>
    </w:p>
    <w:p w14:paraId="2759A8D3">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2）工程进度款：按施工进度付款，已完</w:t>
      </w:r>
      <w:r>
        <w:rPr>
          <w:rFonts w:hint="eastAsia" w:ascii="Times New Roman" w:hAnsi="Times New Roman" w:eastAsia="宋体" w:cs="Times New Roman"/>
          <w:color w:val="0000FF"/>
          <w:szCs w:val="21"/>
          <w:highlight w:val="none"/>
          <w:lang w:val="en-US" w:eastAsia="zh-CN"/>
        </w:rPr>
        <w:t>工程</w:t>
      </w:r>
      <w:r>
        <w:rPr>
          <w:rFonts w:hint="eastAsia" w:ascii="Times New Roman" w:hAnsi="Times New Roman" w:eastAsia="宋体" w:cs="Times New Roman"/>
          <w:color w:val="0000FF"/>
          <w:szCs w:val="21"/>
          <w:highlight w:val="none"/>
          <w:lang w:val="en-US" w:eastAsia="zh-CN"/>
        </w:rPr>
        <w:t xml:space="preserve">造价完成审核后，支付不低于60%（不高于85%）的工程价款；           </w:t>
      </w:r>
    </w:p>
    <w:p w14:paraId="735B5196">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3）工程结算款：本工程竣工验收合格后，并最终由财政部门审定的工程结算值作为最终结算价款，招标人付款至最终结算价款的97%，其余3%作为质保金，待缺陷责任期满后无息支付质保金。 </w:t>
      </w:r>
      <w:r>
        <w:rPr>
          <w:rFonts w:hint="eastAsia" w:ascii="Times New Roman" w:hAnsi="Times New Roman" w:eastAsia="宋体" w:cs="Times New Roman"/>
          <w:color w:val="0000FF"/>
          <w:szCs w:val="21"/>
          <w:highlight w:val="none"/>
          <w:lang w:val="en-US" w:eastAsia="zh-CN"/>
        </w:rPr>
        <w:t xml:space="preserve"> </w:t>
      </w:r>
    </w:p>
    <w:p w14:paraId="4EE523DE">
      <w:pPr>
        <w:spacing w:line="400" w:lineRule="exact"/>
        <w:ind w:firstLine="420" w:firstLineChars="200"/>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10.6.9 本工程设有最高投标限价，最高投标限价为XXXXX万元，投标报价高于“最高投标限价”的按无效投标处理。</w:t>
      </w:r>
    </w:p>
    <w:p w14:paraId="4EC395A8">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注：招标人付款前，中标人应为招标</w:t>
      </w:r>
      <w:r>
        <w:rPr>
          <w:rFonts w:hint="eastAsia" w:ascii="Times New Roman" w:hAnsi="Times New Roman" w:eastAsia="宋体" w:cs="Times New Roman"/>
          <w:color w:val="0000FF"/>
          <w:szCs w:val="21"/>
          <w:highlight w:val="none"/>
          <w:lang w:val="en-US" w:eastAsia="zh-CN"/>
        </w:rPr>
        <w:t>人开具合法有效的增值税专用发票，否则招标人有权拒绝付款，由此产生的一切后果由中标人负全责，造成招标人损失的，中标人应负责赔偿。</w:t>
      </w:r>
    </w:p>
    <w:p w14:paraId="64AE4FA8">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10.6.10 细微偏差修正 </w:t>
      </w:r>
    </w:p>
    <w:p w14:paraId="07089D98">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1）细微偏差是指经评标委员会确认的符合性投标文件虽然实质上响应了招标文件要求，但个别地方存在遗漏或者提供了不完整的技术信息及数据，并且修正这些遗漏或者不完整不会更改投标文件的实质性内容，不会对其他投标人造成不公平结果。细微偏差不影响投标文件的有效性。 </w:t>
      </w:r>
    </w:p>
    <w:p w14:paraId="54A1F2D6">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（2）经评标委员会确认存在细微偏差的投标文件，评标委员会可以于评标结果宣布之前要求投标人对投标文件中存在的细微偏差进行修正，投标人不得拒绝。 </w:t>
      </w:r>
    </w:p>
    <w:p w14:paraId="3CB05E91">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（3）经评标委员会确认为有效的投标文件，若存在个别计算或累计方面的算术错误可视为投标文件存在细微偏差并按照以下原则进行修正： </w:t>
      </w:r>
    </w:p>
    <w:p w14:paraId="212255F5">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①投标文件中的大写金额与小写金额不一致的，以大写金额为准修正。 </w:t>
      </w:r>
    </w:p>
    <w:p w14:paraId="2FD3CA1D">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②单价金额和工程量乘积与合价金额不一致的，通常以单价金额为准修正。评标委员会认为单价金额小数点有明显错位的，应以合价为准，并修正单价。 </w:t>
      </w:r>
    </w:p>
    <w:p w14:paraId="5B69CF72">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③分项报价金额累计与投标总价金额不一致时，通常以分项报价金额累计为准。除非评标委员会认为分项报价金额小数点有明显错位的，应以投标总价为准，并修正分项报价。 </w:t>
      </w:r>
    </w:p>
    <w:p w14:paraId="35DE33D5">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 xml:space="preserve">（4）按照上述修正调整后的投标报价经投标人代表签字确认后有效。 </w:t>
      </w:r>
    </w:p>
    <w:p w14:paraId="05CD52D1">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（5）投标报价单位精确到“元”，评标有效分值精确到小数点后两位数值（招标人有特定要求的除外）小数点后超过两位的数值按4舍5入进位。</w:t>
      </w:r>
    </w:p>
    <w:p w14:paraId="493F3BAC">
      <w:pPr>
        <w:spacing w:line="400" w:lineRule="exact"/>
        <w:ind w:firstLine="420" w:firstLineChars="200"/>
        <w:rPr>
          <w:rFonts w:hint="eastAsia"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lang w:val="en-US" w:eastAsia="zh-CN"/>
        </w:rPr>
        <w:t>10.6.11 工程开工后中标单位的项目管理人员必须坚守岗位，严格管理，不得擅自更换。如未经建设单位、项目管理单位和项目总监批准，项目管理人员不得擅自更换或离岗。</w:t>
      </w:r>
    </w:p>
    <w:p w14:paraId="695FE456">
      <w:pPr>
        <w:spacing w:line="400" w:lineRule="exact"/>
        <w:ind w:firstLine="420" w:firstLineChars="200"/>
        <w:rPr>
          <w:rFonts w:hint="default"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 xml:space="preserve">10.6.12 </w:t>
      </w:r>
      <w:r>
        <w:rPr>
          <w:rFonts w:hint="default" w:ascii="Times New Roman" w:hAnsi="Times New Roman" w:eastAsia="宋体" w:cs="Times New Roman"/>
          <w:color w:val="0000FF"/>
          <w:szCs w:val="21"/>
          <w:highlight w:val="none"/>
        </w:rPr>
        <w:t>招标人发出的招标文件工程量清单内容和格式不许增加和修改，投标人确认工程量清单存在的缺项、漏项、计算误差或认为施工图纸存在不明确、不一致时，应至少在投标截止日之前</w:t>
      </w:r>
      <w:r>
        <w:rPr>
          <w:rFonts w:hint="eastAsia" w:ascii="Times New Roman" w:hAnsi="Times New Roman" w:eastAsia="宋体" w:cs="Times New Roman"/>
          <w:color w:val="0000FF"/>
          <w:szCs w:val="21"/>
          <w:highlight w:val="none"/>
          <w:lang w:val="en-US" w:eastAsia="zh-CN"/>
        </w:rPr>
        <w:t>10</w:t>
      </w:r>
      <w:r>
        <w:rPr>
          <w:rFonts w:hint="default" w:ascii="Times New Roman" w:hAnsi="Times New Roman" w:eastAsia="宋体" w:cs="Times New Roman"/>
          <w:color w:val="0000FF"/>
          <w:szCs w:val="21"/>
          <w:highlight w:val="none"/>
        </w:rPr>
        <w:t xml:space="preserve">天，以书面方式向招标人提出。投标人未在规定的时间内向招标人提出异议，则视为投标人已认可该工程量清单包含了设计文件全部内容。投标人提出清单工程量修正意见而招标人未采纳时，投标人应自行考虑由此引起的报价风险。投标人在报价中未计算此类风险的，责任由投标人承担。                    </w:t>
      </w:r>
    </w:p>
    <w:p w14:paraId="178DC775">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13 凡有在建施工项目的项目经理不得参与本工程投标。涉嫌串标、陪标、围标的，经纪检监察部门认定后，按废标处理。一旦发现投标文件中资料弄虚作假并经查实的，不得中标，按废标处理。</w:t>
      </w:r>
      <w:r>
        <w:rPr>
          <w:rFonts w:hint="default" w:ascii="Times New Roman" w:hAnsi="Times New Roman" w:eastAsia="宋体" w:cs="Times New Roman"/>
          <w:color w:val="0000FF"/>
          <w:szCs w:val="21"/>
          <w:highlight w:val="none"/>
        </w:rPr>
        <w:t xml:space="preserve">                    </w:t>
      </w:r>
    </w:p>
    <w:p w14:paraId="79AF5545">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6.14 建造师电子注册证书超出使用时限的无效，需重新下载电子证书并再次确认使用时限。一级建造师打印电子证书后，应在个人签名处手写本人签名，未手写签名或与签名图像笔迹不一致的，该电子证书无效。</w:t>
      </w:r>
      <w:r>
        <w:rPr>
          <w:rFonts w:hint="default" w:ascii="Times New Roman" w:hAnsi="Times New Roman" w:eastAsia="宋体" w:cs="Times New Roman"/>
          <w:color w:val="0000FF"/>
          <w:szCs w:val="21"/>
          <w:highlight w:val="none"/>
        </w:rPr>
        <w:t xml:space="preserve">                   </w:t>
      </w:r>
    </w:p>
    <w:p w14:paraId="0C49D1BA">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.1</w:t>
      </w:r>
      <w:r>
        <w:rPr>
          <w:rFonts w:hint="eastAsia" w:ascii="Times New Roman" w:hAnsi="Times New Roman" w:eastAsia="宋体" w:cs="Times New Roman"/>
          <w:color w:val="0000FF"/>
          <w:szCs w:val="21"/>
          <w:highlight w:val="none"/>
          <w:lang w:val="en-US" w:eastAsia="zh-CN"/>
        </w:rPr>
        <w:t xml:space="preserve">5 </w:t>
      </w:r>
      <w:r>
        <w:rPr>
          <w:rFonts w:hint="default" w:ascii="Times New Roman" w:hAnsi="Times New Roman" w:eastAsia="宋体" w:cs="Times New Roman"/>
          <w:color w:val="0000FF"/>
          <w:szCs w:val="21"/>
          <w:highlight w:val="none"/>
        </w:rPr>
        <w:t>对参加网上开标的投标人及其授权委托代理人的要求</w:t>
      </w:r>
      <w:r>
        <w:rPr>
          <w:rFonts w:hint="eastAsia" w:ascii="Times New Roman" w:hAnsi="Times New Roman" w:eastAsia="宋体" w:cs="Times New Roman"/>
          <w:color w:val="0000FF"/>
          <w:szCs w:val="21"/>
          <w:highlight w:val="none"/>
          <w:lang w:eastAsia="zh-CN"/>
        </w:rPr>
        <w:t>：</w:t>
      </w:r>
      <w:r>
        <w:rPr>
          <w:rFonts w:hint="default" w:ascii="Times New Roman" w:hAnsi="Times New Roman" w:eastAsia="宋体" w:cs="Times New Roman"/>
          <w:color w:val="0000FF"/>
          <w:szCs w:val="21"/>
          <w:highlight w:val="none"/>
        </w:rPr>
        <w:t xml:space="preserve">投标人的授权委托代理人自递交投标文件截止时间至开标结束，不得擅离网上开标大厅， 由于离开网上开标大厅造成投标文件没有解密等问题，其责任自负，视为放弃投标和提出异议和投诉等权力。 （招标文件中如有与此不一致的，以此为准）                                      </w:t>
      </w:r>
    </w:p>
    <w:p w14:paraId="7E225ED4">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.1</w:t>
      </w:r>
      <w:r>
        <w:rPr>
          <w:rFonts w:hint="eastAsia" w:ascii="Times New Roman" w:hAnsi="Times New Roman" w:eastAsia="宋体" w:cs="Times New Roman"/>
          <w:color w:val="0000FF"/>
          <w:szCs w:val="21"/>
          <w:highlight w:val="none"/>
          <w:lang w:val="en-US" w:eastAsia="zh-CN"/>
        </w:rPr>
        <w:t xml:space="preserve">6 </w:t>
      </w:r>
      <w:r>
        <w:rPr>
          <w:rFonts w:hint="default" w:ascii="Times New Roman" w:hAnsi="Times New Roman" w:eastAsia="宋体" w:cs="Times New Roman"/>
          <w:color w:val="0000FF"/>
          <w:szCs w:val="21"/>
          <w:highlight w:val="none"/>
        </w:rPr>
        <w:t xml:space="preserve">中标人须负责办理施工相关手续，办理相关手续产生的费用各投标人须综合考虑在报价中，一旦中标，招标人不再另行支付任何费用。                     </w:t>
      </w:r>
    </w:p>
    <w:p w14:paraId="20C61195">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.1</w:t>
      </w:r>
      <w:r>
        <w:rPr>
          <w:rFonts w:hint="eastAsia" w:ascii="Times New Roman" w:hAnsi="Times New Roman" w:eastAsia="宋体" w:cs="Times New Roman"/>
          <w:color w:val="0000FF"/>
          <w:szCs w:val="21"/>
          <w:highlight w:val="none"/>
          <w:lang w:val="en-US" w:eastAsia="zh-CN"/>
        </w:rPr>
        <w:t xml:space="preserve">7 </w:t>
      </w:r>
      <w:r>
        <w:rPr>
          <w:rFonts w:hint="default" w:ascii="Times New Roman" w:hAnsi="Times New Roman" w:eastAsia="宋体" w:cs="Times New Roman"/>
          <w:color w:val="0000FF"/>
          <w:szCs w:val="21"/>
          <w:highlight w:val="none"/>
        </w:rPr>
        <w:t xml:space="preserve">在施工过程中，工程内容涉及到周边施工的，中标人须准备安全防护方案并通过专家评审。                 </w:t>
      </w:r>
    </w:p>
    <w:p w14:paraId="7F8480E0">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.1</w:t>
      </w:r>
      <w:r>
        <w:rPr>
          <w:rFonts w:hint="eastAsia" w:ascii="Times New Roman" w:hAnsi="Times New Roman" w:eastAsia="宋体" w:cs="Times New Roman"/>
          <w:color w:val="0000FF"/>
          <w:szCs w:val="21"/>
          <w:highlight w:val="none"/>
          <w:lang w:val="en-US" w:eastAsia="zh-CN"/>
        </w:rPr>
        <w:t xml:space="preserve">8 </w:t>
      </w:r>
      <w:r>
        <w:rPr>
          <w:rFonts w:hint="default" w:ascii="Times New Roman" w:hAnsi="Times New Roman" w:eastAsia="宋体" w:cs="Times New Roman"/>
          <w:color w:val="0000FF"/>
          <w:szCs w:val="21"/>
          <w:highlight w:val="none"/>
        </w:rPr>
        <w:t xml:space="preserve">本招标文件范本中与现行规定不符的，按现行规定执行。     </w:t>
      </w:r>
    </w:p>
    <w:p w14:paraId="4B5AC8FE">
      <w:pPr>
        <w:spacing w:line="400" w:lineRule="exact"/>
        <w:ind w:firstLine="420" w:firstLineChars="200"/>
        <w:rPr>
          <w:rFonts w:hint="default" w:ascii="Times New Roman" w:hAnsi="Times New Roman" w:eastAsia="宋体" w:cs="Times New Roman"/>
          <w:color w:val="0000FF"/>
          <w:szCs w:val="21"/>
          <w:highlight w:val="none"/>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.1</w:t>
      </w:r>
      <w:r>
        <w:rPr>
          <w:rFonts w:hint="eastAsia" w:ascii="Times New Roman" w:hAnsi="Times New Roman" w:eastAsia="宋体" w:cs="Times New Roman"/>
          <w:color w:val="0000FF"/>
          <w:szCs w:val="21"/>
          <w:highlight w:val="none"/>
          <w:lang w:val="en-US" w:eastAsia="zh-CN"/>
        </w:rPr>
        <w:t>9 投标人必须保证投标投标文件内容无任何虚假。若查出有虚假情形，将做无效投标文件处理并被没收投标保证金，若中标之后查出有虚假，将废除中标资格、没收投标保证金，并接受招投标行政管理部门依法进行的严厉处罚。投标人提供的业绩资料请加附证明人及联系方式、查询网址等项目真实性证明。</w:t>
      </w:r>
      <w:r>
        <w:rPr>
          <w:rFonts w:hint="default" w:ascii="Times New Roman" w:hAnsi="Times New Roman" w:eastAsia="宋体" w:cs="Times New Roman"/>
          <w:color w:val="0000FF"/>
          <w:szCs w:val="21"/>
          <w:highlight w:val="none"/>
        </w:rPr>
        <w:t xml:space="preserve">             </w:t>
      </w:r>
    </w:p>
    <w:p w14:paraId="4ACC3AF6">
      <w:pPr>
        <w:spacing w:line="400" w:lineRule="exact"/>
        <w:ind w:firstLine="420" w:firstLineChars="200"/>
        <w:rPr>
          <w:color w:val="0000FF"/>
          <w:highlight w:val="none"/>
          <w:shd w:val="clear" w:color="auto" w:fill="FFFFFF"/>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 投标人应按月支付农民工工资，</w:t>
      </w:r>
      <w:r>
        <w:rPr>
          <w:color w:val="0000FF"/>
          <w:highlight w:val="none"/>
          <w:shd w:val="clear" w:color="auto" w:fill="FFFFFF"/>
        </w:rPr>
        <w:t>落实执行</w:t>
      </w:r>
      <w:r>
        <w:rPr>
          <w:rFonts w:hint="eastAsia"/>
          <w:color w:val="0000FF"/>
          <w:highlight w:val="none"/>
          <w:shd w:val="clear" w:color="auto" w:fill="FFFFFF"/>
          <w:lang w:val="en-US" w:eastAsia="zh-CN"/>
        </w:rPr>
        <w:t>国家及所属区域相关管理</w:t>
      </w:r>
      <w:r>
        <w:rPr>
          <w:color w:val="0000FF"/>
          <w:highlight w:val="none"/>
          <w:shd w:val="clear" w:color="auto" w:fill="FFFFFF"/>
        </w:rPr>
        <w:t xml:space="preserve">规定。 </w:t>
      </w:r>
    </w:p>
    <w:p w14:paraId="57375F02">
      <w:pPr>
        <w:spacing w:line="400" w:lineRule="exact"/>
        <w:ind w:firstLine="420" w:firstLineChars="200"/>
        <w:rPr>
          <w:rFonts w:hint="eastAsia"/>
          <w:color w:val="0000FF"/>
          <w:highlight w:val="none"/>
          <w:shd w:val="clear" w:color="auto" w:fill="FFFFFF"/>
          <w:lang w:val="en-US" w:eastAsia="zh-CN"/>
        </w:rPr>
      </w:pPr>
      <w:r>
        <w:rPr>
          <w:rFonts w:hint="default" w:ascii="Times New Roman" w:hAnsi="Times New Roman" w:eastAsia="宋体" w:cs="Times New Roman"/>
          <w:color w:val="0000FF"/>
          <w:szCs w:val="21"/>
          <w:highlight w:val="none"/>
        </w:rPr>
        <w:t>10.</w:t>
      </w:r>
      <w:r>
        <w:rPr>
          <w:rFonts w:hint="eastAsia" w:ascii="Times New Roman" w:hAnsi="Times New Roman" w:eastAsia="宋体" w:cs="Times New Roman"/>
          <w:color w:val="0000FF"/>
          <w:szCs w:val="21"/>
          <w:highlight w:val="none"/>
          <w:lang w:val="en-US" w:eastAsia="zh-CN"/>
        </w:rPr>
        <w:t>6</w:t>
      </w:r>
      <w:r>
        <w:rPr>
          <w:rFonts w:hint="default"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21投标人须按</w:t>
      </w:r>
      <w:r>
        <w:rPr>
          <w:rFonts w:hint="eastAsia"/>
          <w:color w:val="0000FF"/>
          <w:highlight w:val="none"/>
          <w:shd w:val="clear" w:color="auto" w:fill="FFFFFF"/>
        </w:rPr>
        <w:t>绩效目标</w:t>
      </w:r>
      <w:r>
        <w:rPr>
          <w:rFonts w:hint="eastAsia"/>
          <w:color w:val="0000FF"/>
          <w:highlight w:val="none"/>
          <w:shd w:val="clear" w:color="auto" w:fill="FFFFFF"/>
          <w:lang w:val="en-US" w:eastAsia="zh-CN"/>
        </w:rPr>
        <w:t>时间节点完成对应指标值，否则投标人须无条件接受招标人的处罚并承担相应责任。</w:t>
      </w:r>
    </w:p>
    <w:p w14:paraId="086D4C66">
      <w:pPr>
        <w:spacing w:line="400" w:lineRule="exact"/>
        <w:ind w:firstLine="420" w:firstLineChars="200"/>
        <w:rPr>
          <w:rFonts w:hint="default" w:ascii="Times New Roman" w:hAnsi="Times New Roman" w:eastAsia="宋体" w:cs="Times New Roman"/>
          <w:color w:val="0000FF"/>
          <w:highlight w:val="none"/>
          <w:shd w:val="clear" w:color="auto" w:fill="FFFFFF"/>
          <w:lang w:val="en-US" w:eastAsia="zh-CN"/>
        </w:rPr>
      </w:pPr>
      <w:r>
        <w:rPr>
          <w:rFonts w:hint="default" w:ascii="Times New Roman" w:hAnsi="Times New Roman" w:eastAsia="宋体" w:cs="Times New Roman"/>
          <w:color w:val="0000FF"/>
          <w:highlight w:val="none"/>
          <w:shd w:val="clear" w:color="auto" w:fill="FFFFFF"/>
          <w:lang w:val="en-US" w:eastAsia="zh-CN"/>
        </w:rPr>
        <w:t>10.</w:t>
      </w:r>
      <w:r>
        <w:rPr>
          <w:rFonts w:hint="eastAsia" w:ascii="Times New Roman" w:hAnsi="Times New Roman" w:eastAsia="宋体" w:cs="Times New Roman"/>
          <w:color w:val="0000FF"/>
          <w:highlight w:val="none"/>
          <w:shd w:val="clear" w:color="auto" w:fill="FFFFFF"/>
          <w:lang w:val="en-US" w:eastAsia="zh-CN"/>
        </w:rPr>
        <w:t>6</w:t>
      </w:r>
      <w:r>
        <w:rPr>
          <w:rFonts w:hint="default" w:ascii="Times New Roman" w:hAnsi="Times New Roman" w:eastAsia="宋体" w:cs="Times New Roman"/>
          <w:color w:val="0000FF"/>
          <w:highlight w:val="none"/>
          <w:shd w:val="clear" w:color="auto" w:fill="FFFFFF"/>
          <w:lang w:val="en-US" w:eastAsia="zh-CN"/>
        </w:rPr>
        <w:t>.</w:t>
      </w:r>
      <w:r>
        <w:rPr>
          <w:rFonts w:hint="eastAsia" w:ascii="Times New Roman" w:hAnsi="Times New Roman" w:eastAsia="宋体" w:cs="Times New Roman"/>
          <w:color w:val="0000FF"/>
          <w:highlight w:val="none"/>
          <w:shd w:val="clear" w:color="auto" w:fill="FFFFFF"/>
          <w:lang w:val="en-US" w:eastAsia="zh-CN"/>
        </w:rPr>
        <w:t>22</w:t>
      </w:r>
      <w:r>
        <w:rPr>
          <w:rFonts w:hint="default" w:ascii="Times New Roman" w:hAnsi="Times New Roman" w:eastAsia="宋体" w:cs="Times New Roman"/>
          <w:color w:val="0000FF"/>
          <w:highlight w:val="none"/>
          <w:shd w:val="clear" w:color="auto" w:fill="FFFFFF"/>
          <w:lang w:val="en-US" w:eastAsia="zh-CN"/>
        </w:rPr>
        <w:t>浒苔清理应根据监测情况多方会商确定具体实施方案。</w:t>
      </w:r>
    </w:p>
    <w:p w14:paraId="4E0DDE92">
      <w:pPr>
        <w:spacing w:line="400" w:lineRule="exact"/>
        <w:ind w:firstLine="420" w:firstLineChars="200"/>
        <w:rPr>
          <w:rFonts w:hint="eastAsia"/>
          <w:highlight w:val="none"/>
        </w:rPr>
      </w:pPr>
    </w:p>
    <w:p w14:paraId="75923975">
      <w:pPr>
        <w:spacing w:line="440" w:lineRule="exact"/>
        <w:rPr>
          <w:rFonts w:hint="eastAsia"/>
          <w:szCs w:val="21"/>
          <w:highlight w:val="none"/>
        </w:rPr>
      </w:pPr>
      <w:r>
        <w:rPr>
          <w:highlight w:val="none"/>
        </w:rPr>
        <w:br w:type="page"/>
      </w:r>
    </w:p>
    <w:p w14:paraId="27E4D00E">
      <w:pPr>
        <w:pStyle w:val="45"/>
        <w:outlineLvl w:val="1"/>
        <w:rPr>
          <w:highlight w:val="none"/>
        </w:rPr>
      </w:pPr>
      <w:bookmarkStart w:id="276" w:name="_Toc152042359"/>
      <w:bookmarkStart w:id="277" w:name="_Toc144974549"/>
      <w:bookmarkStart w:id="278" w:name="_Toc152045582"/>
      <w:bookmarkStart w:id="279" w:name="_Toc29162"/>
      <w:r>
        <w:rPr>
          <w:highlight w:val="none"/>
        </w:rPr>
        <w:t>附表</w:t>
      </w:r>
      <w:r>
        <w:rPr>
          <w:rFonts w:hint="eastAsia"/>
          <w:highlight w:val="none"/>
          <w:lang w:val="en-US" w:eastAsia="zh-CN"/>
        </w:rPr>
        <w:t>一</w:t>
      </w:r>
      <w:r>
        <w:rPr>
          <w:highlight w:val="none"/>
        </w:rPr>
        <w:t>：问题澄清通知</w:t>
      </w:r>
      <w:bookmarkEnd w:id="276"/>
      <w:bookmarkEnd w:id="277"/>
      <w:bookmarkEnd w:id="278"/>
      <w:bookmarkEnd w:id="279"/>
    </w:p>
    <w:p w14:paraId="4096440A">
      <w:pPr>
        <w:spacing w:line="440" w:lineRule="exact"/>
        <w:jc w:val="center"/>
        <w:rPr>
          <w:szCs w:val="21"/>
          <w:highlight w:val="none"/>
        </w:rPr>
      </w:pPr>
    </w:p>
    <w:p w14:paraId="2CB9585D">
      <w:pPr>
        <w:spacing w:line="440" w:lineRule="exact"/>
        <w:jc w:val="center"/>
        <w:rPr>
          <w:rFonts w:eastAsia="黑体"/>
          <w:sz w:val="28"/>
          <w:szCs w:val="28"/>
          <w:highlight w:val="none"/>
        </w:rPr>
      </w:pPr>
      <w:r>
        <w:rPr>
          <w:rFonts w:eastAsia="黑体"/>
          <w:sz w:val="28"/>
          <w:szCs w:val="28"/>
          <w:highlight w:val="none"/>
        </w:rPr>
        <w:t>问题澄清通知</w:t>
      </w:r>
    </w:p>
    <w:p w14:paraId="66D59E6D">
      <w:pPr>
        <w:spacing w:line="440" w:lineRule="exact"/>
        <w:rPr>
          <w:szCs w:val="21"/>
          <w:highlight w:val="none"/>
        </w:rPr>
      </w:pPr>
      <w:r>
        <w:rPr>
          <w:szCs w:val="21"/>
          <w:highlight w:val="none"/>
        </w:rPr>
        <w:t xml:space="preserve">                               </w:t>
      </w:r>
      <w:r>
        <w:rPr>
          <w:rFonts w:hint="eastAsia"/>
          <w:szCs w:val="21"/>
          <w:highlight w:val="none"/>
        </w:rPr>
        <w:t xml:space="preserve"> </w:t>
      </w:r>
      <w:r>
        <w:rPr>
          <w:szCs w:val="21"/>
          <w:highlight w:val="none"/>
        </w:rPr>
        <w:t>编号：</w:t>
      </w:r>
    </w:p>
    <w:p w14:paraId="47AEE773">
      <w:pPr>
        <w:spacing w:line="440" w:lineRule="exact"/>
        <w:rPr>
          <w:szCs w:val="21"/>
          <w:highlight w:val="none"/>
        </w:rPr>
      </w:pPr>
    </w:p>
    <w:p w14:paraId="011C1F21">
      <w:pPr>
        <w:spacing w:line="440" w:lineRule="exact"/>
        <w:rPr>
          <w:szCs w:val="21"/>
          <w:highlight w:val="none"/>
        </w:rPr>
      </w:pPr>
      <w:r>
        <w:rPr>
          <w:szCs w:val="21"/>
          <w:highlight w:val="none"/>
        </w:rPr>
        <w:t xml:space="preserve">  </w:t>
      </w:r>
      <w:r>
        <w:rPr>
          <w:szCs w:val="21"/>
          <w:highlight w:val="none"/>
          <w:u w:val="single"/>
        </w:rPr>
        <w:t xml:space="preserve">            </w:t>
      </w:r>
      <w:r>
        <w:rPr>
          <w:szCs w:val="21"/>
          <w:highlight w:val="none"/>
        </w:rPr>
        <w:t>（投标人名称）：</w:t>
      </w:r>
    </w:p>
    <w:p w14:paraId="4077D7AA">
      <w:pPr>
        <w:spacing w:line="440" w:lineRule="exact"/>
        <w:rPr>
          <w:szCs w:val="21"/>
          <w:highlight w:val="none"/>
        </w:rPr>
      </w:pPr>
    </w:p>
    <w:p w14:paraId="443E7814">
      <w:pPr>
        <w:spacing w:line="440" w:lineRule="exact"/>
        <w:rPr>
          <w:szCs w:val="21"/>
          <w:highlight w:val="none"/>
        </w:rPr>
      </w:pPr>
      <w:r>
        <w:rPr>
          <w:szCs w:val="21"/>
          <w:highlight w:val="none"/>
        </w:rPr>
        <w:t xml:space="preserve">　　  </w:t>
      </w:r>
      <w:r>
        <w:rPr>
          <w:szCs w:val="21"/>
          <w:highlight w:val="none"/>
          <w:u w:val="single"/>
        </w:rPr>
        <w:t xml:space="preserve">　             </w:t>
      </w:r>
      <w:r>
        <w:rPr>
          <w:szCs w:val="21"/>
          <w:highlight w:val="none"/>
        </w:rPr>
        <w:t xml:space="preserve"> （项目名称）</w:t>
      </w:r>
      <w:r>
        <w:rPr>
          <w:szCs w:val="21"/>
          <w:highlight w:val="none"/>
          <w:u w:val="single"/>
        </w:rPr>
        <w:t xml:space="preserve">        </w:t>
      </w:r>
      <w:r>
        <w:rPr>
          <w:szCs w:val="21"/>
          <w:highlight w:val="none"/>
        </w:rPr>
        <w:t>标段施工招标的评标委员会，对你方的投标文件进行了仔细的审查，现需你方对下列问题以书面形式予以澄清：</w:t>
      </w:r>
    </w:p>
    <w:p w14:paraId="513C194A">
      <w:pPr>
        <w:spacing w:line="440" w:lineRule="exact"/>
        <w:rPr>
          <w:szCs w:val="21"/>
          <w:highlight w:val="none"/>
        </w:rPr>
      </w:pPr>
      <w:r>
        <w:rPr>
          <w:szCs w:val="21"/>
          <w:highlight w:val="none"/>
        </w:rPr>
        <w:t>　　</w:t>
      </w:r>
    </w:p>
    <w:p w14:paraId="7B0381F2">
      <w:pPr>
        <w:spacing w:line="440" w:lineRule="exact"/>
        <w:rPr>
          <w:szCs w:val="21"/>
          <w:highlight w:val="none"/>
        </w:rPr>
      </w:pPr>
      <w:r>
        <w:rPr>
          <w:szCs w:val="21"/>
          <w:highlight w:val="none"/>
        </w:rPr>
        <w:t xml:space="preserve">    1.</w:t>
      </w:r>
    </w:p>
    <w:p w14:paraId="74E331CB">
      <w:pPr>
        <w:spacing w:line="440" w:lineRule="exact"/>
        <w:rPr>
          <w:szCs w:val="21"/>
          <w:highlight w:val="none"/>
        </w:rPr>
      </w:pPr>
      <w:r>
        <w:rPr>
          <w:szCs w:val="21"/>
          <w:highlight w:val="none"/>
        </w:rPr>
        <w:t xml:space="preserve">    2.</w:t>
      </w:r>
    </w:p>
    <w:p w14:paraId="68BF50FE">
      <w:pPr>
        <w:spacing w:line="440" w:lineRule="exact"/>
        <w:rPr>
          <w:szCs w:val="21"/>
          <w:highlight w:val="none"/>
        </w:rPr>
      </w:pPr>
      <w:r>
        <w:rPr>
          <w:szCs w:val="21"/>
          <w:highlight w:val="none"/>
        </w:rPr>
        <w:t xml:space="preserve">     ......   </w:t>
      </w:r>
    </w:p>
    <w:p w14:paraId="16E46DCE">
      <w:pPr>
        <w:spacing w:line="440" w:lineRule="exact"/>
        <w:rPr>
          <w:szCs w:val="21"/>
          <w:highlight w:val="none"/>
        </w:rPr>
      </w:pPr>
      <w:r>
        <w:rPr>
          <w:szCs w:val="21"/>
          <w:highlight w:val="none"/>
        </w:rPr>
        <w:t>　　　</w:t>
      </w:r>
    </w:p>
    <w:p w14:paraId="7B1B1219">
      <w:pPr>
        <w:spacing w:line="440" w:lineRule="exact"/>
        <w:rPr>
          <w:rFonts w:hint="eastAsia"/>
          <w:szCs w:val="21"/>
          <w:highlight w:val="none"/>
        </w:rPr>
      </w:pPr>
      <w:r>
        <w:rPr>
          <w:szCs w:val="21"/>
          <w:highlight w:val="none"/>
        </w:rPr>
        <w:t>　　请将上述问题的澄清于</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rPr>
        <w:t xml:space="preserve">  </w:t>
      </w:r>
      <w:r>
        <w:rPr>
          <w:szCs w:val="21"/>
          <w:highlight w:val="none"/>
        </w:rPr>
        <w:t>日</w:t>
      </w:r>
      <w:r>
        <w:rPr>
          <w:szCs w:val="21"/>
          <w:highlight w:val="none"/>
          <w:u w:val="single"/>
        </w:rPr>
        <w:t xml:space="preserve">   </w:t>
      </w:r>
      <w:r>
        <w:rPr>
          <w:rFonts w:hint="eastAsia"/>
          <w:szCs w:val="21"/>
          <w:highlight w:val="none"/>
          <w:u w:val="single"/>
        </w:rPr>
        <w:t xml:space="preserve">  </w:t>
      </w:r>
      <w:r>
        <w:rPr>
          <w:szCs w:val="21"/>
          <w:highlight w:val="none"/>
        </w:rPr>
        <w:t>时前递交至</w:t>
      </w:r>
      <w:r>
        <w:rPr>
          <w:szCs w:val="21"/>
          <w:highlight w:val="none"/>
          <w:u w:val="single"/>
        </w:rPr>
        <w:t xml:space="preserve">     </w:t>
      </w:r>
      <w:r>
        <w:rPr>
          <w:rFonts w:hint="eastAsia"/>
          <w:szCs w:val="21"/>
          <w:highlight w:val="none"/>
          <w:u w:val="single"/>
        </w:rPr>
        <w:t xml:space="preserve">    </w:t>
      </w:r>
      <w:r>
        <w:rPr>
          <w:szCs w:val="21"/>
          <w:highlight w:val="none"/>
        </w:rPr>
        <w:t>（详细地址）</w:t>
      </w:r>
      <w:r>
        <w:rPr>
          <w:rFonts w:hint="eastAsia"/>
          <w:szCs w:val="21"/>
          <w:highlight w:val="none"/>
        </w:rPr>
        <w:t>或</w:t>
      </w:r>
      <w:r>
        <w:rPr>
          <w:rFonts w:hint="eastAsia" w:ascii="宋体" w:hAnsi="宋体"/>
          <w:szCs w:val="21"/>
          <w:highlight w:val="none"/>
        </w:rPr>
        <w:t>传真至</w:t>
      </w:r>
      <w:r>
        <w:rPr>
          <w:rFonts w:hint="eastAsia" w:ascii="宋体" w:hAnsi="宋体"/>
          <w:szCs w:val="21"/>
          <w:highlight w:val="none"/>
          <w:u w:val="single"/>
        </w:rPr>
        <w:t xml:space="preserve">         </w:t>
      </w:r>
      <w:r>
        <w:rPr>
          <w:rFonts w:hint="eastAsia" w:ascii="宋体" w:hAnsi="宋体"/>
          <w:szCs w:val="21"/>
          <w:highlight w:val="none"/>
        </w:rPr>
        <w:t>（传真号码）。采用传真方式的，应在</w:t>
      </w:r>
      <w:r>
        <w:rPr>
          <w:szCs w:val="21"/>
          <w:highlight w:val="none"/>
          <w:u w:val="single"/>
        </w:rPr>
        <w:t xml:space="preserve">   </w:t>
      </w:r>
      <w:r>
        <w:rPr>
          <w:rFonts w:hint="eastAsia"/>
          <w:szCs w:val="21"/>
          <w:highlight w:val="none"/>
          <w:u w:val="single"/>
        </w:rPr>
        <w:t xml:space="preserve">  </w:t>
      </w:r>
      <w:r>
        <w:rPr>
          <w:rFonts w:ascii="宋体" w:hAnsi="宋体"/>
          <w:szCs w:val="21"/>
          <w:highlight w:val="none"/>
        </w:rPr>
        <w:t>年</w:t>
      </w:r>
      <w:r>
        <w:rPr>
          <w:szCs w:val="21"/>
          <w:highlight w:val="none"/>
          <w:u w:val="single"/>
        </w:rPr>
        <w:t xml:space="preserve">   </w:t>
      </w:r>
      <w:r>
        <w:rPr>
          <w:rFonts w:hint="eastAsia"/>
          <w:szCs w:val="21"/>
          <w:highlight w:val="none"/>
          <w:u w:val="single"/>
        </w:rPr>
        <w:t xml:space="preserve">  </w:t>
      </w:r>
      <w:r>
        <w:rPr>
          <w:rFonts w:ascii="宋体" w:hAnsi="宋体"/>
          <w:szCs w:val="21"/>
          <w:highlight w:val="none"/>
        </w:rPr>
        <w:t>月</w:t>
      </w:r>
      <w:r>
        <w:rPr>
          <w:szCs w:val="21"/>
          <w:highlight w:val="none"/>
          <w:u w:val="single"/>
        </w:rPr>
        <w:t xml:space="preserve">   </w:t>
      </w:r>
      <w:r>
        <w:rPr>
          <w:rFonts w:hint="eastAsia"/>
          <w:szCs w:val="21"/>
          <w:highlight w:val="none"/>
          <w:u w:val="single"/>
        </w:rPr>
        <w:t xml:space="preserve">  </w:t>
      </w:r>
      <w:r>
        <w:rPr>
          <w:rFonts w:ascii="宋体" w:hAnsi="宋体"/>
          <w:szCs w:val="21"/>
          <w:highlight w:val="none"/>
        </w:rPr>
        <w:t>日</w:t>
      </w:r>
      <w:r>
        <w:rPr>
          <w:szCs w:val="21"/>
          <w:highlight w:val="none"/>
          <w:u w:val="single"/>
        </w:rPr>
        <w:t xml:space="preserve">   </w:t>
      </w:r>
      <w:r>
        <w:rPr>
          <w:rFonts w:hint="eastAsia"/>
          <w:szCs w:val="21"/>
          <w:highlight w:val="none"/>
          <w:u w:val="single"/>
        </w:rPr>
        <w:t xml:space="preserve">  </w:t>
      </w:r>
      <w:r>
        <w:rPr>
          <w:rFonts w:hint="eastAsia" w:ascii="宋体" w:hAnsi="宋体"/>
          <w:szCs w:val="21"/>
          <w:highlight w:val="none"/>
        </w:rPr>
        <w:t>时前将原件递交至</w:t>
      </w:r>
      <w:r>
        <w:rPr>
          <w:szCs w:val="21"/>
          <w:highlight w:val="none"/>
          <w:u w:val="single"/>
        </w:rPr>
        <w:t xml:space="preserve">     </w:t>
      </w:r>
      <w:r>
        <w:rPr>
          <w:rFonts w:hint="eastAsia"/>
          <w:szCs w:val="21"/>
          <w:highlight w:val="none"/>
          <w:u w:val="single"/>
        </w:rPr>
        <w:t xml:space="preserve">    </w:t>
      </w:r>
      <w:r>
        <w:rPr>
          <w:szCs w:val="21"/>
          <w:highlight w:val="none"/>
        </w:rPr>
        <w:t>（详细地址）。</w:t>
      </w:r>
    </w:p>
    <w:p w14:paraId="25E60D9B">
      <w:pPr>
        <w:spacing w:line="440" w:lineRule="exact"/>
        <w:rPr>
          <w:szCs w:val="21"/>
          <w:highlight w:val="none"/>
        </w:rPr>
      </w:pPr>
    </w:p>
    <w:p w14:paraId="26CD2572">
      <w:pPr>
        <w:spacing w:line="440" w:lineRule="exact"/>
        <w:rPr>
          <w:szCs w:val="21"/>
          <w:highlight w:val="none"/>
        </w:rPr>
      </w:pPr>
    </w:p>
    <w:p w14:paraId="071AC80C">
      <w:pPr>
        <w:spacing w:line="440" w:lineRule="exact"/>
        <w:rPr>
          <w:rFonts w:hint="eastAsia"/>
          <w:szCs w:val="21"/>
          <w:highlight w:val="none"/>
        </w:rPr>
      </w:pPr>
      <w:r>
        <w:rPr>
          <w:szCs w:val="21"/>
          <w:highlight w:val="none"/>
        </w:rPr>
        <w:t xml:space="preserve">                               评标</w:t>
      </w:r>
      <w:r>
        <w:rPr>
          <w:rFonts w:hint="eastAsia"/>
          <w:szCs w:val="21"/>
          <w:highlight w:val="none"/>
        </w:rPr>
        <w:t>工作组负责人</w:t>
      </w:r>
      <w:r>
        <w:rPr>
          <w:szCs w:val="21"/>
          <w:highlight w:val="none"/>
        </w:rPr>
        <w:t>：</w:t>
      </w:r>
      <w:r>
        <w:rPr>
          <w:szCs w:val="21"/>
          <w:highlight w:val="none"/>
          <w:u w:val="single"/>
        </w:rPr>
        <w:t xml:space="preserve">           </w:t>
      </w:r>
      <w:r>
        <w:rPr>
          <w:szCs w:val="21"/>
          <w:highlight w:val="none"/>
        </w:rPr>
        <w:t>（签字）</w:t>
      </w:r>
    </w:p>
    <w:p w14:paraId="2E723B43">
      <w:pPr>
        <w:spacing w:line="440" w:lineRule="exact"/>
        <w:rPr>
          <w:szCs w:val="21"/>
          <w:highlight w:val="none"/>
        </w:rPr>
      </w:pPr>
      <w:r>
        <w:rPr>
          <w:rFonts w:hint="eastAsia"/>
          <w:szCs w:val="21"/>
          <w:highlight w:val="none"/>
        </w:rPr>
        <w:t xml:space="preserve">                                          </w:t>
      </w:r>
    </w:p>
    <w:p w14:paraId="2FD4D3BC">
      <w:pPr>
        <w:spacing w:line="440" w:lineRule="exact"/>
        <w:rPr>
          <w:szCs w:val="21"/>
          <w:highlight w:val="none"/>
        </w:rPr>
      </w:pPr>
      <w:r>
        <w:rPr>
          <w:szCs w:val="21"/>
          <w:highlight w:val="none"/>
        </w:rPr>
        <w:t xml:space="preserve">                                  </w:t>
      </w:r>
      <w:r>
        <w:rPr>
          <w:szCs w:val="21"/>
          <w:highlight w:val="none"/>
          <w:u w:val="single"/>
        </w:rPr>
        <w:t xml:space="preserve">        </w:t>
      </w:r>
      <w:r>
        <w:rPr>
          <w:szCs w:val="21"/>
          <w:highlight w:val="none"/>
        </w:rPr>
        <w:t xml:space="preserve"> 年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月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日</w:t>
      </w:r>
    </w:p>
    <w:p w14:paraId="5391773F">
      <w:pPr>
        <w:spacing w:line="400" w:lineRule="exact"/>
        <w:rPr>
          <w:highlight w:val="none"/>
        </w:rPr>
      </w:pPr>
    </w:p>
    <w:p w14:paraId="1B8BD6C2">
      <w:pPr>
        <w:spacing w:line="400" w:lineRule="exact"/>
        <w:rPr>
          <w:rFonts w:hint="eastAsia"/>
          <w:highlight w:val="none"/>
        </w:rPr>
      </w:pPr>
      <w:r>
        <w:rPr>
          <w:highlight w:val="none"/>
        </w:rPr>
        <w:br w:type="page"/>
      </w:r>
    </w:p>
    <w:p w14:paraId="6CE0B3DD">
      <w:pPr>
        <w:pStyle w:val="45"/>
        <w:outlineLvl w:val="1"/>
        <w:rPr>
          <w:rFonts w:hint="eastAsia"/>
          <w:highlight w:val="none"/>
        </w:rPr>
      </w:pPr>
      <w:bookmarkStart w:id="280" w:name="_Toc144974550"/>
      <w:bookmarkStart w:id="281" w:name="_Toc152042360"/>
      <w:bookmarkStart w:id="282" w:name="_Toc1044"/>
      <w:bookmarkStart w:id="283" w:name="_Toc152045583"/>
      <w:r>
        <w:rPr>
          <w:rFonts w:hint="eastAsia"/>
          <w:highlight w:val="none"/>
        </w:rPr>
        <w:t>附表</w:t>
      </w:r>
      <w:r>
        <w:rPr>
          <w:rFonts w:hint="eastAsia"/>
          <w:highlight w:val="none"/>
          <w:lang w:val="en-US" w:eastAsia="zh-CN"/>
        </w:rPr>
        <w:t>二</w:t>
      </w:r>
      <w:r>
        <w:rPr>
          <w:rFonts w:hint="eastAsia"/>
          <w:highlight w:val="none"/>
        </w:rPr>
        <w:t>：问题的澄清</w:t>
      </w:r>
      <w:bookmarkEnd w:id="280"/>
      <w:bookmarkEnd w:id="281"/>
      <w:bookmarkEnd w:id="282"/>
      <w:bookmarkEnd w:id="283"/>
    </w:p>
    <w:p w14:paraId="14D8BD29">
      <w:pPr>
        <w:spacing w:line="400" w:lineRule="exact"/>
        <w:jc w:val="center"/>
        <w:rPr>
          <w:rFonts w:hint="eastAsia" w:ascii="黑体" w:eastAsia="黑体"/>
          <w:sz w:val="28"/>
          <w:szCs w:val="28"/>
          <w:highlight w:val="none"/>
        </w:rPr>
      </w:pPr>
    </w:p>
    <w:p w14:paraId="61EF653B">
      <w:pPr>
        <w:spacing w:line="400" w:lineRule="exact"/>
        <w:jc w:val="center"/>
        <w:rPr>
          <w:rFonts w:hint="eastAsia" w:ascii="黑体" w:eastAsia="黑体"/>
          <w:sz w:val="28"/>
          <w:szCs w:val="28"/>
          <w:highlight w:val="none"/>
        </w:rPr>
      </w:pPr>
      <w:r>
        <w:rPr>
          <w:rFonts w:hint="eastAsia" w:ascii="黑体" w:eastAsia="黑体"/>
          <w:sz w:val="28"/>
          <w:szCs w:val="28"/>
          <w:highlight w:val="none"/>
        </w:rPr>
        <w:t>问题的澄清</w:t>
      </w:r>
    </w:p>
    <w:p w14:paraId="378DD659">
      <w:pPr>
        <w:spacing w:line="400" w:lineRule="exact"/>
        <w:ind w:firstLine="3465" w:firstLineChars="1650"/>
        <w:rPr>
          <w:rFonts w:hint="eastAsia"/>
          <w:highlight w:val="none"/>
        </w:rPr>
      </w:pPr>
      <w:r>
        <w:rPr>
          <w:rFonts w:hint="eastAsia"/>
          <w:highlight w:val="none"/>
        </w:rPr>
        <w:t xml:space="preserve">编号： </w:t>
      </w:r>
    </w:p>
    <w:p w14:paraId="42A8A8DA">
      <w:pPr>
        <w:spacing w:line="400" w:lineRule="exact"/>
        <w:rPr>
          <w:szCs w:val="21"/>
          <w:highlight w:val="none"/>
        </w:rPr>
      </w:pPr>
    </w:p>
    <w:p w14:paraId="14AE56EC">
      <w:pPr>
        <w:spacing w:line="440" w:lineRule="exact"/>
        <w:rPr>
          <w:szCs w:val="21"/>
          <w:highlight w:val="none"/>
        </w:rPr>
      </w:pPr>
      <w:r>
        <w:rPr>
          <w:szCs w:val="21"/>
          <w:highlight w:val="none"/>
          <w:u w:val="single"/>
        </w:rPr>
        <w:t xml:space="preserve">                  （</w:t>
      </w:r>
      <w:r>
        <w:rPr>
          <w:szCs w:val="21"/>
          <w:highlight w:val="none"/>
        </w:rPr>
        <w:t>项目名称）</w:t>
      </w:r>
      <w:r>
        <w:rPr>
          <w:szCs w:val="21"/>
          <w:highlight w:val="none"/>
          <w:u w:val="single"/>
        </w:rPr>
        <w:t xml:space="preserve">         </w:t>
      </w:r>
      <w:r>
        <w:rPr>
          <w:szCs w:val="21"/>
          <w:highlight w:val="none"/>
        </w:rPr>
        <w:t>标段施工招标评标委员会：</w:t>
      </w:r>
    </w:p>
    <w:p w14:paraId="20AF6DA1">
      <w:pPr>
        <w:spacing w:line="440" w:lineRule="exact"/>
        <w:rPr>
          <w:szCs w:val="21"/>
          <w:highlight w:val="none"/>
        </w:rPr>
      </w:pPr>
    </w:p>
    <w:p w14:paraId="3F7C9531">
      <w:pPr>
        <w:spacing w:line="440" w:lineRule="exact"/>
        <w:rPr>
          <w:szCs w:val="21"/>
          <w:highlight w:val="none"/>
        </w:rPr>
      </w:pPr>
      <w:r>
        <w:rPr>
          <w:szCs w:val="21"/>
          <w:highlight w:val="none"/>
        </w:rPr>
        <w:t>　　问题澄清通知（编号：</w:t>
      </w:r>
      <w:r>
        <w:rPr>
          <w:szCs w:val="21"/>
          <w:highlight w:val="none"/>
          <w:u w:val="single"/>
        </w:rPr>
        <w:t xml:space="preserve">        </w:t>
      </w:r>
      <w:r>
        <w:rPr>
          <w:szCs w:val="21"/>
          <w:highlight w:val="none"/>
        </w:rPr>
        <w:t>）已收悉，现澄清如下：</w:t>
      </w:r>
    </w:p>
    <w:p w14:paraId="5F244992">
      <w:pPr>
        <w:spacing w:line="440" w:lineRule="exact"/>
        <w:rPr>
          <w:szCs w:val="21"/>
          <w:highlight w:val="none"/>
        </w:rPr>
      </w:pPr>
      <w:r>
        <w:rPr>
          <w:szCs w:val="21"/>
          <w:highlight w:val="none"/>
        </w:rPr>
        <w:t>　     1.</w:t>
      </w:r>
    </w:p>
    <w:p w14:paraId="3AD363DF">
      <w:pPr>
        <w:spacing w:line="440" w:lineRule="exact"/>
        <w:rPr>
          <w:szCs w:val="21"/>
          <w:highlight w:val="none"/>
        </w:rPr>
      </w:pPr>
      <w:r>
        <w:rPr>
          <w:szCs w:val="21"/>
          <w:highlight w:val="none"/>
        </w:rPr>
        <w:t>　     2.</w:t>
      </w:r>
    </w:p>
    <w:p w14:paraId="5A247222">
      <w:pPr>
        <w:spacing w:line="440" w:lineRule="exact"/>
        <w:rPr>
          <w:szCs w:val="21"/>
          <w:highlight w:val="none"/>
        </w:rPr>
      </w:pPr>
      <w:r>
        <w:rPr>
          <w:szCs w:val="21"/>
          <w:highlight w:val="none"/>
        </w:rPr>
        <w:t xml:space="preserve">　   </w:t>
      </w:r>
    </w:p>
    <w:p w14:paraId="0B8E315C">
      <w:pPr>
        <w:spacing w:line="440" w:lineRule="exact"/>
        <w:rPr>
          <w:szCs w:val="21"/>
          <w:highlight w:val="none"/>
        </w:rPr>
      </w:pPr>
      <w:r>
        <w:rPr>
          <w:szCs w:val="21"/>
          <w:highlight w:val="none"/>
        </w:rPr>
        <w:t>　    .....</w:t>
      </w:r>
    </w:p>
    <w:p w14:paraId="35FB219F">
      <w:pPr>
        <w:spacing w:line="440" w:lineRule="exact"/>
        <w:rPr>
          <w:szCs w:val="21"/>
          <w:highlight w:val="none"/>
        </w:rPr>
      </w:pPr>
      <w:r>
        <w:rPr>
          <w:szCs w:val="21"/>
          <w:highlight w:val="none"/>
        </w:rPr>
        <w:t xml:space="preserve">                       </w:t>
      </w:r>
    </w:p>
    <w:p w14:paraId="0F0DD6A2">
      <w:pPr>
        <w:spacing w:line="440" w:lineRule="exact"/>
        <w:rPr>
          <w:szCs w:val="21"/>
          <w:highlight w:val="none"/>
        </w:rPr>
      </w:pPr>
      <w:r>
        <w:rPr>
          <w:szCs w:val="21"/>
          <w:highlight w:val="none"/>
        </w:rPr>
        <w:t xml:space="preserve">　 </w:t>
      </w:r>
    </w:p>
    <w:p w14:paraId="49F88457">
      <w:pPr>
        <w:spacing w:line="440" w:lineRule="exact"/>
        <w:rPr>
          <w:szCs w:val="21"/>
          <w:highlight w:val="none"/>
        </w:rPr>
      </w:pPr>
    </w:p>
    <w:p w14:paraId="39C4365A">
      <w:pPr>
        <w:spacing w:line="440" w:lineRule="exact"/>
        <w:rPr>
          <w:szCs w:val="21"/>
          <w:highlight w:val="none"/>
        </w:rPr>
      </w:pPr>
    </w:p>
    <w:p w14:paraId="2AF12A13">
      <w:pPr>
        <w:spacing w:line="440" w:lineRule="exact"/>
        <w:rPr>
          <w:szCs w:val="21"/>
          <w:highlight w:val="none"/>
        </w:rPr>
      </w:pPr>
    </w:p>
    <w:p w14:paraId="12D39CEB">
      <w:pPr>
        <w:spacing w:line="440" w:lineRule="exact"/>
        <w:rPr>
          <w:szCs w:val="21"/>
          <w:highlight w:val="none"/>
        </w:rPr>
      </w:pPr>
    </w:p>
    <w:p w14:paraId="14B31934">
      <w:pPr>
        <w:spacing w:line="440" w:lineRule="exact"/>
        <w:rPr>
          <w:szCs w:val="21"/>
          <w:highlight w:val="none"/>
        </w:rPr>
      </w:pPr>
      <w:r>
        <w:rPr>
          <w:szCs w:val="21"/>
          <w:highlight w:val="none"/>
        </w:rPr>
        <w:t>　　　　　　　　　　　　　　　投标人：</w:t>
      </w:r>
      <w:r>
        <w:rPr>
          <w:szCs w:val="21"/>
          <w:highlight w:val="none"/>
          <w:u w:val="single"/>
        </w:rPr>
        <w:t xml:space="preserve">                      </w:t>
      </w:r>
      <w:r>
        <w:rPr>
          <w:rFonts w:hint="eastAsia"/>
          <w:szCs w:val="21"/>
          <w:highlight w:val="none"/>
          <w:u w:val="single"/>
        </w:rPr>
        <w:t xml:space="preserve">  </w:t>
      </w:r>
      <w:r>
        <w:rPr>
          <w:szCs w:val="21"/>
          <w:highlight w:val="none"/>
        </w:rPr>
        <w:t>（盖单位章）</w:t>
      </w:r>
    </w:p>
    <w:p w14:paraId="5CAC6BE8">
      <w:pPr>
        <w:spacing w:line="440" w:lineRule="exact"/>
        <w:rPr>
          <w:szCs w:val="21"/>
          <w:highlight w:val="none"/>
        </w:rPr>
      </w:pPr>
      <w:r>
        <w:rPr>
          <w:szCs w:val="21"/>
          <w:highlight w:val="none"/>
        </w:rPr>
        <w:t>　　　　　　　　　　　　　　　</w:t>
      </w:r>
    </w:p>
    <w:p w14:paraId="253D9064">
      <w:pPr>
        <w:spacing w:line="440" w:lineRule="exact"/>
        <w:rPr>
          <w:szCs w:val="21"/>
          <w:highlight w:val="none"/>
        </w:rPr>
      </w:pPr>
      <w:r>
        <w:rPr>
          <w:szCs w:val="21"/>
          <w:highlight w:val="none"/>
        </w:rPr>
        <w:t>　　　　　　　　　　　　　　　法定代表人或其委托代理人：</w:t>
      </w:r>
      <w:r>
        <w:rPr>
          <w:szCs w:val="21"/>
          <w:highlight w:val="none"/>
          <w:u w:val="single"/>
        </w:rPr>
        <w:t xml:space="preserve">          </w:t>
      </w:r>
      <w:r>
        <w:rPr>
          <w:szCs w:val="21"/>
          <w:highlight w:val="none"/>
        </w:rPr>
        <w:t>（签字）</w:t>
      </w:r>
    </w:p>
    <w:p w14:paraId="6EBB6302">
      <w:pPr>
        <w:spacing w:line="440" w:lineRule="exact"/>
        <w:rPr>
          <w:szCs w:val="21"/>
          <w:highlight w:val="none"/>
        </w:rPr>
      </w:pPr>
      <w:r>
        <w:rPr>
          <w:szCs w:val="21"/>
          <w:highlight w:val="none"/>
        </w:rPr>
        <w:t>　　　　　　　　　　　　　　　</w:t>
      </w:r>
    </w:p>
    <w:p w14:paraId="491EA281">
      <w:pPr>
        <w:spacing w:line="440" w:lineRule="exact"/>
        <w:rPr>
          <w:szCs w:val="21"/>
          <w:highlight w:val="none"/>
        </w:rPr>
      </w:pPr>
      <w:r>
        <w:rPr>
          <w:szCs w:val="21"/>
          <w:highlight w:val="none"/>
        </w:rPr>
        <w:t xml:space="preserve">　　　　　　　　　　　　　　　        </w:t>
      </w:r>
      <w:r>
        <w:rPr>
          <w:rFonts w:hint="eastAsia"/>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56FF91B6">
      <w:pPr>
        <w:spacing w:line="400" w:lineRule="exact"/>
        <w:rPr>
          <w:highlight w:val="none"/>
        </w:rPr>
      </w:pPr>
    </w:p>
    <w:p w14:paraId="775A3087">
      <w:pPr>
        <w:spacing w:line="400" w:lineRule="exact"/>
        <w:rPr>
          <w:highlight w:val="none"/>
        </w:rPr>
      </w:pPr>
      <w:r>
        <w:rPr>
          <w:highlight w:val="none"/>
        </w:rPr>
        <w:br w:type="page"/>
      </w:r>
    </w:p>
    <w:p w14:paraId="76AAAF57">
      <w:pPr>
        <w:pStyle w:val="3"/>
        <w:spacing w:before="120" w:after="120" w:line="400" w:lineRule="exact"/>
        <w:jc w:val="center"/>
        <w:rPr>
          <w:rFonts w:hint="eastAsia" w:ascii="黑体" w:hAnsi="黑体" w:eastAsia="黑体"/>
          <w:b w:val="0"/>
          <w:bCs w:val="0"/>
          <w:sz w:val="32"/>
          <w:highlight w:val="none"/>
        </w:rPr>
      </w:pPr>
      <w:bookmarkStart w:id="284" w:name="_Toc144974565"/>
      <w:bookmarkStart w:id="285" w:name="_Toc152045598"/>
      <w:bookmarkStart w:id="286" w:name="_Toc5010"/>
      <w:bookmarkStart w:id="287" w:name="_Toc152042375"/>
      <w:r>
        <w:rPr>
          <w:rFonts w:hint="eastAsia" w:ascii="黑体" w:hAnsi="黑体" w:eastAsia="黑体"/>
          <w:b w:val="0"/>
          <w:bCs w:val="0"/>
          <w:sz w:val="32"/>
          <w:highlight w:val="none"/>
        </w:rPr>
        <w:t>第三章 评标办法（综合评估法）</w:t>
      </w:r>
      <w:bookmarkEnd w:id="284"/>
      <w:bookmarkEnd w:id="285"/>
      <w:bookmarkEnd w:id="286"/>
      <w:bookmarkEnd w:id="287"/>
    </w:p>
    <w:p w14:paraId="6A6185C2">
      <w:pPr>
        <w:spacing w:line="400" w:lineRule="exact"/>
        <w:rPr>
          <w:rFonts w:hint="eastAsia"/>
          <w:highlight w:val="none"/>
        </w:rPr>
      </w:pPr>
      <w:r>
        <w:rPr>
          <w:rFonts w:hint="eastAsia"/>
          <w:highlight w:val="none"/>
        </w:rPr>
        <w:t>　　　　</w:t>
      </w:r>
    </w:p>
    <w:p w14:paraId="5DB1060A">
      <w:pPr>
        <w:pStyle w:val="46"/>
        <w:rPr>
          <w:rFonts w:hint="eastAsia"/>
          <w:highlight w:val="none"/>
        </w:rPr>
      </w:pPr>
      <w:bookmarkStart w:id="288" w:name="_Toc17495"/>
      <w:bookmarkStart w:id="289" w:name="_Toc152045599"/>
      <w:bookmarkStart w:id="290" w:name="_Toc152042376"/>
      <w:bookmarkStart w:id="291" w:name="_Toc144974566"/>
      <w:r>
        <w:rPr>
          <w:rFonts w:hint="eastAsia"/>
          <w:highlight w:val="none"/>
        </w:rPr>
        <w:t>评标办法前附表</w:t>
      </w:r>
      <w:bookmarkEnd w:id="288"/>
      <w:bookmarkEnd w:id="289"/>
      <w:bookmarkEnd w:id="290"/>
      <w:bookmarkEnd w:id="291"/>
    </w:p>
    <w:p w14:paraId="61D48512">
      <w:pPr>
        <w:spacing w:line="400" w:lineRule="exact"/>
        <w:rPr>
          <w:highlight w:val="none"/>
        </w:rPr>
      </w:pPr>
    </w:p>
    <w:tbl>
      <w:tblPr>
        <w:tblStyle w:val="29"/>
        <w:tblW w:w="9123" w:type="dxa"/>
        <w:tblInd w:w="-2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9"/>
        <w:gridCol w:w="775"/>
        <w:gridCol w:w="2033"/>
        <w:gridCol w:w="5306"/>
      </w:tblGrid>
      <w:tr w14:paraId="40802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gridSpan w:val="2"/>
            <w:tcBorders>
              <w:top w:val="single" w:color="auto" w:sz="4" w:space="0"/>
              <w:bottom w:val="single" w:color="auto" w:sz="4" w:space="0"/>
              <w:right w:val="single" w:color="auto" w:sz="4" w:space="0"/>
            </w:tcBorders>
            <w:noWrap w:val="0"/>
            <w:vAlign w:val="center"/>
          </w:tcPr>
          <w:p w14:paraId="6B682333">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条款号</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E139786">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评审因素</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2FFBCE23">
            <w:pPr>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评审标准</w:t>
            </w:r>
          </w:p>
        </w:tc>
      </w:tr>
      <w:tr w14:paraId="4075D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restart"/>
            <w:tcBorders>
              <w:top w:val="single" w:color="auto" w:sz="4" w:space="0"/>
              <w:bottom w:val="single" w:color="auto" w:sz="4" w:space="0"/>
              <w:right w:val="single" w:color="auto" w:sz="4" w:space="0"/>
            </w:tcBorders>
            <w:noWrap w:val="0"/>
            <w:vAlign w:val="center"/>
          </w:tcPr>
          <w:p w14:paraId="027F52A7">
            <w:pPr>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2.1.1</w:t>
            </w:r>
          </w:p>
        </w:tc>
        <w:tc>
          <w:tcPr>
            <w:tcW w:w="775" w:type="dxa"/>
            <w:vMerge w:val="restart"/>
            <w:tcBorders>
              <w:top w:val="single" w:color="auto" w:sz="4" w:space="0"/>
              <w:bottom w:val="single" w:color="auto" w:sz="4" w:space="0"/>
              <w:right w:val="single" w:color="auto" w:sz="4" w:space="0"/>
            </w:tcBorders>
            <w:noWrap w:val="0"/>
            <w:vAlign w:val="center"/>
          </w:tcPr>
          <w:p w14:paraId="70AF364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形式评审标准</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F3708C9">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投标人名称</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4EBD9A32">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与营业执照、资质证书、安全生产许可证一致</w:t>
            </w:r>
            <w:r>
              <w:rPr>
                <w:rFonts w:hint="default" w:ascii="Times New Roman" w:hAnsi="Times New Roman" w:eastAsia="宋体" w:cs="Times New Roman"/>
                <w:sz w:val="21"/>
                <w:szCs w:val="21"/>
                <w:highlight w:val="none"/>
                <w:lang w:eastAsia="zh-CN"/>
              </w:rPr>
              <w:t>。</w:t>
            </w:r>
          </w:p>
        </w:tc>
      </w:tr>
      <w:tr w14:paraId="2E709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09" w:type="dxa"/>
            <w:vMerge w:val="continue"/>
            <w:tcBorders>
              <w:top w:val="nil"/>
              <w:bottom w:val="single" w:color="auto" w:sz="4" w:space="0"/>
              <w:right w:val="single" w:color="auto" w:sz="4" w:space="0"/>
            </w:tcBorders>
            <w:noWrap w:val="0"/>
            <w:vAlign w:val="center"/>
          </w:tcPr>
          <w:p w14:paraId="3746BDE8">
            <w:pPr>
              <w:spacing w:line="440" w:lineRule="exact"/>
              <w:jc w:val="center"/>
              <w:rPr>
                <w:rFonts w:hint="default" w:ascii="Times New Roman" w:hAnsi="Times New Roman" w:cs="Times New Roman"/>
                <w:szCs w:val="21"/>
                <w:highlight w:val="none"/>
              </w:rPr>
            </w:pPr>
          </w:p>
        </w:tc>
        <w:tc>
          <w:tcPr>
            <w:tcW w:w="775" w:type="dxa"/>
            <w:vMerge w:val="continue"/>
            <w:tcBorders>
              <w:top w:val="nil"/>
              <w:bottom w:val="single" w:color="auto" w:sz="4" w:space="0"/>
              <w:right w:val="single" w:color="auto" w:sz="4" w:space="0"/>
            </w:tcBorders>
            <w:noWrap w:val="0"/>
            <w:vAlign w:val="center"/>
          </w:tcPr>
          <w:p w14:paraId="7709A2D3">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right w:val="single" w:color="auto" w:sz="4" w:space="0"/>
            </w:tcBorders>
            <w:noWrap w:val="0"/>
            <w:vAlign w:val="center"/>
          </w:tcPr>
          <w:p w14:paraId="4C9DCB2A">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投标函签字盖章</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65360A30">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有法定代表人或其委托代理人签字或盖章并加盖单位章</w:t>
            </w:r>
            <w:r>
              <w:rPr>
                <w:rFonts w:hint="default" w:ascii="Times New Roman" w:hAnsi="Times New Roman" w:eastAsia="宋体" w:cs="Times New Roman"/>
                <w:sz w:val="21"/>
                <w:szCs w:val="21"/>
                <w:highlight w:val="none"/>
                <w:lang w:eastAsia="zh-CN"/>
              </w:rPr>
              <w:t>。</w:t>
            </w:r>
          </w:p>
        </w:tc>
      </w:tr>
      <w:tr w14:paraId="2C784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009" w:type="dxa"/>
            <w:vMerge w:val="continue"/>
            <w:tcBorders>
              <w:top w:val="nil"/>
              <w:bottom w:val="single" w:color="auto" w:sz="4" w:space="0"/>
              <w:right w:val="single" w:color="auto" w:sz="4" w:space="0"/>
            </w:tcBorders>
            <w:noWrap w:val="0"/>
            <w:vAlign w:val="center"/>
          </w:tcPr>
          <w:p w14:paraId="5CE8DDAF">
            <w:pPr>
              <w:spacing w:line="440" w:lineRule="exact"/>
              <w:jc w:val="center"/>
              <w:rPr>
                <w:rFonts w:hint="default" w:ascii="Times New Roman" w:hAnsi="Times New Roman" w:cs="Times New Roman"/>
                <w:szCs w:val="21"/>
                <w:highlight w:val="none"/>
              </w:rPr>
            </w:pPr>
          </w:p>
        </w:tc>
        <w:tc>
          <w:tcPr>
            <w:tcW w:w="775" w:type="dxa"/>
            <w:vMerge w:val="continue"/>
            <w:tcBorders>
              <w:top w:val="nil"/>
              <w:bottom w:val="single" w:color="auto" w:sz="4" w:space="0"/>
              <w:right w:val="single" w:color="auto" w:sz="4" w:space="0"/>
            </w:tcBorders>
            <w:noWrap w:val="0"/>
            <w:vAlign w:val="center"/>
          </w:tcPr>
          <w:p w14:paraId="74ADD46B">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right w:val="single" w:color="auto" w:sz="4" w:space="0"/>
            </w:tcBorders>
            <w:noWrap w:val="0"/>
            <w:vAlign w:val="center"/>
          </w:tcPr>
          <w:p w14:paraId="213B575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报价唯一</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D7E5EBD">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只能有一个有效报价</w:t>
            </w:r>
            <w:r>
              <w:rPr>
                <w:rFonts w:hint="default" w:ascii="Times New Roman" w:hAnsi="Times New Roman" w:eastAsia="宋体" w:cs="Times New Roman"/>
                <w:sz w:val="21"/>
                <w:szCs w:val="21"/>
                <w:highlight w:val="none"/>
                <w:lang w:eastAsia="zh-CN"/>
              </w:rPr>
              <w:t>。</w:t>
            </w:r>
          </w:p>
        </w:tc>
      </w:tr>
      <w:tr w14:paraId="74C61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restart"/>
            <w:tcBorders>
              <w:top w:val="single" w:color="auto" w:sz="4" w:space="0"/>
              <w:bottom w:val="single" w:color="auto" w:sz="4" w:space="0"/>
              <w:right w:val="single" w:color="auto" w:sz="4" w:space="0"/>
            </w:tcBorders>
            <w:noWrap w:val="0"/>
            <w:vAlign w:val="center"/>
          </w:tcPr>
          <w:p w14:paraId="291446D1">
            <w:pPr>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2.1.2</w:t>
            </w:r>
          </w:p>
        </w:tc>
        <w:tc>
          <w:tcPr>
            <w:tcW w:w="775" w:type="dxa"/>
            <w:vMerge w:val="restart"/>
            <w:tcBorders>
              <w:top w:val="single" w:color="auto" w:sz="4" w:space="0"/>
              <w:bottom w:val="single" w:color="auto" w:sz="4" w:space="0"/>
              <w:right w:val="single" w:color="auto" w:sz="4" w:space="0"/>
            </w:tcBorders>
            <w:noWrap w:val="0"/>
            <w:vAlign w:val="center"/>
          </w:tcPr>
          <w:p w14:paraId="3565E76C">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资格评审标准</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86B5938">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营业执照</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18669B4A">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具备有效的营业执照</w:t>
            </w:r>
            <w:r>
              <w:rPr>
                <w:rFonts w:hint="default" w:ascii="Times New Roman" w:hAnsi="Times New Roman" w:eastAsia="宋体" w:cs="Times New Roman"/>
                <w:sz w:val="21"/>
                <w:szCs w:val="21"/>
                <w:highlight w:val="none"/>
                <w:lang w:eastAsia="zh-CN"/>
              </w:rPr>
              <w:t>。</w:t>
            </w:r>
          </w:p>
        </w:tc>
      </w:tr>
      <w:tr w14:paraId="0E313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top w:val="single" w:color="auto" w:sz="4" w:space="0"/>
              <w:bottom w:val="single" w:color="auto" w:sz="4" w:space="0"/>
              <w:right w:val="single" w:color="auto" w:sz="4" w:space="0"/>
            </w:tcBorders>
            <w:noWrap w:val="0"/>
            <w:vAlign w:val="center"/>
          </w:tcPr>
          <w:p w14:paraId="79BDBA2A">
            <w:pPr>
              <w:spacing w:line="440" w:lineRule="exact"/>
              <w:jc w:val="center"/>
              <w:rPr>
                <w:rFonts w:hint="default" w:ascii="Times New Roman" w:hAnsi="Times New Roman" w:cs="Times New Roman"/>
                <w:szCs w:val="21"/>
                <w:highlight w:val="none"/>
              </w:rPr>
            </w:pPr>
          </w:p>
        </w:tc>
        <w:tc>
          <w:tcPr>
            <w:tcW w:w="775" w:type="dxa"/>
            <w:vMerge w:val="continue"/>
            <w:tcBorders>
              <w:top w:val="single" w:color="auto" w:sz="4" w:space="0"/>
              <w:bottom w:val="single" w:color="auto" w:sz="4" w:space="0"/>
              <w:right w:val="single" w:color="auto" w:sz="4" w:space="0"/>
            </w:tcBorders>
            <w:noWrap w:val="0"/>
            <w:vAlign w:val="center"/>
          </w:tcPr>
          <w:p w14:paraId="4D00744F">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5A38B80">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安全生产许可证</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41CE5834">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具备有效的安全生产许可证</w:t>
            </w:r>
            <w:r>
              <w:rPr>
                <w:rFonts w:hint="default" w:ascii="Times New Roman" w:hAnsi="Times New Roman" w:eastAsia="宋体" w:cs="Times New Roman"/>
                <w:sz w:val="21"/>
                <w:szCs w:val="21"/>
                <w:highlight w:val="none"/>
                <w:lang w:eastAsia="zh-CN"/>
              </w:rPr>
              <w:t>。</w:t>
            </w:r>
          </w:p>
        </w:tc>
      </w:tr>
      <w:tr w14:paraId="0BA7F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top w:val="nil"/>
              <w:bottom w:val="single" w:color="auto" w:sz="4" w:space="0"/>
              <w:right w:val="single" w:color="auto" w:sz="4" w:space="0"/>
            </w:tcBorders>
            <w:noWrap w:val="0"/>
            <w:vAlign w:val="center"/>
          </w:tcPr>
          <w:p w14:paraId="14CBA195">
            <w:pPr>
              <w:spacing w:line="440" w:lineRule="exact"/>
              <w:jc w:val="center"/>
              <w:rPr>
                <w:rFonts w:hint="default" w:ascii="Times New Roman" w:hAnsi="Times New Roman" w:cs="Times New Roman"/>
                <w:szCs w:val="21"/>
                <w:highlight w:val="none"/>
              </w:rPr>
            </w:pPr>
          </w:p>
        </w:tc>
        <w:tc>
          <w:tcPr>
            <w:tcW w:w="775" w:type="dxa"/>
            <w:vMerge w:val="continue"/>
            <w:tcBorders>
              <w:top w:val="nil"/>
              <w:bottom w:val="single" w:color="auto" w:sz="4" w:space="0"/>
              <w:right w:val="single" w:color="auto" w:sz="4" w:space="0"/>
            </w:tcBorders>
            <w:noWrap w:val="0"/>
            <w:vAlign w:val="center"/>
          </w:tcPr>
          <w:p w14:paraId="0DA57F4C">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9A4646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资质等级</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2DC2505F">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具备建设行政主管部门颁发的港口与航道工程施工总承包一级及以上资质</w:t>
            </w:r>
            <w:r>
              <w:rPr>
                <w:rFonts w:hint="default" w:ascii="Times New Roman" w:hAnsi="Times New Roman" w:eastAsia="宋体" w:cs="Times New Roman"/>
                <w:sz w:val="21"/>
                <w:szCs w:val="21"/>
                <w:highlight w:val="none"/>
                <w:lang w:eastAsia="zh-CN"/>
              </w:rPr>
              <w:t>。</w:t>
            </w:r>
          </w:p>
        </w:tc>
      </w:tr>
      <w:tr w14:paraId="33782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top w:val="nil"/>
              <w:bottom w:val="single" w:color="auto" w:sz="4" w:space="0"/>
              <w:right w:val="single" w:color="auto" w:sz="4" w:space="0"/>
            </w:tcBorders>
            <w:noWrap w:val="0"/>
            <w:vAlign w:val="center"/>
          </w:tcPr>
          <w:p w14:paraId="01786546">
            <w:pPr>
              <w:spacing w:line="440" w:lineRule="exact"/>
              <w:jc w:val="center"/>
              <w:rPr>
                <w:rFonts w:hint="default" w:ascii="Times New Roman" w:hAnsi="Times New Roman" w:cs="Times New Roman"/>
                <w:szCs w:val="21"/>
                <w:highlight w:val="none"/>
              </w:rPr>
            </w:pPr>
          </w:p>
        </w:tc>
        <w:tc>
          <w:tcPr>
            <w:tcW w:w="775" w:type="dxa"/>
            <w:vMerge w:val="continue"/>
            <w:tcBorders>
              <w:top w:val="nil"/>
              <w:bottom w:val="single" w:color="auto" w:sz="4" w:space="0"/>
              <w:right w:val="single" w:color="auto" w:sz="4" w:space="0"/>
            </w:tcBorders>
            <w:noWrap w:val="0"/>
            <w:vAlign w:val="center"/>
          </w:tcPr>
          <w:p w14:paraId="47800280">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23074B28">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信誉</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1629253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截至递交投标文件的截止时间，投标人经</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信用中国</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网站（</w:t>
            </w:r>
            <w:r>
              <w:rPr>
                <w:rFonts w:hint="eastAsia" w:ascii="Times New Roman" w:hAnsi="Times New Roman" w:eastAsia="宋体" w:cs="Times New Roman"/>
                <w:sz w:val="21"/>
                <w:szCs w:val="21"/>
                <w:highlight w:val="none"/>
                <w:lang w:eastAsia="zh-CN"/>
              </w:rPr>
              <w:t>www.creditchina.gov.cn</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中国执行信息公开网</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网站（</w:t>
            </w:r>
            <w:r>
              <w:rPr>
                <w:rFonts w:hint="eastAsia" w:ascii="Times New Roman" w:hAnsi="Times New Roman" w:eastAsia="宋体" w:cs="Times New Roman"/>
                <w:sz w:val="21"/>
                <w:szCs w:val="21"/>
                <w:highlight w:val="none"/>
                <w:lang w:eastAsia="zh-CN"/>
              </w:rPr>
              <w:t>https://zxgk.court.gov.cn/</w:t>
            </w:r>
            <w:r>
              <w:rPr>
                <w:rFonts w:hint="default" w:ascii="Times New Roman" w:hAnsi="Times New Roman" w:eastAsia="宋体" w:cs="Times New Roman"/>
                <w:sz w:val="21"/>
                <w:szCs w:val="21"/>
                <w:highlight w:val="none"/>
              </w:rPr>
              <w:t>）查询，未被列入失信被执行人名单。</w:t>
            </w:r>
          </w:p>
        </w:tc>
      </w:tr>
      <w:tr w14:paraId="23FC2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top w:val="nil"/>
              <w:bottom w:val="single" w:color="auto" w:sz="4" w:space="0"/>
              <w:right w:val="single" w:color="auto" w:sz="4" w:space="0"/>
            </w:tcBorders>
            <w:noWrap w:val="0"/>
            <w:vAlign w:val="center"/>
          </w:tcPr>
          <w:p w14:paraId="7DB125DC">
            <w:pPr>
              <w:spacing w:line="440" w:lineRule="exact"/>
              <w:jc w:val="center"/>
              <w:rPr>
                <w:rFonts w:hint="default" w:ascii="Times New Roman" w:hAnsi="Times New Roman" w:cs="Times New Roman"/>
                <w:szCs w:val="21"/>
                <w:highlight w:val="none"/>
              </w:rPr>
            </w:pPr>
          </w:p>
        </w:tc>
        <w:tc>
          <w:tcPr>
            <w:tcW w:w="775" w:type="dxa"/>
            <w:vMerge w:val="continue"/>
            <w:tcBorders>
              <w:top w:val="nil"/>
              <w:bottom w:val="single" w:color="auto" w:sz="4" w:space="0"/>
              <w:right w:val="single" w:color="auto" w:sz="4" w:space="0"/>
            </w:tcBorders>
            <w:noWrap w:val="0"/>
            <w:vAlign w:val="center"/>
          </w:tcPr>
          <w:p w14:paraId="16FB71B4">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22614715">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项目经理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05F7716E">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具备有效的港口与航道工程专业一级建造师注册证书及《公路水运工程施工企业主要负责人和安全生产管理人员安全生产考核合格证书》B类证书</w:t>
            </w:r>
            <w:r>
              <w:rPr>
                <w:rFonts w:hint="default" w:ascii="Times New Roman" w:hAnsi="Times New Roman" w:eastAsia="宋体" w:cs="Times New Roman"/>
                <w:sz w:val="21"/>
                <w:szCs w:val="21"/>
                <w:highlight w:val="none"/>
                <w:lang w:eastAsia="zh-CN"/>
              </w:rPr>
              <w:t>，无在建项目，且本项目施工期内该项目经理不得承担其他项目，无在处罚期内的不良行为记录。</w:t>
            </w:r>
          </w:p>
        </w:tc>
      </w:tr>
      <w:tr w14:paraId="2DD22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009" w:type="dxa"/>
            <w:vMerge w:val="continue"/>
            <w:tcBorders>
              <w:top w:val="nil"/>
              <w:bottom w:val="single" w:color="auto" w:sz="4" w:space="0"/>
              <w:right w:val="single" w:color="auto" w:sz="4" w:space="0"/>
            </w:tcBorders>
            <w:noWrap w:val="0"/>
            <w:vAlign w:val="center"/>
          </w:tcPr>
          <w:p w14:paraId="573724EB">
            <w:pPr>
              <w:spacing w:line="440" w:lineRule="exact"/>
              <w:jc w:val="center"/>
              <w:rPr>
                <w:rFonts w:hint="default" w:ascii="Times New Roman" w:hAnsi="Times New Roman" w:cs="Times New Roman"/>
                <w:szCs w:val="21"/>
                <w:highlight w:val="none"/>
              </w:rPr>
            </w:pPr>
          </w:p>
        </w:tc>
        <w:tc>
          <w:tcPr>
            <w:tcW w:w="775" w:type="dxa"/>
            <w:vMerge w:val="continue"/>
            <w:tcBorders>
              <w:top w:val="nil"/>
              <w:bottom w:val="single" w:color="auto" w:sz="4" w:space="0"/>
              <w:right w:val="single" w:color="auto" w:sz="4" w:space="0"/>
            </w:tcBorders>
            <w:noWrap w:val="0"/>
            <w:vAlign w:val="center"/>
          </w:tcPr>
          <w:p w14:paraId="584AEEB6">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right w:val="single" w:color="auto" w:sz="4" w:space="0"/>
            </w:tcBorders>
            <w:noWrap w:val="0"/>
            <w:vAlign w:val="center"/>
          </w:tcPr>
          <w:p w14:paraId="194B83DD">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串通投标、弄虚作假行为</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381C451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未发现以他人名义投标、有明显的串标、围标、弄虚作假等违法违规行为。</w:t>
            </w:r>
          </w:p>
        </w:tc>
      </w:tr>
      <w:tr w14:paraId="62A03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restart"/>
            <w:tcBorders>
              <w:top w:val="single" w:color="auto" w:sz="4" w:space="0"/>
              <w:right w:val="single" w:color="auto" w:sz="4" w:space="0"/>
            </w:tcBorders>
            <w:noWrap w:val="0"/>
            <w:vAlign w:val="center"/>
          </w:tcPr>
          <w:p w14:paraId="358739B9">
            <w:pPr>
              <w:spacing w:line="440" w:lineRule="exact"/>
              <w:jc w:val="center"/>
              <w:rPr>
                <w:rFonts w:hint="default" w:ascii="Times New Roman" w:hAnsi="Times New Roman" w:cs="Times New Roman"/>
                <w:szCs w:val="21"/>
                <w:highlight w:val="none"/>
              </w:rPr>
            </w:pPr>
          </w:p>
          <w:p w14:paraId="3DA590A1">
            <w:pPr>
              <w:spacing w:line="440" w:lineRule="exact"/>
              <w:jc w:val="center"/>
              <w:rPr>
                <w:rFonts w:hint="default" w:ascii="Times New Roman" w:hAnsi="Times New Roman" w:cs="Times New Roman"/>
                <w:szCs w:val="21"/>
                <w:highlight w:val="none"/>
              </w:rPr>
            </w:pPr>
          </w:p>
          <w:p w14:paraId="0004C0FC">
            <w:pPr>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2.1.3</w:t>
            </w:r>
          </w:p>
          <w:p w14:paraId="36DA9B6E">
            <w:pPr>
              <w:spacing w:line="440" w:lineRule="exact"/>
              <w:jc w:val="center"/>
              <w:rPr>
                <w:rFonts w:hint="default" w:ascii="Times New Roman" w:hAnsi="Times New Roman" w:cs="Times New Roman"/>
                <w:szCs w:val="21"/>
                <w:highlight w:val="none"/>
              </w:rPr>
            </w:pPr>
          </w:p>
          <w:p w14:paraId="02DD81B4">
            <w:pPr>
              <w:spacing w:line="440" w:lineRule="exact"/>
              <w:jc w:val="center"/>
              <w:rPr>
                <w:rFonts w:hint="default" w:ascii="Times New Roman" w:hAnsi="Times New Roman" w:cs="Times New Roman"/>
                <w:szCs w:val="21"/>
                <w:highlight w:val="none"/>
              </w:rPr>
            </w:pPr>
          </w:p>
          <w:p w14:paraId="1EA86A59">
            <w:pPr>
              <w:spacing w:line="440" w:lineRule="exact"/>
              <w:jc w:val="center"/>
              <w:rPr>
                <w:rFonts w:hint="default" w:ascii="Times New Roman" w:hAnsi="Times New Roman" w:cs="Times New Roman"/>
                <w:szCs w:val="21"/>
                <w:highlight w:val="none"/>
              </w:rPr>
            </w:pPr>
          </w:p>
          <w:p w14:paraId="0D2896AC">
            <w:pPr>
              <w:spacing w:line="440" w:lineRule="exact"/>
              <w:jc w:val="center"/>
              <w:rPr>
                <w:rFonts w:hint="default" w:ascii="Times New Roman" w:hAnsi="Times New Roman" w:cs="Times New Roman"/>
                <w:szCs w:val="21"/>
                <w:highlight w:val="none"/>
              </w:rPr>
            </w:pPr>
          </w:p>
        </w:tc>
        <w:tc>
          <w:tcPr>
            <w:tcW w:w="775" w:type="dxa"/>
            <w:vMerge w:val="restart"/>
            <w:tcBorders>
              <w:top w:val="single" w:color="auto" w:sz="4" w:space="0"/>
              <w:right w:val="single" w:color="auto" w:sz="4" w:space="0"/>
            </w:tcBorders>
            <w:noWrap w:val="0"/>
            <w:vAlign w:val="center"/>
          </w:tcPr>
          <w:p w14:paraId="7A0F8100">
            <w:pPr>
              <w:jc w:val="center"/>
              <w:rPr>
                <w:rFonts w:hint="default" w:ascii="Times New Roman" w:hAnsi="Times New Roman" w:eastAsia="宋体" w:cs="Times New Roman"/>
                <w:sz w:val="21"/>
                <w:szCs w:val="21"/>
                <w:highlight w:val="none"/>
              </w:rPr>
            </w:pPr>
          </w:p>
          <w:p w14:paraId="301AC7C2">
            <w:pPr>
              <w:jc w:val="center"/>
              <w:rPr>
                <w:rFonts w:hint="default" w:ascii="Times New Roman" w:hAnsi="Times New Roman" w:eastAsia="宋体" w:cs="Times New Roman"/>
                <w:sz w:val="21"/>
                <w:szCs w:val="21"/>
                <w:highlight w:val="none"/>
              </w:rPr>
            </w:pPr>
          </w:p>
          <w:p w14:paraId="23599E85">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响应性评审标准</w:t>
            </w:r>
          </w:p>
          <w:p w14:paraId="5D757AAF">
            <w:pPr>
              <w:jc w:val="center"/>
              <w:rPr>
                <w:rFonts w:hint="default" w:ascii="Times New Roman" w:hAnsi="Times New Roman" w:eastAsia="宋体" w:cs="Times New Roman"/>
                <w:sz w:val="21"/>
                <w:szCs w:val="21"/>
                <w:highlight w:val="none"/>
              </w:rPr>
            </w:pPr>
          </w:p>
          <w:p w14:paraId="0CAD3F8B">
            <w:pPr>
              <w:jc w:val="center"/>
              <w:rPr>
                <w:rFonts w:hint="default" w:ascii="Times New Roman" w:hAnsi="Times New Roman" w:eastAsia="宋体" w:cs="Times New Roman"/>
                <w:sz w:val="21"/>
                <w:szCs w:val="21"/>
                <w:highlight w:val="none"/>
              </w:rPr>
            </w:pPr>
          </w:p>
          <w:p w14:paraId="1C0119D1">
            <w:pPr>
              <w:jc w:val="center"/>
              <w:rPr>
                <w:rFonts w:hint="default" w:ascii="Times New Roman" w:hAnsi="Times New Roman" w:eastAsia="宋体" w:cs="Times New Roman"/>
                <w:sz w:val="21"/>
                <w:szCs w:val="21"/>
                <w:highlight w:val="none"/>
              </w:rPr>
            </w:pPr>
          </w:p>
          <w:p w14:paraId="0A1EDF36">
            <w:pPr>
              <w:jc w:val="center"/>
              <w:rPr>
                <w:rFonts w:hint="default" w:ascii="Times New Roman" w:hAnsi="Times New Roman" w:eastAsia="宋体" w:cs="Times New Roman"/>
                <w:sz w:val="21"/>
                <w:szCs w:val="21"/>
                <w:highlight w:val="none"/>
              </w:rPr>
            </w:pPr>
          </w:p>
          <w:p w14:paraId="4A1DEF7F">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21C9081">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投标内容</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10DB0673">
            <w:pPr>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辽宁省营口市海洋生态保护修复工程项目施工，具体详见图纸及工程量清单。</w:t>
            </w:r>
          </w:p>
        </w:tc>
      </w:tr>
      <w:tr w14:paraId="16973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center"/>
          </w:tcPr>
          <w:p w14:paraId="159080E7">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4FB003AB">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1574D43">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工期</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485B0B6">
            <w:pPr>
              <w:jc w:val="center"/>
              <w:rPr>
                <w:rFonts w:hint="default" w:ascii="Times New Roman" w:hAnsi="Times New Roman" w:eastAsia="宋体" w:cs="Times New Roman"/>
                <w:sz w:val="21"/>
                <w:szCs w:val="21"/>
                <w:highlight w:val="none"/>
                <w:lang w:eastAsia="zh-CN"/>
              </w:rPr>
            </w:pPr>
            <w:r>
              <w:rPr>
                <w:rFonts w:hint="eastAsia" w:ascii="Times New Roman" w:hAnsi="Times New Roman" w:cs="Times New Roman"/>
                <w:highlight w:val="none"/>
                <w:lang w:val="en-US" w:eastAsia="zh-CN"/>
              </w:rPr>
              <w:t>548</w:t>
            </w:r>
            <w:r>
              <w:rPr>
                <w:rFonts w:hint="default" w:ascii="Times New Roman" w:hAnsi="Times New Roman" w:cs="Times New Roman"/>
                <w:highlight w:val="none"/>
              </w:rPr>
              <w:t>日历天</w:t>
            </w:r>
            <w:r>
              <w:rPr>
                <w:rFonts w:hint="default" w:ascii="Times New Roman" w:hAnsi="Times New Roman" w:cs="Times New Roman"/>
                <w:highlight w:val="none"/>
                <w:lang w:eastAsia="zh-CN"/>
              </w:rPr>
              <w:t>。</w:t>
            </w:r>
          </w:p>
        </w:tc>
      </w:tr>
      <w:tr w14:paraId="47AAE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center"/>
          </w:tcPr>
          <w:p w14:paraId="72216F1E">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1994E463">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8B6B6B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工程质量</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2631582C">
            <w:pPr>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合格。</w:t>
            </w:r>
          </w:p>
        </w:tc>
      </w:tr>
      <w:tr w14:paraId="4339A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09" w:type="dxa"/>
            <w:vMerge w:val="continue"/>
            <w:tcBorders>
              <w:right w:val="single" w:color="auto" w:sz="4" w:space="0"/>
            </w:tcBorders>
            <w:noWrap w:val="0"/>
            <w:vAlign w:val="center"/>
          </w:tcPr>
          <w:p w14:paraId="1BF7D41A">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28AAD8AD">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right w:val="single" w:color="auto" w:sz="4" w:space="0"/>
            </w:tcBorders>
            <w:noWrap w:val="0"/>
            <w:vAlign w:val="center"/>
          </w:tcPr>
          <w:p w14:paraId="1C20204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投标保证金</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6A65522">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50万元。</w:t>
            </w:r>
          </w:p>
        </w:tc>
      </w:tr>
      <w:tr w14:paraId="11C7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center"/>
          </w:tcPr>
          <w:p w14:paraId="7CA7D3D3">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238195BD">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A54ACE6">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已标价工程量清单</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0AD20185">
            <w:pPr>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符合“工程量清单”给出的范围及数量</w:t>
            </w:r>
          </w:p>
        </w:tc>
      </w:tr>
      <w:tr w14:paraId="77C7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center"/>
          </w:tcPr>
          <w:p w14:paraId="746DCAC6">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6EF62B4E">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3ED41CB">
            <w:pPr>
              <w:pStyle w:val="54"/>
              <w:jc w:val="center"/>
              <w:rPr>
                <w:rFonts w:hint="default" w:ascii="Times New Roman" w:hAnsi="Times New Roman" w:eastAsia="宋体" w:cs="Times New Roman"/>
                <w:sz w:val="21"/>
                <w:szCs w:val="21"/>
                <w:highlight w:val="none"/>
              </w:rPr>
            </w:pPr>
            <w:r>
              <w:rPr>
                <w:rStyle w:val="31"/>
                <w:rFonts w:hint="default" w:ascii="Times New Roman" w:hAnsi="Times New Roman" w:eastAsia="宋体" w:cs="Times New Roman"/>
                <w:b w:val="0"/>
                <w:sz w:val="21"/>
                <w:szCs w:val="24"/>
                <w:highlight w:val="none"/>
              </w:rPr>
              <w:t>投标价格</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512699B">
            <w:pPr>
              <w:pStyle w:val="54"/>
              <w:jc w:val="center"/>
              <w:rPr>
                <w:rFonts w:hint="default" w:ascii="Times New Roman" w:hAnsi="Times New Roman" w:eastAsia="宋体" w:cs="Times New Roman"/>
                <w:sz w:val="21"/>
                <w:szCs w:val="21"/>
                <w:highlight w:val="none"/>
              </w:rPr>
            </w:pPr>
            <w:r>
              <w:rPr>
                <w:rStyle w:val="31"/>
                <w:rFonts w:hint="default" w:ascii="Times New Roman" w:hAnsi="Times New Roman" w:eastAsia="宋体" w:cs="Times New Roman"/>
                <w:b w:val="0"/>
                <w:sz w:val="21"/>
                <w:szCs w:val="24"/>
                <w:highlight w:val="none"/>
              </w:rPr>
              <w:t>投标报价未明显低于企业成本可能影响履约且未高于招标控制价。未发现不同投标人的投标内容、数据大量雷同。</w:t>
            </w:r>
          </w:p>
        </w:tc>
      </w:tr>
      <w:tr w14:paraId="7708E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09" w:type="dxa"/>
            <w:vMerge w:val="continue"/>
            <w:tcBorders>
              <w:right w:val="single" w:color="auto" w:sz="4" w:space="0"/>
            </w:tcBorders>
            <w:noWrap w:val="0"/>
            <w:vAlign w:val="center"/>
          </w:tcPr>
          <w:p w14:paraId="350C244C">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57ED01CA">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06BB2E8B">
            <w:pPr>
              <w:pStyle w:val="54"/>
              <w:jc w:val="center"/>
              <w:rPr>
                <w:rStyle w:val="31"/>
                <w:rFonts w:hint="default" w:ascii="Times New Roman" w:hAnsi="Times New Roman" w:eastAsia="宋体" w:cs="Times New Roman"/>
                <w:b w:val="0"/>
                <w:sz w:val="21"/>
                <w:szCs w:val="24"/>
                <w:highlight w:val="none"/>
              </w:rPr>
            </w:pPr>
            <w:r>
              <w:rPr>
                <w:rStyle w:val="31"/>
                <w:rFonts w:hint="default" w:ascii="Times New Roman" w:hAnsi="Times New Roman" w:eastAsia="宋体" w:cs="Times New Roman"/>
                <w:b w:val="0"/>
                <w:sz w:val="21"/>
                <w:szCs w:val="24"/>
                <w:highlight w:val="none"/>
              </w:rPr>
              <w:t>承诺书</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D286F8D">
            <w:pPr>
              <w:pStyle w:val="54"/>
              <w:jc w:val="center"/>
              <w:rPr>
                <w:rStyle w:val="31"/>
                <w:rFonts w:hint="default" w:ascii="Times New Roman" w:hAnsi="Times New Roman" w:eastAsia="宋体" w:cs="Times New Roman"/>
                <w:b w:val="0"/>
                <w:sz w:val="21"/>
                <w:szCs w:val="24"/>
                <w:highlight w:val="none"/>
              </w:rPr>
            </w:pPr>
            <w:r>
              <w:rPr>
                <w:rStyle w:val="31"/>
                <w:rFonts w:hint="default" w:ascii="Times New Roman" w:hAnsi="Times New Roman" w:eastAsia="宋体" w:cs="Times New Roman"/>
                <w:b w:val="0"/>
                <w:sz w:val="21"/>
                <w:szCs w:val="24"/>
                <w:highlight w:val="none"/>
              </w:rPr>
              <w:t>按要求提供有效的承诺书。</w:t>
            </w:r>
          </w:p>
        </w:tc>
      </w:tr>
      <w:tr w14:paraId="1F198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bottom w:val="single" w:color="auto" w:sz="4" w:space="0"/>
              <w:right w:val="single" w:color="auto" w:sz="4" w:space="0"/>
            </w:tcBorders>
            <w:noWrap w:val="0"/>
            <w:vAlign w:val="center"/>
          </w:tcPr>
          <w:p w14:paraId="6528DBD6">
            <w:pPr>
              <w:spacing w:line="440" w:lineRule="exact"/>
              <w:jc w:val="center"/>
              <w:rPr>
                <w:rFonts w:hint="default" w:ascii="Times New Roman" w:hAnsi="Times New Roman" w:cs="Times New Roman"/>
                <w:szCs w:val="21"/>
                <w:highlight w:val="none"/>
              </w:rPr>
            </w:pPr>
          </w:p>
        </w:tc>
        <w:tc>
          <w:tcPr>
            <w:tcW w:w="775" w:type="dxa"/>
            <w:vMerge w:val="continue"/>
            <w:tcBorders>
              <w:bottom w:val="single" w:color="auto" w:sz="4" w:space="0"/>
              <w:right w:val="single" w:color="auto" w:sz="4" w:space="0"/>
            </w:tcBorders>
            <w:noWrap w:val="0"/>
            <w:vAlign w:val="center"/>
          </w:tcPr>
          <w:p w14:paraId="488D3FFB">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C2D6173">
            <w:pPr>
              <w:pStyle w:val="54"/>
              <w:jc w:val="center"/>
              <w:rPr>
                <w:rFonts w:hint="default" w:ascii="Times New Roman" w:hAnsi="Times New Roman" w:eastAsia="宋体" w:cs="Times New Roman"/>
                <w:sz w:val="21"/>
                <w:szCs w:val="21"/>
                <w:highlight w:val="none"/>
              </w:rPr>
            </w:pPr>
            <w:r>
              <w:rPr>
                <w:rStyle w:val="31"/>
                <w:rFonts w:hint="default" w:ascii="Times New Roman" w:hAnsi="Times New Roman" w:eastAsia="宋体" w:cs="Times New Roman"/>
                <w:b w:val="0"/>
                <w:sz w:val="21"/>
                <w:szCs w:val="24"/>
                <w:highlight w:val="none"/>
              </w:rPr>
              <w:t>澄清说明</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0034FB0E">
            <w:pPr>
              <w:pStyle w:val="54"/>
              <w:jc w:val="center"/>
              <w:rPr>
                <w:rFonts w:hint="default" w:ascii="Times New Roman" w:hAnsi="Times New Roman" w:eastAsia="宋体" w:cs="Times New Roman"/>
                <w:sz w:val="21"/>
                <w:szCs w:val="21"/>
                <w:highlight w:val="none"/>
              </w:rPr>
            </w:pPr>
            <w:r>
              <w:rPr>
                <w:rStyle w:val="31"/>
                <w:rFonts w:hint="default" w:ascii="Times New Roman" w:hAnsi="Times New Roman" w:eastAsia="宋体" w:cs="Times New Roman"/>
                <w:b w:val="0"/>
                <w:sz w:val="21"/>
                <w:szCs w:val="24"/>
                <w:highlight w:val="none"/>
              </w:rPr>
              <w:t>投标人按照评标委员会要求澄清、答疑或补正。</w:t>
            </w:r>
          </w:p>
        </w:tc>
      </w:tr>
      <w:tr w14:paraId="02A5F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gridSpan w:val="2"/>
            <w:tcBorders>
              <w:bottom w:val="single" w:color="auto" w:sz="4" w:space="0"/>
              <w:right w:val="single" w:color="auto" w:sz="4" w:space="0"/>
            </w:tcBorders>
            <w:noWrap w:val="0"/>
            <w:vAlign w:val="center"/>
          </w:tcPr>
          <w:p w14:paraId="3E16FDCE">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条款号</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023D11D2">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条款内容</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61DFF27D">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编列内容</w:t>
            </w:r>
          </w:p>
        </w:tc>
      </w:tr>
      <w:tr w14:paraId="1BE7A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gridSpan w:val="2"/>
            <w:tcBorders>
              <w:bottom w:val="single" w:color="auto" w:sz="4" w:space="0"/>
              <w:right w:val="single" w:color="auto" w:sz="4" w:space="0"/>
            </w:tcBorders>
            <w:noWrap w:val="0"/>
            <w:vAlign w:val="center"/>
          </w:tcPr>
          <w:p w14:paraId="33B432C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2.2.1</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2EABDB2">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分值构成</w:t>
            </w:r>
          </w:p>
          <w:p w14:paraId="4586B884">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(总分100分)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7E76EC7F">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施工组织设计：</w:t>
            </w:r>
            <w:r>
              <w:rPr>
                <w:rFonts w:hint="eastAsia" w:ascii="Times New Roman" w:hAnsi="Times New Roman" w:eastAsia="宋体" w:cs="Times New Roman"/>
                <w:color w:val="000000"/>
                <w:sz w:val="21"/>
                <w:szCs w:val="21"/>
                <w:highlight w:val="none"/>
                <w:lang w:val="en-US" w:eastAsia="zh-CN"/>
              </w:rPr>
              <w:t>45</w:t>
            </w:r>
            <w:r>
              <w:rPr>
                <w:rFonts w:hint="default" w:ascii="Times New Roman" w:hAnsi="Times New Roman" w:eastAsia="宋体" w:cs="Times New Roman"/>
                <w:color w:val="000000"/>
                <w:sz w:val="21"/>
                <w:szCs w:val="21"/>
                <w:highlight w:val="none"/>
              </w:rPr>
              <w:t>分</w:t>
            </w:r>
          </w:p>
          <w:p w14:paraId="6558A3C9">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项目管理机构：</w:t>
            </w:r>
            <w:r>
              <w:rPr>
                <w:rFonts w:hint="eastAsia" w:ascii="Times New Roman" w:hAnsi="Times New Roman" w:eastAsia="宋体" w:cs="Times New Roman"/>
                <w:color w:val="000000"/>
                <w:sz w:val="21"/>
                <w:szCs w:val="21"/>
                <w:highlight w:val="none"/>
                <w:lang w:val="en-US" w:eastAsia="zh-CN"/>
              </w:rPr>
              <w:t>8</w:t>
            </w:r>
            <w:r>
              <w:rPr>
                <w:rFonts w:hint="default" w:ascii="Times New Roman" w:hAnsi="Times New Roman" w:eastAsia="宋体" w:cs="Times New Roman"/>
                <w:color w:val="000000"/>
                <w:sz w:val="21"/>
                <w:szCs w:val="21"/>
                <w:highlight w:val="none"/>
              </w:rPr>
              <w:t>分</w:t>
            </w:r>
          </w:p>
          <w:p w14:paraId="0A015C2D">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投标报价：</w:t>
            </w:r>
            <w:r>
              <w:rPr>
                <w:rFonts w:hint="eastAsia" w:ascii="Times New Roman" w:hAnsi="Times New Roman" w:eastAsia="宋体" w:cs="Times New Roman"/>
                <w:color w:val="000000"/>
                <w:sz w:val="21"/>
                <w:szCs w:val="21"/>
                <w:highlight w:val="none"/>
                <w:lang w:val="en-US" w:eastAsia="zh-CN"/>
              </w:rPr>
              <w:t>40</w:t>
            </w:r>
            <w:r>
              <w:rPr>
                <w:rFonts w:hint="default" w:ascii="Times New Roman" w:hAnsi="Times New Roman" w:eastAsia="宋体" w:cs="Times New Roman"/>
                <w:color w:val="000000"/>
                <w:sz w:val="21"/>
                <w:szCs w:val="21"/>
                <w:highlight w:val="none"/>
              </w:rPr>
              <w:t>分</w:t>
            </w:r>
          </w:p>
          <w:p w14:paraId="738C805C">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其他评分因素：</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分</w:t>
            </w:r>
          </w:p>
        </w:tc>
      </w:tr>
      <w:tr w14:paraId="4FC1B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gridSpan w:val="2"/>
            <w:tcBorders>
              <w:top w:val="single" w:color="auto" w:sz="4" w:space="0"/>
              <w:bottom w:val="single" w:color="auto" w:sz="4" w:space="0"/>
              <w:right w:val="single" w:color="auto" w:sz="4" w:space="0"/>
            </w:tcBorders>
            <w:noWrap w:val="0"/>
            <w:vAlign w:val="center"/>
          </w:tcPr>
          <w:p w14:paraId="6A7B4E3D">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2.2.2</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293A9499">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评标基准价计算方法</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171EE8F3">
            <w:pPr>
              <w:numPr>
                <w:ilvl w:val="0"/>
                <w:numId w:val="0"/>
              </w:numPr>
              <w:jc w:val="both"/>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eastAsia="zh-CN"/>
              </w:rPr>
              <w:t>如果有效报价单位数量超过9家（包含9家）</w:t>
            </w:r>
            <w:r>
              <w:rPr>
                <w:rFonts w:hint="eastAsia" w:ascii="Times New Roman" w:hAnsi="Times New Roman" w:eastAsia="宋体" w:cs="Times New Roman"/>
                <w:sz w:val="21"/>
                <w:szCs w:val="21"/>
                <w:highlight w:val="none"/>
                <w:lang w:val="en-US" w:eastAsia="zh-CN"/>
              </w:rPr>
              <w:t>低于20家</w:t>
            </w:r>
            <w:r>
              <w:rPr>
                <w:rFonts w:hint="default" w:ascii="Times New Roman" w:hAnsi="Times New Roman" w:eastAsia="宋体" w:cs="Times New Roman"/>
                <w:sz w:val="21"/>
                <w:szCs w:val="21"/>
                <w:highlight w:val="none"/>
                <w:lang w:eastAsia="zh-CN"/>
              </w:rPr>
              <w:t>，则去掉一个最高有效投标报价，且同时去掉一个最低有效投标投标报价，剩余有效投标单位的投标报价算术平均值为基准价。</w:t>
            </w:r>
          </w:p>
          <w:p w14:paraId="23CBF710">
            <w:pPr>
              <w:numPr>
                <w:ilvl w:val="0"/>
                <w:numId w:val="0"/>
              </w:numPr>
              <w:jc w:val="both"/>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eastAsia="zh-CN"/>
              </w:rPr>
              <w:t>如果有效报价单位数量超过</w:t>
            </w:r>
            <w:r>
              <w:rPr>
                <w:rFonts w:hint="eastAsia"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lang w:eastAsia="zh-CN"/>
              </w:rPr>
              <w:t>家（包含</w:t>
            </w:r>
            <w:r>
              <w:rPr>
                <w:rFonts w:hint="eastAsia"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lang w:eastAsia="zh-CN"/>
              </w:rPr>
              <w:t>家），则去掉</w:t>
            </w:r>
            <w:r>
              <w:rPr>
                <w:rFonts w:hint="eastAsia" w:ascii="Times New Roman" w:hAnsi="Times New Roman" w:eastAsia="宋体" w:cs="Times New Roman"/>
                <w:sz w:val="21"/>
                <w:szCs w:val="21"/>
                <w:highlight w:val="none"/>
                <w:lang w:val="en-US" w:eastAsia="zh-CN"/>
              </w:rPr>
              <w:t>三</w:t>
            </w:r>
            <w:r>
              <w:rPr>
                <w:rFonts w:hint="default" w:ascii="Times New Roman" w:hAnsi="Times New Roman" w:eastAsia="宋体" w:cs="Times New Roman"/>
                <w:sz w:val="21"/>
                <w:szCs w:val="21"/>
                <w:highlight w:val="none"/>
                <w:lang w:eastAsia="zh-CN"/>
              </w:rPr>
              <w:t>个最高有效投标报价，且同时去掉</w:t>
            </w:r>
            <w:r>
              <w:rPr>
                <w:rFonts w:hint="eastAsia" w:ascii="Times New Roman" w:hAnsi="Times New Roman" w:eastAsia="宋体" w:cs="Times New Roman"/>
                <w:sz w:val="21"/>
                <w:szCs w:val="21"/>
                <w:highlight w:val="none"/>
                <w:lang w:val="en-US" w:eastAsia="zh-CN"/>
              </w:rPr>
              <w:t>三</w:t>
            </w:r>
            <w:r>
              <w:rPr>
                <w:rFonts w:hint="default" w:ascii="Times New Roman" w:hAnsi="Times New Roman" w:eastAsia="宋体" w:cs="Times New Roman"/>
                <w:sz w:val="21"/>
                <w:szCs w:val="21"/>
                <w:highlight w:val="none"/>
                <w:lang w:eastAsia="zh-CN"/>
              </w:rPr>
              <w:t>个最低有效投标投标报价，剩余有效投标单位的投标报价算术平均值为基准价。</w:t>
            </w:r>
          </w:p>
          <w:p w14:paraId="5E516600">
            <w:pPr>
              <w:numPr>
                <w:ilvl w:val="0"/>
                <w:numId w:val="0"/>
              </w:numPr>
              <w:jc w:val="both"/>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eastAsia="zh-CN"/>
              </w:rPr>
              <w:t>如果有效报价单位数量不超过9家，所有有效报价的算术平均值为基准价。</w:t>
            </w:r>
          </w:p>
          <w:p w14:paraId="6785F613">
            <w:pPr>
              <w:numPr>
                <w:ilvl w:val="0"/>
                <w:numId w:val="0"/>
              </w:numPr>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注：有效报价指通过初步评审（形式、资格、响应性评审）的投标单位报价。</w:t>
            </w:r>
          </w:p>
        </w:tc>
      </w:tr>
      <w:tr w14:paraId="64CDC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784" w:type="dxa"/>
            <w:gridSpan w:val="2"/>
            <w:tcBorders>
              <w:top w:val="single" w:color="auto" w:sz="4" w:space="0"/>
              <w:bottom w:val="single" w:color="auto" w:sz="4" w:space="0"/>
              <w:right w:val="single" w:color="auto" w:sz="4" w:space="0"/>
            </w:tcBorders>
            <w:noWrap w:val="0"/>
            <w:vAlign w:val="center"/>
          </w:tcPr>
          <w:p w14:paraId="314F8317">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2.2.3</w:t>
            </w:r>
          </w:p>
        </w:tc>
        <w:tc>
          <w:tcPr>
            <w:tcW w:w="2033" w:type="dxa"/>
            <w:tcBorders>
              <w:top w:val="single" w:color="auto" w:sz="4" w:space="0"/>
              <w:left w:val="single" w:color="auto" w:sz="4" w:space="0"/>
              <w:right w:val="single" w:color="auto" w:sz="4" w:space="0"/>
            </w:tcBorders>
            <w:noWrap w:val="0"/>
            <w:vAlign w:val="center"/>
          </w:tcPr>
          <w:p w14:paraId="3C6ED03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投标报价的偏差率</w:t>
            </w:r>
          </w:p>
          <w:p w14:paraId="55404B71">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计算公式</w:t>
            </w:r>
          </w:p>
        </w:tc>
        <w:tc>
          <w:tcPr>
            <w:tcW w:w="5306" w:type="dxa"/>
            <w:tcBorders>
              <w:top w:val="single" w:color="auto" w:sz="4" w:space="0"/>
              <w:left w:val="single" w:color="auto" w:sz="4" w:space="0"/>
              <w:right w:val="single" w:color="auto" w:sz="4" w:space="0"/>
            </w:tcBorders>
            <w:noWrap w:val="0"/>
            <w:vAlign w:val="center"/>
          </w:tcPr>
          <w:p w14:paraId="0B5637F8">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偏差率=100% ×（投标人报价-评标基准价）/评标基准价</w:t>
            </w:r>
          </w:p>
        </w:tc>
      </w:tr>
      <w:tr w14:paraId="6DB7D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gridSpan w:val="2"/>
            <w:tcBorders>
              <w:top w:val="nil"/>
              <w:bottom w:val="single" w:color="auto" w:sz="4" w:space="0"/>
              <w:right w:val="single" w:color="auto" w:sz="4" w:space="0"/>
            </w:tcBorders>
            <w:noWrap w:val="0"/>
            <w:vAlign w:val="center"/>
          </w:tcPr>
          <w:p w14:paraId="5AD87A6B">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条款号</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025FE1E5">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评分因素</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3E58EEDD">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评分标准</w:t>
            </w:r>
          </w:p>
        </w:tc>
      </w:tr>
      <w:tr w14:paraId="5422B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restart"/>
            <w:tcBorders>
              <w:top w:val="single" w:color="auto" w:sz="4" w:space="0"/>
              <w:right w:val="single" w:color="auto" w:sz="4" w:space="0"/>
            </w:tcBorders>
            <w:noWrap w:val="0"/>
            <w:vAlign w:val="center"/>
          </w:tcPr>
          <w:p w14:paraId="2AD0FB7E">
            <w:pPr>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2.2.4(1)</w:t>
            </w:r>
          </w:p>
        </w:tc>
        <w:tc>
          <w:tcPr>
            <w:tcW w:w="775" w:type="dxa"/>
            <w:vMerge w:val="restart"/>
            <w:tcBorders>
              <w:top w:val="single" w:color="auto" w:sz="4" w:space="0"/>
              <w:right w:val="single" w:color="auto" w:sz="4" w:space="0"/>
            </w:tcBorders>
            <w:noWrap w:val="0"/>
            <w:vAlign w:val="center"/>
          </w:tcPr>
          <w:p w14:paraId="3C688DEF">
            <w:pPr>
              <w:jc w:val="center"/>
              <w:rPr>
                <w:rFonts w:hint="default"/>
                <w:color w:val="auto"/>
                <w:highlight w:val="none"/>
              </w:rPr>
            </w:pPr>
            <w:r>
              <w:rPr>
                <w:rFonts w:hint="default"/>
                <w:color w:val="auto"/>
                <w:highlight w:val="none"/>
              </w:rPr>
              <w:t>施工组织设计评分标准</w:t>
            </w:r>
          </w:p>
          <w:p w14:paraId="1EC66DC4">
            <w:pPr>
              <w:pStyle w:val="15"/>
              <w:rPr>
                <w:rFonts w:hint="default" w:eastAsia="宋体"/>
                <w:color w:val="auto"/>
                <w:highlight w:val="none"/>
                <w:lang w:val="en-US" w:eastAsia="zh-CN"/>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18A564E">
            <w:pPr>
              <w:jc w:val="left"/>
              <w:rPr>
                <w:rFonts w:hint="default" w:ascii="Times New Roman" w:hAnsi="Times New Roman" w:eastAsia="宋体" w:cs="Times New Roman"/>
                <w:color w:val="auto"/>
                <w:sz w:val="21"/>
                <w:szCs w:val="21"/>
                <w:highlight w:val="none"/>
              </w:rPr>
            </w:pPr>
            <w:r>
              <w:rPr>
                <w:color w:val="auto"/>
                <w:highlight w:val="none"/>
              </w:rPr>
              <w:t>总体概述（</w:t>
            </w:r>
            <w:r>
              <w:rPr>
                <w:rFonts w:hint="eastAsia"/>
                <w:color w:val="auto"/>
                <w:highlight w:val="none"/>
                <w:lang w:val="en-US" w:eastAsia="zh-CN"/>
              </w:rPr>
              <w:t>3</w:t>
            </w:r>
            <w:r>
              <w:rPr>
                <w:color w:val="auto"/>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65990E73">
            <w:pPr>
              <w:jc w:val="left"/>
              <w:rPr>
                <w:rFonts w:hint="eastAsia" w:eastAsia="宋体"/>
                <w:color w:val="auto"/>
                <w:highlight w:val="none"/>
                <w:lang w:eastAsia="zh-CN"/>
              </w:rPr>
            </w:pPr>
            <w:r>
              <w:rPr>
                <w:rFonts w:hint="default"/>
                <w:color w:val="auto"/>
                <w:highlight w:val="none"/>
              </w:rPr>
              <w:t xml:space="preserve">优等 </w:t>
            </w:r>
            <w:r>
              <w:rPr>
                <w:rFonts w:hint="eastAsia"/>
                <w:color w:val="auto"/>
                <w:highlight w:val="none"/>
                <w:lang w:val="en-US" w:eastAsia="zh-CN"/>
              </w:rPr>
              <w:t>3</w:t>
            </w:r>
            <w:r>
              <w:rPr>
                <w:rFonts w:hint="default"/>
                <w:color w:val="auto"/>
                <w:highlight w:val="none"/>
              </w:rPr>
              <w:t>.0-2.</w:t>
            </w:r>
            <w:r>
              <w:rPr>
                <w:rFonts w:hint="eastAsia"/>
                <w:color w:val="auto"/>
                <w:highlight w:val="none"/>
                <w:lang w:val="en-US" w:eastAsia="zh-CN"/>
              </w:rPr>
              <w:t>1</w:t>
            </w:r>
            <w:r>
              <w:rPr>
                <w:rFonts w:hint="default"/>
                <w:color w:val="auto"/>
                <w:highlight w:val="none"/>
              </w:rPr>
              <w:t xml:space="preserve"> 分：对项目总体认识全面深刻，论述完整清晰，总体组织符合实际、总体设计符合规范，总体计划合理，综合措施科学。 良好 2.</w:t>
            </w:r>
            <w:r>
              <w:rPr>
                <w:rFonts w:hint="eastAsia"/>
                <w:color w:val="auto"/>
                <w:highlight w:val="none"/>
                <w:lang w:val="en-US" w:eastAsia="zh-CN"/>
              </w:rPr>
              <w:t>0</w:t>
            </w:r>
            <w:r>
              <w:rPr>
                <w:rFonts w:hint="default"/>
                <w:color w:val="auto"/>
                <w:highlight w:val="none"/>
              </w:rPr>
              <w:t>-1.</w:t>
            </w:r>
            <w:r>
              <w:rPr>
                <w:rFonts w:hint="eastAsia"/>
                <w:color w:val="auto"/>
                <w:highlight w:val="none"/>
                <w:lang w:val="en-US" w:eastAsia="zh-CN"/>
              </w:rPr>
              <w:t>1</w:t>
            </w:r>
            <w:r>
              <w:rPr>
                <w:rFonts w:hint="default"/>
                <w:color w:val="auto"/>
                <w:highlight w:val="none"/>
              </w:rPr>
              <w:t xml:space="preserve"> 分：对项目总体认识比较全面，论述比较完整清晰，总体组织比较符合实际、总体设计比较符合规范，总体计划比较合理，综合措施比较科学。 </w:t>
            </w:r>
            <w:r>
              <w:rPr>
                <w:rFonts w:hint="eastAsia"/>
                <w:color w:val="auto"/>
                <w:highlight w:val="none"/>
                <w:lang w:val="en-US" w:eastAsia="zh-CN"/>
              </w:rPr>
              <w:t>一般</w:t>
            </w:r>
            <w:r>
              <w:rPr>
                <w:rFonts w:hint="default"/>
                <w:color w:val="auto"/>
                <w:highlight w:val="none"/>
              </w:rPr>
              <w:t xml:space="preserve"> 1.</w:t>
            </w:r>
            <w:r>
              <w:rPr>
                <w:rFonts w:hint="eastAsia"/>
                <w:color w:val="auto"/>
                <w:highlight w:val="none"/>
                <w:lang w:val="en-US" w:eastAsia="zh-CN"/>
              </w:rPr>
              <w:t>0</w:t>
            </w:r>
            <w:r>
              <w:rPr>
                <w:rFonts w:hint="default"/>
                <w:color w:val="auto"/>
                <w:highlight w:val="none"/>
              </w:rPr>
              <w:t>-0 分：对项目总体认识不全面，论述不完 整不清晰，或总体组织不够符合实际、或总体设计不够符合规范，或总体计划不够合理，或综合措施不够科学。</w:t>
            </w:r>
          </w:p>
        </w:tc>
      </w:tr>
      <w:tr w14:paraId="0EED9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71998B85">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5720EBF9">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95BD935">
            <w:pPr>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盐沼植被保育种植及固滩措施</w:t>
            </w:r>
            <w:r>
              <w:rPr>
                <w:rFonts w:hint="eastAsia" w:ascii="Times New Roman" w:hAnsi="Times New Roman" w:eastAsia="宋体" w:cs="Times New Roman"/>
                <w:color w:val="auto"/>
                <w:sz w:val="21"/>
                <w:szCs w:val="21"/>
                <w:highlight w:val="none"/>
                <w:lang w:val="en-US" w:eastAsia="zh-CN"/>
              </w:rPr>
              <w:t>方案（3分）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54A3343">
            <w:pPr>
              <w:jc w:val="left"/>
              <w:rPr>
                <w:rFonts w:hint="default"/>
                <w:color w:val="auto"/>
                <w:highlight w:val="none"/>
                <w:lang w:val="en-US" w:eastAsia="zh-CN"/>
              </w:rPr>
            </w:pPr>
            <w:r>
              <w:rPr>
                <w:rFonts w:hint="default"/>
                <w:color w:val="auto"/>
                <w:highlight w:val="none"/>
                <w:lang w:val="en-US" w:eastAsia="zh-CN"/>
              </w:rPr>
              <w:t>从</w:t>
            </w:r>
            <w:r>
              <w:rPr>
                <w:rFonts w:hint="eastAsia"/>
                <w:color w:val="auto"/>
                <w:highlight w:val="none"/>
                <w:lang w:val="en-US" w:eastAsia="zh-CN"/>
              </w:rPr>
              <w:t>方案的</w:t>
            </w:r>
            <w:r>
              <w:rPr>
                <w:rFonts w:hint="default"/>
                <w:color w:val="auto"/>
                <w:highlight w:val="none"/>
                <w:lang w:val="en-US" w:eastAsia="zh-CN"/>
              </w:rPr>
              <w:t>可操作性</w:t>
            </w:r>
            <w:r>
              <w:rPr>
                <w:rFonts w:hint="eastAsia"/>
                <w:color w:val="auto"/>
                <w:highlight w:val="none"/>
                <w:lang w:val="en-US" w:eastAsia="zh-CN"/>
              </w:rPr>
              <w:t>、科学性、</w:t>
            </w:r>
            <w:r>
              <w:rPr>
                <w:rFonts w:hint="default"/>
                <w:color w:val="auto"/>
                <w:highlight w:val="none"/>
                <w:lang w:val="en-US" w:eastAsia="zh-CN"/>
              </w:rPr>
              <w:t>完整性、</w:t>
            </w:r>
            <w:r>
              <w:rPr>
                <w:rFonts w:hint="eastAsia"/>
                <w:color w:val="auto"/>
                <w:highlight w:val="none"/>
                <w:lang w:val="en-US" w:eastAsia="zh-CN"/>
              </w:rPr>
              <w:t>准确性</w:t>
            </w:r>
            <w:r>
              <w:rPr>
                <w:rFonts w:hint="default"/>
                <w:color w:val="auto"/>
                <w:highlight w:val="none"/>
                <w:lang w:val="en-US" w:eastAsia="zh-CN"/>
              </w:rPr>
              <w:t>等维度对投标人进行考量。优等</w:t>
            </w:r>
            <w:r>
              <w:rPr>
                <w:rFonts w:hint="eastAsia"/>
                <w:color w:val="auto"/>
                <w:highlight w:val="none"/>
                <w:lang w:val="en-US" w:eastAsia="zh-CN"/>
              </w:rPr>
              <w:t>3</w:t>
            </w:r>
            <w:r>
              <w:rPr>
                <w:rFonts w:hint="default"/>
                <w:color w:val="auto"/>
                <w:highlight w:val="none"/>
                <w:lang w:val="en-US" w:eastAsia="zh-CN"/>
              </w:rPr>
              <w:t>-</w:t>
            </w:r>
            <w:r>
              <w:rPr>
                <w:rFonts w:hint="eastAsia"/>
                <w:color w:val="auto"/>
                <w:highlight w:val="none"/>
                <w:lang w:val="en-US" w:eastAsia="zh-CN"/>
              </w:rPr>
              <w:t>2.1</w:t>
            </w:r>
            <w:r>
              <w:rPr>
                <w:rFonts w:hint="default"/>
                <w:color w:val="auto"/>
                <w:highlight w:val="none"/>
                <w:lang w:val="en-US" w:eastAsia="zh-CN"/>
              </w:rPr>
              <w:t>分，良好</w:t>
            </w:r>
            <w:r>
              <w:rPr>
                <w:rFonts w:hint="eastAsia"/>
                <w:color w:val="auto"/>
                <w:highlight w:val="none"/>
                <w:lang w:val="en-US" w:eastAsia="zh-CN"/>
              </w:rPr>
              <w:t>2.0</w:t>
            </w:r>
            <w:r>
              <w:rPr>
                <w:rFonts w:hint="default"/>
                <w:color w:val="auto"/>
                <w:highlight w:val="none"/>
                <w:lang w:val="en-US" w:eastAsia="zh-CN"/>
              </w:rPr>
              <w:t>-</w:t>
            </w:r>
            <w:r>
              <w:rPr>
                <w:rFonts w:hint="eastAsia"/>
                <w:color w:val="auto"/>
                <w:highlight w:val="none"/>
                <w:lang w:val="en-US" w:eastAsia="zh-CN"/>
              </w:rPr>
              <w:t>1.1</w:t>
            </w:r>
            <w:r>
              <w:rPr>
                <w:rFonts w:hint="default"/>
                <w:color w:val="auto"/>
                <w:highlight w:val="none"/>
                <w:lang w:val="en-US" w:eastAsia="zh-CN"/>
              </w:rPr>
              <w:t>分，一般</w:t>
            </w:r>
            <w:r>
              <w:rPr>
                <w:rFonts w:hint="eastAsia"/>
                <w:color w:val="auto"/>
                <w:highlight w:val="none"/>
                <w:lang w:val="en-US" w:eastAsia="zh-CN"/>
              </w:rPr>
              <w:t>1.0</w:t>
            </w:r>
            <w:r>
              <w:rPr>
                <w:rFonts w:hint="default"/>
                <w:color w:val="auto"/>
                <w:highlight w:val="none"/>
                <w:lang w:val="en-US" w:eastAsia="zh-CN"/>
              </w:rPr>
              <w:t>-0分。</w:t>
            </w:r>
          </w:p>
        </w:tc>
      </w:tr>
      <w:tr w14:paraId="31932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650D2DE7">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39D5451B">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4EDA0EDB">
            <w:pPr>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生态护岸</w:t>
            </w:r>
            <w:r>
              <w:rPr>
                <w:rFonts w:hint="eastAsia" w:ascii="Times New Roman" w:hAnsi="Times New Roman" w:eastAsia="宋体" w:cs="Times New Roman"/>
                <w:color w:val="auto"/>
                <w:sz w:val="21"/>
                <w:szCs w:val="21"/>
                <w:highlight w:val="none"/>
                <w:lang w:val="en-US" w:eastAsia="zh-CN"/>
              </w:rPr>
              <w:t>方案（2分）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05D1815">
            <w:pPr>
              <w:jc w:val="left"/>
              <w:rPr>
                <w:rFonts w:hint="default"/>
                <w:color w:val="auto"/>
                <w:highlight w:val="none"/>
                <w:lang w:val="en-US" w:eastAsia="zh-CN"/>
              </w:rPr>
            </w:pPr>
            <w:r>
              <w:rPr>
                <w:rFonts w:hint="default"/>
                <w:color w:val="auto"/>
                <w:highlight w:val="none"/>
                <w:lang w:val="en-US" w:eastAsia="zh-CN"/>
              </w:rPr>
              <w:t>从</w:t>
            </w:r>
            <w:r>
              <w:rPr>
                <w:rFonts w:hint="eastAsia"/>
                <w:color w:val="auto"/>
                <w:highlight w:val="none"/>
                <w:lang w:val="en-US" w:eastAsia="zh-CN"/>
              </w:rPr>
              <w:t>方案的</w:t>
            </w:r>
            <w:r>
              <w:rPr>
                <w:rFonts w:hint="default"/>
                <w:color w:val="auto"/>
                <w:highlight w:val="none"/>
                <w:lang w:val="en-US" w:eastAsia="zh-CN"/>
              </w:rPr>
              <w:t>可操作性</w:t>
            </w:r>
            <w:r>
              <w:rPr>
                <w:rFonts w:hint="eastAsia"/>
                <w:color w:val="auto"/>
                <w:highlight w:val="none"/>
                <w:lang w:val="en-US" w:eastAsia="zh-CN"/>
              </w:rPr>
              <w:t>、科学性、</w:t>
            </w:r>
            <w:r>
              <w:rPr>
                <w:rFonts w:hint="default"/>
                <w:color w:val="auto"/>
                <w:highlight w:val="none"/>
                <w:lang w:val="en-US" w:eastAsia="zh-CN"/>
              </w:rPr>
              <w:t>完整性、</w:t>
            </w:r>
            <w:r>
              <w:rPr>
                <w:rFonts w:hint="eastAsia"/>
                <w:color w:val="auto"/>
                <w:highlight w:val="none"/>
                <w:lang w:val="en-US" w:eastAsia="zh-CN"/>
              </w:rPr>
              <w:t>准确性</w:t>
            </w:r>
            <w:r>
              <w:rPr>
                <w:rFonts w:hint="default"/>
                <w:color w:val="auto"/>
                <w:highlight w:val="none"/>
                <w:lang w:val="en-US" w:eastAsia="zh-CN"/>
              </w:rPr>
              <w:t>等维度对投标人进行考量。优等</w:t>
            </w:r>
            <w:r>
              <w:rPr>
                <w:rFonts w:hint="eastAsia"/>
                <w:color w:val="auto"/>
                <w:highlight w:val="none"/>
                <w:lang w:val="en-US" w:eastAsia="zh-CN"/>
              </w:rPr>
              <w:t>2</w:t>
            </w:r>
            <w:r>
              <w:rPr>
                <w:rFonts w:hint="default"/>
                <w:color w:val="auto"/>
                <w:highlight w:val="none"/>
                <w:lang w:val="en-US" w:eastAsia="zh-CN"/>
              </w:rPr>
              <w:t>-</w:t>
            </w:r>
            <w:r>
              <w:rPr>
                <w:rFonts w:hint="eastAsia"/>
                <w:color w:val="auto"/>
                <w:highlight w:val="none"/>
                <w:lang w:val="en-US" w:eastAsia="zh-CN"/>
              </w:rPr>
              <w:t>1.4</w:t>
            </w:r>
            <w:r>
              <w:rPr>
                <w:rFonts w:hint="default"/>
                <w:color w:val="auto"/>
                <w:highlight w:val="none"/>
                <w:lang w:val="en-US" w:eastAsia="zh-CN"/>
              </w:rPr>
              <w:t>分，良好</w:t>
            </w:r>
            <w:r>
              <w:rPr>
                <w:rFonts w:hint="eastAsia"/>
                <w:color w:val="auto"/>
                <w:highlight w:val="none"/>
                <w:lang w:val="en-US" w:eastAsia="zh-CN"/>
              </w:rPr>
              <w:t>1.3</w:t>
            </w:r>
            <w:r>
              <w:rPr>
                <w:rFonts w:hint="default"/>
                <w:color w:val="auto"/>
                <w:highlight w:val="none"/>
                <w:lang w:val="en-US" w:eastAsia="zh-CN"/>
              </w:rPr>
              <w:t>-</w:t>
            </w:r>
            <w:r>
              <w:rPr>
                <w:rFonts w:hint="eastAsia"/>
                <w:color w:val="auto"/>
                <w:highlight w:val="none"/>
                <w:lang w:val="en-US" w:eastAsia="zh-CN"/>
              </w:rPr>
              <w:t>0</w:t>
            </w:r>
            <w:r>
              <w:rPr>
                <w:rFonts w:hint="default"/>
                <w:color w:val="auto"/>
                <w:highlight w:val="none"/>
                <w:lang w:val="en-US" w:eastAsia="zh-CN"/>
              </w:rPr>
              <w:t>.</w:t>
            </w:r>
            <w:r>
              <w:rPr>
                <w:rFonts w:hint="eastAsia"/>
                <w:color w:val="auto"/>
                <w:highlight w:val="none"/>
                <w:lang w:val="en-US" w:eastAsia="zh-CN"/>
              </w:rPr>
              <w:t>7</w:t>
            </w:r>
            <w:r>
              <w:rPr>
                <w:rFonts w:hint="default"/>
                <w:color w:val="auto"/>
                <w:highlight w:val="none"/>
                <w:lang w:val="en-US" w:eastAsia="zh-CN"/>
              </w:rPr>
              <w:t>分，一般</w:t>
            </w:r>
            <w:r>
              <w:rPr>
                <w:rFonts w:hint="eastAsia"/>
                <w:color w:val="auto"/>
                <w:highlight w:val="none"/>
                <w:lang w:val="en-US" w:eastAsia="zh-CN"/>
              </w:rPr>
              <w:t>0</w:t>
            </w:r>
            <w:r>
              <w:rPr>
                <w:rFonts w:hint="default"/>
                <w:color w:val="auto"/>
                <w:highlight w:val="none"/>
                <w:lang w:val="en-US" w:eastAsia="zh-CN"/>
              </w:rPr>
              <w:t>.</w:t>
            </w:r>
            <w:r>
              <w:rPr>
                <w:rFonts w:hint="eastAsia"/>
                <w:color w:val="auto"/>
                <w:highlight w:val="none"/>
                <w:lang w:val="en-US" w:eastAsia="zh-CN"/>
              </w:rPr>
              <w:t>6</w:t>
            </w:r>
            <w:r>
              <w:rPr>
                <w:rFonts w:hint="default"/>
                <w:color w:val="auto"/>
                <w:highlight w:val="none"/>
                <w:lang w:val="en-US" w:eastAsia="zh-CN"/>
              </w:rPr>
              <w:t>-0分。</w:t>
            </w:r>
          </w:p>
        </w:tc>
      </w:tr>
      <w:tr w14:paraId="7941A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9" w:type="dxa"/>
            <w:vMerge w:val="continue"/>
            <w:tcBorders>
              <w:right w:val="single" w:color="auto" w:sz="4" w:space="0"/>
            </w:tcBorders>
            <w:noWrap w:val="0"/>
            <w:vAlign w:val="top"/>
          </w:tcPr>
          <w:p w14:paraId="1764EECC">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7012A0EC">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E5FF9D2">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湿地修复方案（2分）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15807A9">
            <w:pPr>
              <w:jc w:val="left"/>
              <w:rPr>
                <w:rFonts w:hint="default"/>
                <w:color w:val="auto"/>
                <w:highlight w:val="none"/>
                <w:lang w:val="en-US" w:eastAsia="zh-CN"/>
              </w:rPr>
            </w:pPr>
            <w:r>
              <w:rPr>
                <w:rFonts w:hint="default"/>
                <w:color w:val="auto"/>
                <w:highlight w:val="none"/>
                <w:lang w:val="en-US" w:eastAsia="zh-CN"/>
              </w:rPr>
              <w:t>从</w:t>
            </w:r>
            <w:r>
              <w:rPr>
                <w:rFonts w:hint="eastAsia"/>
                <w:color w:val="auto"/>
                <w:highlight w:val="none"/>
                <w:lang w:val="en-US" w:eastAsia="zh-CN"/>
              </w:rPr>
              <w:t>方案的</w:t>
            </w:r>
            <w:r>
              <w:rPr>
                <w:rFonts w:hint="default"/>
                <w:color w:val="auto"/>
                <w:highlight w:val="none"/>
                <w:lang w:val="en-US" w:eastAsia="zh-CN"/>
              </w:rPr>
              <w:t>可操作性</w:t>
            </w:r>
            <w:r>
              <w:rPr>
                <w:rFonts w:hint="eastAsia"/>
                <w:color w:val="auto"/>
                <w:highlight w:val="none"/>
                <w:lang w:val="en-US" w:eastAsia="zh-CN"/>
              </w:rPr>
              <w:t>、科学性、</w:t>
            </w:r>
            <w:r>
              <w:rPr>
                <w:rFonts w:hint="default"/>
                <w:color w:val="auto"/>
                <w:highlight w:val="none"/>
                <w:lang w:val="en-US" w:eastAsia="zh-CN"/>
              </w:rPr>
              <w:t>完整性、</w:t>
            </w:r>
            <w:r>
              <w:rPr>
                <w:rFonts w:hint="eastAsia"/>
                <w:color w:val="auto"/>
                <w:highlight w:val="none"/>
                <w:lang w:val="en-US" w:eastAsia="zh-CN"/>
              </w:rPr>
              <w:t>准确性</w:t>
            </w:r>
            <w:r>
              <w:rPr>
                <w:rFonts w:hint="default"/>
                <w:color w:val="auto"/>
                <w:highlight w:val="none"/>
                <w:lang w:val="en-US" w:eastAsia="zh-CN"/>
              </w:rPr>
              <w:t>等维度对投标人进行考量。优等</w:t>
            </w:r>
            <w:r>
              <w:rPr>
                <w:rFonts w:hint="eastAsia"/>
                <w:color w:val="auto"/>
                <w:highlight w:val="none"/>
                <w:lang w:val="en-US" w:eastAsia="zh-CN"/>
              </w:rPr>
              <w:t>2</w:t>
            </w:r>
            <w:r>
              <w:rPr>
                <w:rFonts w:hint="default"/>
                <w:color w:val="auto"/>
                <w:highlight w:val="none"/>
                <w:lang w:val="en-US" w:eastAsia="zh-CN"/>
              </w:rPr>
              <w:t>-</w:t>
            </w:r>
            <w:r>
              <w:rPr>
                <w:rFonts w:hint="eastAsia"/>
                <w:color w:val="auto"/>
                <w:highlight w:val="none"/>
                <w:lang w:val="en-US" w:eastAsia="zh-CN"/>
              </w:rPr>
              <w:t>1.4</w:t>
            </w:r>
            <w:r>
              <w:rPr>
                <w:rFonts w:hint="default"/>
                <w:color w:val="auto"/>
                <w:highlight w:val="none"/>
                <w:lang w:val="en-US" w:eastAsia="zh-CN"/>
              </w:rPr>
              <w:t>分，良好</w:t>
            </w:r>
            <w:r>
              <w:rPr>
                <w:rFonts w:hint="eastAsia"/>
                <w:color w:val="auto"/>
                <w:highlight w:val="none"/>
                <w:lang w:val="en-US" w:eastAsia="zh-CN"/>
              </w:rPr>
              <w:t>1.3</w:t>
            </w:r>
            <w:r>
              <w:rPr>
                <w:rFonts w:hint="default"/>
                <w:color w:val="auto"/>
                <w:highlight w:val="none"/>
                <w:lang w:val="en-US" w:eastAsia="zh-CN"/>
              </w:rPr>
              <w:t>-</w:t>
            </w:r>
            <w:r>
              <w:rPr>
                <w:rFonts w:hint="eastAsia"/>
                <w:color w:val="auto"/>
                <w:highlight w:val="none"/>
                <w:lang w:val="en-US" w:eastAsia="zh-CN"/>
              </w:rPr>
              <w:t>0</w:t>
            </w:r>
            <w:r>
              <w:rPr>
                <w:rFonts w:hint="default"/>
                <w:color w:val="auto"/>
                <w:highlight w:val="none"/>
                <w:lang w:val="en-US" w:eastAsia="zh-CN"/>
              </w:rPr>
              <w:t>.</w:t>
            </w:r>
            <w:r>
              <w:rPr>
                <w:rFonts w:hint="eastAsia"/>
                <w:color w:val="auto"/>
                <w:highlight w:val="none"/>
                <w:lang w:val="en-US" w:eastAsia="zh-CN"/>
              </w:rPr>
              <w:t>7</w:t>
            </w:r>
            <w:r>
              <w:rPr>
                <w:rFonts w:hint="default"/>
                <w:color w:val="auto"/>
                <w:highlight w:val="none"/>
                <w:lang w:val="en-US" w:eastAsia="zh-CN"/>
              </w:rPr>
              <w:t>分，一般</w:t>
            </w:r>
            <w:r>
              <w:rPr>
                <w:rFonts w:hint="eastAsia"/>
                <w:color w:val="auto"/>
                <w:highlight w:val="none"/>
                <w:lang w:val="en-US" w:eastAsia="zh-CN"/>
              </w:rPr>
              <w:t>0</w:t>
            </w:r>
            <w:r>
              <w:rPr>
                <w:rFonts w:hint="default"/>
                <w:color w:val="auto"/>
                <w:highlight w:val="none"/>
                <w:lang w:val="en-US" w:eastAsia="zh-CN"/>
              </w:rPr>
              <w:t>.</w:t>
            </w:r>
            <w:r>
              <w:rPr>
                <w:rFonts w:hint="eastAsia"/>
                <w:color w:val="auto"/>
                <w:highlight w:val="none"/>
                <w:lang w:val="en-US" w:eastAsia="zh-CN"/>
              </w:rPr>
              <w:t>6</w:t>
            </w:r>
            <w:r>
              <w:rPr>
                <w:rFonts w:hint="default"/>
                <w:color w:val="auto"/>
                <w:highlight w:val="none"/>
                <w:lang w:val="en-US" w:eastAsia="zh-CN"/>
              </w:rPr>
              <w:t>-0分。</w:t>
            </w:r>
          </w:p>
        </w:tc>
      </w:tr>
      <w:tr w14:paraId="18A88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4030BBE8">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221B1D32">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44BE0F5">
            <w:pPr>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河口水动力改善方案（2分）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46BC621E">
            <w:pPr>
              <w:jc w:val="left"/>
              <w:rPr>
                <w:rFonts w:hint="default"/>
                <w:highlight w:val="none"/>
                <w:lang w:val="en-US" w:eastAsia="zh-CN"/>
              </w:rPr>
            </w:pPr>
            <w:r>
              <w:rPr>
                <w:rFonts w:hint="default"/>
                <w:highlight w:val="none"/>
                <w:lang w:val="en-US" w:eastAsia="zh-CN"/>
              </w:rPr>
              <w:t>从</w:t>
            </w:r>
            <w:r>
              <w:rPr>
                <w:rFonts w:hint="eastAsia"/>
                <w:highlight w:val="none"/>
                <w:lang w:val="en-US" w:eastAsia="zh-CN"/>
              </w:rPr>
              <w:t>方案的</w:t>
            </w:r>
            <w:r>
              <w:rPr>
                <w:rFonts w:hint="default"/>
                <w:highlight w:val="none"/>
                <w:lang w:val="en-US" w:eastAsia="zh-CN"/>
              </w:rPr>
              <w:t>可操作性</w:t>
            </w:r>
            <w:r>
              <w:rPr>
                <w:rFonts w:hint="eastAsia"/>
                <w:highlight w:val="none"/>
                <w:lang w:val="en-US" w:eastAsia="zh-CN"/>
              </w:rPr>
              <w:t>、科学性、</w:t>
            </w:r>
            <w:r>
              <w:rPr>
                <w:rFonts w:hint="default"/>
                <w:highlight w:val="none"/>
                <w:lang w:val="en-US" w:eastAsia="zh-CN"/>
              </w:rPr>
              <w:t>完整性、</w:t>
            </w:r>
            <w:r>
              <w:rPr>
                <w:rFonts w:hint="eastAsia"/>
                <w:highlight w:val="none"/>
                <w:lang w:val="en-US" w:eastAsia="zh-CN"/>
              </w:rPr>
              <w:t>准确性</w:t>
            </w:r>
            <w:r>
              <w:rPr>
                <w:rFonts w:hint="default"/>
                <w:highlight w:val="none"/>
                <w:lang w:val="en-US" w:eastAsia="zh-CN"/>
              </w:rPr>
              <w:t>等维度对投标人进行考量。优等</w:t>
            </w:r>
            <w:r>
              <w:rPr>
                <w:rFonts w:hint="eastAsia"/>
                <w:highlight w:val="none"/>
                <w:lang w:val="en-US" w:eastAsia="zh-CN"/>
              </w:rPr>
              <w:t>2</w:t>
            </w:r>
            <w:r>
              <w:rPr>
                <w:rFonts w:hint="default"/>
                <w:highlight w:val="none"/>
                <w:lang w:val="en-US" w:eastAsia="zh-CN"/>
              </w:rPr>
              <w:t>-</w:t>
            </w:r>
            <w:r>
              <w:rPr>
                <w:rFonts w:hint="eastAsia"/>
                <w:highlight w:val="none"/>
                <w:lang w:val="en-US" w:eastAsia="zh-CN"/>
              </w:rPr>
              <w:t>1.4</w:t>
            </w:r>
            <w:r>
              <w:rPr>
                <w:rFonts w:hint="default"/>
                <w:highlight w:val="none"/>
                <w:lang w:val="en-US" w:eastAsia="zh-CN"/>
              </w:rPr>
              <w:t>分，良好</w:t>
            </w:r>
            <w:r>
              <w:rPr>
                <w:rFonts w:hint="eastAsia"/>
                <w:highlight w:val="none"/>
                <w:lang w:val="en-US" w:eastAsia="zh-CN"/>
              </w:rPr>
              <w:t>1.3</w:t>
            </w:r>
            <w:r>
              <w:rPr>
                <w:rFonts w:hint="default"/>
                <w:highlight w:val="none"/>
                <w:lang w:val="en-US" w:eastAsia="zh-CN"/>
              </w:rPr>
              <w:t>-</w:t>
            </w:r>
            <w:r>
              <w:rPr>
                <w:rFonts w:hint="eastAsia"/>
                <w:highlight w:val="none"/>
                <w:lang w:val="en-US" w:eastAsia="zh-CN"/>
              </w:rPr>
              <w:t>0</w:t>
            </w:r>
            <w:r>
              <w:rPr>
                <w:rFonts w:hint="default"/>
                <w:highlight w:val="none"/>
                <w:lang w:val="en-US" w:eastAsia="zh-CN"/>
              </w:rPr>
              <w:t>.</w:t>
            </w:r>
            <w:r>
              <w:rPr>
                <w:rFonts w:hint="eastAsia"/>
                <w:highlight w:val="none"/>
                <w:lang w:val="en-US" w:eastAsia="zh-CN"/>
              </w:rPr>
              <w:t>7</w:t>
            </w:r>
            <w:r>
              <w:rPr>
                <w:rFonts w:hint="default"/>
                <w:highlight w:val="none"/>
                <w:lang w:val="en-US" w:eastAsia="zh-CN"/>
              </w:rPr>
              <w:t>分，一般</w:t>
            </w:r>
            <w:r>
              <w:rPr>
                <w:rFonts w:hint="eastAsia"/>
                <w:highlight w:val="none"/>
                <w:lang w:val="en-US" w:eastAsia="zh-CN"/>
              </w:rPr>
              <w:t>0</w:t>
            </w:r>
            <w:r>
              <w:rPr>
                <w:rFonts w:hint="default"/>
                <w:highlight w:val="none"/>
                <w:lang w:val="en-US" w:eastAsia="zh-CN"/>
              </w:rPr>
              <w:t>.</w:t>
            </w:r>
            <w:r>
              <w:rPr>
                <w:rFonts w:hint="eastAsia"/>
                <w:highlight w:val="none"/>
                <w:lang w:val="en-US" w:eastAsia="zh-CN"/>
              </w:rPr>
              <w:t>6</w:t>
            </w:r>
            <w:r>
              <w:rPr>
                <w:rFonts w:hint="default"/>
                <w:highlight w:val="none"/>
                <w:lang w:val="en-US" w:eastAsia="zh-CN"/>
              </w:rPr>
              <w:t>-0分。</w:t>
            </w:r>
          </w:p>
        </w:tc>
      </w:tr>
      <w:tr w14:paraId="1ED94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1AF5C818">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7F39A5CF">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0B49FAC4">
            <w:pPr>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底栖生物增殖修复方案（2分）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560832BA">
            <w:pPr>
              <w:jc w:val="left"/>
              <w:rPr>
                <w:rFonts w:hint="default"/>
                <w:highlight w:val="none"/>
                <w:lang w:val="en-US" w:eastAsia="zh-CN"/>
              </w:rPr>
            </w:pPr>
            <w:r>
              <w:rPr>
                <w:rFonts w:hint="default"/>
                <w:highlight w:val="none"/>
                <w:lang w:val="en-US" w:eastAsia="zh-CN"/>
              </w:rPr>
              <w:t>从</w:t>
            </w:r>
            <w:r>
              <w:rPr>
                <w:rFonts w:hint="eastAsia"/>
                <w:highlight w:val="none"/>
                <w:lang w:val="en-US" w:eastAsia="zh-CN"/>
              </w:rPr>
              <w:t>方案的</w:t>
            </w:r>
            <w:r>
              <w:rPr>
                <w:rFonts w:hint="default"/>
                <w:highlight w:val="none"/>
                <w:lang w:val="en-US" w:eastAsia="zh-CN"/>
              </w:rPr>
              <w:t>可操作性</w:t>
            </w:r>
            <w:r>
              <w:rPr>
                <w:rFonts w:hint="eastAsia"/>
                <w:highlight w:val="none"/>
                <w:lang w:val="en-US" w:eastAsia="zh-CN"/>
              </w:rPr>
              <w:t>、科学性、</w:t>
            </w:r>
            <w:r>
              <w:rPr>
                <w:rFonts w:hint="default"/>
                <w:highlight w:val="none"/>
                <w:lang w:val="en-US" w:eastAsia="zh-CN"/>
              </w:rPr>
              <w:t>完整性、</w:t>
            </w:r>
            <w:r>
              <w:rPr>
                <w:rFonts w:hint="eastAsia"/>
                <w:highlight w:val="none"/>
                <w:lang w:val="en-US" w:eastAsia="zh-CN"/>
              </w:rPr>
              <w:t>准确性</w:t>
            </w:r>
            <w:r>
              <w:rPr>
                <w:rFonts w:hint="default"/>
                <w:highlight w:val="none"/>
                <w:lang w:val="en-US" w:eastAsia="zh-CN"/>
              </w:rPr>
              <w:t>等维度对投标人进行考量。优等</w:t>
            </w:r>
            <w:r>
              <w:rPr>
                <w:rFonts w:hint="eastAsia"/>
                <w:highlight w:val="none"/>
                <w:lang w:val="en-US" w:eastAsia="zh-CN"/>
              </w:rPr>
              <w:t>2</w:t>
            </w:r>
            <w:r>
              <w:rPr>
                <w:rFonts w:hint="default"/>
                <w:highlight w:val="none"/>
                <w:lang w:val="en-US" w:eastAsia="zh-CN"/>
              </w:rPr>
              <w:t>-</w:t>
            </w:r>
            <w:r>
              <w:rPr>
                <w:rFonts w:hint="eastAsia"/>
                <w:highlight w:val="none"/>
                <w:lang w:val="en-US" w:eastAsia="zh-CN"/>
              </w:rPr>
              <w:t>1.4</w:t>
            </w:r>
            <w:r>
              <w:rPr>
                <w:rFonts w:hint="default"/>
                <w:highlight w:val="none"/>
                <w:lang w:val="en-US" w:eastAsia="zh-CN"/>
              </w:rPr>
              <w:t>分，良好</w:t>
            </w:r>
            <w:r>
              <w:rPr>
                <w:rFonts w:hint="eastAsia"/>
                <w:highlight w:val="none"/>
                <w:lang w:val="en-US" w:eastAsia="zh-CN"/>
              </w:rPr>
              <w:t>1.3</w:t>
            </w:r>
            <w:r>
              <w:rPr>
                <w:rFonts w:hint="default"/>
                <w:highlight w:val="none"/>
                <w:lang w:val="en-US" w:eastAsia="zh-CN"/>
              </w:rPr>
              <w:t>-</w:t>
            </w:r>
            <w:r>
              <w:rPr>
                <w:rFonts w:hint="eastAsia"/>
                <w:highlight w:val="none"/>
                <w:lang w:val="en-US" w:eastAsia="zh-CN"/>
              </w:rPr>
              <w:t>0</w:t>
            </w:r>
            <w:r>
              <w:rPr>
                <w:rFonts w:hint="default"/>
                <w:highlight w:val="none"/>
                <w:lang w:val="en-US" w:eastAsia="zh-CN"/>
              </w:rPr>
              <w:t>.</w:t>
            </w:r>
            <w:r>
              <w:rPr>
                <w:rFonts w:hint="eastAsia"/>
                <w:highlight w:val="none"/>
                <w:lang w:val="en-US" w:eastAsia="zh-CN"/>
              </w:rPr>
              <w:t>7</w:t>
            </w:r>
            <w:r>
              <w:rPr>
                <w:rFonts w:hint="default"/>
                <w:highlight w:val="none"/>
                <w:lang w:val="en-US" w:eastAsia="zh-CN"/>
              </w:rPr>
              <w:t>分，一般</w:t>
            </w:r>
            <w:r>
              <w:rPr>
                <w:rFonts w:hint="eastAsia"/>
                <w:highlight w:val="none"/>
                <w:lang w:val="en-US" w:eastAsia="zh-CN"/>
              </w:rPr>
              <w:t>0</w:t>
            </w:r>
            <w:r>
              <w:rPr>
                <w:rFonts w:hint="default"/>
                <w:highlight w:val="none"/>
                <w:lang w:val="en-US" w:eastAsia="zh-CN"/>
              </w:rPr>
              <w:t>.</w:t>
            </w:r>
            <w:r>
              <w:rPr>
                <w:rFonts w:hint="eastAsia"/>
                <w:highlight w:val="none"/>
                <w:lang w:val="en-US" w:eastAsia="zh-CN"/>
              </w:rPr>
              <w:t>6</w:t>
            </w:r>
            <w:r>
              <w:rPr>
                <w:rFonts w:hint="default"/>
                <w:highlight w:val="none"/>
                <w:lang w:val="en-US" w:eastAsia="zh-CN"/>
              </w:rPr>
              <w:t>-0分。</w:t>
            </w:r>
          </w:p>
        </w:tc>
      </w:tr>
      <w:tr w14:paraId="36D18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6CFA27F0">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556769D3">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3AAFF28">
            <w:pPr>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沙滩养护方案（2分）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28BD2868">
            <w:pPr>
              <w:jc w:val="left"/>
              <w:rPr>
                <w:rFonts w:hint="default"/>
                <w:highlight w:val="none"/>
                <w:lang w:val="en-US" w:eastAsia="zh-CN"/>
              </w:rPr>
            </w:pPr>
            <w:r>
              <w:rPr>
                <w:rFonts w:hint="default"/>
                <w:highlight w:val="none"/>
                <w:lang w:val="en-US" w:eastAsia="zh-CN"/>
              </w:rPr>
              <w:t>从</w:t>
            </w:r>
            <w:r>
              <w:rPr>
                <w:rFonts w:hint="eastAsia"/>
                <w:highlight w:val="none"/>
                <w:lang w:val="en-US" w:eastAsia="zh-CN"/>
              </w:rPr>
              <w:t>方案的</w:t>
            </w:r>
            <w:r>
              <w:rPr>
                <w:rFonts w:hint="default"/>
                <w:highlight w:val="none"/>
                <w:lang w:val="en-US" w:eastAsia="zh-CN"/>
              </w:rPr>
              <w:t>可操作性</w:t>
            </w:r>
            <w:r>
              <w:rPr>
                <w:rFonts w:hint="eastAsia"/>
                <w:highlight w:val="none"/>
                <w:lang w:val="en-US" w:eastAsia="zh-CN"/>
              </w:rPr>
              <w:t>、科学性、</w:t>
            </w:r>
            <w:r>
              <w:rPr>
                <w:rFonts w:hint="default"/>
                <w:highlight w:val="none"/>
                <w:lang w:val="en-US" w:eastAsia="zh-CN"/>
              </w:rPr>
              <w:t>完整性、</w:t>
            </w:r>
            <w:r>
              <w:rPr>
                <w:rFonts w:hint="eastAsia"/>
                <w:highlight w:val="none"/>
                <w:lang w:val="en-US" w:eastAsia="zh-CN"/>
              </w:rPr>
              <w:t>准确性</w:t>
            </w:r>
            <w:r>
              <w:rPr>
                <w:rFonts w:hint="default"/>
                <w:highlight w:val="none"/>
                <w:lang w:val="en-US" w:eastAsia="zh-CN"/>
              </w:rPr>
              <w:t>等维度对投标人进行考量。优等</w:t>
            </w:r>
            <w:r>
              <w:rPr>
                <w:rFonts w:hint="eastAsia"/>
                <w:highlight w:val="none"/>
                <w:lang w:val="en-US" w:eastAsia="zh-CN"/>
              </w:rPr>
              <w:t>2</w:t>
            </w:r>
            <w:r>
              <w:rPr>
                <w:rFonts w:hint="default"/>
                <w:highlight w:val="none"/>
                <w:lang w:val="en-US" w:eastAsia="zh-CN"/>
              </w:rPr>
              <w:t>-</w:t>
            </w:r>
            <w:r>
              <w:rPr>
                <w:rFonts w:hint="eastAsia"/>
                <w:highlight w:val="none"/>
                <w:lang w:val="en-US" w:eastAsia="zh-CN"/>
              </w:rPr>
              <w:t>1.4</w:t>
            </w:r>
            <w:r>
              <w:rPr>
                <w:rFonts w:hint="default"/>
                <w:highlight w:val="none"/>
                <w:lang w:val="en-US" w:eastAsia="zh-CN"/>
              </w:rPr>
              <w:t>分，良好</w:t>
            </w:r>
            <w:r>
              <w:rPr>
                <w:rFonts w:hint="eastAsia"/>
                <w:highlight w:val="none"/>
                <w:lang w:val="en-US" w:eastAsia="zh-CN"/>
              </w:rPr>
              <w:t>1.3</w:t>
            </w:r>
            <w:r>
              <w:rPr>
                <w:rFonts w:hint="default"/>
                <w:highlight w:val="none"/>
                <w:lang w:val="en-US" w:eastAsia="zh-CN"/>
              </w:rPr>
              <w:t>-</w:t>
            </w:r>
            <w:r>
              <w:rPr>
                <w:rFonts w:hint="eastAsia"/>
                <w:highlight w:val="none"/>
                <w:lang w:val="en-US" w:eastAsia="zh-CN"/>
              </w:rPr>
              <w:t>0</w:t>
            </w:r>
            <w:r>
              <w:rPr>
                <w:rFonts w:hint="default"/>
                <w:highlight w:val="none"/>
                <w:lang w:val="en-US" w:eastAsia="zh-CN"/>
              </w:rPr>
              <w:t>.</w:t>
            </w:r>
            <w:r>
              <w:rPr>
                <w:rFonts w:hint="eastAsia"/>
                <w:highlight w:val="none"/>
                <w:lang w:val="en-US" w:eastAsia="zh-CN"/>
              </w:rPr>
              <w:t>7</w:t>
            </w:r>
            <w:r>
              <w:rPr>
                <w:rFonts w:hint="default"/>
                <w:highlight w:val="none"/>
                <w:lang w:val="en-US" w:eastAsia="zh-CN"/>
              </w:rPr>
              <w:t>分，一般</w:t>
            </w:r>
            <w:r>
              <w:rPr>
                <w:rFonts w:hint="eastAsia"/>
                <w:highlight w:val="none"/>
                <w:lang w:val="en-US" w:eastAsia="zh-CN"/>
              </w:rPr>
              <w:t>0</w:t>
            </w:r>
            <w:r>
              <w:rPr>
                <w:rFonts w:hint="default"/>
                <w:highlight w:val="none"/>
                <w:lang w:val="en-US" w:eastAsia="zh-CN"/>
              </w:rPr>
              <w:t>.</w:t>
            </w:r>
            <w:r>
              <w:rPr>
                <w:rFonts w:hint="eastAsia"/>
                <w:highlight w:val="none"/>
                <w:lang w:val="en-US" w:eastAsia="zh-CN"/>
              </w:rPr>
              <w:t>6</w:t>
            </w:r>
            <w:r>
              <w:rPr>
                <w:rFonts w:hint="default"/>
                <w:highlight w:val="none"/>
                <w:lang w:val="en-US" w:eastAsia="zh-CN"/>
              </w:rPr>
              <w:t>-0分。</w:t>
            </w:r>
          </w:p>
        </w:tc>
      </w:tr>
      <w:tr w14:paraId="1D2D6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1E8814E5">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0C756F10">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79E502C">
            <w:pPr>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沙生植被种植方案（2分）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4913AAB1">
            <w:pPr>
              <w:jc w:val="left"/>
              <w:rPr>
                <w:rFonts w:hint="default"/>
                <w:highlight w:val="none"/>
                <w:lang w:val="en-US" w:eastAsia="zh-CN"/>
              </w:rPr>
            </w:pPr>
            <w:r>
              <w:rPr>
                <w:rFonts w:hint="default"/>
                <w:highlight w:val="none"/>
                <w:lang w:val="en-US" w:eastAsia="zh-CN"/>
              </w:rPr>
              <w:t>从</w:t>
            </w:r>
            <w:r>
              <w:rPr>
                <w:rFonts w:hint="eastAsia"/>
                <w:highlight w:val="none"/>
                <w:lang w:val="en-US" w:eastAsia="zh-CN"/>
              </w:rPr>
              <w:t>方案的</w:t>
            </w:r>
            <w:r>
              <w:rPr>
                <w:rFonts w:hint="default"/>
                <w:highlight w:val="none"/>
                <w:lang w:val="en-US" w:eastAsia="zh-CN"/>
              </w:rPr>
              <w:t>可操作性</w:t>
            </w:r>
            <w:r>
              <w:rPr>
                <w:rFonts w:hint="eastAsia"/>
                <w:highlight w:val="none"/>
                <w:lang w:val="en-US" w:eastAsia="zh-CN"/>
              </w:rPr>
              <w:t>、科学性、</w:t>
            </w:r>
            <w:r>
              <w:rPr>
                <w:rFonts w:hint="default"/>
                <w:highlight w:val="none"/>
                <w:lang w:val="en-US" w:eastAsia="zh-CN"/>
              </w:rPr>
              <w:t>完整性、</w:t>
            </w:r>
            <w:r>
              <w:rPr>
                <w:rFonts w:hint="eastAsia"/>
                <w:highlight w:val="none"/>
                <w:lang w:val="en-US" w:eastAsia="zh-CN"/>
              </w:rPr>
              <w:t>准确性</w:t>
            </w:r>
            <w:r>
              <w:rPr>
                <w:rFonts w:hint="default"/>
                <w:highlight w:val="none"/>
                <w:lang w:val="en-US" w:eastAsia="zh-CN"/>
              </w:rPr>
              <w:t>等维度对投标人进行考量。优等</w:t>
            </w:r>
            <w:r>
              <w:rPr>
                <w:rFonts w:hint="eastAsia"/>
                <w:highlight w:val="none"/>
                <w:lang w:val="en-US" w:eastAsia="zh-CN"/>
              </w:rPr>
              <w:t>2</w:t>
            </w:r>
            <w:r>
              <w:rPr>
                <w:rFonts w:hint="default"/>
                <w:highlight w:val="none"/>
                <w:lang w:val="en-US" w:eastAsia="zh-CN"/>
              </w:rPr>
              <w:t>-</w:t>
            </w:r>
            <w:r>
              <w:rPr>
                <w:rFonts w:hint="eastAsia"/>
                <w:highlight w:val="none"/>
                <w:lang w:val="en-US" w:eastAsia="zh-CN"/>
              </w:rPr>
              <w:t>1.4</w:t>
            </w:r>
            <w:r>
              <w:rPr>
                <w:rFonts w:hint="default"/>
                <w:highlight w:val="none"/>
                <w:lang w:val="en-US" w:eastAsia="zh-CN"/>
              </w:rPr>
              <w:t>分，良好</w:t>
            </w:r>
            <w:r>
              <w:rPr>
                <w:rFonts w:hint="eastAsia"/>
                <w:highlight w:val="none"/>
                <w:lang w:val="en-US" w:eastAsia="zh-CN"/>
              </w:rPr>
              <w:t>1.3</w:t>
            </w:r>
            <w:r>
              <w:rPr>
                <w:rFonts w:hint="default"/>
                <w:highlight w:val="none"/>
                <w:lang w:val="en-US" w:eastAsia="zh-CN"/>
              </w:rPr>
              <w:t>-</w:t>
            </w:r>
            <w:r>
              <w:rPr>
                <w:rFonts w:hint="eastAsia"/>
                <w:highlight w:val="none"/>
                <w:lang w:val="en-US" w:eastAsia="zh-CN"/>
              </w:rPr>
              <w:t>0</w:t>
            </w:r>
            <w:r>
              <w:rPr>
                <w:rFonts w:hint="default"/>
                <w:highlight w:val="none"/>
                <w:lang w:val="en-US" w:eastAsia="zh-CN"/>
              </w:rPr>
              <w:t>.</w:t>
            </w:r>
            <w:r>
              <w:rPr>
                <w:rFonts w:hint="eastAsia"/>
                <w:highlight w:val="none"/>
                <w:lang w:val="en-US" w:eastAsia="zh-CN"/>
              </w:rPr>
              <w:t>7</w:t>
            </w:r>
            <w:r>
              <w:rPr>
                <w:rFonts w:hint="default"/>
                <w:highlight w:val="none"/>
                <w:lang w:val="en-US" w:eastAsia="zh-CN"/>
              </w:rPr>
              <w:t>分，一般</w:t>
            </w:r>
            <w:r>
              <w:rPr>
                <w:rFonts w:hint="eastAsia"/>
                <w:highlight w:val="none"/>
                <w:lang w:val="en-US" w:eastAsia="zh-CN"/>
              </w:rPr>
              <w:t>0</w:t>
            </w:r>
            <w:r>
              <w:rPr>
                <w:rFonts w:hint="default"/>
                <w:highlight w:val="none"/>
                <w:lang w:val="en-US" w:eastAsia="zh-CN"/>
              </w:rPr>
              <w:t>.</w:t>
            </w:r>
            <w:r>
              <w:rPr>
                <w:rFonts w:hint="eastAsia"/>
                <w:highlight w:val="none"/>
                <w:lang w:val="en-US" w:eastAsia="zh-CN"/>
              </w:rPr>
              <w:t>6</w:t>
            </w:r>
            <w:r>
              <w:rPr>
                <w:rFonts w:hint="default"/>
                <w:highlight w:val="none"/>
                <w:lang w:val="en-US" w:eastAsia="zh-CN"/>
              </w:rPr>
              <w:t>-0分。</w:t>
            </w:r>
          </w:p>
        </w:tc>
      </w:tr>
      <w:tr w14:paraId="6A721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5AC5BA39">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1ED61CB9">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6BCC5892">
            <w:pPr>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生态缓冲带建设方案（2分）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0622E942">
            <w:pPr>
              <w:jc w:val="left"/>
              <w:rPr>
                <w:rFonts w:hint="default"/>
                <w:highlight w:val="none"/>
                <w:lang w:val="en-US" w:eastAsia="zh-CN"/>
              </w:rPr>
            </w:pPr>
            <w:r>
              <w:rPr>
                <w:rFonts w:hint="default"/>
                <w:highlight w:val="none"/>
                <w:lang w:val="en-US" w:eastAsia="zh-CN"/>
              </w:rPr>
              <w:t>从</w:t>
            </w:r>
            <w:r>
              <w:rPr>
                <w:rFonts w:hint="eastAsia"/>
                <w:highlight w:val="none"/>
                <w:lang w:val="en-US" w:eastAsia="zh-CN"/>
              </w:rPr>
              <w:t>方案的</w:t>
            </w:r>
            <w:r>
              <w:rPr>
                <w:rFonts w:hint="default"/>
                <w:highlight w:val="none"/>
                <w:lang w:val="en-US" w:eastAsia="zh-CN"/>
              </w:rPr>
              <w:t>可操作性</w:t>
            </w:r>
            <w:r>
              <w:rPr>
                <w:rFonts w:hint="eastAsia"/>
                <w:highlight w:val="none"/>
                <w:lang w:val="en-US" w:eastAsia="zh-CN"/>
              </w:rPr>
              <w:t>、科学性、</w:t>
            </w:r>
            <w:r>
              <w:rPr>
                <w:rFonts w:hint="default"/>
                <w:highlight w:val="none"/>
                <w:lang w:val="en-US" w:eastAsia="zh-CN"/>
              </w:rPr>
              <w:t>完整性、</w:t>
            </w:r>
            <w:r>
              <w:rPr>
                <w:rFonts w:hint="eastAsia"/>
                <w:highlight w:val="none"/>
                <w:lang w:val="en-US" w:eastAsia="zh-CN"/>
              </w:rPr>
              <w:t>准确性</w:t>
            </w:r>
            <w:r>
              <w:rPr>
                <w:rFonts w:hint="default"/>
                <w:highlight w:val="none"/>
                <w:lang w:val="en-US" w:eastAsia="zh-CN"/>
              </w:rPr>
              <w:t>等维度对投标人进行考量。优等</w:t>
            </w:r>
            <w:r>
              <w:rPr>
                <w:rFonts w:hint="eastAsia"/>
                <w:highlight w:val="none"/>
                <w:lang w:val="en-US" w:eastAsia="zh-CN"/>
              </w:rPr>
              <w:t>2</w:t>
            </w:r>
            <w:r>
              <w:rPr>
                <w:rFonts w:hint="default"/>
                <w:highlight w:val="none"/>
                <w:lang w:val="en-US" w:eastAsia="zh-CN"/>
              </w:rPr>
              <w:t>-</w:t>
            </w:r>
            <w:r>
              <w:rPr>
                <w:rFonts w:hint="eastAsia"/>
                <w:highlight w:val="none"/>
                <w:lang w:val="en-US" w:eastAsia="zh-CN"/>
              </w:rPr>
              <w:t>1.4</w:t>
            </w:r>
            <w:r>
              <w:rPr>
                <w:rFonts w:hint="default"/>
                <w:highlight w:val="none"/>
                <w:lang w:val="en-US" w:eastAsia="zh-CN"/>
              </w:rPr>
              <w:t>分，良好</w:t>
            </w:r>
            <w:r>
              <w:rPr>
                <w:rFonts w:hint="eastAsia"/>
                <w:highlight w:val="none"/>
                <w:lang w:val="en-US" w:eastAsia="zh-CN"/>
              </w:rPr>
              <w:t>1.3</w:t>
            </w:r>
            <w:r>
              <w:rPr>
                <w:rFonts w:hint="default"/>
                <w:highlight w:val="none"/>
                <w:lang w:val="en-US" w:eastAsia="zh-CN"/>
              </w:rPr>
              <w:t>-</w:t>
            </w:r>
            <w:r>
              <w:rPr>
                <w:rFonts w:hint="eastAsia"/>
                <w:highlight w:val="none"/>
                <w:lang w:val="en-US" w:eastAsia="zh-CN"/>
              </w:rPr>
              <w:t>0</w:t>
            </w:r>
            <w:r>
              <w:rPr>
                <w:rFonts w:hint="default"/>
                <w:highlight w:val="none"/>
                <w:lang w:val="en-US" w:eastAsia="zh-CN"/>
              </w:rPr>
              <w:t>.</w:t>
            </w:r>
            <w:r>
              <w:rPr>
                <w:rFonts w:hint="eastAsia"/>
                <w:highlight w:val="none"/>
                <w:lang w:val="en-US" w:eastAsia="zh-CN"/>
              </w:rPr>
              <w:t>7</w:t>
            </w:r>
            <w:r>
              <w:rPr>
                <w:rFonts w:hint="default"/>
                <w:highlight w:val="none"/>
                <w:lang w:val="en-US" w:eastAsia="zh-CN"/>
              </w:rPr>
              <w:t>分，一般</w:t>
            </w:r>
            <w:r>
              <w:rPr>
                <w:rFonts w:hint="eastAsia"/>
                <w:highlight w:val="none"/>
                <w:lang w:val="en-US" w:eastAsia="zh-CN"/>
              </w:rPr>
              <w:t>0</w:t>
            </w:r>
            <w:r>
              <w:rPr>
                <w:rFonts w:hint="default"/>
                <w:highlight w:val="none"/>
                <w:lang w:val="en-US" w:eastAsia="zh-CN"/>
              </w:rPr>
              <w:t>.</w:t>
            </w:r>
            <w:r>
              <w:rPr>
                <w:rFonts w:hint="eastAsia"/>
                <w:highlight w:val="none"/>
                <w:lang w:val="en-US" w:eastAsia="zh-CN"/>
              </w:rPr>
              <w:t>6</w:t>
            </w:r>
            <w:r>
              <w:rPr>
                <w:rFonts w:hint="default"/>
                <w:highlight w:val="none"/>
                <w:lang w:val="en-US" w:eastAsia="zh-CN"/>
              </w:rPr>
              <w:t>-0分。</w:t>
            </w:r>
          </w:p>
        </w:tc>
      </w:tr>
      <w:tr w14:paraId="01E2E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26711CD1">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0D2A8296">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4272C05B">
            <w:pPr>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浒苔防治及底泥清理方案（2分）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14738900">
            <w:pPr>
              <w:jc w:val="left"/>
              <w:rPr>
                <w:rFonts w:hint="default"/>
                <w:highlight w:val="none"/>
                <w:lang w:val="en-US" w:eastAsia="zh-CN"/>
              </w:rPr>
            </w:pPr>
            <w:r>
              <w:rPr>
                <w:rFonts w:hint="default"/>
                <w:highlight w:val="none"/>
                <w:lang w:val="en-US" w:eastAsia="zh-CN"/>
              </w:rPr>
              <w:t>从</w:t>
            </w:r>
            <w:r>
              <w:rPr>
                <w:rFonts w:hint="eastAsia"/>
                <w:highlight w:val="none"/>
                <w:lang w:val="en-US" w:eastAsia="zh-CN"/>
              </w:rPr>
              <w:t>方案的</w:t>
            </w:r>
            <w:r>
              <w:rPr>
                <w:rFonts w:hint="default"/>
                <w:highlight w:val="none"/>
                <w:lang w:val="en-US" w:eastAsia="zh-CN"/>
              </w:rPr>
              <w:t>可操作性</w:t>
            </w:r>
            <w:r>
              <w:rPr>
                <w:rFonts w:hint="eastAsia"/>
                <w:highlight w:val="none"/>
                <w:lang w:val="en-US" w:eastAsia="zh-CN"/>
              </w:rPr>
              <w:t>、科学性、</w:t>
            </w:r>
            <w:r>
              <w:rPr>
                <w:rFonts w:hint="default"/>
                <w:highlight w:val="none"/>
                <w:lang w:val="en-US" w:eastAsia="zh-CN"/>
              </w:rPr>
              <w:t>完整性、</w:t>
            </w:r>
            <w:r>
              <w:rPr>
                <w:rFonts w:hint="eastAsia"/>
                <w:highlight w:val="none"/>
                <w:lang w:val="en-US" w:eastAsia="zh-CN"/>
              </w:rPr>
              <w:t>准确性</w:t>
            </w:r>
            <w:r>
              <w:rPr>
                <w:rFonts w:hint="default"/>
                <w:highlight w:val="none"/>
                <w:lang w:val="en-US" w:eastAsia="zh-CN"/>
              </w:rPr>
              <w:t>等维度对投标人进行考量。优等</w:t>
            </w:r>
            <w:r>
              <w:rPr>
                <w:rFonts w:hint="eastAsia"/>
                <w:highlight w:val="none"/>
                <w:lang w:val="en-US" w:eastAsia="zh-CN"/>
              </w:rPr>
              <w:t>2</w:t>
            </w:r>
            <w:r>
              <w:rPr>
                <w:rFonts w:hint="default"/>
                <w:highlight w:val="none"/>
                <w:lang w:val="en-US" w:eastAsia="zh-CN"/>
              </w:rPr>
              <w:t>-</w:t>
            </w:r>
            <w:r>
              <w:rPr>
                <w:rFonts w:hint="eastAsia"/>
                <w:highlight w:val="none"/>
                <w:lang w:val="en-US" w:eastAsia="zh-CN"/>
              </w:rPr>
              <w:t>1.4</w:t>
            </w:r>
            <w:r>
              <w:rPr>
                <w:rFonts w:hint="default"/>
                <w:highlight w:val="none"/>
                <w:lang w:val="en-US" w:eastAsia="zh-CN"/>
              </w:rPr>
              <w:t>分，良好</w:t>
            </w:r>
            <w:r>
              <w:rPr>
                <w:rFonts w:hint="eastAsia"/>
                <w:highlight w:val="none"/>
                <w:lang w:val="en-US" w:eastAsia="zh-CN"/>
              </w:rPr>
              <w:t>1.3</w:t>
            </w:r>
            <w:r>
              <w:rPr>
                <w:rFonts w:hint="default"/>
                <w:highlight w:val="none"/>
                <w:lang w:val="en-US" w:eastAsia="zh-CN"/>
              </w:rPr>
              <w:t>-</w:t>
            </w:r>
            <w:r>
              <w:rPr>
                <w:rFonts w:hint="eastAsia"/>
                <w:highlight w:val="none"/>
                <w:lang w:val="en-US" w:eastAsia="zh-CN"/>
              </w:rPr>
              <w:t>0</w:t>
            </w:r>
            <w:r>
              <w:rPr>
                <w:rFonts w:hint="default"/>
                <w:highlight w:val="none"/>
                <w:lang w:val="en-US" w:eastAsia="zh-CN"/>
              </w:rPr>
              <w:t>.</w:t>
            </w:r>
            <w:r>
              <w:rPr>
                <w:rFonts w:hint="eastAsia"/>
                <w:highlight w:val="none"/>
                <w:lang w:val="en-US" w:eastAsia="zh-CN"/>
              </w:rPr>
              <w:t>7</w:t>
            </w:r>
            <w:r>
              <w:rPr>
                <w:rFonts w:hint="default"/>
                <w:highlight w:val="none"/>
                <w:lang w:val="en-US" w:eastAsia="zh-CN"/>
              </w:rPr>
              <w:t>分，一般</w:t>
            </w:r>
            <w:r>
              <w:rPr>
                <w:rFonts w:hint="eastAsia"/>
                <w:highlight w:val="none"/>
                <w:lang w:val="en-US" w:eastAsia="zh-CN"/>
              </w:rPr>
              <w:t>0</w:t>
            </w:r>
            <w:r>
              <w:rPr>
                <w:rFonts w:hint="default"/>
                <w:highlight w:val="none"/>
                <w:lang w:val="en-US" w:eastAsia="zh-CN"/>
              </w:rPr>
              <w:t>.</w:t>
            </w:r>
            <w:r>
              <w:rPr>
                <w:rFonts w:hint="eastAsia"/>
                <w:highlight w:val="none"/>
                <w:lang w:val="en-US" w:eastAsia="zh-CN"/>
              </w:rPr>
              <w:t>6</w:t>
            </w:r>
            <w:r>
              <w:rPr>
                <w:rFonts w:hint="default"/>
                <w:highlight w:val="none"/>
                <w:lang w:val="en-US" w:eastAsia="zh-CN"/>
              </w:rPr>
              <w:t>-0分。</w:t>
            </w:r>
          </w:p>
        </w:tc>
      </w:tr>
      <w:tr w14:paraId="558A2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9" w:type="dxa"/>
            <w:vMerge w:val="continue"/>
            <w:tcBorders>
              <w:right w:val="single" w:color="auto" w:sz="4" w:space="0"/>
            </w:tcBorders>
            <w:noWrap w:val="0"/>
            <w:vAlign w:val="top"/>
          </w:tcPr>
          <w:p w14:paraId="3D8A754F">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28FA408A">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7529267">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环境保护措施（2分）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7F596006">
            <w:pPr>
              <w:jc w:val="left"/>
              <w:rPr>
                <w:rFonts w:hint="default"/>
                <w:color w:val="auto"/>
                <w:highlight w:val="none"/>
              </w:rPr>
            </w:pPr>
            <w:r>
              <w:rPr>
                <w:rFonts w:hint="default"/>
                <w:color w:val="auto"/>
                <w:highlight w:val="none"/>
                <w:lang w:val="en-US" w:eastAsia="zh-CN"/>
              </w:rPr>
              <w:t>从</w:t>
            </w:r>
            <w:r>
              <w:rPr>
                <w:rFonts w:hint="eastAsia"/>
                <w:color w:val="auto"/>
                <w:highlight w:val="none"/>
                <w:lang w:val="en-US" w:eastAsia="zh-CN"/>
              </w:rPr>
              <w:t>措施的落实、治理效果</w:t>
            </w:r>
            <w:r>
              <w:rPr>
                <w:rFonts w:hint="default"/>
                <w:color w:val="auto"/>
                <w:highlight w:val="none"/>
                <w:lang w:val="en-US" w:eastAsia="zh-CN"/>
              </w:rPr>
              <w:t>等维度对投标人进行考量。优等</w:t>
            </w:r>
            <w:r>
              <w:rPr>
                <w:rFonts w:hint="eastAsia"/>
                <w:color w:val="auto"/>
                <w:highlight w:val="none"/>
                <w:lang w:val="en-US" w:eastAsia="zh-CN"/>
              </w:rPr>
              <w:t>2</w:t>
            </w:r>
            <w:r>
              <w:rPr>
                <w:rFonts w:hint="default"/>
                <w:color w:val="auto"/>
                <w:highlight w:val="none"/>
                <w:lang w:val="en-US" w:eastAsia="zh-CN"/>
              </w:rPr>
              <w:t>-</w:t>
            </w:r>
            <w:r>
              <w:rPr>
                <w:rFonts w:hint="eastAsia"/>
                <w:color w:val="auto"/>
                <w:highlight w:val="none"/>
                <w:lang w:val="en-US" w:eastAsia="zh-CN"/>
              </w:rPr>
              <w:t>1.4</w:t>
            </w:r>
            <w:r>
              <w:rPr>
                <w:rFonts w:hint="default"/>
                <w:color w:val="auto"/>
                <w:highlight w:val="none"/>
                <w:lang w:val="en-US" w:eastAsia="zh-CN"/>
              </w:rPr>
              <w:t>分，良好</w:t>
            </w:r>
            <w:r>
              <w:rPr>
                <w:rFonts w:hint="eastAsia"/>
                <w:color w:val="auto"/>
                <w:highlight w:val="none"/>
                <w:lang w:val="en-US" w:eastAsia="zh-CN"/>
              </w:rPr>
              <w:t>1.3</w:t>
            </w:r>
            <w:r>
              <w:rPr>
                <w:rFonts w:hint="default"/>
                <w:color w:val="auto"/>
                <w:highlight w:val="none"/>
                <w:lang w:val="en-US" w:eastAsia="zh-CN"/>
              </w:rPr>
              <w:t>-</w:t>
            </w:r>
            <w:r>
              <w:rPr>
                <w:rFonts w:hint="eastAsia"/>
                <w:color w:val="auto"/>
                <w:highlight w:val="none"/>
                <w:lang w:val="en-US" w:eastAsia="zh-CN"/>
              </w:rPr>
              <w:t>0</w:t>
            </w:r>
            <w:r>
              <w:rPr>
                <w:rFonts w:hint="default"/>
                <w:color w:val="auto"/>
                <w:highlight w:val="none"/>
                <w:lang w:val="en-US" w:eastAsia="zh-CN"/>
              </w:rPr>
              <w:t>.</w:t>
            </w:r>
            <w:r>
              <w:rPr>
                <w:rFonts w:hint="eastAsia"/>
                <w:color w:val="auto"/>
                <w:highlight w:val="none"/>
                <w:lang w:val="en-US" w:eastAsia="zh-CN"/>
              </w:rPr>
              <w:t>7</w:t>
            </w:r>
            <w:r>
              <w:rPr>
                <w:rFonts w:hint="default"/>
                <w:color w:val="auto"/>
                <w:highlight w:val="none"/>
                <w:lang w:val="en-US" w:eastAsia="zh-CN"/>
              </w:rPr>
              <w:t>分，一般</w:t>
            </w:r>
            <w:r>
              <w:rPr>
                <w:rFonts w:hint="eastAsia"/>
                <w:color w:val="auto"/>
                <w:highlight w:val="none"/>
                <w:lang w:val="en-US" w:eastAsia="zh-CN"/>
              </w:rPr>
              <w:t>0</w:t>
            </w:r>
            <w:r>
              <w:rPr>
                <w:rFonts w:hint="default"/>
                <w:color w:val="auto"/>
                <w:highlight w:val="none"/>
                <w:lang w:val="en-US" w:eastAsia="zh-CN"/>
              </w:rPr>
              <w:t>.</w:t>
            </w:r>
            <w:r>
              <w:rPr>
                <w:rFonts w:hint="eastAsia"/>
                <w:color w:val="auto"/>
                <w:highlight w:val="none"/>
                <w:lang w:val="en-US" w:eastAsia="zh-CN"/>
              </w:rPr>
              <w:t>6</w:t>
            </w:r>
            <w:r>
              <w:rPr>
                <w:rFonts w:hint="default"/>
                <w:color w:val="auto"/>
                <w:highlight w:val="none"/>
                <w:lang w:val="en-US" w:eastAsia="zh-CN"/>
              </w:rPr>
              <w:t>-0分。</w:t>
            </w:r>
          </w:p>
        </w:tc>
      </w:tr>
      <w:tr w14:paraId="10E5A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4BDA505E">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712ED77C">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6D936F3D">
            <w:pPr>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资源物料供应保障（3分）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383D5FBB">
            <w:pPr>
              <w:jc w:val="left"/>
              <w:rPr>
                <w:rFonts w:hint="default"/>
                <w:highlight w:val="none"/>
                <w:lang w:val="en-US" w:eastAsia="zh-CN"/>
              </w:rPr>
            </w:pPr>
            <w:r>
              <w:rPr>
                <w:highlight w:val="none"/>
              </w:rPr>
              <w:t>优等</w:t>
            </w:r>
            <w:r>
              <w:rPr>
                <w:rFonts w:hint="eastAsia"/>
                <w:highlight w:val="none"/>
                <w:lang w:val="en-US" w:eastAsia="zh-CN"/>
              </w:rPr>
              <w:t>3</w:t>
            </w:r>
            <w:r>
              <w:rPr>
                <w:highlight w:val="none"/>
              </w:rPr>
              <w:t>.0-</w:t>
            </w:r>
            <w:r>
              <w:rPr>
                <w:rFonts w:hint="eastAsia"/>
                <w:highlight w:val="none"/>
                <w:lang w:val="en-US" w:eastAsia="zh-CN"/>
              </w:rPr>
              <w:t>2</w:t>
            </w:r>
            <w:r>
              <w:rPr>
                <w:highlight w:val="none"/>
              </w:rPr>
              <w:t>.</w:t>
            </w:r>
            <w:r>
              <w:rPr>
                <w:rFonts w:hint="eastAsia"/>
                <w:highlight w:val="none"/>
                <w:lang w:val="en-US" w:eastAsia="zh-CN"/>
              </w:rPr>
              <w:t>1</w:t>
            </w:r>
            <w:r>
              <w:rPr>
                <w:highlight w:val="none"/>
              </w:rPr>
              <w:t>分：劳动力</w:t>
            </w:r>
            <w:r>
              <w:rPr>
                <w:rFonts w:hint="eastAsia"/>
                <w:highlight w:val="none"/>
                <w:lang w:eastAsia="zh-CN"/>
              </w:rPr>
              <w:t>、</w:t>
            </w:r>
            <w:r>
              <w:rPr>
                <w:highlight w:val="none"/>
              </w:rPr>
              <w:t>机械设备、检测设备</w:t>
            </w:r>
            <w:r>
              <w:rPr>
                <w:rFonts w:hint="eastAsia"/>
                <w:highlight w:val="none"/>
                <w:lang w:val="en-US" w:eastAsia="zh-CN"/>
              </w:rPr>
              <w:t>和物料等</w:t>
            </w:r>
            <w:r>
              <w:rPr>
                <w:highlight w:val="none"/>
              </w:rPr>
              <w:t>投入</w:t>
            </w:r>
            <w:r>
              <w:rPr>
                <w:rFonts w:hint="eastAsia"/>
                <w:highlight w:val="none"/>
                <w:lang w:val="en-US" w:eastAsia="zh-CN"/>
              </w:rPr>
              <w:t>完全</w:t>
            </w:r>
            <w:r>
              <w:rPr>
                <w:highlight w:val="none"/>
              </w:rPr>
              <w:t>满足施工需要，保证措施具体</w:t>
            </w:r>
            <w:r>
              <w:rPr>
                <w:rFonts w:hint="eastAsia"/>
                <w:highlight w:val="none"/>
                <w:lang w:val="en-US" w:eastAsia="zh-CN"/>
              </w:rPr>
              <w:t>合理</w:t>
            </w:r>
            <w:r>
              <w:rPr>
                <w:highlight w:val="none"/>
              </w:rPr>
              <w:t>。良好</w:t>
            </w:r>
            <w:r>
              <w:rPr>
                <w:rFonts w:hint="eastAsia"/>
                <w:highlight w:val="none"/>
                <w:lang w:val="en-US" w:eastAsia="zh-CN"/>
              </w:rPr>
              <w:t>2</w:t>
            </w:r>
            <w:r>
              <w:rPr>
                <w:highlight w:val="none"/>
              </w:rPr>
              <w:t>.</w:t>
            </w:r>
            <w:r>
              <w:rPr>
                <w:rFonts w:hint="eastAsia"/>
                <w:highlight w:val="none"/>
                <w:lang w:val="en-US" w:eastAsia="zh-CN"/>
              </w:rPr>
              <w:t>0</w:t>
            </w:r>
            <w:r>
              <w:rPr>
                <w:highlight w:val="none"/>
              </w:rPr>
              <w:t>-</w:t>
            </w:r>
            <w:r>
              <w:rPr>
                <w:rFonts w:hint="eastAsia"/>
                <w:highlight w:val="none"/>
                <w:lang w:val="en-US" w:eastAsia="zh-CN"/>
              </w:rPr>
              <w:t>1</w:t>
            </w:r>
            <w:r>
              <w:rPr>
                <w:highlight w:val="none"/>
              </w:rPr>
              <w:t>.1分：劳动力</w:t>
            </w:r>
            <w:r>
              <w:rPr>
                <w:rFonts w:hint="eastAsia"/>
                <w:highlight w:val="none"/>
                <w:lang w:eastAsia="zh-CN"/>
              </w:rPr>
              <w:t>、</w:t>
            </w:r>
            <w:r>
              <w:rPr>
                <w:highlight w:val="none"/>
              </w:rPr>
              <w:t>机械设备、检测设备</w:t>
            </w:r>
            <w:r>
              <w:rPr>
                <w:rFonts w:hint="eastAsia"/>
                <w:highlight w:val="none"/>
                <w:lang w:val="en-US" w:eastAsia="zh-CN"/>
              </w:rPr>
              <w:t>和物料等</w:t>
            </w:r>
            <w:r>
              <w:rPr>
                <w:highlight w:val="none"/>
              </w:rPr>
              <w:t>投入</w:t>
            </w:r>
            <w:r>
              <w:rPr>
                <w:rFonts w:hint="eastAsia"/>
                <w:highlight w:val="none"/>
                <w:lang w:val="en-US" w:eastAsia="zh-CN"/>
              </w:rPr>
              <w:t>基本</w:t>
            </w:r>
            <w:r>
              <w:rPr>
                <w:highlight w:val="none"/>
              </w:rPr>
              <w:t>满足施工需要，保证措施</w:t>
            </w:r>
            <w:r>
              <w:rPr>
                <w:rFonts w:hint="eastAsia"/>
                <w:highlight w:val="none"/>
                <w:lang w:val="en-US" w:eastAsia="zh-CN"/>
              </w:rPr>
              <w:t>合理</w:t>
            </w:r>
            <w:r>
              <w:rPr>
                <w:highlight w:val="none"/>
              </w:rPr>
              <w:t>。</w:t>
            </w:r>
            <w:r>
              <w:rPr>
                <w:rFonts w:hint="eastAsia"/>
                <w:highlight w:val="none"/>
                <w:lang w:val="en-US" w:eastAsia="zh-CN"/>
              </w:rPr>
              <w:t>一般</w:t>
            </w:r>
            <w:r>
              <w:rPr>
                <w:highlight w:val="none"/>
              </w:rPr>
              <w:t xml:space="preserve"> 1.</w:t>
            </w:r>
            <w:r>
              <w:rPr>
                <w:rFonts w:hint="eastAsia"/>
                <w:highlight w:val="none"/>
                <w:lang w:val="en-US" w:eastAsia="zh-CN"/>
              </w:rPr>
              <w:t>0</w:t>
            </w:r>
            <w:r>
              <w:rPr>
                <w:highlight w:val="none"/>
              </w:rPr>
              <w:t>-0 分：劳动力</w:t>
            </w:r>
            <w:r>
              <w:rPr>
                <w:rFonts w:hint="eastAsia"/>
                <w:highlight w:val="none"/>
                <w:lang w:eastAsia="zh-CN"/>
              </w:rPr>
              <w:t>、</w:t>
            </w:r>
            <w:r>
              <w:rPr>
                <w:highlight w:val="none"/>
              </w:rPr>
              <w:t>机械设备、检测设备</w:t>
            </w:r>
            <w:r>
              <w:rPr>
                <w:rFonts w:hint="eastAsia"/>
                <w:highlight w:val="none"/>
                <w:lang w:val="en-US" w:eastAsia="zh-CN"/>
              </w:rPr>
              <w:t>和物料等</w:t>
            </w:r>
            <w:r>
              <w:rPr>
                <w:highlight w:val="none"/>
              </w:rPr>
              <w:t>投入</w:t>
            </w:r>
            <w:r>
              <w:rPr>
                <w:rFonts w:hint="eastAsia"/>
                <w:highlight w:val="none"/>
                <w:lang w:val="en-US" w:eastAsia="zh-CN"/>
              </w:rPr>
              <w:t>无法</w:t>
            </w:r>
            <w:r>
              <w:rPr>
                <w:highlight w:val="none"/>
              </w:rPr>
              <w:t>满足施工需要，保证措施</w:t>
            </w:r>
            <w:r>
              <w:rPr>
                <w:rFonts w:hint="eastAsia"/>
                <w:highlight w:val="none"/>
                <w:lang w:val="en-US" w:eastAsia="zh-CN"/>
              </w:rPr>
              <w:t>不合理</w:t>
            </w:r>
            <w:r>
              <w:rPr>
                <w:highlight w:val="none"/>
              </w:rPr>
              <w:t>。</w:t>
            </w:r>
          </w:p>
        </w:tc>
      </w:tr>
      <w:tr w14:paraId="5870C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2F3E3909">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0EAD0AD3">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B4C369D">
            <w:pPr>
              <w:jc w:val="left"/>
              <w:rPr>
                <w:rFonts w:hint="default" w:ascii="Times New Roman" w:hAnsi="Times New Roman" w:eastAsia="宋体" w:cs="Times New Roman"/>
                <w:color w:val="000000"/>
                <w:kern w:val="2"/>
                <w:sz w:val="21"/>
                <w:szCs w:val="21"/>
                <w:highlight w:val="none"/>
                <w:lang w:val="en-US" w:eastAsia="zh-CN" w:bidi="ar-SA"/>
              </w:rPr>
            </w:pPr>
            <w:r>
              <w:rPr>
                <w:color w:val="000000"/>
                <w:highlight w:val="none"/>
              </w:rPr>
              <w:t>施工进度计划和各阶段进度的保证措施及违约承诺（</w:t>
            </w:r>
            <w:r>
              <w:rPr>
                <w:rFonts w:hint="eastAsia"/>
                <w:color w:val="000000"/>
                <w:highlight w:val="none"/>
                <w:lang w:val="en-US" w:eastAsia="zh-CN"/>
              </w:rPr>
              <w:t>10</w:t>
            </w:r>
            <w:r>
              <w:rPr>
                <w:color w:val="000000"/>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2A7E47F6">
            <w:pPr>
              <w:jc w:val="left"/>
              <w:rPr>
                <w:rFonts w:hint="default"/>
                <w:color w:val="000000"/>
                <w:highlight w:val="none"/>
                <w:lang w:val="en-US" w:eastAsia="zh-CN"/>
              </w:rPr>
            </w:pPr>
            <w:r>
              <w:rPr>
                <w:rFonts w:hint="default"/>
                <w:color w:val="000000"/>
                <w:highlight w:val="none"/>
              </w:rPr>
              <w:t>优等</w:t>
            </w:r>
            <w:r>
              <w:rPr>
                <w:rFonts w:hint="eastAsia"/>
                <w:color w:val="000000"/>
                <w:highlight w:val="none"/>
                <w:lang w:val="en-US" w:eastAsia="zh-CN"/>
              </w:rPr>
              <w:t>10</w:t>
            </w:r>
            <w:r>
              <w:rPr>
                <w:rFonts w:hint="default"/>
                <w:color w:val="000000"/>
                <w:highlight w:val="none"/>
              </w:rPr>
              <w:t>.0-</w:t>
            </w:r>
            <w:r>
              <w:rPr>
                <w:rFonts w:hint="eastAsia"/>
                <w:color w:val="000000"/>
                <w:highlight w:val="none"/>
                <w:lang w:val="en-US" w:eastAsia="zh-CN"/>
              </w:rPr>
              <w:t>7.1</w:t>
            </w:r>
            <w:r>
              <w:rPr>
                <w:rFonts w:hint="default"/>
                <w:color w:val="000000"/>
                <w:highlight w:val="none"/>
              </w:rPr>
              <w:t xml:space="preserve">分：施工进度计划编制合理、可行，关键线路清晰、准确、完整，关键节点控制措施得力、可操作性强，保证措施可靠，承诺违约责任最大、经济赔偿最大。 </w:t>
            </w:r>
            <w:r>
              <w:rPr>
                <w:rFonts w:hint="eastAsia"/>
                <w:color w:val="000000"/>
                <w:highlight w:val="none"/>
                <w:lang w:val="en-US" w:eastAsia="zh-CN"/>
              </w:rPr>
              <w:t>良好</w:t>
            </w:r>
            <w:r>
              <w:rPr>
                <w:rFonts w:hint="default"/>
                <w:color w:val="000000"/>
                <w:highlight w:val="none"/>
              </w:rPr>
              <w:t xml:space="preserve"> </w:t>
            </w:r>
            <w:r>
              <w:rPr>
                <w:rFonts w:hint="eastAsia"/>
                <w:color w:val="000000"/>
                <w:highlight w:val="none"/>
                <w:lang w:val="en-US" w:eastAsia="zh-CN"/>
              </w:rPr>
              <w:t>7.0</w:t>
            </w:r>
            <w:r>
              <w:rPr>
                <w:rFonts w:hint="default"/>
                <w:color w:val="000000"/>
                <w:highlight w:val="none"/>
              </w:rPr>
              <w:t>-</w:t>
            </w:r>
            <w:r>
              <w:rPr>
                <w:rFonts w:hint="eastAsia"/>
                <w:color w:val="000000"/>
                <w:highlight w:val="none"/>
                <w:lang w:val="en-US" w:eastAsia="zh-CN"/>
              </w:rPr>
              <w:t>4.1</w:t>
            </w:r>
            <w:r>
              <w:rPr>
                <w:rFonts w:hint="default"/>
                <w:color w:val="000000"/>
                <w:highlight w:val="none"/>
              </w:rPr>
              <w:t xml:space="preserve">分：施工进度计划编制基本合理、可行，关键线路基本清晰、准确、完整，关键节点控制措施基本合理、具有可操作性基本条件，保证措施基本可靠，有违约责任承诺，有经济赔偿承诺。 </w:t>
            </w:r>
            <w:r>
              <w:rPr>
                <w:rFonts w:hint="eastAsia"/>
                <w:color w:val="000000"/>
                <w:highlight w:val="none"/>
                <w:lang w:val="en-US" w:eastAsia="zh-CN"/>
              </w:rPr>
              <w:t>一般</w:t>
            </w:r>
            <w:r>
              <w:rPr>
                <w:rFonts w:hint="default"/>
                <w:color w:val="000000"/>
                <w:highlight w:val="none"/>
              </w:rPr>
              <w:t xml:space="preserve"> </w:t>
            </w:r>
            <w:r>
              <w:rPr>
                <w:rFonts w:hint="eastAsia"/>
                <w:color w:val="000000"/>
                <w:highlight w:val="none"/>
                <w:lang w:val="en-US" w:eastAsia="zh-CN"/>
              </w:rPr>
              <w:t>4</w:t>
            </w:r>
            <w:r>
              <w:rPr>
                <w:rFonts w:hint="default"/>
                <w:color w:val="000000"/>
                <w:highlight w:val="none"/>
              </w:rPr>
              <w:t>.</w:t>
            </w:r>
            <w:r>
              <w:rPr>
                <w:rFonts w:hint="eastAsia"/>
                <w:color w:val="000000"/>
                <w:highlight w:val="none"/>
                <w:lang w:val="en-US" w:eastAsia="zh-CN"/>
              </w:rPr>
              <w:t>0</w:t>
            </w:r>
            <w:r>
              <w:rPr>
                <w:rFonts w:hint="default"/>
                <w:color w:val="000000"/>
                <w:highlight w:val="none"/>
              </w:rPr>
              <w:t>-0 分：施工进度计划编制基本不合理、不可行，或关键线路不清晰、不准确、不完整，或关键节点控制措施不合理、不具有可操作性基本条件，或保证措施不可靠，或无违约责任承诺，或无经济赔偿承诺。</w:t>
            </w:r>
          </w:p>
        </w:tc>
      </w:tr>
      <w:tr w14:paraId="6E050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0888A5D3">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284A280E">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4CDF1AA">
            <w:pPr>
              <w:jc w:val="left"/>
              <w:rPr>
                <w:rFonts w:hint="default" w:ascii="Times New Roman" w:hAnsi="Times New Roman" w:eastAsia="宋体" w:cs="Times New Roman"/>
                <w:sz w:val="21"/>
                <w:szCs w:val="21"/>
                <w:highlight w:val="none"/>
              </w:rPr>
            </w:pPr>
            <w:r>
              <w:rPr>
                <w:highlight w:val="none"/>
              </w:rPr>
              <w:t>质量保证措施承诺及违约承诺（</w:t>
            </w:r>
            <w:r>
              <w:rPr>
                <w:rFonts w:hint="eastAsia"/>
                <w:highlight w:val="none"/>
                <w:lang w:val="en-US" w:eastAsia="zh-CN"/>
              </w:rPr>
              <w:t>3</w:t>
            </w:r>
            <w:r>
              <w:rPr>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4B7A2952">
            <w:pPr>
              <w:jc w:val="left"/>
              <w:rPr>
                <w:rFonts w:hint="default"/>
                <w:highlight w:val="none"/>
              </w:rPr>
            </w:pPr>
            <w:r>
              <w:rPr>
                <w:rFonts w:hint="default"/>
                <w:highlight w:val="none"/>
              </w:rPr>
              <w:t>优等</w:t>
            </w:r>
            <w:r>
              <w:rPr>
                <w:rFonts w:hint="eastAsia"/>
                <w:highlight w:val="none"/>
                <w:lang w:val="en-US" w:eastAsia="zh-CN"/>
              </w:rPr>
              <w:t>3</w:t>
            </w:r>
            <w:r>
              <w:rPr>
                <w:rFonts w:hint="default"/>
                <w:highlight w:val="none"/>
              </w:rPr>
              <w:t>.0-</w:t>
            </w:r>
            <w:r>
              <w:rPr>
                <w:rFonts w:hint="eastAsia"/>
                <w:highlight w:val="none"/>
                <w:lang w:val="en-US" w:eastAsia="zh-CN"/>
              </w:rPr>
              <w:t>2</w:t>
            </w:r>
            <w:r>
              <w:rPr>
                <w:rFonts w:hint="default"/>
                <w:highlight w:val="none"/>
              </w:rPr>
              <w:t>.</w:t>
            </w:r>
            <w:r>
              <w:rPr>
                <w:rFonts w:hint="eastAsia"/>
                <w:highlight w:val="none"/>
                <w:lang w:val="en-US" w:eastAsia="zh-CN"/>
              </w:rPr>
              <w:t>1</w:t>
            </w:r>
            <w:r>
              <w:rPr>
                <w:rFonts w:hint="default"/>
                <w:highlight w:val="none"/>
              </w:rPr>
              <w:t>分：工程质量保证计划全面细致、结合实际、措施具体，责任到人，承诺工程质量标准高，承诺违约责任最大、经济赔偿最大。良好</w:t>
            </w:r>
            <w:r>
              <w:rPr>
                <w:rFonts w:hint="eastAsia"/>
                <w:highlight w:val="none"/>
                <w:lang w:val="en-US" w:eastAsia="zh-CN"/>
              </w:rPr>
              <w:t>2</w:t>
            </w:r>
            <w:r>
              <w:rPr>
                <w:rFonts w:hint="default"/>
                <w:highlight w:val="none"/>
              </w:rPr>
              <w:t>.</w:t>
            </w:r>
            <w:r>
              <w:rPr>
                <w:rFonts w:hint="eastAsia"/>
                <w:highlight w:val="none"/>
                <w:lang w:val="en-US" w:eastAsia="zh-CN"/>
              </w:rPr>
              <w:t>0</w:t>
            </w:r>
            <w:r>
              <w:rPr>
                <w:rFonts w:hint="default"/>
                <w:highlight w:val="none"/>
              </w:rPr>
              <w:t>-</w:t>
            </w:r>
            <w:r>
              <w:rPr>
                <w:rFonts w:hint="eastAsia"/>
                <w:highlight w:val="none"/>
                <w:lang w:val="en-US" w:eastAsia="zh-CN"/>
              </w:rPr>
              <w:t>1</w:t>
            </w:r>
            <w:r>
              <w:rPr>
                <w:rFonts w:hint="default"/>
                <w:highlight w:val="none"/>
              </w:rPr>
              <w:t>.1分：工程质量保证计划比较全面细致、比较结合实际，措施比较具体，责任到人，承诺工程质量标准高，承诺违约责任次大、经济赔偿次大。 差等1.</w:t>
            </w:r>
            <w:r>
              <w:rPr>
                <w:rFonts w:hint="eastAsia"/>
                <w:highlight w:val="none"/>
                <w:lang w:val="en-US" w:eastAsia="zh-CN"/>
              </w:rPr>
              <w:t>0</w:t>
            </w:r>
            <w:r>
              <w:rPr>
                <w:rFonts w:hint="default"/>
                <w:highlight w:val="none"/>
              </w:rPr>
              <w:t>-0分：工程质量保证计划不全面不细致、结合实际不够、或措施不具体、责任未到人，虽然工程质量标准满足招标文件要求，但承诺违约责任最小、经济赔偿最少。</w:t>
            </w:r>
          </w:p>
        </w:tc>
      </w:tr>
      <w:tr w14:paraId="65580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9" w:type="dxa"/>
            <w:vMerge w:val="continue"/>
            <w:tcBorders>
              <w:right w:val="single" w:color="auto" w:sz="4" w:space="0"/>
            </w:tcBorders>
            <w:noWrap w:val="0"/>
            <w:vAlign w:val="top"/>
          </w:tcPr>
          <w:p w14:paraId="75CE0615">
            <w:pPr>
              <w:spacing w:line="440" w:lineRule="exact"/>
              <w:jc w:val="center"/>
              <w:rPr>
                <w:rFonts w:hint="default" w:ascii="Times New Roman" w:hAnsi="Times New Roman" w:cs="Times New Roman"/>
                <w:szCs w:val="21"/>
                <w:highlight w:val="none"/>
              </w:rPr>
            </w:pPr>
          </w:p>
        </w:tc>
        <w:tc>
          <w:tcPr>
            <w:tcW w:w="775" w:type="dxa"/>
            <w:vMerge w:val="continue"/>
            <w:tcBorders>
              <w:right w:val="single" w:color="auto" w:sz="4" w:space="0"/>
            </w:tcBorders>
            <w:noWrap w:val="0"/>
            <w:vAlign w:val="center"/>
          </w:tcPr>
          <w:p w14:paraId="27EA46D7">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610800F1">
            <w:pPr>
              <w:jc w:val="left"/>
              <w:rPr>
                <w:rFonts w:hint="default" w:ascii="Times New Roman" w:hAnsi="Times New Roman" w:eastAsia="宋体" w:cs="Times New Roman"/>
                <w:sz w:val="21"/>
                <w:szCs w:val="21"/>
                <w:highlight w:val="none"/>
              </w:rPr>
            </w:pPr>
            <w:r>
              <w:rPr>
                <w:highlight w:val="none"/>
              </w:rPr>
              <w:t>安全生产和文明施工措施承诺及违约承诺（</w:t>
            </w:r>
            <w:r>
              <w:rPr>
                <w:rFonts w:hint="eastAsia"/>
                <w:highlight w:val="none"/>
                <w:lang w:val="en-US" w:eastAsia="zh-CN"/>
              </w:rPr>
              <w:t>3</w:t>
            </w:r>
            <w:r>
              <w:rPr>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1C006459">
            <w:pPr>
              <w:jc w:val="left"/>
              <w:rPr>
                <w:rFonts w:hint="default"/>
                <w:highlight w:val="none"/>
              </w:rPr>
            </w:pPr>
            <w:r>
              <w:rPr>
                <w:rFonts w:hint="default"/>
                <w:highlight w:val="none"/>
              </w:rPr>
              <w:t xml:space="preserve">优等 </w:t>
            </w:r>
            <w:r>
              <w:rPr>
                <w:rFonts w:hint="eastAsia"/>
                <w:highlight w:val="none"/>
                <w:lang w:val="en-US" w:eastAsia="zh-CN"/>
              </w:rPr>
              <w:t>3</w:t>
            </w:r>
            <w:r>
              <w:rPr>
                <w:rFonts w:hint="default"/>
                <w:highlight w:val="none"/>
              </w:rPr>
              <w:t>.0-</w:t>
            </w:r>
            <w:r>
              <w:rPr>
                <w:rFonts w:hint="eastAsia"/>
                <w:highlight w:val="none"/>
                <w:lang w:val="en-US" w:eastAsia="zh-CN"/>
              </w:rPr>
              <w:t>2</w:t>
            </w:r>
            <w:r>
              <w:rPr>
                <w:rFonts w:hint="default"/>
                <w:highlight w:val="none"/>
              </w:rPr>
              <w:t>.</w:t>
            </w:r>
            <w:r>
              <w:rPr>
                <w:rFonts w:hint="eastAsia"/>
                <w:highlight w:val="none"/>
                <w:lang w:val="en-US" w:eastAsia="zh-CN"/>
              </w:rPr>
              <w:t>1</w:t>
            </w:r>
            <w:r>
              <w:rPr>
                <w:rFonts w:hint="default"/>
                <w:highlight w:val="none"/>
              </w:rPr>
              <w:t xml:space="preserve"> 分：根据实际情况制定安全文明施工保证计划全面周到、完整，关键地点、工序、环节控制保障措施得力，责任人具体，承诺安全文明施工标准最高，承诺违约责任最大、经济赔偿责任最大。良好 </w:t>
            </w:r>
            <w:r>
              <w:rPr>
                <w:rFonts w:hint="eastAsia"/>
                <w:highlight w:val="none"/>
                <w:lang w:val="en-US" w:eastAsia="zh-CN"/>
              </w:rPr>
              <w:t>2</w:t>
            </w:r>
            <w:r>
              <w:rPr>
                <w:rFonts w:hint="default"/>
                <w:highlight w:val="none"/>
              </w:rPr>
              <w:t>.</w:t>
            </w:r>
            <w:r>
              <w:rPr>
                <w:rFonts w:hint="eastAsia"/>
                <w:highlight w:val="none"/>
                <w:lang w:val="en-US" w:eastAsia="zh-CN"/>
              </w:rPr>
              <w:t>0</w:t>
            </w:r>
            <w:r>
              <w:rPr>
                <w:rFonts w:hint="default"/>
                <w:highlight w:val="none"/>
              </w:rPr>
              <w:t>-</w:t>
            </w:r>
            <w:r>
              <w:rPr>
                <w:rFonts w:hint="eastAsia"/>
                <w:highlight w:val="none"/>
                <w:lang w:val="en-US" w:eastAsia="zh-CN"/>
              </w:rPr>
              <w:t>1</w:t>
            </w:r>
            <w:r>
              <w:rPr>
                <w:rFonts w:hint="default"/>
                <w:highlight w:val="none"/>
              </w:rPr>
              <w:t>.1 分：根据实际情况制定安全文明施工保证计划比较全面周到、完整，关键地点、工序、环节控制保障措施比较得力，责任人比较具体，承诺安全文明施工标准高，承诺违约责任次大、经济赔偿责任次大。</w:t>
            </w:r>
            <w:r>
              <w:rPr>
                <w:rFonts w:hint="eastAsia"/>
                <w:highlight w:val="none"/>
                <w:lang w:val="en-US" w:eastAsia="zh-CN"/>
              </w:rPr>
              <w:t>一般</w:t>
            </w:r>
            <w:r>
              <w:rPr>
                <w:rFonts w:hint="default"/>
                <w:highlight w:val="none"/>
              </w:rPr>
              <w:t>1.</w:t>
            </w:r>
            <w:r>
              <w:rPr>
                <w:rFonts w:hint="eastAsia"/>
                <w:highlight w:val="none"/>
                <w:lang w:val="en-US" w:eastAsia="zh-CN"/>
              </w:rPr>
              <w:t>0</w:t>
            </w:r>
            <w:r>
              <w:rPr>
                <w:rFonts w:hint="default"/>
                <w:highlight w:val="none"/>
              </w:rPr>
              <w:t>-0分：根据实际情况制定安全文明施工保证计划计不全面不周到、不完整，或关键地点、工序、环节控制保障措施未制订，或责任人基本未明确，或无安全文明施工标准承诺，或无违约责任承诺、或无经济赔偿责任承诺。</w:t>
            </w:r>
          </w:p>
        </w:tc>
      </w:tr>
      <w:tr w14:paraId="785A6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009" w:type="dxa"/>
            <w:vMerge w:val="continue"/>
            <w:tcBorders>
              <w:bottom w:val="single" w:color="auto" w:sz="4" w:space="0"/>
              <w:right w:val="single" w:color="auto" w:sz="4" w:space="0"/>
            </w:tcBorders>
            <w:noWrap w:val="0"/>
            <w:vAlign w:val="top"/>
          </w:tcPr>
          <w:p w14:paraId="6EFE2A5F">
            <w:pPr>
              <w:spacing w:line="440" w:lineRule="exact"/>
              <w:jc w:val="center"/>
              <w:rPr>
                <w:rFonts w:hint="default" w:ascii="Times New Roman" w:hAnsi="Times New Roman" w:cs="Times New Roman"/>
                <w:szCs w:val="21"/>
                <w:highlight w:val="none"/>
              </w:rPr>
            </w:pPr>
          </w:p>
        </w:tc>
        <w:tc>
          <w:tcPr>
            <w:tcW w:w="775" w:type="dxa"/>
            <w:vMerge w:val="continue"/>
            <w:tcBorders>
              <w:bottom w:val="single" w:color="auto" w:sz="4" w:space="0"/>
              <w:right w:val="single" w:color="auto" w:sz="4" w:space="0"/>
            </w:tcBorders>
            <w:noWrap w:val="0"/>
            <w:vAlign w:val="center"/>
          </w:tcPr>
          <w:p w14:paraId="3952F24F">
            <w:pPr>
              <w:jc w:val="center"/>
              <w:rPr>
                <w:rFonts w:hint="default" w:ascii="Times New Roman" w:hAnsi="Times New Roman" w:eastAsia="宋体" w:cs="Times New Roman"/>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8338217">
            <w:pPr>
              <w:jc w:val="center"/>
              <w:rPr>
                <w:highlight w:val="none"/>
              </w:rPr>
            </w:pPr>
            <w:r>
              <w:rPr>
                <w:rFonts w:hint="eastAsia"/>
                <w:highlight w:val="none"/>
              </w:rPr>
              <w:t>事故应急预案</w:t>
            </w:r>
            <w:r>
              <w:rPr>
                <w:highlight w:val="none"/>
              </w:rPr>
              <w:t>（</w:t>
            </w:r>
            <w:r>
              <w:rPr>
                <w:rFonts w:hint="eastAsia"/>
                <w:highlight w:val="none"/>
                <w:lang w:val="en-US" w:eastAsia="zh-CN"/>
              </w:rPr>
              <w:t>2</w:t>
            </w:r>
            <w:r>
              <w:rPr>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3326A73C">
            <w:pPr>
              <w:pStyle w:val="2"/>
              <w:ind w:left="0" w:leftChars="0" w:firstLine="0" w:firstLineChars="0"/>
              <w:rPr>
                <w:rFonts w:hint="default"/>
                <w:highlight w:val="none"/>
                <w:lang w:val="en-US" w:eastAsia="zh-CN"/>
              </w:rPr>
            </w:pPr>
            <w:r>
              <w:rPr>
                <w:rFonts w:hint="default" w:ascii="Times New Roman" w:hAnsi="Times New Roman" w:eastAsia="宋体" w:cs="Times New Roman"/>
                <w:highlight w:val="none"/>
              </w:rPr>
              <w:t>从事故应急预案编制完整性、可操作性等维度对投标人进行</w:t>
            </w:r>
            <w:r>
              <w:rPr>
                <w:rFonts w:hint="default" w:ascii="Times New Roman" w:hAnsi="Times New Roman" w:eastAsia="宋体" w:cs="Times New Roman"/>
                <w:highlight w:val="none"/>
                <w:lang w:val="en-US"/>
              </w:rPr>
              <w:t>考量</w:t>
            </w:r>
            <w:r>
              <w:rPr>
                <w:rFonts w:hint="default" w:ascii="Times New Roman" w:hAnsi="Times New Roman" w:eastAsia="宋体" w:cs="Times New Roman"/>
                <w:highlight w:val="none"/>
              </w:rPr>
              <w:t>。</w:t>
            </w:r>
            <w:r>
              <w:rPr>
                <w:rFonts w:hint="default"/>
                <w:highlight w:val="none"/>
                <w:lang w:val="en-US" w:eastAsia="zh-CN"/>
              </w:rPr>
              <w:t>优等</w:t>
            </w:r>
            <w:r>
              <w:rPr>
                <w:rFonts w:hint="eastAsia"/>
                <w:highlight w:val="none"/>
                <w:lang w:val="en-US" w:eastAsia="zh-CN"/>
              </w:rPr>
              <w:t>2</w:t>
            </w:r>
            <w:r>
              <w:rPr>
                <w:rFonts w:hint="default"/>
                <w:highlight w:val="none"/>
                <w:lang w:val="en-US" w:eastAsia="zh-CN"/>
              </w:rPr>
              <w:t>-</w:t>
            </w:r>
            <w:r>
              <w:rPr>
                <w:rFonts w:hint="eastAsia"/>
                <w:highlight w:val="none"/>
                <w:lang w:val="en-US" w:eastAsia="zh-CN"/>
              </w:rPr>
              <w:t>1.4</w:t>
            </w:r>
            <w:r>
              <w:rPr>
                <w:rFonts w:hint="default"/>
                <w:highlight w:val="none"/>
                <w:lang w:val="en-US" w:eastAsia="zh-CN"/>
              </w:rPr>
              <w:t>分，良好</w:t>
            </w:r>
            <w:r>
              <w:rPr>
                <w:rFonts w:hint="eastAsia"/>
                <w:highlight w:val="none"/>
                <w:lang w:val="en-US" w:eastAsia="zh-CN"/>
              </w:rPr>
              <w:t>1.3</w:t>
            </w:r>
            <w:r>
              <w:rPr>
                <w:rFonts w:hint="default"/>
                <w:highlight w:val="none"/>
                <w:lang w:val="en-US" w:eastAsia="zh-CN"/>
              </w:rPr>
              <w:t>-</w:t>
            </w:r>
            <w:r>
              <w:rPr>
                <w:rFonts w:hint="eastAsia"/>
                <w:highlight w:val="none"/>
                <w:lang w:val="en-US" w:eastAsia="zh-CN"/>
              </w:rPr>
              <w:t>0</w:t>
            </w:r>
            <w:r>
              <w:rPr>
                <w:rFonts w:hint="default"/>
                <w:highlight w:val="none"/>
                <w:lang w:val="en-US" w:eastAsia="zh-CN"/>
              </w:rPr>
              <w:t>.</w:t>
            </w:r>
            <w:r>
              <w:rPr>
                <w:rFonts w:hint="eastAsia"/>
                <w:highlight w:val="none"/>
                <w:lang w:val="en-US" w:eastAsia="zh-CN"/>
              </w:rPr>
              <w:t>7</w:t>
            </w:r>
            <w:r>
              <w:rPr>
                <w:rFonts w:hint="default"/>
                <w:highlight w:val="none"/>
                <w:lang w:val="en-US" w:eastAsia="zh-CN"/>
              </w:rPr>
              <w:t>分，一般</w:t>
            </w:r>
            <w:r>
              <w:rPr>
                <w:rFonts w:hint="eastAsia"/>
                <w:highlight w:val="none"/>
                <w:lang w:val="en-US" w:eastAsia="zh-CN"/>
              </w:rPr>
              <w:t>0</w:t>
            </w:r>
            <w:r>
              <w:rPr>
                <w:rFonts w:hint="default"/>
                <w:highlight w:val="none"/>
                <w:lang w:val="en-US" w:eastAsia="zh-CN"/>
              </w:rPr>
              <w:t>.</w:t>
            </w:r>
            <w:r>
              <w:rPr>
                <w:rFonts w:hint="eastAsia"/>
                <w:highlight w:val="none"/>
                <w:lang w:val="en-US" w:eastAsia="zh-CN"/>
              </w:rPr>
              <w:t>6</w:t>
            </w:r>
            <w:r>
              <w:rPr>
                <w:rFonts w:hint="default"/>
                <w:highlight w:val="none"/>
                <w:lang w:val="en-US" w:eastAsia="zh-CN"/>
              </w:rPr>
              <w:t>-0分。</w:t>
            </w:r>
          </w:p>
        </w:tc>
      </w:tr>
      <w:tr w14:paraId="622B5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009" w:type="dxa"/>
            <w:vMerge w:val="restart"/>
            <w:tcBorders>
              <w:top w:val="single" w:color="auto" w:sz="4" w:space="0"/>
              <w:bottom w:val="single" w:color="auto" w:sz="4" w:space="0"/>
              <w:right w:val="single" w:color="auto" w:sz="4" w:space="0"/>
            </w:tcBorders>
            <w:noWrap w:val="0"/>
            <w:vAlign w:val="center"/>
          </w:tcPr>
          <w:p w14:paraId="73A87882">
            <w:pPr>
              <w:spacing w:line="44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2.2.4(2)</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14:paraId="207546A0">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项目管理机构评分标准</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0486B6F8">
            <w:pPr>
              <w:jc w:val="center"/>
              <w:rPr>
                <w:rFonts w:hint="default" w:ascii="Times New Roman" w:hAnsi="Times New Roman" w:eastAsia="宋体" w:cs="Times New Roman"/>
                <w:sz w:val="21"/>
                <w:szCs w:val="21"/>
                <w:highlight w:val="none"/>
              </w:rPr>
            </w:pPr>
            <w:r>
              <w:rPr>
                <w:highlight w:val="none"/>
              </w:rPr>
              <w:t>项目经理职称（</w:t>
            </w:r>
            <w:r>
              <w:rPr>
                <w:rFonts w:hint="eastAsia"/>
                <w:highlight w:val="none"/>
                <w:lang w:val="en-US" w:eastAsia="zh-CN"/>
              </w:rPr>
              <w:t>1</w:t>
            </w:r>
            <w:r>
              <w:rPr>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2DFFC7C5">
            <w:pPr>
              <w:jc w:val="left"/>
              <w:rPr>
                <w:rFonts w:hint="default" w:ascii="Times New Roman" w:hAnsi="Times New Roman" w:eastAsia="宋体" w:cs="Times New Roman"/>
                <w:sz w:val="21"/>
                <w:szCs w:val="21"/>
                <w:highlight w:val="none"/>
              </w:rPr>
            </w:pPr>
            <w:r>
              <w:rPr>
                <w:highlight w:val="none"/>
              </w:rPr>
              <w:t>具有</w:t>
            </w:r>
            <w:r>
              <w:rPr>
                <w:rFonts w:hint="eastAsia"/>
                <w:highlight w:val="none"/>
                <w:lang w:val="en-US" w:eastAsia="zh-CN"/>
              </w:rPr>
              <w:t>相关专业</w:t>
            </w:r>
            <w:r>
              <w:rPr>
                <w:highlight w:val="none"/>
              </w:rPr>
              <w:t>高级及以上工程师职称得</w:t>
            </w:r>
            <w:r>
              <w:rPr>
                <w:rFonts w:hint="eastAsia"/>
                <w:highlight w:val="none"/>
                <w:lang w:val="en-US" w:eastAsia="zh-CN"/>
              </w:rPr>
              <w:t>1</w:t>
            </w:r>
            <w:r>
              <w:rPr>
                <w:highlight w:val="none"/>
              </w:rPr>
              <w:t>分，满分</w:t>
            </w:r>
            <w:r>
              <w:rPr>
                <w:rFonts w:hint="eastAsia"/>
                <w:highlight w:val="none"/>
                <w:lang w:val="en-US" w:eastAsia="zh-CN"/>
              </w:rPr>
              <w:t>1</w:t>
            </w:r>
            <w:r>
              <w:rPr>
                <w:highlight w:val="none"/>
              </w:rPr>
              <w:t>分。</w:t>
            </w:r>
          </w:p>
        </w:tc>
      </w:tr>
      <w:tr w14:paraId="2BB00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8" w:hRule="atLeast"/>
        </w:trPr>
        <w:tc>
          <w:tcPr>
            <w:tcW w:w="1009" w:type="dxa"/>
            <w:vMerge w:val="continue"/>
            <w:tcBorders>
              <w:top w:val="single" w:color="auto" w:sz="4" w:space="0"/>
              <w:bottom w:val="single" w:color="auto" w:sz="4" w:space="0"/>
              <w:right w:val="single" w:color="auto" w:sz="4" w:space="0"/>
            </w:tcBorders>
            <w:noWrap w:val="0"/>
            <w:vAlign w:val="top"/>
          </w:tcPr>
          <w:p w14:paraId="7D84C27B">
            <w:pPr>
              <w:spacing w:line="440" w:lineRule="exact"/>
              <w:jc w:val="center"/>
              <w:rPr>
                <w:rFonts w:hint="default" w:ascii="Times New Roman" w:hAnsi="Times New Roman" w:cs="Times New Roman"/>
                <w:color w:val="auto"/>
                <w:szCs w:val="21"/>
                <w:highlight w:val="none"/>
              </w:rPr>
            </w:pPr>
          </w:p>
        </w:tc>
        <w:tc>
          <w:tcPr>
            <w:tcW w:w="775" w:type="dxa"/>
            <w:vMerge w:val="continue"/>
            <w:tcBorders>
              <w:top w:val="single" w:color="auto" w:sz="4" w:space="0"/>
              <w:bottom w:val="single" w:color="auto" w:sz="4" w:space="0"/>
              <w:right w:val="single" w:color="auto" w:sz="4" w:space="0"/>
            </w:tcBorders>
            <w:noWrap w:val="0"/>
            <w:vAlign w:val="center"/>
          </w:tcPr>
          <w:p w14:paraId="0DC21035">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47E593F">
            <w:pPr>
              <w:jc w:val="left"/>
              <w:rPr>
                <w:rFonts w:hint="default" w:ascii="Arial" w:hAnsi="Arial" w:eastAsia="宋体" w:cs="Arial"/>
                <w:color w:val="auto"/>
                <w:sz w:val="21"/>
                <w:szCs w:val="21"/>
                <w:highlight w:val="none"/>
              </w:rPr>
            </w:pPr>
            <w:r>
              <w:rPr>
                <w:rFonts w:hint="default" w:ascii="Arial" w:hAnsi="Arial" w:cs="Arial"/>
                <w:color w:val="auto"/>
                <w:highlight w:val="none"/>
              </w:rPr>
              <w:t>项目经理业绩</w:t>
            </w:r>
            <w:r>
              <w:rPr>
                <w:rFonts w:hint="default" w:ascii="Arial" w:hAnsi="Arial" w:cs="Arial"/>
                <w:color w:val="auto"/>
                <w:highlight w:val="none"/>
              </w:rPr>
              <w:t>（</w:t>
            </w:r>
            <w:r>
              <w:rPr>
                <w:rFonts w:hint="eastAsia" w:ascii="Arial" w:hAnsi="Arial" w:cs="Arial"/>
                <w:color w:val="auto"/>
                <w:highlight w:val="none"/>
                <w:lang w:val="en-US" w:eastAsia="zh-CN"/>
              </w:rPr>
              <w:t>3</w:t>
            </w:r>
            <w:r>
              <w:rPr>
                <w:rFonts w:hint="default" w:ascii="Arial" w:hAnsi="Arial" w:cs="Arial"/>
                <w:color w:val="auto"/>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22ABCD44">
            <w:pPr>
              <w:jc w:val="both"/>
              <w:rPr>
                <w:rFonts w:hint="default" w:ascii="Arial" w:hAnsi="Arial" w:cs="Arial"/>
                <w:color w:val="auto"/>
                <w:highlight w:val="none"/>
              </w:rPr>
            </w:pPr>
            <w:r>
              <w:rPr>
                <w:rFonts w:hint="default" w:ascii="Arial" w:hAnsi="Arial" w:cs="Arial"/>
                <w:color w:val="auto"/>
                <w:highlight w:val="none"/>
              </w:rPr>
              <w:t>2022年1月1</w:t>
            </w:r>
            <w:r>
              <w:rPr>
                <w:rFonts w:hint="default" w:ascii="Arial" w:hAnsi="Arial" w:eastAsia="宋体" w:cs="Arial"/>
                <w:color w:val="auto"/>
                <w:highlight w:val="none"/>
              </w:rPr>
              <w:t>日</w:t>
            </w:r>
            <w:r>
              <w:rPr>
                <w:rFonts w:hint="default" w:ascii="Arial" w:hAnsi="Arial" w:eastAsia="宋体" w:cs="Arial"/>
                <w:color w:val="auto"/>
                <w:highlight w:val="none"/>
                <w:lang w:val="en-US" w:eastAsia="zh-CN"/>
              </w:rPr>
              <w:t>至投标截止日</w:t>
            </w:r>
            <w:r>
              <w:rPr>
                <w:rFonts w:hint="default" w:ascii="Arial" w:hAnsi="Arial" w:cs="Arial"/>
                <w:color w:val="auto"/>
                <w:highlight w:val="none"/>
              </w:rPr>
              <w:t>以项目经理身份完成过</w:t>
            </w:r>
            <w:r>
              <w:rPr>
                <w:rFonts w:hint="default" w:ascii="Arial" w:hAnsi="Arial" w:eastAsia="宋体" w:cs="Arial"/>
                <w:color w:val="auto"/>
                <w:highlight w:val="none"/>
                <w:lang w:val="en-US" w:eastAsia="zh-CN"/>
              </w:rPr>
              <w:t>单项合同额</w:t>
            </w:r>
            <w:r>
              <w:rPr>
                <w:rFonts w:hint="default" w:ascii="Arial" w:hAnsi="Arial" w:eastAsia="宋体" w:cs="Arial"/>
                <w:color w:val="auto"/>
                <w:highlight w:val="none"/>
                <w:lang w:val="en-US" w:eastAsia="zh-CN"/>
              </w:rPr>
              <w:t>≥</w:t>
            </w:r>
            <w:r>
              <w:rPr>
                <w:rFonts w:hint="eastAsia" w:ascii="Arial" w:hAnsi="Arial" w:eastAsia="宋体" w:cs="Arial"/>
                <w:color w:val="auto"/>
                <w:highlight w:val="none"/>
                <w:lang w:val="en-US" w:eastAsia="zh-CN"/>
              </w:rPr>
              <w:t>1</w:t>
            </w:r>
            <w:r>
              <w:rPr>
                <w:rFonts w:hint="default" w:ascii="Arial" w:hAnsi="Arial" w:cs="Arial"/>
                <w:color w:val="auto"/>
                <w:highlight w:val="none"/>
              </w:rPr>
              <w:t>0000万元的海洋生态修复或海岸带综合整治工程施工总承包</w:t>
            </w:r>
            <w:r>
              <w:rPr>
                <w:rFonts w:hint="eastAsia" w:ascii="Arial" w:hAnsi="Arial" w:cs="Arial"/>
                <w:color w:val="auto"/>
                <w:highlight w:val="none"/>
                <w:lang w:val="en-US" w:eastAsia="zh-CN"/>
              </w:rPr>
              <w:t>或工程总承包项目业绩</w:t>
            </w:r>
            <w:r>
              <w:rPr>
                <w:rFonts w:hint="default" w:ascii="Arial" w:hAnsi="Arial" w:cs="Arial"/>
                <w:color w:val="auto"/>
                <w:highlight w:val="none"/>
              </w:rPr>
              <w:t>的，</w:t>
            </w:r>
            <w:r>
              <w:rPr>
                <w:rFonts w:hint="default" w:ascii="Arial" w:hAnsi="Arial" w:eastAsia="宋体" w:cs="Arial"/>
                <w:color w:val="auto"/>
                <w:highlight w:val="none"/>
                <w:lang w:val="en-US"/>
              </w:rPr>
              <w:t>每</w:t>
            </w:r>
            <w:r>
              <w:rPr>
                <w:rFonts w:hint="default" w:ascii="Arial" w:hAnsi="Arial" w:eastAsia="宋体" w:cs="Arial"/>
                <w:color w:val="auto"/>
                <w:highlight w:val="none"/>
                <w:lang w:val="en-US" w:eastAsia="zh-CN"/>
              </w:rPr>
              <w:t>有一项</w:t>
            </w:r>
            <w:r>
              <w:rPr>
                <w:rFonts w:hint="default" w:ascii="Arial" w:hAnsi="Arial" w:cs="Arial"/>
                <w:color w:val="auto"/>
                <w:highlight w:val="none"/>
              </w:rPr>
              <w:t>得</w:t>
            </w:r>
            <w:r>
              <w:rPr>
                <w:rFonts w:hint="eastAsia" w:ascii="Arial" w:hAnsi="Arial" w:cs="Arial"/>
                <w:color w:val="auto"/>
                <w:highlight w:val="none"/>
                <w:lang w:val="en-US" w:eastAsia="zh-CN"/>
              </w:rPr>
              <w:t>3</w:t>
            </w:r>
            <w:r>
              <w:rPr>
                <w:rFonts w:hint="default" w:ascii="Arial" w:hAnsi="Arial" w:cs="Arial"/>
                <w:color w:val="auto"/>
                <w:highlight w:val="none"/>
              </w:rPr>
              <w:t>分</w:t>
            </w:r>
            <w:r>
              <w:rPr>
                <w:rFonts w:hint="eastAsia" w:ascii="Arial" w:hAnsi="Arial" w:cs="Arial"/>
                <w:color w:val="auto"/>
                <w:highlight w:val="none"/>
                <w:lang w:eastAsia="zh-CN"/>
              </w:rPr>
              <w:t>；</w:t>
            </w:r>
            <w:r>
              <w:rPr>
                <w:rFonts w:hint="default" w:ascii="Arial" w:hAnsi="Arial" w:eastAsia="宋体" w:cs="Arial"/>
                <w:color w:val="auto"/>
                <w:highlight w:val="none"/>
                <w:lang w:val="en-US" w:eastAsia="zh-CN"/>
              </w:rPr>
              <w:t>单项合同额≥</w:t>
            </w:r>
            <w:r>
              <w:rPr>
                <w:rFonts w:hint="eastAsia" w:ascii="Arial" w:hAnsi="Arial" w:eastAsia="宋体" w:cs="Arial"/>
                <w:color w:val="auto"/>
                <w:highlight w:val="none"/>
                <w:lang w:val="en-US" w:eastAsia="zh-CN"/>
              </w:rPr>
              <w:t>5</w:t>
            </w:r>
            <w:r>
              <w:rPr>
                <w:rFonts w:hint="default" w:ascii="Arial" w:hAnsi="Arial" w:cs="Arial"/>
                <w:color w:val="auto"/>
                <w:highlight w:val="none"/>
              </w:rPr>
              <w:t>000万元</w:t>
            </w:r>
            <w:r>
              <w:rPr>
                <w:rFonts w:hint="eastAsia" w:ascii="Arial" w:hAnsi="Arial" w:cs="Arial"/>
                <w:color w:val="auto"/>
                <w:highlight w:val="none"/>
                <w:lang w:val="en-US" w:eastAsia="zh-CN"/>
              </w:rPr>
              <w:t>~10000万元</w:t>
            </w:r>
            <w:r>
              <w:rPr>
                <w:rFonts w:hint="default" w:ascii="Arial" w:hAnsi="Arial" w:cs="Arial"/>
                <w:color w:val="auto"/>
                <w:highlight w:val="none"/>
              </w:rPr>
              <w:t>的海洋生态修复或海岸带综合整治工程施工总承包</w:t>
            </w:r>
            <w:r>
              <w:rPr>
                <w:rFonts w:hint="eastAsia" w:ascii="Arial" w:hAnsi="Arial" w:cs="Arial"/>
                <w:color w:val="auto"/>
                <w:highlight w:val="none"/>
                <w:lang w:val="en-US" w:eastAsia="zh-CN"/>
              </w:rPr>
              <w:t>或工程总承包项目业绩</w:t>
            </w:r>
            <w:r>
              <w:rPr>
                <w:rFonts w:hint="default" w:ascii="Arial" w:hAnsi="Arial" w:cs="Arial"/>
                <w:color w:val="auto"/>
                <w:highlight w:val="none"/>
              </w:rPr>
              <w:t>的，</w:t>
            </w:r>
            <w:r>
              <w:rPr>
                <w:rFonts w:hint="default" w:ascii="Arial" w:hAnsi="Arial" w:eastAsia="宋体" w:cs="Arial"/>
                <w:color w:val="auto"/>
                <w:highlight w:val="none"/>
                <w:lang w:val="en-US"/>
              </w:rPr>
              <w:t>每</w:t>
            </w:r>
            <w:r>
              <w:rPr>
                <w:rFonts w:hint="default" w:ascii="Arial" w:hAnsi="Arial" w:eastAsia="宋体" w:cs="Arial"/>
                <w:color w:val="auto"/>
                <w:highlight w:val="none"/>
                <w:lang w:val="en-US" w:eastAsia="zh-CN"/>
              </w:rPr>
              <w:t>有一项</w:t>
            </w:r>
            <w:r>
              <w:rPr>
                <w:rFonts w:hint="default" w:ascii="Arial" w:hAnsi="Arial" w:cs="Arial"/>
                <w:color w:val="auto"/>
                <w:highlight w:val="none"/>
              </w:rPr>
              <w:t>得</w:t>
            </w:r>
            <w:r>
              <w:rPr>
                <w:rFonts w:hint="eastAsia" w:ascii="Arial" w:hAnsi="Arial" w:cs="Arial"/>
                <w:color w:val="auto"/>
                <w:highlight w:val="none"/>
                <w:lang w:val="en-US" w:eastAsia="zh-CN"/>
              </w:rPr>
              <w:t>1.5</w:t>
            </w:r>
            <w:r>
              <w:rPr>
                <w:rFonts w:hint="default" w:ascii="Arial" w:hAnsi="Arial" w:cs="Arial"/>
                <w:color w:val="auto"/>
                <w:highlight w:val="none"/>
              </w:rPr>
              <w:t>分</w:t>
            </w:r>
            <w:r>
              <w:rPr>
                <w:rFonts w:hint="eastAsia" w:ascii="Arial" w:hAnsi="Arial" w:cs="Arial"/>
                <w:color w:val="auto"/>
                <w:highlight w:val="none"/>
                <w:lang w:eastAsia="zh-CN"/>
              </w:rPr>
              <w:t>；</w:t>
            </w:r>
            <w:r>
              <w:rPr>
                <w:rFonts w:hint="default" w:ascii="Arial" w:hAnsi="Arial" w:cs="Arial"/>
                <w:color w:val="auto"/>
                <w:highlight w:val="none"/>
              </w:rPr>
              <w:t>最</w:t>
            </w:r>
            <w:r>
              <w:rPr>
                <w:rFonts w:hint="default" w:ascii="Arial" w:hAnsi="Arial" w:cs="Arial"/>
                <w:color w:val="auto"/>
                <w:highlight w:val="none"/>
                <w:lang w:val="en-US" w:eastAsia="zh-CN"/>
              </w:rPr>
              <w:t>多</w:t>
            </w:r>
            <w:r>
              <w:rPr>
                <w:rFonts w:hint="default" w:ascii="Arial" w:hAnsi="Arial" w:cs="Arial"/>
                <w:color w:val="auto"/>
                <w:highlight w:val="none"/>
              </w:rPr>
              <w:t>得</w:t>
            </w:r>
            <w:r>
              <w:rPr>
                <w:rFonts w:hint="eastAsia" w:ascii="Arial" w:hAnsi="Arial" w:cs="Arial"/>
                <w:color w:val="auto"/>
                <w:highlight w:val="none"/>
                <w:lang w:val="en-US" w:eastAsia="zh-CN"/>
              </w:rPr>
              <w:t>3</w:t>
            </w:r>
            <w:r>
              <w:rPr>
                <w:rFonts w:hint="default" w:ascii="Arial" w:hAnsi="Arial" w:cs="Arial"/>
                <w:color w:val="auto"/>
                <w:highlight w:val="none"/>
              </w:rPr>
              <w:t>分。</w:t>
            </w:r>
          </w:p>
          <w:p w14:paraId="176DD1E5">
            <w:pPr>
              <w:pStyle w:val="2"/>
              <w:ind w:left="0" w:leftChars="0" w:firstLine="0" w:firstLineChars="0"/>
              <w:jc w:val="both"/>
              <w:rPr>
                <w:rFonts w:hint="default" w:ascii="Arial" w:hAnsi="Arial" w:eastAsia="宋体" w:cs="Arial"/>
                <w:color w:val="auto"/>
                <w:sz w:val="21"/>
                <w:szCs w:val="21"/>
                <w:highlight w:val="none"/>
              </w:rPr>
            </w:pPr>
            <w:r>
              <w:rPr>
                <w:rFonts w:hint="default" w:ascii="Arial" w:hAnsi="Arial" w:cs="Arial"/>
                <w:color w:val="auto"/>
                <w:highlight w:val="none"/>
              </w:rPr>
              <w:t>注：</w:t>
            </w:r>
            <w:r>
              <w:rPr>
                <w:rFonts w:hint="default" w:ascii="Arial" w:hAnsi="Arial" w:eastAsia="宋体" w:cs="Arial"/>
                <w:color w:val="auto"/>
                <w:highlight w:val="none"/>
                <w:lang w:val="en-US" w:eastAsia="zh-CN"/>
              </w:rPr>
              <w:t>施工总承包</w:t>
            </w:r>
            <w:r>
              <w:rPr>
                <w:rFonts w:hint="eastAsia" w:ascii="Arial" w:hAnsi="Arial" w:cs="Arial"/>
                <w:color w:val="auto"/>
                <w:highlight w:val="none"/>
                <w:lang w:val="en-US" w:eastAsia="zh-CN"/>
              </w:rPr>
              <w:t>以合同协议书中签订金额为准、工程总承包以施工金额为准；同时</w:t>
            </w:r>
            <w:r>
              <w:rPr>
                <w:rFonts w:hint="default" w:ascii="Arial" w:hAnsi="Arial" w:eastAsia="宋体" w:cs="Arial"/>
                <w:color w:val="auto"/>
                <w:highlight w:val="none"/>
                <w:lang w:val="en-US"/>
              </w:rPr>
              <w:t>提供中标通知书、合同</w:t>
            </w:r>
            <w:r>
              <w:rPr>
                <w:rFonts w:hint="default" w:ascii="Arial" w:hAnsi="Arial" w:eastAsia="宋体" w:cs="Arial"/>
                <w:color w:val="auto"/>
                <w:highlight w:val="none"/>
                <w:lang w:val="en-US" w:eastAsia="zh-CN"/>
              </w:rPr>
              <w:t>协议书</w:t>
            </w:r>
            <w:r>
              <w:rPr>
                <w:rFonts w:hint="default" w:ascii="Arial" w:hAnsi="Arial" w:eastAsia="宋体" w:cs="Arial"/>
                <w:color w:val="auto"/>
                <w:highlight w:val="none"/>
                <w:lang w:val="en-US"/>
              </w:rPr>
              <w:t>原件扫描件</w:t>
            </w:r>
            <w:r>
              <w:rPr>
                <w:rFonts w:hint="default" w:ascii="Arial" w:hAnsi="Arial" w:cs="Arial"/>
                <w:color w:val="auto"/>
                <w:highlight w:val="none"/>
                <w:lang w:eastAsia="zh-CN"/>
              </w:rPr>
              <w:t>，</w:t>
            </w:r>
            <w:r>
              <w:rPr>
                <w:rFonts w:hint="eastAsia" w:ascii="Arial" w:hAnsi="Arial" w:cs="Arial"/>
                <w:color w:val="auto"/>
                <w:highlight w:val="none"/>
                <w:lang w:val="en-US" w:eastAsia="zh-CN"/>
              </w:rPr>
              <w:t>缺一不可</w:t>
            </w:r>
            <w:r>
              <w:rPr>
                <w:rFonts w:hint="default" w:ascii="Arial" w:hAnsi="Arial" w:eastAsia="宋体" w:cs="Arial"/>
                <w:color w:val="auto"/>
                <w:highlight w:val="none"/>
                <w:lang w:val="en-US" w:eastAsia="zh-CN"/>
              </w:rPr>
              <w:t>；</w:t>
            </w:r>
            <w:r>
              <w:rPr>
                <w:rFonts w:hint="default" w:ascii="Arial" w:hAnsi="Arial" w:cs="Arial"/>
                <w:color w:val="auto"/>
                <w:highlight w:val="none"/>
              </w:rPr>
              <w:t>项目经理姓名需在中标通知书、合同中清晰体现</w:t>
            </w:r>
            <w:r>
              <w:rPr>
                <w:rFonts w:hint="eastAsia" w:ascii="Arial" w:hAnsi="Arial" w:cs="Arial"/>
                <w:color w:val="auto"/>
                <w:highlight w:val="none"/>
                <w:lang w:eastAsia="zh-CN"/>
              </w:rPr>
              <w:t>。</w:t>
            </w:r>
            <w:r>
              <w:rPr>
                <w:rFonts w:hint="default" w:ascii="Arial" w:hAnsi="Arial" w:cs="Arial"/>
                <w:color w:val="auto"/>
                <w:highlight w:val="none"/>
                <w:lang w:val="en-US" w:eastAsia="zh-CN"/>
              </w:rPr>
              <w:t>不符合上述计分要求或提供证明资料不齐全的不得分</w:t>
            </w:r>
            <w:r>
              <w:rPr>
                <w:rFonts w:hint="default" w:ascii="Arial" w:hAnsi="Arial" w:cs="Arial"/>
                <w:color w:val="auto"/>
                <w:highlight w:val="none"/>
              </w:rPr>
              <w:t>。</w:t>
            </w:r>
          </w:p>
        </w:tc>
      </w:tr>
      <w:tr w14:paraId="44590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1009" w:type="dxa"/>
            <w:vMerge w:val="continue"/>
            <w:tcBorders>
              <w:top w:val="single" w:color="auto" w:sz="4" w:space="0"/>
              <w:bottom w:val="single" w:color="auto" w:sz="4" w:space="0"/>
              <w:right w:val="single" w:color="auto" w:sz="4" w:space="0"/>
            </w:tcBorders>
            <w:noWrap w:val="0"/>
            <w:vAlign w:val="top"/>
          </w:tcPr>
          <w:p w14:paraId="2CAEF419">
            <w:pPr>
              <w:spacing w:line="440" w:lineRule="exact"/>
              <w:jc w:val="center"/>
              <w:rPr>
                <w:rFonts w:hint="default" w:ascii="Times New Roman" w:hAnsi="Times New Roman" w:cs="Times New Roman"/>
                <w:color w:val="auto"/>
                <w:szCs w:val="21"/>
                <w:highlight w:val="none"/>
              </w:rPr>
            </w:pPr>
          </w:p>
        </w:tc>
        <w:tc>
          <w:tcPr>
            <w:tcW w:w="775" w:type="dxa"/>
            <w:vMerge w:val="continue"/>
            <w:tcBorders>
              <w:top w:val="single" w:color="auto" w:sz="4" w:space="0"/>
              <w:bottom w:val="single" w:color="auto" w:sz="4" w:space="0"/>
              <w:right w:val="single" w:color="auto" w:sz="4" w:space="0"/>
            </w:tcBorders>
            <w:noWrap w:val="0"/>
            <w:vAlign w:val="center"/>
          </w:tcPr>
          <w:p w14:paraId="0DA7746E">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526A4A2">
            <w:pPr>
              <w:jc w:val="left"/>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技术负责人（2分）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7755710B">
            <w:pPr>
              <w:numPr>
                <w:ilvl w:val="0"/>
                <w:numId w:val="0"/>
              </w:numPr>
              <w:jc w:val="left"/>
              <w:rPr>
                <w:rFonts w:hint="eastAsia" w:ascii="Arial" w:hAnsi="Arial" w:eastAsia="宋体" w:cs="Arial"/>
                <w:color w:val="auto"/>
                <w:sz w:val="21"/>
                <w:highlight w:val="none"/>
                <w:lang w:val="en-US" w:eastAsia="zh-CN"/>
              </w:rPr>
            </w:pPr>
            <w:r>
              <w:rPr>
                <w:rFonts w:hint="default" w:ascii="Arial" w:hAnsi="Arial" w:eastAsia="宋体" w:cs="Arial"/>
                <w:color w:val="auto"/>
                <w:kern w:val="2"/>
                <w:sz w:val="21"/>
                <w:szCs w:val="24"/>
                <w:highlight w:val="none"/>
                <w:lang w:val="en-US" w:eastAsia="zh-CN" w:bidi="ar-SA"/>
              </w:rPr>
              <w:t>（1）</w:t>
            </w:r>
            <w:r>
              <w:rPr>
                <w:color w:val="auto"/>
                <w:highlight w:val="none"/>
              </w:rPr>
              <w:t>具有</w:t>
            </w:r>
            <w:r>
              <w:rPr>
                <w:rFonts w:hint="eastAsia"/>
                <w:color w:val="auto"/>
                <w:highlight w:val="none"/>
                <w:lang w:val="en-US" w:eastAsia="zh-CN"/>
              </w:rPr>
              <w:t>相关专业</w:t>
            </w:r>
            <w:r>
              <w:rPr>
                <w:color w:val="auto"/>
                <w:highlight w:val="none"/>
              </w:rPr>
              <w:t>高级及以上工程师职称</w:t>
            </w:r>
            <w:r>
              <w:rPr>
                <w:rFonts w:hint="eastAsia"/>
                <w:color w:val="auto"/>
                <w:highlight w:val="none"/>
                <w:lang w:eastAsia="zh-CN"/>
              </w:rPr>
              <w:t>，</w:t>
            </w:r>
            <w:r>
              <w:rPr>
                <w:color w:val="auto"/>
                <w:highlight w:val="none"/>
              </w:rPr>
              <w:t>得</w:t>
            </w:r>
            <w:r>
              <w:rPr>
                <w:rFonts w:hint="eastAsia"/>
                <w:color w:val="auto"/>
                <w:highlight w:val="none"/>
                <w:lang w:val="en-US" w:eastAsia="zh-CN"/>
              </w:rPr>
              <w:t>1</w:t>
            </w:r>
            <w:r>
              <w:rPr>
                <w:color w:val="auto"/>
                <w:highlight w:val="none"/>
              </w:rPr>
              <w:t>分</w:t>
            </w:r>
            <w:r>
              <w:rPr>
                <w:rFonts w:hint="eastAsia" w:ascii="Arial" w:hAnsi="Arial" w:eastAsia="宋体" w:cs="Arial"/>
                <w:color w:val="auto"/>
                <w:sz w:val="21"/>
                <w:highlight w:val="none"/>
                <w:lang w:val="en-US" w:eastAsia="zh-CN"/>
              </w:rPr>
              <w:t>。</w:t>
            </w:r>
          </w:p>
          <w:p w14:paraId="0FCCE44F">
            <w:pPr>
              <w:pStyle w:val="2"/>
              <w:numPr>
                <w:ilvl w:val="0"/>
                <w:numId w:val="0"/>
              </w:numPr>
              <w:ind w:left="0" w:leftChars="0" w:firstLine="0" w:firstLineChars="0"/>
              <w:jc w:val="both"/>
              <w:rPr>
                <w:rFonts w:hint="eastAsia" w:ascii="Arial" w:hAnsi="Arial" w:eastAsia="宋体" w:cs="Arial"/>
                <w:color w:val="auto"/>
                <w:sz w:val="21"/>
                <w:highlight w:val="none"/>
                <w:lang w:val="en-US" w:eastAsia="zh-CN"/>
              </w:rPr>
            </w:pPr>
            <w:r>
              <w:rPr>
                <w:rFonts w:hint="default" w:ascii="Arial" w:hAnsi="Arial" w:eastAsia="宋体" w:cs="Arial"/>
                <w:color w:val="auto"/>
                <w:kern w:val="2"/>
                <w:sz w:val="21"/>
                <w:szCs w:val="24"/>
                <w:highlight w:val="none"/>
                <w:lang w:val="en-US" w:eastAsia="zh-CN" w:bidi="ar-SA"/>
              </w:rPr>
              <w:t>（2）</w:t>
            </w:r>
            <w:r>
              <w:rPr>
                <w:rFonts w:hint="default" w:ascii="Arial" w:hAnsi="Arial" w:cs="Arial"/>
                <w:color w:val="auto"/>
                <w:highlight w:val="none"/>
              </w:rPr>
              <w:t>完</w:t>
            </w:r>
            <w:r>
              <w:rPr>
                <w:rFonts w:hint="default" w:ascii="Arial" w:hAnsi="Arial" w:eastAsia="宋体" w:cs="Arial"/>
                <w:color w:val="auto"/>
                <w:highlight w:val="none"/>
                <w:lang w:val="en-US" w:eastAsia="zh-CN"/>
              </w:rPr>
              <w:t>成≥</w:t>
            </w:r>
            <w:r>
              <w:rPr>
                <w:rFonts w:hint="eastAsia" w:ascii="Arial" w:hAnsi="Arial" w:eastAsia="宋体" w:cs="Arial"/>
                <w:color w:val="auto"/>
                <w:highlight w:val="none"/>
                <w:lang w:val="en-US" w:eastAsia="zh-CN"/>
              </w:rPr>
              <w:t>5</w:t>
            </w:r>
            <w:r>
              <w:rPr>
                <w:rFonts w:hint="default" w:ascii="Arial" w:hAnsi="Arial" w:eastAsia="宋体" w:cs="Arial"/>
                <w:color w:val="auto"/>
                <w:highlight w:val="none"/>
                <w:lang w:val="en-US" w:eastAsia="zh-CN"/>
              </w:rPr>
              <w:t>000万元</w:t>
            </w:r>
            <w:r>
              <w:rPr>
                <w:rFonts w:hint="eastAsia" w:ascii="Arial" w:hAnsi="Arial" w:eastAsia="宋体" w:cs="Arial"/>
                <w:color w:val="auto"/>
                <w:highlight w:val="none"/>
                <w:lang w:val="en-US" w:eastAsia="zh-CN"/>
              </w:rPr>
              <w:t>的</w:t>
            </w:r>
            <w:r>
              <w:rPr>
                <w:rFonts w:hint="default" w:ascii="Arial" w:hAnsi="Arial" w:cs="Arial"/>
                <w:color w:val="auto"/>
                <w:highlight w:val="none"/>
              </w:rPr>
              <w:t>海洋生态修复或海岸带综合整治工程施工总承包</w:t>
            </w:r>
            <w:r>
              <w:rPr>
                <w:rFonts w:hint="eastAsia" w:ascii="Arial" w:hAnsi="Arial" w:cs="Arial"/>
                <w:color w:val="auto"/>
                <w:highlight w:val="none"/>
                <w:lang w:val="en-US" w:eastAsia="zh-CN"/>
              </w:rPr>
              <w:t>或工程总承包项目业绩</w:t>
            </w:r>
            <w:r>
              <w:rPr>
                <w:rFonts w:hint="default" w:ascii="Arial" w:hAnsi="Arial" w:cs="Arial"/>
                <w:color w:val="auto"/>
                <w:highlight w:val="none"/>
              </w:rPr>
              <w:t>的</w:t>
            </w:r>
            <w:r>
              <w:rPr>
                <w:rFonts w:hint="eastAsia" w:ascii="Arial" w:hAnsi="Arial" w:cs="Arial"/>
                <w:color w:val="auto"/>
                <w:highlight w:val="none"/>
                <w:lang w:eastAsia="zh-CN"/>
              </w:rPr>
              <w:t>，</w:t>
            </w:r>
            <w:r>
              <w:rPr>
                <w:rFonts w:hint="eastAsia" w:ascii="Arial" w:hAnsi="Arial" w:eastAsia="宋体" w:cs="Arial"/>
                <w:color w:val="auto"/>
                <w:sz w:val="21"/>
                <w:highlight w:val="none"/>
                <w:lang w:val="en-US" w:eastAsia="zh-CN"/>
              </w:rPr>
              <w:t>得1分。</w:t>
            </w:r>
          </w:p>
          <w:p w14:paraId="650EA880">
            <w:pPr>
              <w:pStyle w:val="2"/>
              <w:numPr>
                <w:ilvl w:val="0"/>
                <w:numId w:val="0"/>
              </w:numPr>
              <w:ind w:left="0" w:leftChars="0" w:firstLine="0" w:firstLineChars="0"/>
              <w:jc w:val="both"/>
              <w:rPr>
                <w:rFonts w:hint="default" w:ascii="Arial" w:hAnsi="Arial" w:eastAsia="宋体" w:cs="Arial"/>
                <w:color w:val="auto"/>
                <w:sz w:val="21"/>
                <w:highlight w:val="none"/>
                <w:lang w:val="en-US" w:eastAsia="zh-CN"/>
              </w:rPr>
            </w:pPr>
            <w:r>
              <w:rPr>
                <w:rFonts w:hint="default" w:ascii="Arial" w:hAnsi="Arial" w:cs="Arial"/>
                <w:color w:val="auto"/>
                <w:highlight w:val="none"/>
              </w:rPr>
              <w:t>注：</w:t>
            </w:r>
            <w:r>
              <w:rPr>
                <w:rFonts w:hint="default" w:ascii="Arial" w:hAnsi="Arial" w:eastAsia="宋体" w:cs="Arial"/>
                <w:color w:val="auto"/>
                <w:highlight w:val="none"/>
                <w:lang w:val="en-US" w:eastAsia="zh-CN"/>
              </w:rPr>
              <w:t>施工总承包</w:t>
            </w:r>
            <w:r>
              <w:rPr>
                <w:rFonts w:hint="eastAsia" w:ascii="Arial" w:hAnsi="Arial" w:cs="Arial"/>
                <w:color w:val="auto"/>
                <w:highlight w:val="none"/>
                <w:lang w:val="en-US" w:eastAsia="zh-CN"/>
              </w:rPr>
              <w:t>以合同协议书中签订金额为准、工程总承包以施工金额为准；同时</w:t>
            </w:r>
            <w:r>
              <w:rPr>
                <w:rFonts w:hint="default" w:ascii="Arial" w:hAnsi="Arial" w:eastAsia="宋体" w:cs="Arial"/>
                <w:color w:val="auto"/>
                <w:highlight w:val="none"/>
                <w:lang w:val="en-US"/>
              </w:rPr>
              <w:t>提供中标通知书、合同</w:t>
            </w:r>
            <w:r>
              <w:rPr>
                <w:rFonts w:hint="default" w:ascii="Arial" w:hAnsi="Arial" w:eastAsia="宋体" w:cs="Arial"/>
                <w:color w:val="auto"/>
                <w:highlight w:val="none"/>
                <w:lang w:val="en-US" w:eastAsia="zh-CN"/>
              </w:rPr>
              <w:t>协议书</w:t>
            </w:r>
            <w:r>
              <w:rPr>
                <w:rFonts w:hint="default" w:ascii="Arial" w:hAnsi="Arial" w:eastAsia="宋体" w:cs="Arial"/>
                <w:color w:val="auto"/>
                <w:highlight w:val="none"/>
                <w:lang w:val="en-US"/>
              </w:rPr>
              <w:t>原件扫描件</w:t>
            </w:r>
            <w:r>
              <w:rPr>
                <w:rFonts w:hint="default" w:ascii="Arial" w:hAnsi="Arial" w:cs="Arial"/>
                <w:color w:val="auto"/>
                <w:highlight w:val="none"/>
                <w:lang w:eastAsia="zh-CN"/>
              </w:rPr>
              <w:t>，</w:t>
            </w:r>
            <w:r>
              <w:rPr>
                <w:rFonts w:hint="eastAsia" w:ascii="Arial" w:hAnsi="Arial" w:cs="Arial"/>
                <w:color w:val="auto"/>
                <w:highlight w:val="none"/>
                <w:lang w:val="en-US" w:eastAsia="zh-CN"/>
              </w:rPr>
              <w:t>缺一不可</w:t>
            </w:r>
            <w:r>
              <w:rPr>
                <w:rFonts w:hint="default" w:ascii="Arial" w:hAnsi="Arial" w:eastAsia="宋体" w:cs="Arial"/>
                <w:color w:val="auto"/>
                <w:highlight w:val="none"/>
                <w:lang w:val="en-US" w:eastAsia="zh-CN"/>
              </w:rPr>
              <w:t>；</w:t>
            </w:r>
            <w:r>
              <w:rPr>
                <w:rFonts w:hint="eastAsia" w:ascii="Arial" w:hAnsi="Arial" w:eastAsia="宋体" w:cs="Arial"/>
                <w:color w:val="auto"/>
                <w:highlight w:val="none"/>
                <w:lang w:val="en-US" w:eastAsia="zh-CN"/>
              </w:rPr>
              <w:t>技术负责人</w:t>
            </w:r>
            <w:r>
              <w:rPr>
                <w:rFonts w:hint="default" w:ascii="Arial" w:hAnsi="Arial" w:cs="Arial"/>
                <w:color w:val="auto"/>
                <w:highlight w:val="none"/>
              </w:rPr>
              <w:t>姓名需在合同中清晰体现</w:t>
            </w:r>
            <w:r>
              <w:rPr>
                <w:rFonts w:hint="eastAsia" w:ascii="Arial" w:hAnsi="Arial" w:cs="Arial"/>
                <w:color w:val="auto"/>
                <w:highlight w:val="none"/>
                <w:lang w:eastAsia="zh-CN"/>
              </w:rPr>
              <w:t>。</w:t>
            </w:r>
            <w:r>
              <w:rPr>
                <w:rFonts w:hint="default" w:ascii="Arial" w:hAnsi="Arial" w:cs="Arial"/>
                <w:color w:val="auto"/>
                <w:highlight w:val="none"/>
                <w:lang w:val="en-US" w:eastAsia="zh-CN"/>
              </w:rPr>
              <w:t>不符合上述计分要求或提供证明资料不齐全的不得分</w:t>
            </w:r>
            <w:r>
              <w:rPr>
                <w:rFonts w:hint="default" w:ascii="Arial" w:hAnsi="Arial" w:cs="Arial"/>
                <w:color w:val="auto"/>
                <w:highlight w:val="none"/>
              </w:rPr>
              <w:t>。</w:t>
            </w:r>
          </w:p>
        </w:tc>
      </w:tr>
      <w:tr w14:paraId="3BBE6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1009" w:type="dxa"/>
            <w:vMerge w:val="continue"/>
            <w:tcBorders>
              <w:top w:val="single" w:color="auto" w:sz="4" w:space="0"/>
              <w:bottom w:val="single" w:color="auto" w:sz="4" w:space="0"/>
              <w:right w:val="single" w:color="auto" w:sz="4" w:space="0"/>
            </w:tcBorders>
            <w:noWrap w:val="0"/>
            <w:vAlign w:val="top"/>
          </w:tcPr>
          <w:p w14:paraId="1A3834A7">
            <w:pPr>
              <w:spacing w:line="440" w:lineRule="exact"/>
              <w:jc w:val="center"/>
              <w:rPr>
                <w:rFonts w:hint="default" w:ascii="Times New Roman" w:hAnsi="Times New Roman" w:cs="Times New Roman"/>
                <w:color w:val="auto"/>
                <w:szCs w:val="21"/>
                <w:highlight w:val="none"/>
              </w:rPr>
            </w:pPr>
          </w:p>
        </w:tc>
        <w:tc>
          <w:tcPr>
            <w:tcW w:w="775" w:type="dxa"/>
            <w:vMerge w:val="continue"/>
            <w:tcBorders>
              <w:top w:val="single" w:color="auto" w:sz="4" w:space="0"/>
              <w:bottom w:val="single" w:color="auto" w:sz="4" w:space="0"/>
              <w:right w:val="single" w:color="auto" w:sz="4" w:space="0"/>
            </w:tcBorders>
            <w:noWrap w:val="0"/>
            <w:vAlign w:val="center"/>
          </w:tcPr>
          <w:p w14:paraId="37309E7E">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right w:val="single" w:color="auto" w:sz="4" w:space="0"/>
            </w:tcBorders>
            <w:noWrap w:val="0"/>
            <w:vAlign w:val="center"/>
          </w:tcPr>
          <w:p w14:paraId="1471253E">
            <w:pPr>
              <w:jc w:val="center"/>
              <w:rPr>
                <w:rFonts w:hint="default" w:ascii="Arial" w:hAnsi="Arial" w:eastAsia="宋体" w:cs="Arial"/>
                <w:color w:val="auto"/>
                <w:sz w:val="21"/>
                <w:szCs w:val="21"/>
                <w:highlight w:val="none"/>
              </w:rPr>
            </w:pPr>
            <w:r>
              <w:rPr>
                <w:rFonts w:hint="default" w:ascii="Arial" w:hAnsi="Arial" w:eastAsia="宋体" w:cs="Arial"/>
                <w:color w:val="auto"/>
                <w:kern w:val="0"/>
                <w:sz w:val="21"/>
                <w:szCs w:val="21"/>
                <w:highlight w:val="none"/>
                <w:lang w:val="en-US" w:eastAsia="zh-CN" w:bidi="ar"/>
              </w:rPr>
              <w:t>项目管理人员配备</w:t>
            </w:r>
            <w:bookmarkStart w:id="292" w:name="OLE_LINK19"/>
            <w:r>
              <w:rPr>
                <w:rFonts w:hint="default" w:ascii="Arial" w:hAnsi="Arial" w:cs="Arial"/>
                <w:color w:val="auto"/>
                <w:highlight w:val="none"/>
              </w:rPr>
              <w:t>（</w:t>
            </w:r>
            <w:bookmarkEnd w:id="292"/>
            <w:r>
              <w:rPr>
                <w:rFonts w:hint="eastAsia" w:ascii="Arial" w:hAnsi="Arial" w:cs="Arial"/>
                <w:color w:val="auto"/>
                <w:highlight w:val="none"/>
                <w:lang w:val="en-US" w:eastAsia="zh-CN"/>
              </w:rPr>
              <w:t>2</w:t>
            </w:r>
            <w:r>
              <w:rPr>
                <w:rFonts w:hint="default" w:ascii="Arial" w:hAnsi="Arial" w:cs="Arial"/>
                <w:color w:val="auto"/>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4CF19A65">
            <w:pPr>
              <w:keepNext w:val="0"/>
              <w:keepLines w:val="0"/>
              <w:widowControl/>
              <w:suppressLineNumbers w:val="0"/>
              <w:jc w:val="both"/>
              <w:rPr>
                <w:rFonts w:hint="default" w:ascii="Arial" w:hAnsi="Arial" w:eastAsia="宋体" w:cs="Arial"/>
                <w:color w:val="auto"/>
                <w:kern w:val="0"/>
                <w:sz w:val="21"/>
                <w:szCs w:val="21"/>
                <w:highlight w:val="none"/>
                <w:lang w:val="en-US" w:eastAsia="zh-CN" w:bidi="ar"/>
              </w:rPr>
            </w:pPr>
            <w:r>
              <w:rPr>
                <w:rFonts w:hint="default" w:ascii="Arial" w:hAnsi="Arial" w:eastAsia="宋体" w:cs="Arial"/>
                <w:color w:val="auto"/>
                <w:kern w:val="0"/>
                <w:sz w:val="21"/>
                <w:szCs w:val="21"/>
                <w:highlight w:val="none"/>
                <w:lang w:val="en-US" w:eastAsia="zh-CN" w:bidi="ar"/>
              </w:rPr>
              <w:t>项目管理人员包括①施工员、②质量员、③安全员、④材料员、⑤</w:t>
            </w:r>
            <w:r>
              <w:rPr>
                <w:rFonts w:hint="default" w:ascii="Arial" w:hAnsi="Arial" w:eastAsia="宋体" w:cs="Arial"/>
                <w:color w:val="auto"/>
                <w:kern w:val="0"/>
                <w:sz w:val="21"/>
                <w:szCs w:val="21"/>
                <w:highlight w:val="none"/>
                <w:lang w:val="en-US" w:eastAsia="zh-CN" w:bidi="ar"/>
              </w:rPr>
              <w:t>资料员</w:t>
            </w:r>
            <w:r>
              <w:rPr>
                <w:rFonts w:hint="default" w:ascii="Arial" w:hAnsi="Arial" w:eastAsia="宋体" w:cs="Arial"/>
                <w:color w:val="auto"/>
                <w:kern w:val="0"/>
                <w:sz w:val="21"/>
                <w:szCs w:val="21"/>
                <w:highlight w:val="none"/>
                <w:lang w:val="en-US" w:eastAsia="zh-CN" w:bidi="ar"/>
              </w:rPr>
              <w:t>、⑥</w:t>
            </w:r>
            <w:r>
              <w:rPr>
                <w:rFonts w:hint="eastAsia" w:ascii="Arial" w:hAnsi="Arial" w:eastAsia="宋体" w:cs="Arial"/>
                <w:color w:val="auto"/>
                <w:kern w:val="0"/>
                <w:sz w:val="21"/>
                <w:szCs w:val="21"/>
                <w:highlight w:val="none"/>
                <w:lang w:val="en-US" w:eastAsia="zh-CN" w:bidi="ar"/>
              </w:rPr>
              <w:t>一</w:t>
            </w:r>
            <w:r>
              <w:rPr>
                <w:rStyle w:val="56"/>
                <w:rFonts w:hint="eastAsia"/>
                <w:kern w:val="2"/>
                <w:sz w:val="21"/>
                <w:szCs w:val="21"/>
                <w:highlight w:val="none"/>
              </w:rPr>
              <w:t>级注册造价工程师</w:t>
            </w:r>
            <w:r>
              <w:rPr>
                <w:rFonts w:hint="default" w:ascii="Arial" w:hAnsi="Arial" w:eastAsia="宋体" w:cs="Arial"/>
                <w:color w:val="auto"/>
                <w:kern w:val="0"/>
                <w:sz w:val="21"/>
                <w:szCs w:val="21"/>
                <w:highlight w:val="none"/>
                <w:lang w:val="en-US" w:eastAsia="zh-CN" w:bidi="ar"/>
              </w:rPr>
              <w:t>，各类专业人员配备齐全，得</w:t>
            </w:r>
            <w:r>
              <w:rPr>
                <w:rFonts w:hint="eastAsia" w:ascii="Arial" w:hAnsi="Arial" w:eastAsia="宋体" w:cs="Arial"/>
                <w:color w:val="auto"/>
                <w:kern w:val="0"/>
                <w:sz w:val="21"/>
                <w:szCs w:val="21"/>
                <w:highlight w:val="none"/>
                <w:lang w:val="en-US" w:eastAsia="zh-CN" w:bidi="ar"/>
              </w:rPr>
              <w:t>2</w:t>
            </w:r>
            <w:r>
              <w:rPr>
                <w:rFonts w:hint="default" w:ascii="Arial" w:hAnsi="Arial" w:eastAsia="宋体" w:cs="Arial"/>
                <w:color w:val="auto"/>
                <w:kern w:val="0"/>
                <w:sz w:val="21"/>
                <w:szCs w:val="21"/>
                <w:highlight w:val="none"/>
                <w:lang w:val="en-US" w:eastAsia="zh-CN" w:bidi="ar"/>
              </w:rPr>
              <w:t>分，不齐全的，按每类专业人员扣0.5分，最多扣</w:t>
            </w:r>
            <w:r>
              <w:rPr>
                <w:rFonts w:hint="eastAsia" w:ascii="Arial" w:hAnsi="Arial" w:eastAsia="宋体" w:cs="Arial"/>
                <w:color w:val="auto"/>
                <w:kern w:val="0"/>
                <w:sz w:val="21"/>
                <w:szCs w:val="21"/>
                <w:highlight w:val="none"/>
                <w:lang w:val="en-US" w:eastAsia="zh-CN" w:bidi="ar"/>
              </w:rPr>
              <w:t>2</w:t>
            </w:r>
            <w:r>
              <w:rPr>
                <w:rFonts w:hint="default" w:ascii="Arial" w:hAnsi="Arial" w:eastAsia="宋体" w:cs="Arial"/>
                <w:color w:val="auto"/>
                <w:kern w:val="0"/>
                <w:sz w:val="21"/>
                <w:szCs w:val="21"/>
                <w:highlight w:val="none"/>
                <w:lang w:val="en-US" w:eastAsia="zh-CN" w:bidi="ar"/>
              </w:rPr>
              <w:t>分。</w:t>
            </w:r>
          </w:p>
          <w:p w14:paraId="23DC78FA">
            <w:pPr>
              <w:jc w:val="left"/>
              <w:rPr>
                <w:rFonts w:hint="default"/>
                <w:highlight w:val="none"/>
              </w:rPr>
            </w:pPr>
            <w:r>
              <w:rPr>
                <w:rFonts w:hint="default" w:ascii="Arial" w:hAnsi="Arial" w:eastAsia="宋体" w:cs="Arial"/>
                <w:color w:val="auto"/>
                <w:kern w:val="0"/>
                <w:sz w:val="21"/>
                <w:szCs w:val="21"/>
                <w:highlight w:val="none"/>
                <w:lang w:val="en-US" w:eastAsia="zh-CN" w:bidi="ar"/>
              </w:rPr>
              <w:t>注：须提供相关岗位证书的原件扫描件</w:t>
            </w:r>
            <w:r>
              <w:rPr>
                <w:rFonts w:hint="eastAsia" w:ascii="Arial" w:hAnsi="Arial" w:eastAsia="宋体" w:cs="Arial"/>
                <w:color w:val="auto"/>
                <w:kern w:val="0"/>
                <w:sz w:val="21"/>
                <w:szCs w:val="21"/>
                <w:highlight w:val="none"/>
                <w:lang w:val="en-US" w:eastAsia="zh-CN" w:bidi="ar"/>
              </w:rPr>
              <w:t>及劳动合同原件扫描件</w:t>
            </w:r>
            <w:r>
              <w:rPr>
                <w:rFonts w:hint="default" w:ascii="Arial" w:hAnsi="Arial" w:eastAsia="宋体" w:cs="Arial"/>
                <w:color w:val="auto"/>
                <w:kern w:val="0"/>
                <w:sz w:val="21"/>
                <w:szCs w:val="21"/>
                <w:highlight w:val="none"/>
                <w:lang w:val="en-US" w:eastAsia="zh-CN" w:bidi="ar"/>
              </w:rPr>
              <w:t>，否则不得分。</w:t>
            </w:r>
          </w:p>
        </w:tc>
      </w:tr>
      <w:tr w14:paraId="5660996B">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726" w:hRule="atLeast"/>
        </w:trPr>
        <w:tc>
          <w:tcPr>
            <w:tcW w:w="1009" w:type="dxa"/>
            <w:tcBorders>
              <w:top w:val="single" w:color="auto" w:sz="4" w:space="0"/>
              <w:left w:val="single" w:color="auto" w:sz="4" w:space="0"/>
              <w:bottom w:val="single" w:color="auto" w:sz="4" w:space="0"/>
              <w:right w:val="single" w:color="auto" w:sz="4" w:space="0"/>
            </w:tcBorders>
            <w:noWrap w:val="0"/>
            <w:vAlign w:val="center"/>
          </w:tcPr>
          <w:p w14:paraId="11F8731F">
            <w:pPr>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2.2.4(3)</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47C039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投标报价评分标准</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67235FA">
            <w:pPr>
              <w:jc w:val="center"/>
              <w:rPr>
                <w:rFonts w:hint="default" w:ascii="Times New Roman" w:hAnsi="Times New Roman" w:eastAsia="宋体" w:cs="Times New Roman"/>
                <w:color w:val="auto"/>
                <w:sz w:val="21"/>
                <w:szCs w:val="21"/>
                <w:highlight w:val="none"/>
              </w:rPr>
            </w:pPr>
            <w:r>
              <w:rPr>
                <w:color w:val="000000"/>
                <w:highlight w:val="none"/>
              </w:rPr>
              <w:t>投标报价</w:t>
            </w:r>
            <w:r>
              <w:rPr>
                <w:rFonts w:hint="eastAsia"/>
                <w:color w:val="000000"/>
                <w:highlight w:val="none"/>
                <w:lang w:eastAsia="zh-CN"/>
              </w:rPr>
              <w:t>（</w:t>
            </w:r>
            <w:r>
              <w:rPr>
                <w:rFonts w:hint="eastAsia"/>
                <w:color w:val="000000"/>
                <w:highlight w:val="none"/>
                <w:lang w:val="en-US" w:eastAsia="zh-CN"/>
              </w:rPr>
              <w:t>40分</w:t>
            </w:r>
            <w:r>
              <w:rPr>
                <w:rFonts w:hint="eastAsia"/>
                <w:color w:val="000000"/>
                <w:highlight w:val="none"/>
                <w:lang w:eastAsia="zh-CN"/>
              </w:rPr>
              <w:t>）</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60AF35B6">
            <w:pPr>
              <w:numPr>
                <w:ilvl w:val="0"/>
                <w:numId w:val="0"/>
              </w:numPr>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auto"/>
                <w:highlight w:val="none"/>
              </w:rPr>
              <w:t>评标基准价计算方法：</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eastAsia="zh-CN"/>
              </w:rPr>
              <w:t>如果有效报价单位数量超过9家（包含9家）</w:t>
            </w:r>
            <w:r>
              <w:rPr>
                <w:rFonts w:hint="eastAsia" w:ascii="Times New Roman" w:hAnsi="Times New Roman" w:eastAsia="宋体" w:cs="Times New Roman"/>
                <w:sz w:val="21"/>
                <w:szCs w:val="21"/>
                <w:highlight w:val="none"/>
                <w:lang w:val="en-US" w:eastAsia="zh-CN"/>
              </w:rPr>
              <w:t>低于20家</w:t>
            </w:r>
            <w:r>
              <w:rPr>
                <w:rFonts w:hint="default" w:ascii="Times New Roman" w:hAnsi="Times New Roman" w:eastAsia="宋体" w:cs="Times New Roman"/>
                <w:sz w:val="21"/>
                <w:szCs w:val="21"/>
                <w:highlight w:val="none"/>
                <w:lang w:eastAsia="zh-CN"/>
              </w:rPr>
              <w:t>，则去掉一个最高有效投标报价，且同时去掉一个最低有效投标投标报价，剩余有效投标单位的投标报价算术平均值为基准价。</w:t>
            </w:r>
          </w:p>
          <w:p w14:paraId="4BDCB6B5">
            <w:pPr>
              <w:numPr>
                <w:ilvl w:val="0"/>
                <w:numId w:val="0"/>
              </w:numPr>
              <w:jc w:val="both"/>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eastAsia="zh-CN"/>
              </w:rPr>
              <w:t>如果有效报价单位数量超过</w:t>
            </w:r>
            <w:r>
              <w:rPr>
                <w:rFonts w:hint="eastAsia"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lang w:eastAsia="zh-CN"/>
              </w:rPr>
              <w:t>家（包含</w:t>
            </w:r>
            <w:r>
              <w:rPr>
                <w:rFonts w:hint="eastAsia"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lang w:eastAsia="zh-CN"/>
              </w:rPr>
              <w:t>家），则去掉</w:t>
            </w:r>
            <w:r>
              <w:rPr>
                <w:rFonts w:hint="eastAsia" w:ascii="Times New Roman" w:hAnsi="Times New Roman" w:eastAsia="宋体" w:cs="Times New Roman"/>
                <w:sz w:val="21"/>
                <w:szCs w:val="21"/>
                <w:highlight w:val="none"/>
                <w:lang w:val="en-US" w:eastAsia="zh-CN"/>
              </w:rPr>
              <w:t>三</w:t>
            </w:r>
            <w:r>
              <w:rPr>
                <w:rFonts w:hint="default" w:ascii="Times New Roman" w:hAnsi="Times New Roman" w:eastAsia="宋体" w:cs="Times New Roman"/>
                <w:sz w:val="21"/>
                <w:szCs w:val="21"/>
                <w:highlight w:val="none"/>
                <w:lang w:eastAsia="zh-CN"/>
              </w:rPr>
              <w:t>个最高有效投标报价，且同时去掉</w:t>
            </w:r>
            <w:r>
              <w:rPr>
                <w:rFonts w:hint="eastAsia" w:ascii="Times New Roman" w:hAnsi="Times New Roman" w:eastAsia="宋体" w:cs="Times New Roman"/>
                <w:sz w:val="21"/>
                <w:szCs w:val="21"/>
                <w:highlight w:val="none"/>
                <w:lang w:val="en-US" w:eastAsia="zh-CN"/>
              </w:rPr>
              <w:t>三</w:t>
            </w:r>
            <w:r>
              <w:rPr>
                <w:rFonts w:hint="default" w:ascii="Times New Roman" w:hAnsi="Times New Roman" w:eastAsia="宋体" w:cs="Times New Roman"/>
                <w:sz w:val="21"/>
                <w:szCs w:val="21"/>
                <w:highlight w:val="none"/>
                <w:lang w:eastAsia="zh-CN"/>
              </w:rPr>
              <w:t>个最低有效投标投标报价，剩余有效投标单位的投标报价算术平均值为基准价。</w:t>
            </w:r>
          </w:p>
          <w:p w14:paraId="5A2326D0">
            <w:pPr>
              <w:pStyle w:val="2"/>
              <w:ind w:left="0" w:leftChars="0" w:firstLine="0" w:firstLineChars="0"/>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eastAsia="zh-CN"/>
              </w:rPr>
              <w:t>如果有效报价单位数量不超过9家，所有有效报价的算术平均值为基准价。</w:t>
            </w:r>
          </w:p>
          <w:p w14:paraId="240B4CCD">
            <w:pPr>
              <w:pStyle w:val="2"/>
              <w:ind w:left="0" w:leftChars="0" w:firstLine="0" w:firstLineChars="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注：有效报价指通过初步评审（形式、资格、响应性评审）的投标单位报价。</w:t>
            </w:r>
          </w:p>
          <w:p w14:paraId="2E675AAB">
            <w:pPr>
              <w:pStyle w:val="2"/>
              <w:ind w:left="0" w:leftChars="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highlight w:val="none"/>
                <w:lang w:eastAsia="zh-CN"/>
              </w:rPr>
              <w:t>投标报价与基准价相比的偏差率，每高1%扣0.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eastAsia="zh-CN"/>
              </w:rPr>
              <w:t>分，每低1%扣0.</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分，得分小数点后保留2位有效数字</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满分40分</w:t>
            </w:r>
            <w:r>
              <w:rPr>
                <w:rFonts w:hint="default" w:ascii="Times New Roman" w:hAnsi="Times New Roman" w:eastAsia="宋体" w:cs="Times New Roman"/>
                <w:sz w:val="21"/>
                <w:szCs w:val="21"/>
                <w:highlight w:val="none"/>
                <w:lang w:eastAsia="zh-CN"/>
              </w:rPr>
              <w:t>。</w:t>
            </w:r>
          </w:p>
        </w:tc>
      </w:tr>
      <w:tr w14:paraId="5AF3E897">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2402" w:hRule="atLeast"/>
        </w:trPr>
        <w:tc>
          <w:tcPr>
            <w:tcW w:w="1009" w:type="dxa"/>
            <w:vMerge w:val="restart"/>
            <w:tcBorders>
              <w:top w:val="single" w:color="auto" w:sz="4" w:space="0"/>
              <w:left w:val="single" w:color="auto" w:sz="4" w:space="0"/>
              <w:bottom w:val="single" w:color="auto" w:sz="4" w:space="0"/>
              <w:right w:val="single" w:color="auto" w:sz="4" w:space="0"/>
            </w:tcBorders>
            <w:noWrap w:val="0"/>
            <w:vAlign w:val="center"/>
          </w:tcPr>
          <w:p w14:paraId="3DBED61E">
            <w:pPr>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2.2.4(4)</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14:paraId="4E8C494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其他因素评分标准</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0D35750F">
            <w:pPr>
              <w:jc w:val="left"/>
              <w:rPr>
                <w:rFonts w:hint="default" w:ascii="Arial" w:hAnsi="Arial" w:eastAsia="宋体" w:cs="Arial"/>
                <w:color w:val="auto"/>
                <w:sz w:val="21"/>
                <w:szCs w:val="21"/>
                <w:highlight w:val="none"/>
              </w:rPr>
            </w:pPr>
            <w:r>
              <w:rPr>
                <w:rFonts w:hint="default" w:ascii="Arial" w:hAnsi="Arial" w:cs="Arial"/>
                <w:color w:val="auto"/>
                <w:highlight w:val="none"/>
              </w:rPr>
              <w:t>企业业绩（</w:t>
            </w:r>
            <w:r>
              <w:rPr>
                <w:rFonts w:hint="eastAsia" w:ascii="Arial" w:hAnsi="Arial" w:cs="Arial"/>
                <w:color w:val="auto"/>
                <w:highlight w:val="none"/>
                <w:lang w:val="en-US" w:eastAsia="zh-CN"/>
              </w:rPr>
              <w:t>3</w:t>
            </w:r>
            <w:r>
              <w:rPr>
                <w:rFonts w:hint="default" w:ascii="Arial" w:hAnsi="Arial" w:cs="Arial"/>
                <w:color w:val="auto"/>
                <w:highlight w:val="none"/>
              </w:rPr>
              <w:t>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329E85C3">
            <w:pPr>
              <w:jc w:val="both"/>
              <w:rPr>
                <w:rFonts w:hint="default" w:ascii="Arial" w:hAnsi="Arial" w:cs="Arial"/>
                <w:color w:val="auto"/>
                <w:highlight w:val="none"/>
                <w:lang w:eastAsia="zh-CN"/>
              </w:rPr>
            </w:pPr>
            <w:r>
              <w:rPr>
                <w:rFonts w:hint="default" w:ascii="Arial" w:hAnsi="Arial" w:cs="Arial"/>
                <w:color w:val="auto"/>
                <w:highlight w:val="none"/>
                <w:lang w:eastAsia="zh-CN"/>
              </w:rPr>
              <w:t>（</w:t>
            </w:r>
            <w:r>
              <w:rPr>
                <w:rFonts w:hint="default" w:ascii="Arial" w:hAnsi="Arial" w:cs="Arial"/>
                <w:color w:val="auto"/>
                <w:highlight w:val="none"/>
                <w:lang w:val="en-US" w:eastAsia="zh-CN"/>
              </w:rPr>
              <w:t>1</w:t>
            </w:r>
            <w:r>
              <w:rPr>
                <w:rFonts w:hint="default" w:ascii="Arial" w:hAnsi="Arial" w:cs="Arial"/>
                <w:color w:val="auto"/>
                <w:highlight w:val="none"/>
                <w:lang w:eastAsia="zh-CN"/>
              </w:rPr>
              <w:t>）</w:t>
            </w:r>
            <w:r>
              <w:rPr>
                <w:rFonts w:hint="default" w:ascii="Arial" w:hAnsi="Arial" w:cs="Arial"/>
                <w:color w:val="auto"/>
                <w:highlight w:val="none"/>
              </w:rPr>
              <w:t>202</w:t>
            </w:r>
            <w:r>
              <w:rPr>
                <w:rFonts w:hint="eastAsia" w:ascii="Arial" w:hAnsi="Arial" w:cs="Arial"/>
                <w:color w:val="auto"/>
                <w:highlight w:val="none"/>
                <w:lang w:val="en-US" w:eastAsia="zh-CN"/>
              </w:rPr>
              <w:t>2</w:t>
            </w:r>
            <w:r>
              <w:rPr>
                <w:rFonts w:hint="default" w:ascii="Arial" w:hAnsi="Arial" w:cs="Arial"/>
                <w:color w:val="auto"/>
                <w:highlight w:val="none"/>
              </w:rPr>
              <w:t>年1月1</w:t>
            </w:r>
            <w:r>
              <w:rPr>
                <w:rFonts w:hint="default" w:ascii="Arial" w:hAnsi="Arial" w:eastAsia="宋体" w:cs="Arial"/>
                <w:color w:val="auto"/>
                <w:highlight w:val="none"/>
              </w:rPr>
              <w:t>日</w:t>
            </w:r>
            <w:r>
              <w:rPr>
                <w:rFonts w:hint="default" w:ascii="Arial" w:hAnsi="Arial" w:eastAsia="宋体" w:cs="Arial"/>
                <w:color w:val="auto"/>
                <w:highlight w:val="none"/>
                <w:lang w:val="en-US" w:eastAsia="zh-CN"/>
              </w:rPr>
              <w:t>至投标截止日</w:t>
            </w:r>
            <w:r>
              <w:rPr>
                <w:rFonts w:hint="default" w:ascii="Arial" w:hAnsi="Arial" w:cs="Arial"/>
                <w:color w:val="auto"/>
                <w:highlight w:val="none"/>
              </w:rPr>
              <w:t>完成过</w:t>
            </w:r>
            <w:r>
              <w:rPr>
                <w:rFonts w:hint="default" w:ascii="Arial" w:hAnsi="Arial" w:eastAsia="宋体" w:cs="Arial"/>
                <w:color w:val="auto"/>
                <w:highlight w:val="none"/>
                <w:lang w:val="en-US" w:eastAsia="zh-CN"/>
              </w:rPr>
              <w:t>单项合同额≥3</w:t>
            </w:r>
            <w:r>
              <w:rPr>
                <w:rFonts w:hint="default" w:ascii="Arial" w:hAnsi="Arial" w:cs="Arial"/>
                <w:color w:val="auto"/>
                <w:highlight w:val="none"/>
              </w:rPr>
              <w:t>0000万元的海洋生态修复或海岸带综合整治工程施工总承包</w:t>
            </w:r>
            <w:r>
              <w:rPr>
                <w:rFonts w:hint="eastAsia" w:ascii="Arial" w:hAnsi="Arial" w:cs="Arial"/>
                <w:color w:val="auto"/>
                <w:highlight w:val="none"/>
                <w:lang w:val="en-US" w:eastAsia="zh-CN"/>
              </w:rPr>
              <w:t>或工程总承包项目业绩</w:t>
            </w:r>
            <w:r>
              <w:rPr>
                <w:rFonts w:hint="default" w:ascii="Arial" w:hAnsi="Arial" w:cs="Arial"/>
                <w:color w:val="auto"/>
                <w:highlight w:val="none"/>
              </w:rPr>
              <w:t>的，</w:t>
            </w:r>
            <w:r>
              <w:rPr>
                <w:rFonts w:hint="default" w:ascii="Arial" w:hAnsi="Arial" w:eastAsia="宋体" w:cs="Arial"/>
                <w:color w:val="auto"/>
                <w:highlight w:val="none"/>
                <w:lang w:val="en-US"/>
              </w:rPr>
              <w:t>每</w:t>
            </w:r>
            <w:r>
              <w:rPr>
                <w:rFonts w:hint="default" w:ascii="Arial" w:hAnsi="Arial" w:eastAsia="宋体" w:cs="Arial"/>
                <w:color w:val="auto"/>
                <w:highlight w:val="none"/>
                <w:lang w:val="en-US" w:eastAsia="zh-CN"/>
              </w:rPr>
              <w:t>有一项</w:t>
            </w:r>
            <w:r>
              <w:rPr>
                <w:rFonts w:hint="default" w:ascii="Arial" w:hAnsi="Arial" w:cs="Arial"/>
                <w:color w:val="auto"/>
                <w:highlight w:val="none"/>
              </w:rPr>
              <w:t>得</w:t>
            </w:r>
            <w:r>
              <w:rPr>
                <w:rFonts w:hint="eastAsia" w:ascii="Arial" w:hAnsi="Arial" w:cs="Arial"/>
                <w:color w:val="auto"/>
                <w:highlight w:val="none"/>
                <w:lang w:val="en-US" w:eastAsia="zh-CN"/>
              </w:rPr>
              <w:t>3</w:t>
            </w:r>
            <w:r>
              <w:rPr>
                <w:rFonts w:hint="default" w:ascii="Arial" w:hAnsi="Arial" w:cs="Arial"/>
                <w:color w:val="auto"/>
                <w:highlight w:val="none"/>
              </w:rPr>
              <w:t>分，最</w:t>
            </w:r>
            <w:r>
              <w:rPr>
                <w:rFonts w:hint="default" w:ascii="Arial" w:hAnsi="Arial" w:cs="Arial"/>
                <w:color w:val="auto"/>
                <w:highlight w:val="none"/>
                <w:lang w:val="en-US" w:eastAsia="zh-CN"/>
              </w:rPr>
              <w:t>多</w:t>
            </w:r>
            <w:r>
              <w:rPr>
                <w:rFonts w:hint="default" w:ascii="Arial" w:hAnsi="Arial" w:cs="Arial"/>
                <w:color w:val="auto"/>
                <w:highlight w:val="none"/>
              </w:rPr>
              <w:t>得</w:t>
            </w:r>
            <w:r>
              <w:rPr>
                <w:rFonts w:hint="eastAsia" w:ascii="Arial" w:hAnsi="Arial" w:cs="Arial"/>
                <w:color w:val="auto"/>
                <w:highlight w:val="none"/>
                <w:lang w:val="en-US" w:eastAsia="zh-CN"/>
              </w:rPr>
              <w:t>3</w:t>
            </w:r>
            <w:r>
              <w:rPr>
                <w:rFonts w:hint="default" w:ascii="Arial" w:hAnsi="Arial" w:cs="Arial"/>
                <w:color w:val="auto"/>
                <w:highlight w:val="none"/>
              </w:rPr>
              <w:t>分</w:t>
            </w:r>
            <w:r>
              <w:rPr>
                <w:rFonts w:hint="default" w:ascii="Arial" w:hAnsi="Arial" w:cs="Arial"/>
                <w:color w:val="auto"/>
                <w:highlight w:val="none"/>
                <w:lang w:eastAsia="zh-CN"/>
              </w:rPr>
              <w:t>；</w:t>
            </w:r>
          </w:p>
          <w:p w14:paraId="5A49FA36">
            <w:pPr>
              <w:pStyle w:val="2"/>
              <w:ind w:left="0" w:leftChars="0" w:firstLine="0" w:firstLineChars="0"/>
              <w:rPr>
                <w:rFonts w:hint="default" w:ascii="Arial" w:hAnsi="Arial" w:cs="Arial"/>
                <w:color w:val="auto"/>
                <w:highlight w:val="none"/>
                <w:lang w:eastAsia="zh-CN"/>
              </w:rPr>
            </w:pPr>
            <w:r>
              <w:rPr>
                <w:rFonts w:hint="default" w:ascii="Arial" w:hAnsi="Arial" w:cs="Arial"/>
                <w:color w:val="auto"/>
                <w:highlight w:val="none"/>
                <w:lang w:eastAsia="zh-CN"/>
              </w:rPr>
              <w:t>（</w:t>
            </w:r>
            <w:r>
              <w:rPr>
                <w:rFonts w:hint="default" w:ascii="Arial" w:hAnsi="Arial" w:cs="Arial"/>
                <w:color w:val="auto"/>
                <w:highlight w:val="none"/>
                <w:lang w:val="en-US" w:eastAsia="zh-CN"/>
              </w:rPr>
              <w:t>2</w:t>
            </w:r>
            <w:r>
              <w:rPr>
                <w:rFonts w:hint="default" w:ascii="Arial" w:hAnsi="Arial" w:cs="Arial"/>
                <w:color w:val="auto"/>
                <w:highlight w:val="none"/>
                <w:lang w:eastAsia="zh-CN"/>
              </w:rPr>
              <w:t>）</w:t>
            </w:r>
            <w:r>
              <w:rPr>
                <w:rFonts w:hint="default" w:ascii="Arial" w:hAnsi="Arial" w:cs="Arial"/>
                <w:color w:val="auto"/>
                <w:highlight w:val="none"/>
              </w:rPr>
              <w:t>20</w:t>
            </w:r>
            <w:r>
              <w:rPr>
                <w:rFonts w:hint="eastAsia" w:ascii="Arial" w:hAnsi="Arial" w:cs="Arial"/>
                <w:color w:val="auto"/>
                <w:highlight w:val="none"/>
                <w:lang w:val="en-US" w:eastAsia="zh-CN"/>
              </w:rPr>
              <w:t>22</w:t>
            </w:r>
            <w:r>
              <w:rPr>
                <w:rFonts w:hint="default" w:ascii="Arial" w:hAnsi="Arial" w:cs="Arial"/>
                <w:color w:val="auto"/>
                <w:highlight w:val="none"/>
              </w:rPr>
              <w:t>年1月1</w:t>
            </w:r>
            <w:r>
              <w:rPr>
                <w:rFonts w:hint="default" w:ascii="Arial" w:hAnsi="Arial" w:eastAsia="宋体" w:cs="Arial"/>
                <w:color w:val="auto"/>
                <w:highlight w:val="none"/>
              </w:rPr>
              <w:t>日</w:t>
            </w:r>
            <w:r>
              <w:rPr>
                <w:rFonts w:hint="default" w:ascii="Arial" w:hAnsi="Arial" w:eastAsia="宋体" w:cs="Arial"/>
                <w:color w:val="auto"/>
                <w:highlight w:val="none"/>
                <w:lang w:val="en-US" w:eastAsia="zh-CN"/>
              </w:rPr>
              <w:t>至投标截止日</w:t>
            </w:r>
            <w:r>
              <w:rPr>
                <w:rFonts w:hint="default" w:ascii="Arial" w:hAnsi="Arial" w:cs="Arial"/>
                <w:color w:val="auto"/>
                <w:highlight w:val="none"/>
              </w:rPr>
              <w:t>完成过</w:t>
            </w:r>
            <w:r>
              <w:rPr>
                <w:rFonts w:hint="default" w:ascii="Arial" w:hAnsi="Arial" w:eastAsia="宋体" w:cs="Arial"/>
                <w:color w:val="auto"/>
                <w:highlight w:val="none"/>
                <w:lang w:val="en-US" w:eastAsia="zh-CN"/>
              </w:rPr>
              <w:t>20000万元≤单项合同额＜30000万元</w:t>
            </w:r>
            <w:r>
              <w:rPr>
                <w:rFonts w:hint="default" w:ascii="Arial" w:hAnsi="Arial" w:cs="Arial"/>
                <w:color w:val="auto"/>
                <w:highlight w:val="none"/>
              </w:rPr>
              <w:t>的海洋生态修复或海岸带综合整治工程施工总承包</w:t>
            </w:r>
            <w:r>
              <w:rPr>
                <w:rFonts w:hint="eastAsia" w:ascii="Arial" w:hAnsi="Arial" w:cs="Arial"/>
                <w:color w:val="auto"/>
                <w:highlight w:val="none"/>
                <w:lang w:val="en-US" w:eastAsia="zh-CN"/>
              </w:rPr>
              <w:t>或工程总承包项目业绩</w:t>
            </w:r>
            <w:r>
              <w:rPr>
                <w:rFonts w:hint="default" w:ascii="Arial" w:hAnsi="Arial" w:cs="Arial"/>
                <w:color w:val="auto"/>
                <w:highlight w:val="none"/>
              </w:rPr>
              <w:t>的，</w:t>
            </w:r>
            <w:r>
              <w:rPr>
                <w:rFonts w:hint="default" w:ascii="Arial" w:hAnsi="Arial" w:eastAsia="宋体" w:cs="Arial"/>
                <w:color w:val="auto"/>
                <w:highlight w:val="none"/>
                <w:lang w:val="en-US"/>
              </w:rPr>
              <w:t>每</w:t>
            </w:r>
            <w:r>
              <w:rPr>
                <w:rFonts w:hint="default" w:ascii="Arial" w:hAnsi="Arial" w:eastAsia="宋体" w:cs="Arial"/>
                <w:color w:val="auto"/>
                <w:highlight w:val="none"/>
                <w:lang w:val="en-US" w:eastAsia="zh-CN"/>
              </w:rPr>
              <w:t>有一项</w:t>
            </w:r>
            <w:r>
              <w:rPr>
                <w:rFonts w:hint="default" w:ascii="Arial" w:hAnsi="Arial" w:cs="Arial"/>
                <w:color w:val="auto"/>
                <w:highlight w:val="none"/>
              </w:rPr>
              <w:t>得</w:t>
            </w:r>
            <w:r>
              <w:rPr>
                <w:rFonts w:hint="eastAsia" w:ascii="Arial" w:hAnsi="Arial" w:cs="Arial"/>
                <w:color w:val="auto"/>
                <w:highlight w:val="none"/>
                <w:lang w:val="en-US" w:eastAsia="zh-CN"/>
              </w:rPr>
              <w:t>1</w:t>
            </w:r>
            <w:r>
              <w:rPr>
                <w:rFonts w:hint="default" w:ascii="Arial" w:hAnsi="Arial" w:cs="Arial"/>
                <w:color w:val="auto"/>
                <w:highlight w:val="none"/>
              </w:rPr>
              <w:t>分，最</w:t>
            </w:r>
            <w:r>
              <w:rPr>
                <w:rFonts w:hint="default" w:ascii="Arial" w:hAnsi="Arial" w:cs="Arial"/>
                <w:color w:val="auto"/>
                <w:highlight w:val="none"/>
                <w:lang w:val="en-US" w:eastAsia="zh-CN"/>
              </w:rPr>
              <w:t>多</w:t>
            </w:r>
            <w:r>
              <w:rPr>
                <w:rFonts w:hint="default" w:ascii="Arial" w:hAnsi="Arial" w:cs="Arial"/>
                <w:color w:val="auto"/>
                <w:highlight w:val="none"/>
              </w:rPr>
              <w:t>得</w:t>
            </w:r>
            <w:r>
              <w:rPr>
                <w:rFonts w:hint="eastAsia" w:ascii="Arial" w:hAnsi="Arial" w:cs="Arial"/>
                <w:color w:val="auto"/>
                <w:highlight w:val="none"/>
                <w:lang w:val="en-US" w:eastAsia="zh-CN"/>
              </w:rPr>
              <w:t>3</w:t>
            </w:r>
            <w:r>
              <w:rPr>
                <w:rFonts w:hint="default" w:ascii="Arial" w:hAnsi="Arial" w:cs="Arial"/>
                <w:color w:val="auto"/>
                <w:highlight w:val="none"/>
              </w:rPr>
              <w:t>分</w:t>
            </w:r>
            <w:r>
              <w:rPr>
                <w:rFonts w:hint="default" w:ascii="Arial" w:hAnsi="Arial" w:cs="Arial"/>
                <w:color w:val="auto"/>
                <w:highlight w:val="none"/>
                <w:lang w:eastAsia="zh-CN"/>
              </w:rPr>
              <w:t>；</w:t>
            </w:r>
          </w:p>
          <w:p w14:paraId="0A192DA7">
            <w:pPr>
              <w:pStyle w:val="2"/>
              <w:ind w:left="0" w:leftChars="0" w:firstLine="0" w:firstLineChars="0"/>
              <w:rPr>
                <w:rFonts w:hint="default" w:ascii="Arial" w:hAnsi="Arial" w:cs="Arial"/>
                <w:color w:val="auto"/>
                <w:highlight w:val="none"/>
                <w:lang w:eastAsia="zh-CN"/>
              </w:rPr>
            </w:pPr>
            <w:r>
              <w:rPr>
                <w:rFonts w:hint="default" w:ascii="Arial" w:hAnsi="Arial" w:cs="Arial"/>
                <w:color w:val="auto"/>
                <w:highlight w:val="none"/>
                <w:lang w:eastAsia="zh-CN"/>
              </w:rPr>
              <w:t>（</w:t>
            </w:r>
            <w:r>
              <w:rPr>
                <w:rFonts w:hint="default" w:ascii="Arial" w:hAnsi="Arial" w:cs="Arial"/>
                <w:color w:val="auto"/>
                <w:highlight w:val="none"/>
                <w:lang w:val="en-US" w:eastAsia="zh-CN"/>
              </w:rPr>
              <w:t>3</w:t>
            </w:r>
            <w:r>
              <w:rPr>
                <w:rFonts w:hint="default" w:ascii="Arial" w:hAnsi="Arial" w:cs="Arial"/>
                <w:color w:val="auto"/>
                <w:highlight w:val="none"/>
                <w:lang w:eastAsia="zh-CN"/>
              </w:rPr>
              <w:t>）</w:t>
            </w:r>
            <w:r>
              <w:rPr>
                <w:rFonts w:hint="default" w:ascii="Arial" w:hAnsi="Arial" w:cs="Arial"/>
                <w:color w:val="auto"/>
                <w:highlight w:val="none"/>
              </w:rPr>
              <w:t>202</w:t>
            </w:r>
            <w:r>
              <w:rPr>
                <w:rFonts w:hint="eastAsia" w:ascii="Arial" w:hAnsi="Arial" w:cs="Arial"/>
                <w:color w:val="auto"/>
                <w:highlight w:val="none"/>
                <w:lang w:val="en-US" w:eastAsia="zh-CN"/>
              </w:rPr>
              <w:t>2</w:t>
            </w:r>
            <w:r>
              <w:rPr>
                <w:rFonts w:hint="default" w:ascii="Arial" w:hAnsi="Arial" w:cs="Arial"/>
                <w:color w:val="auto"/>
                <w:highlight w:val="none"/>
              </w:rPr>
              <w:t>年1月1</w:t>
            </w:r>
            <w:r>
              <w:rPr>
                <w:rFonts w:hint="default" w:ascii="Arial" w:hAnsi="Arial" w:eastAsia="宋体" w:cs="Arial"/>
                <w:color w:val="auto"/>
                <w:highlight w:val="none"/>
              </w:rPr>
              <w:t>日</w:t>
            </w:r>
            <w:r>
              <w:rPr>
                <w:rFonts w:hint="default" w:ascii="Arial" w:hAnsi="Arial" w:eastAsia="宋体" w:cs="Arial"/>
                <w:color w:val="auto"/>
                <w:highlight w:val="none"/>
                <w:lang w:val="en-US" w:eastAsia="zh-CN"/>
              </w:rPr>
              <w:t>至投标截止日</w:t>
            </w:r>
            <w:r>
              <w:rPr>
                <w:rFonts w:hint="default" w:ascii="Arial" w:hAnsi="Arial" w:cs="Arial"/>
                <w:color w:val="auto"/>
                <w:highlight w:val="none"/>
              </w:rPr>
              <w:t>完</w:t>
            </w:r>
            <w:r>
              <w:rPr>
                <w:rFonts w:hint="default" w:ascii="Arial" w:hAnsi="Arial" w:eastAsia="宋体" w:cs="Arial"/>
                <w:color w:val="auto"/>
                <w:highlight w:val="none"/>
                <w:lang w:val="en-US" w:eastAsia="zh-CN"/>
              </w:rPr>
              <w:t>成≥10000万元</w:t>
            </w:r>
            <w:r>
              <w:rPr>
                <w:rFonts w:hint="eastAsia" w:ascii="Arial" w:hAnsi="Arial" w:eastAsia="宋体" w:cs="Arial"/>
                <w:color w:val="auto"/>
                <w:highlight w:val="none"/>
                <w:lang w:val="en-US" w:eastAsia="zh-CN"/>
              </w:rPr>
              <w:t>的</w:t>
            </w:r>
            <w:r>
              <w:rPr>
                <w:rFonts w:hint="default" w:ascii="Arial" w:hAnsi="Arial" w:cs="Arial"/>
                <w:color w:val="auto"/>
                <w:highlight w:val="none"/>
              </w:rPr>
              <w:t>海洋生态修复或海岸带综合整治工程施工总承包</w:t>
            </w:r>
            <w:r>
              <w:rPr>
                <w:rFonts w:hint="eastAsia" w:ascii="Arial" w:hAnsi="Arial" w:cs="Arial"/>
                <w:color w:val="auto"/>
                <w:highlight w:val="none"/>
                <w:lang w:val="en-US" w:eastAsia="zh-CN"/>
              </w:rPr>
              <w:t>或工程总承包项目业绩</w:t>
            </w:r>
            <w:r>
              <w:rPr>
                <w:rFonts w:hint="default" w:ascii="Arial" w:hAnsi="Arial" w:cs="Arial"/>
                <w:color w:val="auto"/>
                <w:highlight w:val="none"/>
              </w:rPr>
              <w:t>的，</w:t>
            </w:r>
            <w:r>
              <w:rPr>
                <w:rFonts w:hint="default" w:ascii="Arial" w:hAnsi="Arial" w:eastAsia="宋体" w:cs="Arial"/>
                <w:color w:val="auto"/>
                <w:highlight w:val="none"/>
                <w:lang w:val="en-US"/>
              </w:rPr>
              <w:t>每</w:t>
            </w:r>
            <w:r>
              <w:rPr>
                <w:rFonts w:hint="default" w:ascii="Arial" w:hAnsi="Arial" w:eastAsia="宋体" w:cs="Arial"/>
                <w:color w:val="auto"/>
                <w:highlight w:val="none"/>
                <w:lang w:val="en-US" w:eastAsia="zh-CN"/>
              </w:rPr>
              <w:t>有一项</w:t>
            </w:r>
            <w:r>
              <w:rPr>
                <w:rFonts w:hint="default" w:ascii="Arial" w:hAnsi="Arial" w:cs="Arial"/>
                <w:color w:val="auto"/>
                <w:highlight w:val="none"/>
              </w:rPr>
              <w:t>得</w:t>
            </w:r>
            <w:r>
              <w:rPr>
                <w:rFonts w:hint="default" w:ascii="Arial" w:hAnsi="Arial" w:cs="Arial"/>
                <w:color w:val="auto"/>
                <w:highlight w:val="none"/>
                <w:lang w:val="en-US" w:eastAsia="zh-CN"/>
              </w:rPr>
              <w:t>0.5</w:t>
            </w:r>
            <w:r>
              <w:rPr>
                <w:rFonts w:hint="default" w:ascii="Arial" w:hAnsi="Arial" w:cs="Arial"/>
                <w:color w:val="auto"/>
                <w:highlight w:val="none"/>
              </w:rPr>
              <w:t>分，最</w:t>
            </w:r>
            <w:r>
              <w:rPr>
                <w:rFonts w:hint="default" w:ascii="Arial" w:hAnsi="Arial" w:cs="Arial"/>
                <w:color w:val="auto"/>
                <w:highlight w:val="none"/>
                <w:lang w:val="en-US" w:eastAsia="zh-CN"/>
              </w:rPr>
              <w:t>多</w:t>
            </w:r>
            <w:r>
              <w:rPr>
                <w:rFonts w:hint="default" w:ascii="Arial" w:hAnsi="Arial" w:cs="Arial"/>
                <w:color w:val="auto"/>
                <w:highlight w:val="none"/>
              </w:rPr>
              <w:t>得</w:t>
            </w:r>
            <w:r>
              <w:rPr>
                <w:rFonts w:hint="eastAsia" w:ascii="Arial" w:hAnsi="Arial" w:cs="Arial"/>
                <w:color w:val="auto"/>
                <w:highlight w:val="none"/>
                <w:lang w:val="en-US" w:eastAsia="zh-CN"/>
              </w:rPr>
              <w:t>3</w:t>
            </w:r>
            <w:r>
              <w:rPr>
                <w:rFonts w:hint="default" w:ascii="Arial" w:hAnsi="Arial" w:cs="Arial"/>
                <w:color w:val="auto"/>
                <w:highlight w:val="none"/>
              </w:rPr>
              <w:t>分</w:t>
            </w:r>
            <w:r>
              <w:rPr>
                <w:rFonts w:hint="default" w:ascii="Arial" w:hAnsi="Arial" w:cs="Arial"/>
                <w:color w:val="auto"/>
                <w:highlight w:val="none"/>
                <w:lang w:eastAsia="zh-CN"/>
              </w:rPr>
              <w:t>；</w:t>
            </w:r>
          </w:p>
          <w:p w14:paraId="30178698">
            <w:pPr>
              <w:pStyle w:val="2"/>
              <w:ind w:left="0" w:leftChars="0" w:firstLine="0" w:firstLineChars="0"/>
              <w:rPr>
                <w:rFonts w:hint="default" w:ascii="Arial" w:hAnsi="Arial" w:eastAsia="宋体" w:cs="Arial"/>
                <w:color w:val="auto"/>
                <w:sz w:val="21"/>
                <w:szCs w:val="21"/>
                <w:highlight w:val="none"/>
              </w:rPr>
            </w:pPr>
            <w:r>
              <w:rPr>
                <w:rFonts w:hint="default" w:ascii="Arial" w:hAnsi="Arial" w:cs="Arial"/>
                <w:color w:val="auto"/>
                <w:highlight w:val="none"/>
              </w:rPr>
              <w:t>注：</w:t>
            </w:r>
            <w:r>
              <w:rPr>
                <w:rFonts w:hint="default" w:ascii="Arial" w:hAnsi="Arial" w:cs="Arial"/>
                <w:color w:val="auto"/>
                <w:highlight w:val="none"/>
                <w:lang w:val="en-US" w:eastAsia="zh-CN"/>
              </w:rPr>
              <w:t>本项可累计计分，最多得</w:t>
            </w:r>
            <w:r>
              <w:rPr>
                <w:rFonts w:hint="eastAsia" w:ascii="Arial" w:hAnsi="Arial" w:cs="Arial"/>
                <w:color w:val="auto"/>
                <w:highlight w:val="none"/>
                <w:lang w:val="en-US" w:eastAsia="zh-CN"/>
              </w:rPr>
              <w:t>3</w:t>
            </w:r>
            <w:r>
              <w:rPr>
                <w:rFonts w:hint="default" w:ascii="Arial" w:hAnsi="Arial" w:cs="Arial"/>
                <w:color w:val="auto"/>
                <w:highlight w:val="none"/>
                <w:lang w:val="en-US" w:eastAsia="zh-CN"/>
              </w:rPr>
              <w:t>分。</w:t>
            </w:r>
            <w:bookmarkStart w:id="293" w:name="OLE_LINK20"/>
            <w:r>
              <w:rPr>
                <w:rFonts w:hint="default" w:ascii="Arial" w:hAnsi="Arial" w:eastAsia="宋体" w:cs="Arial"/>
                <w:color w:val="auto"/>
                <w:highlight w:val="none"/>
                <w:lang w:val="en-US" w:eastAsia="zh-CN"/>
              </w:rPr>
              <w:t>施工总承包</w:t>
            </w:r>
            <w:r>
              <w:rPr>
                <w:rFonts w:hint="eastAsia" w:ascii="Arial" w:hAnsi="Arial" w:cs="Arial"/>
                <w:color w:val="auto"/>
                <w:highlight w:val="none"/>
                <w:lang w:val="en-US" w:eastAsia="zh-CN"/>
              </w:rPr>
              <w:t>以合同协议书中签订金额为准、工程总承包以施工金额为准；同时</w:t>
            </w:r>
            <w:r>
              <w:rPr>
                <w:rFonts w:hint="default" w:ascii="Arial" w:hAnsi="Arial" w:eastAsia="宋体" w:cs="Arial"/>
                <w:color w:val="auto"/>
                <w:highlight w:val="none"/>
                <w:lang w:val="en-US"/>
              </w:rPr>
              <w:t>提供中标通知书、合同</w:t>
            </w:r>
            <w:r>
              <w:rPr>
                <w:rFonts w:hint="default" w:ascii="Arial" w:hAnsi="Arial" w:eastAsia="宋体" w:cs="Arial"/>
                <w:color w:val="auto"/>
                <w:highlight w:val="none"/>
                <w:lang w:val="en-US" w:eastAsia="zh-CN"/>
              </w:rPr>
              <w:t>协议书</w:t>
            </w:r>
            <w:r>
              <w:rPr>
                <w:rFonts w:hint="default" w:ascii="Arial" w:hAnsi="Arial" w:eastAsia="宋体" w:cs="Arial"/>
                <w:color w:val="auto"/>
                <w:highlight w:val="none"/>
                <w:lang w:val="en-US"/>
              </w:rPr>
              <w:t>原件扫描件</w:t>
            </w:r>
            <w:r>
              <w:rPr>
                <w:rFonts w:hint="default" w:ascii="Arial" w:hAnsi="Arial" w:cs="Arial"/>
                <w:color w:val="auto"/>
                <w:highlight w:val="none"/>
                <w:lang w:eastAsia="zh-CN"/>
              </w:rPr>
              <w:t>，</w:t>
            </w:r>
            <w:r>
              <w:rPr>
                <w:rFonts w:hint="eastAsia" w:ascii="Arial" w:hAnsi="Arial" w:cs="Arial"/>
                <w:color w:val="auto"/>
                <w:highlight w:val="none"/>
                <w:lang w:val="en-US" w:eastAsia="zh-CN"/>
              </w:rPr>
              <w:t>缺一不可，</w:t>
            </w:r>
            <w:r>
              <w:rPr>
                <w:rFonts w:hint="default" w:ascii="Arial" w:hAnsi="Arial" w:cs="Arial"/>
                <w:color w:val="auto"/>
                <w:highlight w:val="none"/>
                <w:lang w:val="en-US" w:eastAsia="zh-CN"/>
              </w:rPr>
              <w:t>不符合上述计分要求或提供证明资料不齐全的不得分</w:t>
            </w:r>
            <w:r>
              <w:rPr>
                <w:rFonts w:hint="default" w:ascii="Arial" w:hAnsi="Arial" w:cs="Arial"/>
                <w:color w:val="auto"/>
                <w:highlight w:val="none"/>
              </w:rPr>
              <w:t>。</w:t>
            </w:r>
            <w:bookmarkEnd w:id="293"/>
          </w:p>
        </w:tc>
      </w:tr>
      <w:tr w14:paraId="59419B08">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176" w:hRule="atLeast"/>
        </w:trPr>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7D119705">
            <w:pPr>
              <w:spacing w:line="440" w:lineRule="exact"/>
              <w:jc w:val="center"/>
              <w:rPr>
                <w:rFonts w:hint="default" w:ascii="Times New Roman" w:hAnsi="Times New Roman" w:cs="Times New Roman"/>
                <w:color w:val="auto"/>
                <w:szCs w:val="21"/>
                <w:highlight w:val="none"/>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14:paraId="1CA47A6C">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5CAE138">
            <w:pPr>
              <w:jc w:val="left"/>
              <w:rPr>
                <w:rFonts w:hint="default" w:eastAsia="宋体"/>
                <w:color w:val="auto"/>
                <w:highlight w:val="none"/>
                <w:lang w:val="en-US" w:eastAsia="zh-CN"/>
              </w:rPr>
            </w:pPr>
            <w:r>
              <w:rPr>
                <w:rFonts w:hint="eastAsia"/>
                <w:color w:val="auto"/>
                <w:highlight w:val="none"/>
                <w:lang w:val="en-US" w:eastAsia="zh-CN"/>
              </w:rPr>
              <w:t>财务情况（1分）</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0F443496">
            <w:pPr>
              <w:pStyle w:val="2"/>
              <w:ind w:left="0" w:leftChars="0" w:firstLine="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资产负债率</w:t>
            </w:r>
            <w:r>
              <w:rPr>
                <w:rFonts w:hint="eastAsia" w:ascii="Times New Roman" w:hAnsi="Times New Roman" w:cs="Times New Roman"/>
                <w:color w:val="auto"/>
                <w:highlight w:val="none"/>
                <w:lang w:val="en-US" w:eastAsia="zh-CN"/>
              </w:rPr>
              <w:t>≤70%得1分，70%＜</w:t>
            </w:r>
            <w:r>
              <w:rPr>
                <w:rFonts w:hint="eastAsia" w:ascii="Times New Roman" w:hAnsi="Times New Roman" w:cs="Times New Roman"/>
                <w:color w:val="auto"/>
                <w:highlight w:val="none"/>
                <w:lang w:val="en-US" w:eastAsia="zh-CN"/>
              </w:rPr>
              <w:t>资产负债率≤80%，得0.5分，资产负债率＞80%，得0分。</w:t>
            </w:r>
          </w:p>
          <w:p w14:paraId="2A779F3C">
            <w:pPr>
              <w:pStyle w:val="2"/>
              <w:ind w:left="0" w:leftChars="0" w:firstLine="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注：提供2023或2024年度审计报告。</w:t>
            </w:r>
          </w:p>
        </w:tc>
      </w:tr>
      <w:tr w14:paraId="1BB11F19">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176" w:hRule="atLeast"/>
        </w:trPr>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70CCC4A3">
            <w:pPr>
              <w:spacing w:line="440" w:lineRule="exact"/>
              <w:jc w:val="center"/>
              <w:rPr>
                <w:rFonts w:hint="default" w:ascii="Times New Roman" w:hAnsi="Times New Roman" w:cs="Times New Roman"/>
                <w:color w:val="auto"/>
                <w:szCs w:val="21"/>
                <w:highlight w:val="none"/>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14:paraId="67AA9233">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48533DDE">
            <w:pPr>
              <w:jc w:val="left"/>
              <w:rPr>
                <w:rFonts w:hint="default" w:ascii="Times New Roman" w:hAnsi="Times New Roman" w:eastAsia="宋体" w:cs="Times New Roman"/>
                <w:color w:val="auto"/>
                <w:sz w:val="21"/>
                <w:szCs w:val="21"/>
                <w:highlight w:val="none"/>
              </w:rPr>
            </w:pPr>
            <w:r>
              <w:rPr>
                <w:color w:val="auto"/>
                <w:highlight w:val="none"/>
              </w:rPr>
              <w:t>管理</w:t>
            </w:r>
            <w:r>
              <w:rPr>
                <w:rFonts w:hint="default" w:ascii="Arial" w:hAnsi="Arial" w:eastAsia="宋体" w:cs="Arial"/>
                <w:color w:val="auto"/>
                <w:highlight w:val="none"/>
                <w:lang w:val="en-US" w:eastAsia="zh-CN"/>
              </w:rPr>
              <w:t>体系认证（</w:t>
            </w:r>
            <w:r>
              <w:rPr>
                <w:rFonts w:hint="eastAsia" w:ascii="Arial" w:hAnsi="Arial" w:eastAsia="宋体" w:cs="Arial"/>
                <w:color w:val="auto"/>
                <w:highlight w:val="none"/>
                <w:lang w:val="en-US" w:eastAsia="zh-CN"/>
              </w:rPr>
              <w:t>1</w:t>
            </w:r>
            <w:r>
              <w:rPr>
                <w:rFonts w:hint="default" w:ascii="Arial" w:hAnsi="Arial" w:eastAsia="宋体" w:cs="Arial"/>
                <w:color w:val="auto"/>
                <w:highlight w:val="none"/>
                <w:lang w:val="en-US" w:eastAsia="zh-CN"/>
              </w:rPr>
              <w:t>分</w:t>
            </w:r>
            <w:r>
              <w:rPr>
                <w:color w:val="auto"/>
                <w:highlight w:val="none"/>
              </w:rPr>
              <w:t>）</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0638CD71">
            <w:pPr>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同时具有有效的质量管理体系认证、环境管理体系认证、职业</w:t>
            </w:r>
            <w:r>
              <w:rPr>
                <w:rFonts w:hint="eastAsia" w:ascii="Times New Roman" w:hAnsi="Times New Roman" w:cs="Times New Roman"/>
                <w:color w:val="auto"/>
                <w:highlight w:val="none"/>
                <w:lang w:val="en-US" w:eastAsia="zh-CN"/>
              </w:rPr>
              <w:t>健康</w:t>
            </w:r>
            <w:r>
              <w:rPr>
                <w:rFonts w:hint="default" w:ascii="Times New Roman" w:hAnsi="Times New Roman" w:cs="Times New Roman"/>
                <w:color w:val="auto"/>
                <w:highlight w:val="none"/>
              </w:rPr>
              <w:t>安全管理体系认证，得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rPr>
              <w:t>分，缺一项不得分。</w:t>
            </w:r>
          </w:p>
          <w:p w14:paraId="3ABB5BFB">
            <w:pPr>
              <w:pStyle w:val="2"/>
              <w:ind w:left="0" w:leftChars="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lang w:val="en-US" w:eastAsia="zh-CN"/>
              </w:rPr>
              <w:t>注：</w:t>
            </w:r>
            <w:r>
              <w:rPr>
                <w:rFonts w:hint="default" w:ascii="Times New Roman" w:hAnsi="Times New Roman" w:cs="Times New Roman"/>
                <w:color w:val="auto"/>
                <w:highlight w:val="none"/>
              </w:rPr>
              <w:t>提供符合以上要求的证书原件扫描件。</w:t>
            </w:r>
          </w:p>
        </w:tc>
      </w:tr>
      <w:tr w14:paraId="30CEAB2F">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176" w:hRule="atLeast"/>
        </w:trPr>
        <w:tc>
          <w:tcPr>
            <w:tcW w:w="1009" w:type="dxa"/>
            <w:vMerge w:val="continue"/>
            <w:tcBorders>
              <w:top w:val="single" w:color="auto" w:sz="4" w:space="0"/>
              <w:left w:val="single" w:color="auto" w:sz="4" w:space="0"/>
              <w:bottom w:val="single" w:color="auto" w:sz="4" w:space="0"/>
              <w:right w:val="single" w:color="auto" w:sz="4" w:space="0"/>
            </w:tcBorders>
            <w:noWrap w:val="0"/>
            <w:vAlign w:val="top"/>
          </w:tcPr>
          <w:p w14:paraId="5B237A36">
            <w:pPr>
              <w:spacing w:line="440" w:lineRule="exact"/>
              <w:jc w:val="center"/>
              <w:rPr>
                <w:rFonts w:hint="default" w:ascii="Times New Roman" w:hAnsi="Times New Roman" w:cs="Times New Roman"/>
                <w:color w:val="auto"/>
                <w:szCs w:val="21"/>
                <w:highlight w:val="none"/>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14:paraId="0EED9000">
            <w:pPr>
              <w:jc w:val="center"/>
              <w:rPr>
                <w:rFonts w:hint="default" w:ascii="Times New Roman" w:hAnsi="Times New Roman" w:eastAsia="宋体" w:cs="Times New Roman"/>
                <w:color w:val="auto"/>
                <w:sz w:val="21"/>
                <w:szCs w:val="21"/>
                <w:highlight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6DF994D">
            <w:pPr>
              <w:jc w:val="left"/>
              <w:rPr>
                <w:color w:val="auto"/>
                <w:highlight w:val="none"/>
              </w:rPr>
            </w:pPr>
            <w:r>
              <w:rPr>
                <w:rFonts w:hint="default" w:ascii="Arial" w:hAnsi="Arial" w:cs="Arial"/>
                <w:color w:val="auto"/>
                <w:highlight w:val="none"/>
                <w:lang w:val="en-US" w:eastAsia="zh-CN"/>
              </w:rPr>
              <w:t>获奖情况</w:t>
            </w:r>
            <w:r>
              <w:rPr>
                <w:rFonts w:hint="default" w:ascii="Arial" w:hAnsi="Arial" w:eastAsia="宋体" w:cs="Arial"/>
                <w:color w:val="auto"/>
                <w:highlight w:val="none"/>
                <w:lang w:val="en-US" w:eastAsia="zh-CN"/>
              </w:rPr>
              <w:t>（</w:t>
            </w:r>
            <w:r>
              <w:rPr>
                <w:rFonts w:hint="eastAsia" w:ascii="Arial" w:hAnsi="Arial" w:eastAsia="宋体" w:cs="Arial"/>
                <w:color w:val="auto"/>
                <w:highlight w:val="none"/>
                <w:lang w:val="en-US" w:eastAsia="zh-CN"/>
              </w:rPr>
              <w:t>2</w:t>
            </w:r>
            <w:r>
              <w:rPr>
                <w:rFonts w:hint="default" w:ascii="Arial" w:hAnsi="Arial" w:eastAsia="宋体" w:cs="Arial"/>
                <w:color w:val="auto"/>
                <w:highlight w:val="none"/>
                <w:lang w:val="en-US" w:eastAsia="zh-CN"/>
              </w:rPr>
              <w:t>分</w:t>
            </w:r>
            <w:r>
              <w:rPr>
                <w:rFonts w:hint="default" w:ascii="Arial" w:hAnsi="Arial" w:cs="Arial"/>
                <w:color w:val="auto"/>
                <w:highlight w:val="none"/>
                <w:lang w:val="en-US" w:eastAsia="zh-CN"/>
              </w:rPr>
              <w:t>）</w:t>
            </w:r>
          </w:p>
        </w:tc>
        <w:tc>
          <w:tcPr>
            <w:tcW w:w="5306" w:type="dxa"/>
            <w:tcBorders>
              <w:top w:val="single" w:color="auto" w:sz="4" w:space="0"/>
              <w:left w:val="single" w:color="auto" w:sz="4" w:space="0"/>
              <w:bottom w:val="single" w:color="auto" w:sz="4" w:space="0"/>
              <w:right w:val="single" w:color="auto" w:sz="4" w:space="0"/>
            </w:tcBorders>
            <w:noWrap w:val="0"/>
            <w:vAlign w:val="center"/>
          </w:tcPr>
          <w:p w14:paraId="7520E71E">
            <w:pPr>
              <w:pStyle w:val="54"/>
              <w:jc w:val="both"/>
              <w:rPr>
                <w:rFonts w:hint="default" w:ascii="Arial" w:hAnsi="Arial" w:eastAsia="宋体" w:cs="Arial"/>
                <w:color w:val="auto"/>
                <w:sz w:val="21"/>
                <w:highlight w:val="none"/>
                <w:lang w:val="en-US" w:eastAsia="zh-CN"/>
              </w:rPr>
            </w:pPr>
            <w:r>
              <w:rPr>
                <w:rFonts w:hint="default" w:ascii="Arial" w:hAnsi="Arial" w:eastAsia="宋体" w:cs="Arial"/>
                <w:color w:val="auto"/>
                <w:sz w:val="21"/>
                <w:highlight w:val="none"/>
                <w:lang w:val="en-US" w:eastAsia="zh-CN"/>
              </w:rPr>
              <w:t>20</w:t>
            </w:r>
            <w:r>
              <w:rPr>
                <w:rFonts w:hint="eastAsia" w:ascii="Arial" w:hAnsi="Arial" w:eastAsia="宋体" w:cs="Arial"/>
                <w:color w:val="auto"/>
                <w:sz w:val="21"/>
                <w:highlight w:val="none"/>
                <w:lang w:val="en-US" w:eastAsia="zh-CN"/>
              </w:rPr>
              <w:t>22</w:t>
            </w:r>
            <w:r>
              <w:rPr>
                <w:rFonts w:hint="default" w:ascii="Arial" w:hAnsi="Arial" w:eastAsia="宋体" w:cs="Arial"/>
                <w:color w:val="auto"/>
                <w:sz w:val="21"/>
                <w:highlight w:val="none"/>
                <w:lang w:val="en-US" w:eastAsia="zh-CN"/>
              </w:rPr>
              <w:t>年1月1日至投标截止日，企业</w:t>
            </w:r>
            <w:r>
              <w:rPr>
                <w:rFonts w:hint="eastAsia" w:ascii="Arial" w:hAnsi="Arial" w:eastAsia="宋体" w:cs="Arial"/>
                <w:color w:val="auto"/>
                <w:sz w:val="21"/>
                <w:highlight w:val="none"/>
                <w:lang w:val="en-US" w:eastAsia="zh-CN"/>
              </w:rPr>
              <w:t>参与施工</w:t>
            </w:r>
            <w:r>
              <w:rPr>
                <w:rFonts w:hint="default" w:ascii="Arial" w:hAnsi="Arial" w:eastAsia="宋体" w:cs="Arial"/>
                <w:color w:val="auto"/>
                <w:sz w:val="21"/>
                <w:highlight w:val="none"/>
                <w:lang w:val="en-US" w:eastAsia="zh-CN"/>
              </w:rPr>
              <w:t>的工程建设项目获得过国家级奖项的，每有1项得</w:t>
            </w:r>
            <w:r>
              <w:rPr>
                <w:rFonts w:hint="eastAsia" w:ascii="Arial" w:hAnsi="Arial" w:eastAsia="宋体" w:cs="Arial"/>
                <w:color w:val="auto"/>
                <w:sz w:val="21"/>
                <w:highlight w:val="none"/>
                <w:lang w:val="en-US" w:eastAsia="zh-CN"/>
              </w:rPr>
              <w:t>1</w:t>
            </w:r>
            <w:r>
              <w:rPr>
                <w:rFonts w:hint="default" w:ascii="Arial" w:hAnsi="Arial" w:eastAsia="宋体" w:cs="Arial"/>
                <w:color w:val="auto"/>
                <w:sz w:val="21"/>
                <w:highlight w:val="none"/>
                <w:lang w:val="en-US" w:eastAsia="zh-CN"/>
              </w:rPr>
              <w:t>分，最多得</w:t>
            </w:r>
            <w:r>
              <w:rPr>
                <w:rFonts w:hint="eastAsia" w:ascii="Arial" w:hAnsi="Arial" w:eastAsia="宋体" w:cs="Arial"/>
                <w:color w:val="auto"/>
                <w:sz w:val="21"/>
                <w:highlight w:val="none"/>
                <w:lang w:val="en-US" w:eastAsia="zh-CN"/>
              </w:rPr>
              <w:t>2</w:t>
            </w:r>
            <w:r>
              <w:rPr>
                <w:rFonts w:hint="default" w:ascii="Arial" w:hAnsi="Arial" w:eastAsia="宋体" w:cs="Arial"/>
                <w:color w:val="auto"/>
                <w:sz w:val="21"/>
                <w:highlight w:val="none"/>
                <w:lang w:val="en-US" w:eastAsia="zh-CN"/>
              </w:rPr>
              <w:t>分；</w:t>
            </w:r>
          </w:p>
          <w:p w14:paraId="5C0FD8D0">
            <w:pPr>
              <w:jc w:val="left"/>
              <w:rPr>
                <w:rFonts w:hint="default" w:ascii="Times New Roman" w:hAnsi="Times New Roman" w:cs="Times New Roman"/>
                <w:color w:val="auto"/>
                <w:highlight w:val="none"/>
                <w:lang w:val="en-US" w:eastAsia="zh-CN"/>
              </w:rPr>
            </w:pPr>
            <w:r>
              <w:rPr>
                <w:rFonts w:hint="default" w:ascii="Arial" w:hAnsi="Arial" w:eastAsia="宋体" w:cs="Arial"/>
                <w:color w:val="auto"/>
                <w:sz w:val="21"/>
                <w:highlight w:val="none"/>
                <w:lang w:val="en-US" w:eastAsia="zh-CN"/>
              </w:rPr>
              <w:t>注：国家级奖项是指“国家优质工程奖”和“中国土木工程詹天佑奖”。获奖时间按证书或证明的颁发时间为准，同一项目获多个奖的不重复计分。</w:t>
            </w:r>
          </w:p>
        </w:tc>
      </w:tr>
    </w:tbl>
    <w:p w14:paraId="1ADCC3A9">
      <w:pPr>
        <w:spacing w:line="400" w:lineRule="exact"/>
        <w:rPr>
          <w:rFonts w:hint="eastAsia"/>
          <w:highlight w:val="none"/>
        </w:rPr>
      </w:pPr>
      <w:r>
        <w:rPr>
          <w:color w:val="auto"/>
          <w:highlight w:val="none"/>
        </w:rPr>
        <w:br w:type="page"/>
      </w:r>
    </w:p>
    <w:p w14:paraId="3CA89CC8">
      <w:pPr>
        <w:pStyle w:val="46"/>
        <w:rPr>
          <w:rFonts w:hint="eastAsia"/>
          <w:highlight w:val="none"/>
        </w:rPr>
      </w:pPr>
      <w:bookmarkStart w:id="294" w:name="_Toc144974567"/>
      <w:bookmarkStart w:id="295" w:name="_Toc152042377"/>
      <w:bookmarkStart w:id="296" w:name="_Toc152045600"/>
      <w:bookmarkStart w:id="297" w:name="_Toc16569"/>
      <w:r>
        <w:rPr>
          <w:rFonts w:hint="eastAsia"/>
          <w:highlight w:val="none"/>
        </w:rPr>
        <w:t>1. 评标方法</w:t>
      </w:r>
      <w:bookmarkEnd w:id="294"/>
      <w:bookmarkEnd w:id="295"/>
      <w:bookmarkEnd w:id="296"/>
      <w:bookmarkEnd w:id="297"/>
    </w:p>
    <w:p w14:paraId="085661A1">
      <w:pPr>
        <w:spacing w:line="400" w:lineRule="exact"/>
        <w:ind w:firstLine="420" w:firstLineChars="200"/>
        <w:rPr>
          <w:rFonts w:hint="eastAsia"/>
          <w:highlight w:val="none"/>
        </w:rPr>
      </w:pPr>
      <w:r>
        <w:rPr>
          <w:rFonts w:hint="eastAsia"/>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4C7F710E">
      <w:pPr>
        <w:pStyle w:val="46"/>
        <w:rPr>
          <w:rFonts w:hint="eastAsia"/>
          <w:highlight w:val="none"/>
        </w:rPr>
      </w:pPr>
      <w:bookmarkStart w:id="298" w:name="_Toc152042378"/>
      <w:bookmarkStart w:id="299" w:name="_Toc152045601"/>
      <w:bookmarkStart w:id="300" w:name="_Toc144974568"/>
      <w:bookmarkStart w:id="301" w:name="_Toc23093"/>
      <w:r>
        <w:rPr>
          <w:rFonts w:hint="eastAsia"/>
          <w:highlight w:val="none"/>
        </w:rPr>
        <w:t>2. 评审标准</w:t>
      </w:r>
      <w:bookmarkEnd w:id="298"/>
      <w:bookmarkEnd w:id="299"/>
      <w:bookmarkEnd w:id="300"/>
      <w:bookmarkEnd w:id="301"/>
    </w:p>
    <w:p w14:paraId="4172D573">
      <w:pPr>
        <w:pStyle w:val="45"/>
        <w:rPr>
          <w:rFonts w:hint="eastAsia"/>
          <w:highlight w:val="none"/>
        </w:rPr>
      </w:pPr>
      <w:bookmarkStart w:id="302" w:name="_Toc152042379"/>
      <w:bookmarkStart w:id="303" w:name="_Toc144974569"/>
      <w:bookmarkStart w:id="304" w:name="_Toc29128"/>
      <w:bookmarkStart w:id="305" w:name="_Toc152045602"/>
      <w:r>
        <w:rPr>
          <w:rFonts w:hint="eastAsia"/>
          <w:highlight w:val="none"/>
        </w:rPr>
        <w:t>2.1 初步评审标准</w:t>
      </w:r>
      <w:bookmarkEnd w:id="302"/>
      <w:bookmarkEnd w:id="303"/>
      <w:bookmarkEnd w:id="304"/>
      <w:bookmarkEnd w:id="305"/>
    </w:p>
    <w:p w14:paraId="0593ADAA">
      <w:pPr>
        <w:spacing w:line="400" w:lineRule="exact"/>
        <w:ind w:firstLine="420" w:firstLineChars="200"/>
        <w:rPr>
          <w:rFonts w:hint="eastAsia"/>
          <w:highlight w:val="none"/>
        </w:rPr>
      </w:pPr>
      <w:r>
        <w:rPr>
          <w:rFonts w:hint="eastAsia"/>
          <w:highlight w:val="none"/>
        </w:rPr>
        <w:t>2.1.1 形式评审标准：见评标办法前附表。</w:t>
      </w:r>
    </w:p>
    <w:p w14:paraId="5668FA76">
      <w:pPr>
        <w:spacing w:line="400" w:lineRule="exact"/>
        <w:ind w:firstLine="420" w:firstLineChars="200"/>
        <w:rPr>
          <w:rFonts w:hint="eastAsia"/>
          <w:highlight w:val="none"/>
        </w:rPr>
      </w:pPr>
      <w:r>
        <w:rPr>
          <w:rFonts w:hint="eastAsia"/>
          <w:highlight w:val="none"/>
        </w:rPr>
        <w:t>2.1.2 资格评审标准：见评标办法前附表。</w:t>
      </w:r>
    </w:p>
    <w:p w14:paraId="173CC933">
      <w:pPr>
        <w:spacing w:line="400" w:lineRule="exact"/>
        <w:ind w:firstLine="420" w:firstLineChars="200"/>
        <w:rPr>
          <w:rFonts w:hint="eastAsia"/>
          <w:highlight w:val="none"/>
        </w:rPr>
      </w:pPr>
      <w:r>
        <w:rPr>
          <w:rFonts w:hint="eastAsia"/>
          <w:highlight w:val="none"/>
        </w:rPr>
        <w:t>2.1.3 响应性评审标准：见评标办法前附表。</w:t>
      </w:r>
    </w:p>
    <w:p w14:paraId="2A1577F1">
      <w:pPr>
        <w:pStyle w:val="45"/>
        <w:rPr>
          <w:rFonts w:hint="eastAsia"/>
          <w:highlight w:val="none"/>
        </w:rPr>
      </w:pPr>
      <w:bookmarkStart w:id="306" w:name="_Toc152042380"/>
      <w:bookmarkStart w:id="307" w:name="_Toc3884"/>
      <w:bookmarkStart w:id="308" w:name="_Toc144974570"/>
      <w:bookmarkStart w:id="309" w:name="_Toc152045603"/>
      <w:r>
        <w:rPr>
          <w:rFonts w:hint="eastAsia"/>
          <w:highlight w:val="none"/>
        </w:rPr>
        <w:t>2.2 分值构成与评分标准</w:t>
      </w:r>
      <w:bookmarkEnd w:id="306"/>
      <w:bookmarkEnd w:id="307"/>
      <w:bookmarkEnd w:id="308"/>
      <w:bookmarkEnd w:id="309"/>
    </w:p>
    <w:p w14:paraId="7BE6F3B5">
      <w:pPr>
        <w:spacing w:line="400" w:lineRule="exact"/>
        <w:ind w:firstLine="420" w:firstLineChars="200"/>
        <w:rPr>
          <w:rFonts w:hint="eastAsia"/>
          <w:highlight w:val="none"/>
        </w:rPr>
      </w:pPr>
      <w:r>
        <w:rPr>
          <w:rFonts w:hint="eastAsia"/>
          <w:highlight w:val="none"/>
        </w:rPr>
        <w:t xml:space="preserve">2.2.1 </w:t>
      </w:r>
      <w:r>
        <w:rPr>
          <w:rFonts w:hint="eastAsia" w:ascii="黑体" w:eastAsia="黑体"/>
          <w:highlight w:val="none"/>
        </w:rPr>
        <w:t>分值构成</w:t>
      </w:r>
    </w:p>
    <w:p w14:paraId="586FBF6E">
      <w:pPr>
        <w:spacing w:line="400" w:lineRule="exact"/>
        <w:ind w:firstLine="718" w:firstLineChars="342"/>
        <w:rPr>
          <w:rFonts w:hint="eastAsia"/>
          <w:highlight w:val="none"/>
        </w:rPr>
      </w:pPr>
      <w:r>
        <w:rPr>
          <w:rFonts w:hint="eastAsia"/>
          <w:highlight w:val="none"/>
        </w:rPr>
        <w:t>（1）施工组织设计：见评标办法前附表；</w:t>
      </w:r>
    </w:p>
    <w:p w14:paraId="785B2D80">
      <w:pPr>
        <w:spacing w:line="400" w:lineRule="exact"/>
        <w:ind w:firstLine="718" w:firstLineChars="342"/>
        <w:rPr>
          <w:rFonts w:hint="eastAsia"/>
          <w:highlight w:val="none"/>
        </w:rPr>
      </w:pPr>
      <w:r>
        <w:rPr>
          <w:rFonts w:hint="eastAsia"/>
          <w:highlight w:val="none"/>
        </w:rPr>
        <w:t>（2）项目管理机构：见评标办法前附表；</w:t>
      </w:r>
    </w:p>
    <w:p w14:paraId="5F32A46D">
      <w:pPr>
        <w:spacing w:line="400" w:lineRule="exact"/>
        <w:ind w:firstLine="718" w:firstLineChars="342"/>
        <w:rPr>
          <w:rFonts w:hint="eastAsia"/>
          <w:highlight w:val="none"/>
        </w:rPr>
      </w:pPr>
      <w:r>
        <w:rPr>
          <w:rFonts w:hint="eastAsia"/>
          <w:highlight w:val="none"/>
        </w:rPr>
        <w:t>（3）投标报价：见评标办法前附表；</w:t>
      </w:r>
    </w:p>
    <w:p w14:paraId="40AA19E5">
      <w:pPr>
        <w:spacing w:line="400" w:lineRule="exact"/>
        <w:ind w:firstLine="718" w:firstLineChars="342"/>
        <w:rPr>
          <w:rFonts w:hint="eastAsia"/>
          <w:highlight w:val="none"/>
        </w:rPr>
      </w:pPr>
      <w:r>
        <w:rPr>
          <w:rFonts w:hint="eastAsia"/>
          <w:highlight w:val="none"/>
        </w:rPr>
        <w:t>（4）其他评分因素：见评标办法前附表。</w:t>
      </w:r>
    </w:p>
    <w:p w14:paraId="58112385">
      <w:pPr>
        <w:spacing w:line="400" w:lineRule="exact"/>
        <w:ind w:firstLine="420" w:firstLineChars="200"/>
        <w:rPr>
          <w:rFonts w:hint="eastAsia"/>
          <w:highlight w:val="none"/>
        </w:rPr>
      </w:pPr>
      <w:r>
        <w:rPr>
          <w:rFonts w:hint="eastAsia"/>
          <w:highlight w:val="none"/>
        </w:rPr>
        <w:t xml:space="preserve">2.2.2 </w:t>
      </w:r>
      <w:r>
        <w:rPr>
          <w:rFonts w:hint="eastAsia" w:ascii="黑体" w:eastAsia="黑体"/>
          <w:highlight w:val="none"/>
        </w:rPr>
        <w:t>评标基准价计算</w:t>
      </w:r>
    </w:p>
    <w:p w14:paraId="06CFFDCF">
      <w:pPr>
        <w:spacing w:line="400" w:lineRule="exact"/>
        <w:ind w:firstLine="840" w:firstLineChars="400"/>
        <w:rPr>
          <w:rFonts w:hint="eastAsia"/>
          <w:highlight w:val="none"/>
        </w:rPr>
      </w:pPr>
      <w:r>
        <w:rPr>
          <w:rFonts w:hint="eastAsia"/>
          <w:highlight w:val="none"/>
        </w:rPr>
        <w:t>评标基准价计算方法：见评标办法前附表。</w:t>
      </w:r>
    </w:p>
    <w:p w14:paraId="7CD66C82">
      <w:pPr>
        <w:spacing w:line="400" w:lineRule="exact"/>
        <w:ind w:firstLine="420" w:firstLineChars="200"/>
        <w:rPr>
          <w:rFonts w:hint="eastAsia"/>
          <w:highlight w:val="none"/>
        </w:rPr>
      </w:pPr>
      <w:r>
        <w:rPr>
          <w:rFonts w:hint="eastAsia"/>
          <w:highlight w:val="none"/>
        </w:rPr>
        <w:t xml:space="preserve">2.2.3 </w:t>
      </w:r>
      <w:r>
        <w:rPr>
          <w:rFonts w:hint="eastAsia" w:ascii="黑体" w:eastAsia="黑体"/>
          <w:highlight w:val="none"/>
        </w:rPr>
        <w:t>投标报价的偏差率计算</w:t>
      </w:r>
    </w:p>
    <w:p w14:paraId="0A9A7E58">
      <w:pPr>
        <w:spacing w:line="400" w:lineRule="exact"/>
        <w:ind w:firstLine="840" w:firstLineChars="400"/>
        <w:rPr>
          <w:rFonts w:hint="eastAsia"/>
          <w:highlight w:val="none"/>
        </w:rPr>
      </w:pPr>
      <w:r>
        <w:rPr>
          <w:rFonts w:hint="eastAsia"/>
          <w:highlight w:val="none"/>
        </w:rPr>
        <w:t>投标报价的偏差率计算公式：见评标办法前附表。</w:t>
      </w:r>
    </w:p>
    <w:p w14:paraId="32A9158E">
      <w:pPr>
        <w:spacing w:line="400" w:lineRule="exact"/>
        <w:ind w:firstLine="420" w:firstLineChars="200"/>
        <w:rPr>
          <w:rFonts w:hint="eastAsia"/>
          <w:highlight w:val="none"/>
        </w:rPr>
      </w:pPr>
      <w:r>
        <w:rPr>
          <w:rFonts w:hint="eastAsia"/>
          <w:highlight w:val="none"/>
        </w:rPr>
        <w:t xml:space="preserve">2.2.4 </w:t>
      </w:r>
      <w:r>
        <w:rPr>
          <w:rFonts w:hint="eastAsia" w:ascii="黑体" w:eastAsia="黑体"/>
          <w:highlight w:val="none"/>
        </w:rPr>
        <w:t>评分标准</w:t>
      </w:r>
    </w:p>
    <w:p w14:paraId="48E37BEC">
      <w:pPr>
        <w:spacing w:line="400" w:lineRule="exact"/>
        <w:ind w:firstLine="718" w:firstLineChars="342"/>
        <w:rPr>
          <w:rFonts w:hint="eastAsia"/>
          <w:highlight w:val="none"/>
        </w:rPr>
      </w:pPr>
      <w:r>
        <w:rPr>
          <w:rFonts w:hint="eastAsia"/>
          <w:highlight w:val="none"/>
        </w:rPr>
        <w:t>（1）施工组织设计评分标准：见评标办法前附表；</w:t>
      </w:r>
    </w:p>
    <w:p w14:paraId="5F62BEF6">
      <w:pPr>
        <w:spacing w:line="400" w:lineRule="exact"/>
        <w:ind w:firstLine="718" w:firstLineChars="342"/>
        <w:rPr>
          <w:rFonts w:hint="eastAsia"/>
          <w:highlight w:val="none"/>
        </w:rPr>
      </w:pPr>
      <w:r>
        <w:rPr>
          <w:rFonts w:hint="eastAsia"/>
          <w:highlight w:val="none"/>
        </w:rPr>
        <w:t>（2）项目管理机构评分标准：见评标办法前附表；</w:t>
      </w:r>
    </w:p>
    <w:p w14:paraId="705DEC6E">
      <w:pPr>
        <w:spacing w:line="400" w:lineRule="exact"/>
        <w:ind w:firstLine="718" w:firstLineChars="342"/>
        <w:rPr>
          <w:rFonts w:hint="eastAsia"/>
          <w:highlight w:val="none"/>
        </w:rPr>
      </w:pPr>
      <w:r>
        <w:rPr>
          <w:rFonts w:hint="eastAsia"/>
          <w:highlight w:val="none"/>
        </w:rPr>
        <w:t>（3）投标报价评分标准：见评标办法前附表；</w:t>
      </w:r>
    </w:p>
    <w:p w14:paraId="6EF41EF9">
      <w:pPr>
        <w:spacing w:line="400" w:lineRule="exact"/>
        <w:ind w:firstLine="718" w:firstLineChars="342"/>
        <w:rPr>
          <w:rFonts w:hint="eastAsia"/>
          <w:highlight w:val="none"/>
        </w:rPr>
      </w:pPr>
      <w:r>
        <w:rPr>
          <w:rFonts w:hint="eastAsia"/>
          <w:highlight w:val="none"/>
        </w:rPr>
        <w:t>（4）其他因素评分标准：见评标办法前附表。</w:t>
      </w:r>
    </w:p>
    <w:p w14:paraId="3702523E">
      <w:pPr>
        <w:pStyle w:val="46"/>
        <w:rPr>
          <w:rFonts w:hint="eastAsia"/>
          <w:highlight w:val="none"/>
        </w:rPr>
      </w:pPr>
      <w:bookmarkStart w:id="310" w:name="_Toc6679"/>
      <w:bookmarkStart w:id="311" w:name="_Toc144974571"/>
      <w:bookmarkStart w:id="312" w:name="_Toc152042381"/>
      <w:bookmarkStart w:id="313" w:name="_Toc152045604"/>
      <w:r>
        <w:rPr>
          <w:rFonts w:hint="eastAsia"/>
          <w:highlight w:val="none"/>
        </w:rPr>
        <w:t>3. 评标程序</w:t>
      </w:r>
      <w:bookmarkEnd w:id="310"/>
      <w:bookmarkEnd w:id="311"/>
      <w:bookmarkEnd w:id="312"/>
      <w:bookmarkEnd w:id="313"/>
    </w:p>
    <w:p w14:paraId="3839A8FF">
      <w:pPr>
        <w:pStyle w:val="45"/>
        <w:rPr>
          <w:rFonts w:hint="eastAsia"/>
          <w:highlight w:val="none"/>
        </w:rPr>
      </w:pPr>
      <w:bookmarkStart w:id="314" w:name="_Toc25021"/>
      <w:bookmarkStart w:id="315" w:name="_Toc152042382"/>
      <w:bookmarkStart w:id="316" w:name="_Toc152045605"/>
      <w:bookmarkStart w:id="317" w:name="_Toc144974572"/>
      <w:r>
        <w:rPr>
          <w:rFonts w:hint="eastAsia"/>
          <w:highlight w:val="none"/>
        </w:rPr>
        <w:t>3.1 初步评审</w:t>
      </w:r>
      <w:bookmarkEnd w:id="314"/>
      <w:bookmarkEnd w:id="315"/>
      <w:bookmarkEnd w:id="316"/>
      <w:bookmarkEnd w:id="317"/>
    </w:p>
    <w:p w14:paraId="0E9FA00C">
      <w:pPr>
        <w:spacing w:line="400" w:lineRule="exact"/>
        <w:ind w:firstLine="420" w:firstLineChars="200"/>
        <w:rPr>
          <w:rFonts w:hint="eastAsia"/>
          <w:highlight w:val="none"/>
        </w:rPr>
      </w:pPr>
      <w:r>
        <w:rPr>
          <w:rFonts w:hint="eastAsia"/>
          <w:highlight w:val="none"/>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14:paraId="7A58CC87">
      <w:pPr>
        <w:spacing w:line="400" w:lineRule="exact"/>
        <w:ind w:firstLine="420" w:firstLineChars="200"/>
        <w:rPr>
          <w:rFonts w:hint="eastAsia"/>
          <w:highlight w:val="none"/>
        </w:rPr>
      </w:pPr>
      <w:r>
        <w:rPr>
          <w:rFonts w:hint="eastAsia"/>
          <w:highlight w:val="none"/>
        </w:rPr>
        <w:t>3.1.2 投标人有以下情形之一的，其投标作废标处理：</w:t>
      </w:r>
    </w:p>
    <w:p w14:paraId="1636C409">
      <w:pPr>
        <w:spacing w:line="400" w:lineRule="exact"/>
        <w:ind w:firstLine="718" w:firstLineChars="342"/>
        <w:rPr>
          <w:rFonts w:hint="eastAsia"/>
          <w:highlight w:val="none"/>
        </w:rPr>
      </w:pPr>
      <w:r>
        <w:rPr>
          <w:rFonts w:hint="eastAsia"/>
          <w:highlight w:val="none"/>
        </w:rPr>
        <w:t>（1）第二章“投标人须知”第1.4.3项规定的任何一种情形的；</w:t>
      </w:r>
    </w:p>
    <w:p w14:paraId="7531082F">
      <w:pPr>
        <w:spacing w:line="400" w:lineRule="exact"/>
        <w:ind w:firstLine="718" w:firstLineChars="342"/>
        <w:rPr>
          <w:rFonts w:hint="eastAsia"/>
          <w:highlight w:val="none"/>
        </w:rPr>
      </w:pPr>
      <w:r>
        <w:rPr>
          <w:rFonts w:hint="eastAsia"/>
          <w:highlight w:val="none"/>
        </w:rPr>
        <w:t>（2）串通投标或弄虚作假或有其他违法行为的；</w:t>
      </w:r>
    </w:p>
    <w:p w14:paraId="6DB4A5DF">
      <w:pPr>
        <w:spacing w:line="400" w:lineRule="exact"/>
        <w:ind w:firstLine="718" w:firstLineChars="342"/>
        <w:rPr>
          <w:rFonts w:hint="eastAsia"/>
          <w:highlight w:val="none"/>
        </w:rPr>
      </w:pPr>
      <w:r>
        <w:rPr>
          <w:rFonts w:hint="eastAsia"/>
          <w:highlight w:val="none"/>
        </w:rPr>
        <w:t>（3）不按评标委员会要求澄清、说明或补正的。</w:t>
      </w:r>
    </w:p>
    <w:p w14:paraId="7D92EB76">
      <w:pPr>
        <w:spacing w:line="400" w:lineRule="exact"/>
        <w:ind w:firstLine="420" w:firstLineChars="200"/>
        <w:rPr>
          <w:rFonts w:hint="eastAsia"/>
          <w:highlight w:val="none"/>
        </w:rPr>
      </w:pPr>
      <w:r>
        <w:rPr>
          <w:rFonts w:hint="eastAsia"/>
          <w:highlight w:val="none"/>
        </w:rPr>
        <w:t>3.1.3投标报价有算术错误的，评标委员会按以下原则对投标报价进行修正，修正的价格经投标人书面确认后具有约束力。投标人不接受修正价格的，其投标作废标处理。</w:t>
      </w:r>
    </w:p>
    <w:p w14:paraId="01007619">
      <w:pPr>
        <w:spacing w:line="400" w:lineRule="exact"/>
        <w:ind w:firstLine="718" w:firstLineChars="342"/>
        <w:rPr>
          <w:rFonts w:hint="eastAsia"/>
          <w:highlight w:val="none"/>
        </w:rPr>
      </w:pPr>
      <w:bookmarkStart w:id="318" w:name="_Toc152042383"/>
      <w:r>
        <w:rPr>
          <w:rFonts w:hint="eastAsia"/>
          <w:highlight w:val="none"/>
        </w:rPr>
        <w:t>（1）投标文件中的大写金额与小写金额不一致的，以大写金额为准；</w:t>
      </w:r>
      <w:bookmarkEnd w:id="318"/>
    </w:p>
    <w:p w14:paraId="3166DFDD">
      <w:pPr>
        <w:spacing w:line="400" w:lineRule="exact"/>
        <w:ind w:firstLine="718" w:firstLineChars="342"/>
        <w:rPr>
          <w:rFonts w:hint="eastAsia"/>
          <w:highlight w:val="none"/>
        </w:rPr>
      </w:pPr>
      <w:r>
        <w:rPr>
          <w:rFonts w:hint="eastAsia"/>
          <w:highlight w:val="none"/>
        </w:rPr>
        <w:t>（2）总价金额与依据单价计算出的结果不一致的，以单价金额为准修正总价，但单价金额小数点有明显错误的除外。</w:t>
      </w:r>
    </w:p>
    <w:p w14:paraId="36A63C96">
      <w:pPr>
        <w:pStyle w:val="45"/>
        <w:rPr>
          <w:rFonts w:hint="eastAsia"/>
          <w:highlight w:val="none"/>
        </w:rPr>
      </w:pPr>
      <w:bookmarkStart w:id="319" w:name="_Toc144974573"/>
      <w:bookmarkStart w:id="320" w:name="_Toc152042384"/>
      <w:bookmarkStart w:id="321" w:name="_Toc152045606"/>
      <w:bookmarkStart w:id="322" w:name="_Toc23688"/>
      <w:r>
        <w:rPr>
          <w:rFonts w:hint="eastAsia"/>
          <w:highlight w:val="none"/>
        </w:rPr>
        <w:t>3.2 详细评审</w:t>
      </w:r>
      <w:bookmarkEnd w:id="319"/>
      <w:bookmarkEnd w:id="320"/>
      <w:bookmarkEnd w:id="321"/>
      <w:bookmarkEnd w:id="322"/>
    </w:p>
    <w:p w14:paraId="509BFB13">
      <w:pPr>
        <w:spacing w:line="400" w:lineRule="exact"/>
        <w:ind w:firstLine="420" w:firstLineChars="200"/>
        <w:rPr>
          <w:rFonts w:hint="eastAsia"/>
          <w:highlight w:val="none"/>
        </w:rPr>
      </w:pPr>
      <w:r>
        <w:rPr>
          <w:rFonts w:hint="eastAsia"/>
          <w:highlight w:val="none"/>
        </w:rPr>
        <w:t>3.2.1 评标委员会按本章第2.2款规定的量化因素和分值进行打分，并计算出综合评估得分。</w:t>
      </w:r>
    </w:p>
    <w:p w14:paraId="18E1D2FD">
      <w:pPr>
        <w:spacing w:line="400" w:lineRule="exact"/>
        <w:ind w:firstLine="718" w:firstLineChars="342"/>
        <w:rPr>
          <w:rFonts w:hint="eastAsia"/>
          <w:highlight w:val="none"/>
        </w:rPr>
      </w:pPr>
      <w:r>
        <w:rPr>
          <w:rFonts w:hint="eastAsia"/>
          <w:highlight w:val="none"/>
        </w:rPr>
        <w:t>（1）按本章第2.2.4（1）目规定的评审因素和分值对施工组织设计计算出得分A；</w:t>
      </w:r>
    </w:p>
    <w:p w14:paraId="54636D54">
      <w:pPr>
        <w:spacing w:line="400" w:lineRule="exact"/>
        <w:ind w:firstLine="718" w:firstLineChars="342"/>
        <w:rPr>
          <w:rFonts w:hint="eastAsia"/>
          <w:highlight w:val="none"/>
        </w:rPr>
      </w:pPr>
      <w:r>
        <w:rPr>
          <w:rFonts w:hint="eastAsia"/>
          <w:highlight w:val="none"/>
        </w:rPr>
        <w:t>（2）按本章第2.2.4（2）目规定的评审因素和分值对项目管理机构计算出得分B；</w:t>
      </w:r>
    </w:p>
    <w:p w14:paraId="29412266">
      <w:pPr>
        <w:spacing w:line="400" w:lineRule="exact"/>
        <w:ind w:firstLine="718" w:firstLineChars="342"/>
        <w:rPr>
          <w:rFonts w:hint="eastAsia"/>
          <w:highlight w:val="none"/>
        </w:rPr>
      </w:pPr>
      <w:r>
        <w:rPr>
          <w:rFonts w:hint="eastAsia"/>
          <w:highlight w:val="none"/>
        </w:rPr>
        <w:t>（3）按本章第2.2.4（3）目规定的评审因素和分值对投标报价计算出得分C；</w:t>
      </w:r>
    </w:p>
    <w:p w14:paraId="536410A7">
      <w:pPr>
        <w:spacing w:line="400" w:lineRule="exact"/>
        <w:ind w:firstLine="718" w:firstLineChars="342"/>
        <w:rPr>
          <w:rFonts w:hint="eastAsia"/>
          <w:highlight w:val="none"/>
        </w:rPr>
      </w:pPr>
      <w:r>
        <w:rPr>
          <w:rFonts w:hint="eastAsia"/>
          <w:highlight w:val="none"/>
        </w:rPr>
        <w:t>（4）按本章第2.2.4（4）目规定的评审因素和分值对其他部分计算出得分D。</w:t>
      </w:r>
    </w:p>
    <w:p w14:paraId="2B0C33C6">
      <w:pPr>
        <w:spacing w:line="400" w:lineRule="exact"/>
        <w:ind w:firstLine="420" w:firstLineChars="200"/>
        <w:rPr>
          <w:rFonts w:hint="eastAsia"/>
          <w:highlight w:val="none"/>
        </w:rPr>
      </w:pPr>
      <w:r>
        <w:rPr>
          <w:rFonts w:hint="eastAsia"/>
          <w:highlight w:val="none"/>
        </w:rPr>
        <w:t>3.2.2 评分分值计算保留小数点后两位，小数点后第三位“四舍五入”。</w:t>
      </w:r>
    </w:p>
    <w:p w14:paraId="7A5858C2">
      <w:pPr>
        <w:spacing w:line="400" w:lineRule="exact"/>
        <w:ind w:firstLine="420" w:firstLineChars="200"/>
        <w:rPr>
          <w:rFonts w:hint="eastAsia"/>
          <w:highlight w:val="none"/>
        </w:rPr>
      </w:pPr>
      <w:r>
        <w:rPr>
          <w:rFonts w:hint="eastAsia"/>
          <w:highlight w:val="none"/>
        </w:rPr>
        <w:t>3.2.3 投标人得分=A+B+C+D。</w:t>
      </w:r>
    </w:p>
    <w:p w14:paraId="06622B5E">
      <w:pPr>
        <w:spacing w:line="400" w:lineRule="exact"/>
        <w:ind w:firstLine="420" w:firstLineChars="200"/>
        <w:rPr>
          <w:rFonts w:hint="eastAsia"/>
          <w:highlight w:val="none"/>
        </w:rPr>
      </w:pPr>
      <w:r>
        <w:rPr>
          <w:rFonts w:hint="eastAsia"/>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7A65C811">
      <w:pPr>
        <w:pStyle w:val="45"/>
        <w:rPr>
          <w:rFonts w:hint="eastAsia"/>
          <w:highlight w:val="none"/>
        </w:rPr>
      </w:pPr>
      <w:bookmarkStart w:id="323" w:name="_Toc144974575"/>
      <w:bookmarkStart w:id="324" w:name="_Toc5661"/>
      <w:bookmarkStart w:id="325" w:name="_Toc152045607"/>
      <w:bookmarkStart w:id="326" w:name="_Toc152042385"/>
      <w:r>
        <w:rPr>
          <w:rFonts w:hint="eastAsia"/>
          <w:highlight w:val="none"/>
        </w:rPr>
        <w:t>3.3 投标文件的澄清</w:t>
      </w:r>
      <w:bookmarkEnd w:id="323"/>
      <w:r>
        <w:rPr>
          <w:rFonts w:hint="eastAsia"/>
          <w:highlight w:val="none"/>
        </w:rPr>
        <w:t>和补正</w:t>
      </w:r>
      <w:bookmarkEnd w:id="324"/>
      <w:bookmarkEnd w:id="325"/>
      <w:bookmarkEnd w:id="326"/>
    </w:p>
    <w:p w14:paraId="743730B9">
      <w:pPr>
        <w:spacing w:line="400" w:lineRule="exact"/>
        <w:ind w:firstLine="420" w:firstLineChars="200"/>
        <w:rPr>
          <w:rFonts w:hint="eastAsia"/>
          <w:highlight w:val="none"/>
        </w:rPr>
      </w:pPr>
      <w:r>
        <w:rPr>
          <w:rFonts w:hint="eastAsia"/>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14:paraId="6AEB5847">
      <w:pPr>
        <w:spacing w:line="400" w:lineRule="exact"/>
        <w:ind w:firstLine="420" w:firstLineChars="200"/>
        <w:rPr>
          <w:rFonts w:hint="eastAsia"/>
          <w:highlight w:val="none"/>
        </w:rPr>
      </w:pPr>
      <w:r>
        <w:rPr>
          <w:rFonts w:hint="eastAsia"/>
          <w:highlight w:val="none"/>
        </w:rPr>
        <w:t>3.3.2 澄清、说明和补正不得改变投标文件的实质性内容（算术性错误修正的除外）。投标人的书面澄清、说明和补正属于投标文件的组成部分。</w:t>
      </w:r>
    </w:p>
    <w:p w14:paraId="6AF90104">
      <w:pPr>
        <w:spacing w:line="400" w:lineRule="exact"/>
        <w:ind w:firstLine="420" w:firstLineChars="200"/>
        <w:rPr>
          <w:rFonts w:hint="eastAsia"/>
          <w:highlight w:val="none"/>
        </w:rPr>
      </w:pPr>
      <w:r>
        <w:rPr>
          <w:rFonts w:hint="eastAsia"/>
          <w:highlight w:val="none"/>
        </w:rPr>
        <w:t>3.3.3 评标委员会对投标人提交的澄清、说明或补正有疑问的，可以要求投标人进一步澄清、说明或补正，直至满足评标委员会的要求。</w:t>
      </w:r>
    </w:p>
    <w:p w14:paraId="336C4977">
      <w:pPr>
        <w:pStyle w:val="45"/>
        <w:rPr>
          <w:rFonts w:hint="eastAsia"/>
          <w:highlight w:val="none"/>
        </w:rPr>
      </w:pPr>
      <w:bookmarkStart w:id="327" w:name="_Toc144974576"/>
      <w:bookmarkStart w:id="328" w:name="_Toc152042386"/>
      <w:bookmarkStart w:id="329" w:name="_Toc152045608"/>
      <w:bookmarkStart w:id="330" w:name="_Toc19949"/>
      <w:r>
        <w:rPr>
          <w:rFonts w:hint="eastAsia"/>
          <w:highlight w:val="none"/>
        </w:rPr>
        <w:t>3.4 评标结果</w:t>
      </w:r>
      <w:bookmarkEnd w:id="327"/>
      <w:bookmarkEnd w:id="328"/>
      <w:bookmarkEnd w:id="329"/>
      <w:bookmarkEnd w:id="330"/>
    </w:p>
    <w:p w14:paraId="68FA4475">
      <w:pPr>
        <w:spacing w:line="400" w:lineRule="exact"/>
        <w:ind w:firstLine="420" w:firstLineChars="200"/>
        <w:rPr>
          <w:rFonts w:hint="eastAsia"/>
          <w:highlight w:val="none"/>
        </w:rPr>
      </w:pPr>
      <w:r>
        <w:rPr>
          <w:rFonts w:hint="eastAsia"/>
          <w:highlight w:val="none"/>
        </w:rPr>
        <w:t>3.4.1除第二章“投标人须知”前附表授权直接确定中标人外，评标委员会按照得分由高到低的顺序推荐中标候选人。</w:t>
      </w:r>
    </w:p>
    <w:p w14:paraId="0CE55E43">
      <w:pPr>
        <w:spacing w:line="400" w:lineRule="exact"/>
        <w:ind w:firstLine="420" w:firstLineChars="200"/>
        <w:rPr>
          <w:rFonts w:hint="eastAsia"/>
          <w:highlight w:val="none"/>
        </w:rPr>
      </w:pPr>
      <w:r>
        <w:rPr>
          <w:rFonts w:hint="eastAsia"/>
          <w:highlight w:val="none"/>
        </w:rPr>
        <w:t>3.4.2 评标委员会完成评标后，应当向招标人提交书面评标报告。</w:t>
      </w:r>
    </w:p>
    <w:p w14:paraId="5E73A286">
      <w:pPr>
        <w:spacing w:line="400" w:lineRule="exact"/>
        <w:rPr>
          <w:highlight w:val="none"/>
        </w:rPr>
      </w:pPr>
      <w:r>
        <w:rPr>
          <w:highlight w:val="none"/>
        </w:rPr>
        <w:br w:type="page"/>
      </w:r>
    </w:p>
    <w:p w14:paraId="03E3EA9F">
      <w:pPr>
        <w:spacing w:line="400" w:lineRule="exact"/>
        <w:rPr>
          <w:highlight w:val="none"/>
        </w:rPr>
      </w:pPr>
    </w:p>
    <w:p w14:paraId="68DDD70D">
      <w:pPr>
        <w:pStyle w:val="3"/>
        <w:spacing w:before="120" w:after="120" w:line="400" w:lineRule="exact"/>
        <w:jc w:val="center"/>
        <w:rPr>
          <w:rFonts w:hint="eastAsia" w:ascii="黑体" w:hAnsi="黑体" w:eastAsia="黑体"/>
          <w:b w:val="0"/>
          <w:bCs w:val="0"/>
          <w:sz w:val="32"/>
          <w:highlight w:val="none"/>
        </w:rPr>
      </w:pPr>
      <w:bookmarkStart w:id="331" w:name="_Toc4484"/>
      <w:bookmarkStart w:id="332" w:name="_Toc152042387"/>
      <w:bookmarkStart w:id="333" w:name="_Toc152045609"/>
      <w:bookmarkStart w:id="334" w:name="_Toc144974577"/>
      <w:r>
        <w:rPr>
          <w:rFonts w:hint="eastAsia" w:ascii="黑体" w:hAnsi="黑体" w:eastAsia="黑体"/>
          <w:b w:val="0"/>
          <w:bCs w:val="0"/>
          <w:sz w:val="32"/>
          <w:highlight w:val="none"/>
        </w:rPr>
        <w:t>第四章 合同条款及格式</w:t>
      </w:r>
      <w:bookmarkEnd w:id="331"/>
      <w:bookmarkEnd w:id="332"/>
      <w:bookmarkEnd w:id="333"/>
      <w:bookmarkEnd w:id="334"/>
    </w:p>
    <w:p w14:paraId="39D0B4D0">
      <w:pPr>
        <w:spacing w:line="400" w:lineRule="exact"/>
        <w:rPr>
          <w:highlight w:val="none"/>
        </w:rPr>
      </w:pPr>
    </w:p>
    <w:p w14:paraId="02AA2565">
      <w:pPr>
        <w:pStyle w:val="46"/>
        <w:jc w:val="center"/>
        <w:rPr>
          <w:rFonts w:hint="eastAsia"/>
          <w:highlight w:val="none"/>
        </w:rPr>
      </w:pPr>
      <w:bookmarkStart w:id="335" w:name="_Toc31648"/>
      <w:bookmarkStart w:id="336" w:name="_Toc152042388"/>
      <w:bookmarkStart w:id="337" w:name="_Toc144974578"/>
      <w:bookmarkStart w:id="338" w:name="_Toc152045610"/>
      <w:r>
        <w:rPr>
          <w:rFonts w:hint="eastAsia"/>
          <w:highlight w:val="none"/>
        </w:rPr>
        <w:t>第一节 通用合同条款</w:t>
      </w:r>
      <w:bookmarkEnd w:id="335"/>
      <w:bookmarkEnd w:id="336"/>
      <w:bookmarkEnd w:id="337"/>
      <w:bookmarkEnd w:id="338"/>
    </w:p>
    <w:p w14:paraId="5E4D937C">
      <w:pPr>
        <w:spacing w:line="400" w:lineRule="exact"/>
        <w:rPr>
          <w:highlight w:val="none"/>
        </w:rPr>
      </w:pPr>
    </w:p>
    <w:p w14:paraId="55A76D3A">
      <w:pPr>
        <w:spacing w:line="400" w:lineRule="exact"/>
        <w:jc w:val="center"/>
        <w:rPr>
          <w:rFonts w:hint="eastAsia" w:ascii="黑体" w:eastAsia="黑体"/>
          <w:sz w:val="28"/>
          <w:szCs w:val="28"/>
          <w:highlight w:val="none"/>
        </w:rPr>
      </w:pPr>
      <w:r>
        <w:rPr>
          <w:rFonts w:hint="eastAsia" w:ascii="黑体" w:eastAsia="黑体"/>
          <w:sz w:val="28"/>
          <w:szCs w:val="28"/>
          <w:highlight w:val="none"/>
        </w:rPr>
        <w:t>通用合同条款</w:t>
      </w:r>
    </w:p>
    <w:p w14:paraId="60F5649B">
      <w:pPr>
        <w:spacing w:line="400" w:lineRule="exact"/>
        <w:rPr>
          <w:highlight w:val="none"/>
        </w:rPr>
      </w:pPr>
    </w:p>
    <w:p w14:paraId="19C3FAED">
      <w:pPr>
        <w:pStyle w:val="46"/>
        <w:rPr>
          <w:rFonts w:hint="eastAsia"/>
          <w:highlight w:val="none"/>
        </w:rPr>
      </w:pPr>
      <w:bookmarkStart w:id="339" w:name="_Toc144974579"/>
      <w:bookmarkStart w:id="340" w:name="_Toc31959"/>
      <w:bookmarkStart w:id="341" w:name="_Toc152045611"/>
      <w:bookmarkStart w:id="342" w:name="_Toc152042389"/>
      <w:r>
        <w:rPr>
          <w:rFonts w:hint="eastAsia"/>
          <w:highlight w:val="none"/>
        </w:rPr>
        <w:t>1. 一般约定</w:t>
      </w:r>
      <w:bookmarkEnd w:id="339"/>
      <w:bookmarkEnd w:id="340"/>
      <w:bookmarkEnd w:id="341"/>
      <w:bookmarkEnd w:id="342"/>
    </w:p>
    <w:p w14:paraId="424E6AE6">
      <w:pPr>
        <w:pStyle w:val="45"/>
        <w:rPr>
          <w:rFonts w:hint="eastAsia"/>
          <w:highlight w:val="none"/>
        </w:rPr>
      </w:pPr>
      <w:bookmarkStart w:id="343" w:name="_Toc152042390"/>
      <w:bookmarkStart w:id="344" w:name="_Toc144974580"/>
      <w:bookmarkStart w:id="345" w:name="_Toc24577"/>
      <w:bookmarkStart w:id="346" w:name="_Toc152045612"/>
      <w:r>
        <w:rPr>
          <w:rFonts w:hint="eastAsia"/>
          <w:highlight w:val="none"/>
        </w:rPr>
        <w:t>1.1 词语定义</w:t>
      </w:r>
      <w:bookmarkEnd w:id="343"/>
      <w:bookmarkEnd w:id="344"/>
      <w:bookmarkEnd w:id="345"/>
      <w:bookmarkEnd w:id="346"/>
    </w:p>
    <w:p w14:paraId="0F18AA51">
      <w:pPr>
        <w:spacing w:line="400" w:lineRule="exact"/>
        <w:ind w:firstLine="420" w:firstLineChars="200"/>
        <w:rPr>
          <w:rFonts w:hint="eastAsia"/>
          <w:highlight w:val="none"/>
        </w:rPr>
      </w:pPr>
      <w:r>
        <w:rPr>
          <w:rFonts w:hint="eastAsia"/>
          <w:highlight w:val="none"/>
        </w:rPr>
        <w:t>通用合同条款、专用合同条款中的下列词语应具有本款所赋予的含义。</w:t>
      </w:r>
    </w:p>
    <w:p w14:paraId="24644087">
      <w:pPr>
        <w:spacing w:line="400" w:lineRule="exact"/>
        <w:ind w:firstLine="420" w:firstLineChars="200"/>
        <w:rPr>
          <w:rFonts w:hint="eastAsia"/>
          <w:highlight w:val="none"/>
        </w:rPr>
      </w:pPr>
      <w:r>
        <w:rPr>
          <w:rFonts w:hint="eastAsia"/>
          <w:highlight w:val="none"/>
        </w:rPr>
        <w:t xml:space="preserve">1.1.1 </w:t>
      </w:r>
      <w:r>
        <w:rPr>
          <w:rFonts w:hint="eastAsia" w:ascii="黑体" w:eastAsia="黑体"/>
          <w:highlight w:val="none"/>
        </w:rPr>
        <w:t>合同</w:t>
      </w:r>
    </w:p>
    <w:p w14:paraId="5BFA00E2">
      <w:pPr>
        <w:spacing w:line="400" w:lineRule="exact"/>
        <w:ind w:firstLine="718" w:firstLineChars="342"/>
        <w:rPr>
          <w:rFonts w:hint="eastAsia"/>
          <w:highlight w:val="none"/>
        </w:rPr>
      </w:pPr>
      <w:r>
        <w:rPr>
          <w:rFonts w:hint="eastAsia"/>
          <w:highlight w:val="none"/>
        </w:rPr>
        <w:t>1.1.1.1 合同文件（或称合同）：指合同协议书、中标通知书、投标函及投标函附录、专用合同条款、通用合同条款、技术标准和要求、图纸、已标价工程量清单，以及其他合同文件。</w:t>
      </w:r>
    </w:p>
    <w:p w14:paraId="2A6B57F6">
      <w:pPr>
        <w:spacing w:line="400" w:lineRule="exact"/>
        <w:ind w:firstLine="718" w:firstLineChars="342"/>
        <w:rPr>
          <w:rFonts w:hint="eastAsia"/>
          <w:highlight w:val="none"/>
        </w:rPr>
      </w:pPr>
      <w:r>
        <w:rPr>
          <w:rFonts w:hint="eastAsia"/>
          <w:highlight w:val="none"/>
        </w:rPr>
        <w:t>1.1.1.2 合同协议书：指第1.5款所指的合同协议书。</w:t>
      </w:r>
    </w:p>
    <w:p w14:paraId="1AA9232B">
      <w:pPr>
        <w:spacing w:line="400" w:lineRule="exact"/>
        <w:ind w:firstLine="718" w:firstLineChars="342"/>
        <w:rPr>
          <w:rFonts w:hint="eastAsia"/>
          <w:highlight w:val="none"/>
        </w:rPr>
      </w:pPr>
      <w:r>
        <w:rPr>
          <w:rFonts w:hint="eastAsia"/>
          <w:highlight w:val="none"/>
        </w:rPr>
        <w:t>1.1.1.3 中标通知书：指发包人通知承包人中标的函件。</w:t>
      </w:r>
    </w:p>
    <w:p w14:paraId="3383D36F">
      <w:pPr>
        <w:spacing w:line="400" w:lineRule="exact"/>
        <w:ind w:firstLine="718" w:firstLineChars="342"/>
        <w:rPr>
          <w:rFonts w:hint="eastAsia"/>
          <w:dstrike/>
          <w:szCs w:val="21"/>
          <w:highlight w:val="none"/>
        </w:rPr>
      </w:pPr>
      <w:r>
        <w:rPr>
          <w:rFonts w:hint="eastAsia"/>
          <w:highlight w:val="none"/>
        </w:rPr>
        <w:t>1.1.1.4 投标函：指构成合同文件组成部分的由承包人填写并签署的投标函。</w:t>
      </w:r>
    </w:p>
    <w:p w14:paraId="6B8BCEB4">
      <w:pPr>
        <w:spacing w:line="400" w:lineRule="exact"/>
        <w:ind w:firstLine="718" w:firstLineChars="342"/>
        <w:rPr>
          <w:rFonts w:hint="eastAsia"/>
          <w:highlight w:val="none"/>
        </w:rPr>
      </w:pPr>
      <w:r>
        <w:rPr>
          <w:rFonts w:hint="eastAsia"/>
          <w:highlight w:val="none"/>
        </w:rPr>
        <w:t>1.1.1.5 投标函附录：指附在投标函后构成合同文件的投标函附录。</w:t>
      </w:r>
    </w:p>
    <w:p w14:paraId="45557E24">
      <w:pPr>
        <w:spacing w:line="400" w:lineRule="exact"/>
        <w:ind w:firstLine="718" w:firstLineChars="342"/>
        <w:rPr>
          <w:rFonts w:hint="eastAsia"/>
          <w:highlight w:val="none"/>
        </w:rPr>
      </w:pPr>
      <w:r>
        <w:rPr>
          <w:rFonts w:hint="eastAsia"/>
          <w:highlight w:val="none"/>
        </w:rPr>
        <w:t>1.1.1.6 技术标准和要求：指构成合同文件组成部分的名为技术标准和要求的文件，包括合同双方当事人约定对其所作的修改或补充。</w:t>
      </w:r>
    </w:p>
    <w:p w14:paraId="7C7C5424">
      <w:pPr>
        <w:spacing w:line="400" w:lineRule="exact"/>
        <w:ind w:firstLine="718" w:firstLineChars="342"/>
        <w:rPr>
          <w:rFonts w:hint="eastAsia"/>
          <w:highlight w:val="none"/>
        </w:rPr>
      </w:pPr>
      <w:r>
        <w:rPr>
          <w:rFonts w:hint="eastAsia"/>
          <w:highlight w:val="none"/>
        </w:rPr>
        <w:t>1.1.1.7图纸：指包含在合同中的工程图纸，以及由发包人按合同约定提供的任何补充和修改的图纸，包括配套的说明。</w:t>
      </w:r>
    </w:p>
    <w:p w14:paraId="699C1BCA">
      <w:pPr>
        <w:spacing w:line="400" w:lineRule="exact"/>
        <w:ind w:firstLine="718" w:firstLineChars="342"/>
        <w:rPr>
          <w:rFonts w:hint="eastAsia"/>
          <w:highlight w:val="none"/>
        </w:rPr>
      </w:pPr>
      <w:r>
        <w:rPr>
          <w:rFonts w:hint="eastAsia"/>
          <w:highlight w:val="none"/>
        </w:rPr>
        <w:t>1.1.1.8 已标价工程量清单：指构成合同文件组成部分的由承包人按照规定的格式和要求填写并标明价格的工程量清单。</w:t>
      </w:r>
    </w:p>
    <w:p w14:paraId="65896DFE">
      <w:pPr>
        <w:spacing w:line="400" w:lineRule="exact"/>
        <w:ind w:firstLine="718" w:firstLineChars="342"/>
        <w:rPr>
          <w:rFonts w:hint="eastAsia"/>
          <w:highlight w:val="none"/>
        </w:rPr>
      </w:pPr>
      <w:r>
        <w:rPr>
          <w:rFonts w:hint="eastAsia"/>
          <w:highlight w:val="none"/>
        </w:rPr>
        <w:t>1.1.1.9 其他合同文件：指经合同双方当事人确认构成合同文件的其他文件。</w:t>
      </w:r>
    </w:p>
    <w:p w14:paraId="7DEF5952">
      <w:pPr>
        <w:spacing w:line="400" w:lineRule="exact"/>
        <w:ind w:firstLine="420" w:firstLineChars="200"/>
        <w:rPr>
          <w:rFonts w:hint="eastAsia"/>
          <w:highlight w:val="none"/>
        </w:rPr>
      </w:pPr>
      <w:r>
        <w:rPr>
          <w:rFonts w:hint="eastAsia"/>
          <w:highlight w:val="none"/>
        </w:rPr>
        <w:t xml:space="preserve">1.1.2 </w:t>
      </w:r>
      <w:r>
        <w:rPr>
          <w:rFonts w:hint="eastAsia" w:ascii="黑体" w:eastAsia="黑体"/>
          <w:highlight w:val="none"/>
        </w:rPr>
        <w:t>合同当事人和人员</w:t>
      </w:r>
    </w:p>
    <w:p w14:paraId="5ECB7D59">
      <w:pPr>
        <w:spacing w:line="400" w:lineRule="exact"/>
        <w:ind w:firstLine="718" w:firstLineChars="342"/>
        <w:rPr>
          <w:rFonts w:hint="eastAsia"/>
          <w:highlight w:val="none"/>
        </w:rPr>
      </w:pPr>
      <w:r>
        <w:rPr>
          <w:rFonts w:hint="eastAsia"/>
          <w:highlight w:val="none"/>
        </w:rPr>
        <w:t>1.1.2.1 合同当事人</w:t>
      </w:r>
      <w:r>
        <w:rPr>
          <w:rFonts w:hint="eastAsia"/>
          <w:highlight w:val="none"/>
          <w:lang w:eastAsia="zh-CN"/>
        </w:rPr>
        <w:t>：</w:t>
      </w:r>
      <w:r>
        <w:rPr>
          <w:rFonts w:hint="eastAsia"/>
          <w:highlight w:val="none"/>
        </w:rPr>
        <w:t>指发包人和（或）承包人。</w:t>
      </w:r>
    </w:p>
    <w:p w14:paraId="2890E5DF">
      <w:pPr>
        <w:spacing w:line="400" w:lineRule="exact"/>
        <w:ind w:firstLine="718" w:firstLineChars="342"/>
        <w:rPr>
          <w:rFonts w:hint="eastAsia"/>
          <w:highlight w:val="none"/>
        </w:rPr>
      </w:pPr>
      <w:r>
        <w:rPr>
          <w:rFonts w:hint="eastAsia"/>
          <w:highlight w:val="none"/>
        </w:rPr>
        <w:t>1.1.2.2 发包人：指专用合同条款中指明并与承包人在合同协议书中签字的当事人。</w:t>
      </w:r>
    </w:p>
    <w:p w14:paraId="0EF571D0">
      <w:pPr>
        <w:spacing w:line="400" w:lineRule="exact"/>
        <w:ind w:firstLine="718" w:firstLineChars="342"/>
        <w:rPr>
          <w:rFonts w:hint="eastAsia"/>
          <w:highlight w:val="none"/>
        </w:rPr>
      </w:pPr>
      <w:r>
        <w:rPr>
          <w:rFonts w:hint="eastAsia"/>
          <w:highlight w:val="none"/>
        </w:rPr>
        <w:t>1.1.2.3 承包人：指与发包人签订合同协议书的当事人。</w:t>
      </w:r>
    </w:p>
    <w:p w14:paraId="119B065B">
      <w:pPr>
        <w:spacing w:line="400" w:lineRule="exact"/>
        <w:ind w:firstLine="718" w:firstLineChars="342"/>
        <w:rPr>
          <w:rFonts w:hint="eastAsia"/>
          <w:highlight w:val="none"/>
        </w:rPr>
      </w:pPr>
      <w:r>
        <w:rPr>
          <w:rFonts w:hint="eastAsia"/>
          <w:highlight w:val="none"/>
        </w:rPr>
        <w:t>1.1.2.4 承包人项目经理：指承包人派驻施工场地的全权负责人。</w:t>
      </w:r>
    </w:p>
    <w:p w14:paraId="16906930">
      <w:pPr>
        <w:spacing w:line="400" w:lineRule="exact"/>
        <w:ind w:firstLine="718" w:firstLineChars="342"/>
        <w:rPr>
          <w:rFonts w:hint="eastAsia"/>
          <w:highlight w:val="none"/>
        </w:rPr>
      </w:pPr>
      <w:r>
        <w:rPr>
          <w:rFonts w:hint="eastAsia"/>
          <w:highlight w:val="none"/>
        </w:rPr>
        <w:t>1.1.2.5 分包人：指从承包人处分包合同中某一部分工程，并与其签订分包合同的分包人。</w:t>
      </w:r>
    </w:p>
    <w:p w14:paraId="29FCA10C">
      <w:pPr>
        <w:spacing w:line="400" w:lineRule="exact"/>
        <w:ind w:firstLine="718" w:firstLineChars="342"/>
        <w:rPr>
          <w:rFonts w:hint="eastAsia"/>
          <w:highlight w:val="none"/>
        </w:rPr>
      </w:pPr>
      <w:r>
        <w:rPr>
          <w:rFonts w:hint="eastAsia"/>
          <w:highlight w:val="none"/>
        </w:rPr>
        <w:t>1.1.2.6 监理人：指在专用合同条款中指明的，受发包人委托对合同履行实施管理的法人或其他组织。</w:t>
      </w:r>
    </w:p>
    <w:p w14:paraId="70132FC9">
      <w:pPr>
        <w:spacing w:line="400" w:lineRule="exact"/>
        <w:ind w:firstLine="718" w:firstLineChars="342"/>
        <w:rPr>
          <w:rFonts w:hint="eastAsia"/>
          <w:highlight w:val="none"/>
        </w:rPr>
      </w:pPr>
      <w:r>
        <w:rPr>
          <w:rFonts w:hint="eastAsia"/>
          <w:highlight w:val="none"/>
        </w:rPr>
        <w:t>1.1.2.7 总监理工程师（总监）：指由监理人委派常驻施工场地对合同履行实施管理的全权负责人。</w:t>
      </w:r>
    </w:p>
    <w:p w14:paraId="2DA41020">
      <w:pPr>
        <w:spacing w:line="400" w:lineRule="exact"/>
        <w:ind w:firstLine="420" w:firstLineChars="200"/>
        <w:rPr>
          <w:rFonts w:hint="eastAsia"/>
          <w:highlight w:val="none"/>
        </w:rPr>
      </w:pPr>
      <w:r>
        <w:rPr>
          <w:rFonts w:hint="eastAsia"/>
          <w:highlight w:val="none"/>
        </w:rPr>
        <w:t xml:space="preserve">1.1.3 </w:t>
      </w:r>
      <w:r>
        <w:rPr>
          <w:rFonts w:hint="eastAsia" w:ascii="黑体" w:eastAsia="黑体"/>
          <w:highlight w:val="none"/>
        </w:rPr>
        <w:t>工程和设备</w:t>
      </w:r>
    </w:p>
    <w:p w14:paraId="19615CAE">
      <w:pPr>
        <w:spacing w:line="400" w:lineRule="exact"/>
        <w:ind w:firstLine="718" w:firstLineChars="342"/>
        <w:rPr>
          <w:rFonts w:hint="eastAsia"/>
          <w:highlight w:val="none"/>
        </w:rPr>
      </w:pPr>
      <w:r>
        <w:rPr>
          <w:rFonts w:hint="eastAsia"/>
          <w:highlight w:val="none"/>
        </w:rPr>
        <w:t>1.1.3.1 工程：指永久工程和（或）临时工程。</w:t>
      </w:r>
    </w:p>
    <w:p w14:paraId="3E9A7A6E">
      <w:pPr>
        <w:spacing w:line="400" w:lineRule="exact"/>
        <w:ind w:firstLine="718" w:firstLineChars="342"/>
        <w:rPr>
          <w:rFonts w:hint="eastAsia"/>
          <w:highlight w:val="none"/>
        </w:rPr>
      </w:pPr>
      <w:r>
        <w:rPr>
          <w:rFonts w:hint="eastAsia"/>
          <w:highlight w:val="none"/>
        </w:rPr>
        <w:t>1.1.3.2 永久工程：指按合同约定建造并移交给发包人的工程，包括工程设备。</w:t>
      </w:r>
    </w:p>
    <w:p w14:paraId="429DE883">
      <w:pPr>
        <w:spacing w:line="400" w:lineRule="exact"/>
        <w:ind w:firstLine="718" w:firstLineChars="342"/>
        <w:rPr>
          <w:rFonts w:hint="eastAsia"/>
          <w:highlight w:val="none"/>
        </w:rPr>
      </w:pPr>
      <w:r>
        <w:rPr>
          <w:rFonts w:hint="eastAsia"/>
          <w:highlight w:val="none"/>
        </w:rPr>
        <w:t>1.1.3.3 临时工程：指为完成合同约定的永久工程所修建的各类临时性工程，不包括施工设备。</w:t>
      </w:r>
    </w:p>
    <w:p w14:paraId="591201B1">
      <w:pPr>
        <w:spacing w:line="400" w:lineRule="exact"/>
        <w:ind w:firstLine="718" w:firstLineChars="342"/>
        <w:rPr>
          <w:rFonts w:hint="eastAsia"/>
          <w:highlight w:val="none"/>
        </w:rPr>
      </w:pPr>
      <w:r>
        <w:rPr>
          <w:rFonts w:hint="eastAsia"/>
          <w:highlight w:val="none"/>
        </w:rPr>
        <w:t>1.1.3.4 单位工程：指专用合同条款中指明特定范围的永久工程。</w:t>
      </w:r>
    </w:p>
    <w:p w14:paraId="364A6F49">
      <w:pPr>
        <w:spacing w:line="400" w:lineRule="exact"/>
        <w:ind w:firstLine="718" w:firstLineChars="342"/>
        <w:rPr>
          <w:rFonts w:hint="eastAsia"/>
          <w:highlight w:val="none"/>
        </w:rPr>
      </w:pPr>
      <w:r>
        <w:rPr>
          <w:rFonts w:hint="eastAsia"/>
          <w:highlight w:val="none"/>
        </w:rPr>
        <w:t>1.1.3.5 工程设备：指构成或计划构成永久工程一部分的机电设备、金属结构设备、仪器装置及其他类似的设备和装置。</w:t>
      </w:r>
    </w:p>
    <w:p w14:paraId="3156E2EA">
      <w:pPr>
        <w:spacing w:line="400" w:lineRule="exact"/>
        <w:ind w:firstLine="718" w:firstLineChars="342"/>
        <w:rPr>
          <w:rFonts w:hint="eastAsia"/>
          <w:highlight w:val="none"/>
        </w:rPr>
      </w:pPr>
      <w:r>
        <w:rPr>
          <w:rFonts w:hint="eastAsia"/>
          <w:highlight w:val="none"/>
        </w:rPr>
        <w:t>1.1.3.6 施工设备：指为完成合同约定的各项工作所需的设备、器具和其他物品，不包括临时工程和材料。</w:t>
      </w:r>
    </w:p>
    <w:p w14:paraId="6AA869ED">
      <w:pPr>
        <w:spacing w:line="400" w:lineRule="exact"/>
        <w:ind w:firstLine="718" w:firstLineChars="342"/>
        <w:rPr>
          <w:rFonts w:hint="eastAsia"/>
          <w:highlight w:val="none"/>
        </w:rPr>
      </w:pPr>
      <w:r>
        <w:rPr>
          <w:rFonts w:hint="eastAsia"/>
          <w:highlight w:val="none"/>
        </w:rPr>
        <w:t>1.1.3.7 临时设施：指为完成合同约定的各项工作所服务的临时性生产和生活设施。</w:t>
      </w:r>
    </w:p>
    <w:p w14:paraId="0B687953">
      <w:pPr>
        <w:spacing w:line="400" w:lineRule="exact"/>
        <w:ind w:firstLine="718" w:firstLineChars="342"/>
        <w:rPr>
          <w:rFonts w:hint="eastAsia"/>
          <w:highlight w:val="none"/>
        </w:rPr>
      </w:pPr>
      <w:r>
        <w:rPr>
          <w:rFonts w:hint="eastAsia"/>
          <w:highlight w:val="none"/>
        </w:rPr>
        <w:t>1.1.3.8 承包人设备：指承包人自带的施工设备。</w:t>
      </w:r>
    </w:p>
    <w:p w14:paraId="03C936A9">
      <w:pPr>
        <w:spacing w:line="400" w:lineRule="exact"/>
        <w:ind w:firstLine="718" w:firstLineChars="342"/>
        <w:rPr>
          <w:rFonts w:hint="eastAsia"/>
          <w:highlight w:val="none"/>
        </w:rPr>
      </w:pPr>
      <w:r>
        <w:rPr>
          <w:rFonts w:hint="eastAsia"/>
          <w:highlight w:val="none"/>
        </w:rPr>
        <w:t>1.1.3.9 施工场地（或称工地、现场）：指用于合同工程施工的场所，以及在合同中指定作为施工场地组成部分的其他场所，包括永久占地和临时占地。</w:t>
      </w:r>
    </w:p>
    <w:p w14:paraId="6006FA8A">
      <w:pPr>
        <w:spacing w:line="400" w:lineRule="exact"/>
        <w:ind w:firstLine="718" w:firstLineChars="342"/>
        <w:rPr>
          <w:rFonts w:hint="eastAsia"/>
          <w:highlight w:val="none"/>
        </w:rPr>
      </w:pPr>
      <w:r>
        <w:rPr>
          <w:rFonts w:hint="eastAsia"/>
          <w:highlight w:val="none"/>
        </w:rPr>
        <w:t>1.1.3.10 永久占地：指专用合同条款中指明为实施合同工程需永久占用的土地。</w:t>
      </w:r>
    </w:p>
    <w:p w14:paraId="162F8E0B">
      <w:pPr>
        <w:spacing w:line="400" w:lineRule="exact"/>
        <w:ind w:firstLine="718" w:firstLineChars="342"/>
        <w:rPr>
          <w:rFonts w:hint="eastAsia"/>
          <w:highlight w:val="none"/>
        </w:rPr>
      </w:pPr>
      <w:r>
        <w:rPr>
          <w:rFonts w:hint="eastAsia"/>
          <w:highlight w:val="none"/>
        </w:rPr>
        <w:t>1.1.3.11 临时占地：指专用合同条款中指明为实施合同工程需临时占用的土地。</w:t>
      </w:r>
    </w:p>
    <w:p w14:paraId="7B914FDA">
      <w:pPr>
        <w:spacing w:line="400" w:lineRule="exact"/>
        <w:ind w:firstLine="420" w:firstLineChars="200"/>
        <w:rPr>
          <w:rFonts w:hint="eastAsia"/>
          <w:highlight w:val="none"/>
        </w:rPr>
      </w:pPr>
      <w:r>
        <w:rPr>
          <w:rFonts w:hint="eastAsia"/>
          <w:highlight w:val="none"/>
        </w:rPr>
        <w:t xml:space="preserve">1.1.4 </w:t>
      </w:r>
      <w:r>
        <w:rPr>
          <w:rFonts w:hint="eastAsia" w:ascii="黑体" w:eastAsia="黑体"/>
          <w:highlight w:val="none"/>
        </w:rPr>
        <w:t>日期</w:t>
      </w:r>
    </w:p>
    <w:p w14:paraId="4BB40786">
      <w:pPr>
        <w:spacing w:line="400" w:lineRule="exact"/>
        <w:ind w:firstLine="718" w:firstLineChars="342"/>
        <w:rPr>
          <w:rFonts w:hint="eastAsia"/>
          <w:highlight w:val="none"/>
        </w:rPr>
      </w:pPr>
      <w:r>
        <w:rPr>
          <w:rFonts w:hint="eastAsia"/>
          <w:highlight w:val="none"/>
        </w:rPr>
        <w:t>1.1.4.1 开工通知：指监理人按第11.1款通知承包人开工的函件。</w:t>
      </w:r>
    </w:p>
    <w:p w14:paraId="1E72AF76">
      <w:pPr>
        <w:spacing w:line="400" w:lineRule="exact"/>
        <w:ind w:firstLine="718" w:firstLineChars="342"/>
        <w:rPr>
          <w:rFonts w:hint="eastAsia"/>
          <w:highlight w:val="none"/>
        </w:rPr>
      </w:pPr>
      <w:r>
        <w:rPr>
          <w:rFonts w:hint="eastAsia"/>
          <w:highlight w:val="none"/>
        </w:rPr>
        <w:t>1.1.4.2 开工日期：指监理人按第11.1款发出的开工通知中写明的开工日期。</w:t>
      </w:r>
    </w:p>
    <w:p w14:paraId="24E3DC39">
      <w:pPr>
        <w:spacing w:line="400" w:lineRule="exact"/>
        <w:ind w:firstLine="718" w:firstLineChars="342"/>
        <w:rPr>
          <w:rFonts w:hint="eastAsia"/>
          <w:highlight w:val="none"/>
        </w:rPr>
      </w:pPr>
      <w:r>
        <w:rPr>
          <w:rFonts w:hint="eastAsia"/>
          <w:highlight w:val="none"/>
        </w:rPr>
        <w:t>1.1.4.3工期：指承包人在投标函中承诺的完成合同工程所需的期限，包括按第11.3款、第11.4款和第11.6款约定所作的变更。</w:t>
      </w:r>
    </w:p>
    <w:p w14:paraId="01A5CDBD">
      <w:pPr>
        <w:spacing w:line="400" w:lineRule="exact"/>
        <w:ind w:firstLine="718" w:firstLineChars="342"/>
        <w:rPr>
          <w:rFonts w:hint="eastAsia"/>
          <w:highlight w:val="none"/>
        </w:rPr>
      </w:pPr>
      <w:r>
        <w:rPr>
          <w:rFonts w:hint="eastAsia"/>
          <w:highlight w:val="none"/>
        </w:rPr>
        <w:t>1.1.4.4 竣工日期：指第1.1.4.3目约定工期届满时的日期。实际竣工日期以工程接收证书中写明的日期为准。</w:t>
      </w:r>
    </w:p>
    <w:p w14:paraId="0181A0E0">
      <w:pPr>
        <w:spacing w:line="400" w:lineRule="exact"/>
        <w:ind w:firstLine="718" w:firstLineChars="342"/>
        <w:rPr>
          <w:rFonts w:hint="eastAsia"/>
          <w:highlight w:val="none"/>
        </w:rPr>
      </w:pPr>
      <w:r>
        <w:rPr>
          <w:rFonts w:hint="eastAsia"/>
          <w:highlight w:val="none"/>
        </w:rPr>
        <w:t>1.1.4.5 缺陷责任期：指履行第19.2款约定的缺陷责任的期限，具体期限由专用合同条款约定，包括根据第19.3款约定所作的延长。</w:t>
      </w:r>
    </w:p>
    <w:p w14:paraId="0CD0BF5E">
      <w:pPr>
        <w:spacing w:line="400" w:lineRule="exact"/>
        <w:ind w:firstLine="718" w:firstLineChars="342"/>
        <w:rPr>
          <w:rFonts w:hint="eastAsia"/>
          <w:highlight w:val="none"/>
        </w:rPr>
      </w:pPr>
      <w:r>
        <w:rPr>
          <w:rFonts w:hint="eastAsia"/>
          <w:highlight w:val="none"/>
        </w:rPr>
        <w:t>1.1.4.6 基准日期：指投标截止时间前28天的日期。</w:t>
      </w:r>
    </w:p>
    <w:p w14:paraId="071A9334">
      <w:pPr>
        <w:spacing w:line="400" w:lineRule="exact"/>
        <w:ind w:firstLine="718" w:firstLineChars="342"/>
        <w:rPr>
          <w:rFonts w:hint="eastAsia"/>
          <w:highlight w:val="none"/>
        </w:rPr>
      </w:pPr>
      <w:r>
        <w:rPr>
          <w:rFonts w:hint="eastAsia"/>
          <w:highlight w:val="none"/>
        </w:rPr>
        <w:t>1.1.4.7 天：除特别指明外，指日历天。合同中按天计算时间的，开始当天不计入，从次日开始计算。期限最后一天的截止时间为当天24:00。</w:t>
      </w:r>
    </w:p>
    <w:p w14:paraId="5E198A08">
      <w:pPr>
        <w:spacing w:line="400" w:lineRule="exact"/>
        <w:ind w:firstLine="420" w:firstLineChars="200"/>
        <w:rPr>
          <w:rFonts w:hint="eastAsia"/>
          <w:highlight w:val="none"/>
        </w:rPr>
      </w:pPr>
      <w:r>
        <w:rPr>
          <w:rFonts w:hint="eastAsia"/>
          <w:highlight w:val="none"/>
        </w:rPr>
        <w:t xml:space="preserve">1.1.5 </w:t>
      </w:r>
      <w:r>
        <w:rPr>
          <w:rFonts w:hint="eastAsia" w:ascii="黑体" w:eastAsia="黑体"/>
          <w:highlight w:val="none"/>
        </w:rPr>
        <w:t>合同价格和费用</w:t>
      </w:r>
    </w:p>
    <w:p w14:paraId="020D5068">
      <w:pPr>
        <w:spacing w:line="400" w:lineRule="exact"/>
        <w:ind w:firstLine="718" w:firstLineChars="342"/>
        <w:rPr>
          <w:rFonts w:hint="eastAsia"/>
          <w:highlight w:val="none"/>
        </w:rPr>
      </w:pPr>
      <w:r>
        <w:rPr>
          <w:rFonts w:hint="eastAsia"/>
          <w:highlight w:val="none"/>
        </w:rPr>
        <w:t>1.1.5.1 签约合同价：指签定合同时合同协议书中写明的，包括了暂列金额、暂估价的合同总金额。</w:t>
      </w:r>
    </w:p>
    <w:p w14:paraId="0B55B230">
      <w:pPr>
        <w:spacing w:line="400" w:lineRule="exact"/>
        <w:ind w:firstLine="718" w:firstLineChars="342"/>
        <w:rPr>
          <w:rFonts w:hint="eastAsia"/>
          <w:highlight w:val="none"/>
        </w:rPr>
      </w:pPr>
      <w:r>
        <w:rPr>
          <w:rFonts w:hint="eastAsia"/>
          <w:highlight w:val="none"/>
        </w:rPr>
        <w:t>1.1.5.2 合同价格：指承包人按合同约定完成了包括缺陷责任期内的全部承包工作后，发包人应付给承包人的金额，包括在履行合同过程中按合同约定进行的变更和调整。</w:t>
      </w:r>
    </w:p>
    <w:p w14:paraId="029D4DC9">
      <w:pPr>
        <w:spacing w:line="400" w:lineRule="exact"/>
        <w:ind w:firstLine="718" w:firstLineChars="342"/>
        <w:rPr>
          <w:rFonts w:hint="eastAsia"/>
          <w:highlight w:val="none"/>
        </w:rPr>
      </w:pPr>
      <w:r>
        <w:rPr>
          <w:rFonts w:hint="eastAsia"/>
          <w:highlight w:val="none"/>
        </w:rPr>
        <w:t>1.1.5.3 费用：指为履行合同所发生的或将要发生的所有合理开支，包括管理费和应分摊的其他费用，但不包括利润。</w:t>
      </w:r>
    </w:p>
    <w:p w14:paraId="6BEDEE00">
      <w:pPr>
        <w:spacing w:line="400" w:lineRule="exact"/>
        <w:ind w:firstLine="718" w:firstLineChars="342"/>
        <w:rPr>
          <w:rFonts w:hint="eastAsia"/>
          <w:highlight w:val="none"/>
        </w:rPr>
      </w:pPr>
      <w:r>
        <w:rPr>
          <w:rFonts w:hint="eastAsia"/>
          <w:highlight w:val="none"/>
        </w:rPr>
        <w:t>1.1.5.4 暂列金额：指已标价工程量清单中所列的暂列金额，用于在签订协议书时尚未确定或不可预见变更的施工及其所需材料、工程设备、服务等的金额，包括以计日工方式支付的金额。</w:t>
      </w:r>
    </w:p>
    <w:p w14:paraId="25E8F573">
      <w:pPr>
        <w:spacing w:line="400" w:lineRule="exact"/>
        <w:ind w:firstLine="718" w:firstLineChars="342"/>
        <w:rPr>
          <w:rFonts w:hint="eastAsia"/>
          <w:highlight w:val="none"/>
        </w:rPr>
      </w:pPr>
      <w:r>
        <w:rPr>
          <w:rFonts w:hint="eastAsia"/>
          <w:color w:val="auto"/>
          <w:highlight w:val="none"/>
        </w:rPr>
        <w:t>1.1.5.5暂</w:t>
      </w:r>
      <w:r>
        <w:rPr>
          <w:rFonts w:hint="eastAsia"/>
          <w:color w:val="auto"/>
          <w:highlight w:val="none"/>
          <w:lang w:val="en-US" w:eastAsia="zh-CN"/>
        </w:rPr>
        <w:t>定</w:t>
      </w:r>
      <w:r>
        <w:rPr>
          <w:rFonts w:hint="eastAsia"/>
          <w:color w:val="auto"/>
          <w:highlight w:val="none"/>
        </w:rPr>
        <w:t>价：指发包人在工程量清单</w:t>
      </w:r>
      <w:r>
        <w:rPr>
          <w:rFonts w:hint="eastAsia"/>
          <w:highlight w:val="none"/>
        </w:rPr>
        <w:t>中给定的用于支付必然发生但暂时不能确定价格的材料、设备以及专业工程的金额。</w:t>
      </w:r>
    </w:p>
    <w:p w14:paraId="6A72CCA9">
      <w:pPr>
        <w:spacing w:line="400" w:lineRule="exact"/>
        <w:ind w:firstLine="718" w:firstLineChars="342"/>
        <w:rPr>
          <w:rFonts w:hint="eastAsia"/>
          <w:highlight w:val="none"/>
        </w:rPr>
      </w:pPr>
      <w:r>
        <w:rPr>
          <w:rFonts w:hint="eastAsia"/>
          <w:highlight w:val="none"/>
        </w:rPr>
        <w:t>1.1.5.6 计日工：指对零星工作采取的一种计价方式，按合同中的计日工子目及其单价计价付款。</w:t>
      </w:r>
    </w:p>
    <w:p w14:paraId="5FC5AA8E">
      <w:pPr>
        <w:spacing w:line="400" w:lineRule="exact"/>
        <w:ind w:firstLine="718" w:firstLineChars="342"/>
        <w:rPr>
          <w:rFonts w:hint="eastAsia"/>
          <w:highlight w:val="none"/>
        </w:rPr>
      </w:pPr>
      <w:r>
        <w:rPr>
          <w:rFonts w:hint="eastAsia"/>
          <w:highlight w:val="none"/>
        </w:rPr>
        <w:t>1.1.5.7 质量保证金（或称保留金）：指按第17.4.1项约定用于保证在缺陷责任期内履行缺陷修复义务的金额。</w:t>
      </w:r>
    </w:p>
    <w:p w14:paraId="689D15A7">
      <w:pPr>
        <w:spacing w:line="400" w:lineRule="exact"/>
        <w:ind w:firstLine="420" w:firstLineChars="200"/>
        <w:rPr>
          <w:rFonts w:hint="eastAsia"/>
          <w:highlight w:val="none"/>
        </w:rPr>
      </w:pPr>
      <w:r>
        <w:rPr>
          <w:rFonts w:hint="eastAsia"/>
          <w:highlight w:val="none"/>
        </w:rPr>
        <w:t xml:space="preserve">1.1.6 </w:t>
      </w:r>
      <w:r>
        <w:rPr>
          <w:rFonts w:hint="eastAsia" w:ascii="黑体" w:eastAsia="黑体"/>
          <w:highlight w:val="none"/>
        </w:rPr>
        <w:t>其他</w:t>
      </w:r>
    </w:p>
    <w:p w14:paraId="2BD2154F">
      <w:pPr>
        <w:spacing w:line="400" w:lineRule="exact"/>
        <w:ind w:firstLine="718" w:firstLineChars="342"/>
        <w:rPr>
          <w:rFonts w:hint="eastAsia"/>
          <w:highlight w:val="none"/>
        </w:rPr>
      </w:pPr>
      <w:r>
        <w:rPr>
          <w:rFonts w:hint="eastAsia"/>
          <w:highlight w:val="none"/>
        </w:rPr>
        <w:t>1.1.6.1 书面形式：指合同文件、信函、电报、传真等可以有形地表现所载内容的形式。</w:t>
      </w:r>
    </w:p>
    <w:p w14:paraId="1C52BB67">
      <w:pPr>
        <w:pStyle w:val="45"/>
        <w:rPr>
          <w:rFonts w:hint="eastAsia"/>
          <w:highlight w:val="none"/>
        </w:rPr>
      </w:pPr>
      <w:bookmarkStart w:id="347" w:name="_Toc152045613"/>
      <w:bookmarkStart w:id="348" w:name="_Toc20929"/>
      <w:bookmarkStart w:id="349" w:name="_Toc144974581"/>
      <w:bookmarkStart w:id="350" w:name="_Toc152042391"/>
      <w:r>
        <w:rPr>
          <w:rFonts w:hint="eastAsia"/>
          <w:highlight w:val="none"/>
        </w:rPr>
        <w:t>1.2 语言文字</w:t>
      </w:r>
      <w:bookmarkEnd w:id="347"/>
      <w:bookmarkEnd w:id="348"/>
      <w:bookmarkEnd w:id="349"/>
      <w:bookmarkEnd w:id="350"/>
    </w:p>
    <w:p w14:paraId="3E6F71CF">
      <w:pPr>
        <w:spacing w:line="400" w:lineRule="exact"/>
        <w:ind w:firstLine="420" w:firstLineChars="200"/>
        <w:rPr>
          <w:rFonts w:hint="eastAsia"/>
          <w:highlight w:val="none"/>
        </w:rPr>
      </w:pPr>
      <w:r>
        <w:rPr>
          <w:rFonts w:hint="eastAsia"/>
          <w:highlight w:val="none"/>
        </w:rPr>
        <w:t>除专用术语外，合同使用的语言文字为中文。必要时专用术语应附有中文注释。</w:t>
      </w:r>
    </w:p>
    <w:p w14:paraId="2E65C497">
      <w:pPr>
        <w:pStyle w:val="45"/>
        <w:rPr>
          <w:rFonts w:hint="eastAsia"/>
          <w:highlight w:val="none"/>
        </w:rPr>
      </w:pPr>
      <w:bookmarkStart w:id="351" w:name="_Toc31667"/>
      <w:bookmarkStart w:id="352" w:name="_Toc144974582"/>
      <w:bookmarkStart w:id="353" w:name="_Toc152042392"/>
      <w:bookmarkStart w:id="354" w:name="_Toc152045614"/>
      <w:r>
        <w:rPr>
          <w:rFonts w:hint="eastAsia"/>
          <w:highlight w:val="none"/>
        </w:rPr>
        <w:t>1.3 法律</w:t>
      </w:r>
      <w:bookmarkEnd w:id="351"/>
      <w:bookmarkEnd w:id="352"/>
      <w:bookmarkEnd w:id="353"/>
      <w:bookmarkEnd w:id="354"/>
    </w:p>
    <w:p w14:paraId="7648BD81">
      <w:pPr>
        <w:spacing w:line="400" w:lineRule="exact"/>
        <w:ind w:firstLine="420" w:firstLineChars="200"/>
        <w:rPr>
          <w:rFonts w:hint="eastAsia"/>
          <w:highlight w:val="none"/>
        </w:rPr>
      </w:pPr>
      <w:r>
        <w:rPr>
          <w:rFonts w:hint="eastAsia"/>
          <w:highlight w:val="none"/>
        </w:rPr>
        <w:t>适用于合同的法律包括中华人民共和国法律、行政法规、部门规章，以及工程所在地的地方法规、自治条例、单行条例和地方政府规章。</w:t>
      </w:r>
    </w:p>
    <w:p w14:paraId="764421B1">
      <w:pPr>
        <w:pStyle w:val="45"/>
        <w:rPr>
          <w:rFonts w:hint="eastAsia"/>
          <w:highlight w:val="none"/>
        </w:rPr>
      </w:pPr>
      <w:bookmarkStart w:id="355" w:name="_Toc152042393"/>
      <w:bookmarkStart w:id="356" w:name="_Toc144974583"/>
      <w:bookmarkStart w:id="357" w:name="_Toc19835"/>
      <w:bookmarkStart w:id="358" w:name="_Toc152045615"/>
      <w:r>
        <w:rPr>
          <w:rFonts w:hint="eastAsia"/>
          <w:highlight w:val="none"/>
        </w:rPr>
        <w:t>1.4 合同文件的优先顺序</w:t>
      </w:r>
      <w:bookmarkEnd w:id="355"/>
      <w:bookmarkEnd w:id="356"/>
      <w:bookmarkEnd w:id="357"/>
      <w:bookmarkEnd w:id="358"/>
    </w:p>
    <w:p w14:paraId="5C7FD5E0">
      <w:pPr>
        <w:spacing w:line="400" w:lineRule="exact"/>
        <w:ind w:firstLine="420" w:firstLineChars="200"/>
        <w:rPr>
          <w:rFonts w:hint="eastAsia"/>
          <w:highlight w:val="none"/>
        </w:rPr>
      </w:pPr>
      <w:r>
        <w:rPr>
          <w:rFonts w:hint="eastAsia"/>
          <w:highlight w:val="none"/>
        </w:rPr>
        <w:t>组成合同的各项文件应互相解释，互为说明。除专用合同条款另有约定外，解释合同文件的优先顺序如下：</w:t>
      </w:r>
    </w:p>
    <w:p w14:paraId="7C996A96">
      <w:pPr>
        <w:spacing w:line="400" w:lineRule="exact"/>
        <w:ind w:firstLine="359" w:firstLineChars="171"/>
        <w:rPr>
          <w:rFonts w:hint="eastAsia"/>
          <w:highlight w:val="none"/>
        </w:rPr>
      </w:pPr>
      <w:r>
        <w:rPr>
          <w:rFonts w:hint="eastAsia"/>
          <w:highlight w:val="none"/>
        </w:rPr>
        <w:t>（1）合同协议书；</w:t>
      </w:r>
    </w:p>
    <w:p w14:paraId="444A1F9D">
      <w:pPr>
        <w:spacing w:line="400" w:lineRule="exact"/>
        <w:ind w:firstLine="359" w:firstLineChars="171"/>
        <w:rPr>
          <w:rFonts w:hint="eastAsia"/>
          <w:highlight w:val="none"/>
        </w:rPr>
      </w:pPr>
      <w:r>
        <w:rPr>
          <w:rFonts w:hint="eastAsia"/>
          <w:highlight w:val="none"/>
        </w:rPr>
        <w:t>（2）中标通知书；</w:t>
      </w:r>
    </w:p>
    <w:p w14:paraId="6F0B10AB">
      <w:pPr>
        <w:spacing w:line="400" w:lineRule="exact"/>
        <w:ind w:firstLine="359" w:firstLineChars="171"/>
        <w:rPr>
          <w:rFonts w:hint="eastAsia"/>
          <w:highlight w:val="none"/>
        </w:rPr>
      </w:pPr>
      <w:r>
        <w:rPr>
          <w:rFonts w:hint="eastAsia"/>
          <w:highlight w:val="none"/>
        </w:rPr>
        <w:t>（3）投标函及投标函附录；</w:t>
      </w:r>
    </w:p>
    <w:p w14:paraId="779F76BB">
      <w:pPr>
        <w:spacing w:line="400" w:lineRule="exact"/>
        <w:ind w:firstLine="359" w:firstLineChars="171"/>
        <w:rPr>
          <w:rFonts w:hint="eastAsia"/>
          <w:highlight w:val="none"/>
        </w:rPr>
      </w:pPr>
      <w:r>
        <w:rPr>
          <w:rFonts w:hint="eastAsia"/>
          <w:highlight w:val="none"/>
        </w:rPr>
        <w:t>（4）专用合同条款；</w:t>
      </w:r>
    </w:p>
    <w:p w14:paraId="144B69F3">
      <w:pPr>
        <w:spacing w:line="400" w:lineRule="exact"/>
        <w:ind w:firstLine="359" w:firstLineChars="171"/>
        <w:rPr>
          <w:rFonts w:hint="eastAsia"/>
          <w:highlight w:val="none"/>
        </w:rPr>
      </w:pPr>
      <w:r>
        <w:rPr>
          <w:rFonts w:hint="eastAsia"/>
          <w:highlight w:val="none"/>
        </w:rPr>
        <w:t>（5）通用合同条款；</w:t>
      </w:r>
    </w:p>
    <w:p w14:paraId="37267267">
      <w:pPr>
        <w:spacing w:line="400" w:lineRule="exact"/>
        <w:ind w:firstLine="359" w:firstLineChars="171"/>
        <w:rPr>
          <w:rFonts w:hint="eastAsia"/>
          <w:highlight w:val="none"/>
        </w:rPr>
      </w:pPr>
      <w:r>
        <w:rPr>
          <w:rFonts w:hint="eastAsia"/>
          <w:highlight w:val="none"/>
        </w:rPr>
        <w:t>（6）技术标准和要求；</w:t>
      </w:r>
    </w:p>
    <w:p w14:paraId="37D5B13F">
      <w:pPr>
        <w:spacing w:line="400" w:lineRule="exact"/>
        <w:ind w:firstLine="359" w:firstLineChars="171"/>
        <w:rPr>
          <w:rFonts w:hint="eastAsia"/>
          <w:highlight w:val="none"/>
        </w:rPr>
      </w:pPr>
      <w:r>
        <w:rPr>
          <w:rFonts w:hint="eastAsia"/>
          <w:highlight w:val="none"/>
        </w:rPr>
        <w:t>（7）图纸；</w:t>
      </w:r>
    </w:p>
    <w:p w14:paraId="3863614E">
      <w:pPr>
        <w:spacing w:line="400" w:lineRule="exact"/>
        <w:ind w:firstLine="359" w:firstLineChars="171"/>
        <w:rPr>
          <w:rFonts w:hint="eastAsia"/>
          <w:highlight w:val="none"/>
        </w:rPr>
      </w:pPr>
      <w:r>
        <w:rPr>
          <w:rFonts w:hint="eastAsia"/>
          <w:highlight w:val="none"/>
        </w:rPr>
        <w:t>（8）已标价工程量清单；</w:t>
      </w:r>
    </w:p>
    <w:p w14:paraId="668F9A89">
      <w:pPr>
        <w:spacing w:line="400" w:lineRule="exact"/>
        <w:ind w:firstLine="359" w:firstLineChars="171"/>
        <w:rPr>
          <w:rFonts w:hint="eastAsia"/>
          <w:highlight w:val="none"/>
        </w:rPr>
      </w:pPr>
      <w:r>
        <w:rPr>
          <w:rFonts w:hint="eastAsia"/>
          <w:highlight w:val="none"/>
        </w:rPr>
        <w:t>（9）其他合同文件。</w:t>
      </w:r>
    </w:p>
    <w:p w14:paraId="6C2B3369">
      <w:pPr>
        <w:pStyle w:val="45"/>
        <w:rPr>
          <w:rFonts w:hint="eastAsia"/>
          <w:highlight w:val="none"/>
        </w:rPr>
      </w:pPr>
      <w:bookmarkStart w:id="359" w:name="_Toc152042394"/>
      <w:bookmarkStart w:id="360" w:name="_Toc152045616"/>
      <w:bookmarkStart w:id="361" w:name="_Toc16832"/>
      <w:bookmarkStart w:id="362" w:name="_Toc144974584"/>
      <w:r>
        <w:rPr>
          <w:rFonts w:hint="eastAsia"/>
          <w:highlight w:val="none"/>
        </w:rPr>
        <w:t>1.5 合同协议书</w:t>
      </w:r>
      <w:bookmarkEnd w:id="359"/>
      <w:bookmarkEnd w:id="360"/>
      <w:bookmarkEnd w:id="361"/>
      <w:bookmarkEnd w:id="362"/>
    </w:p>
    <w:p w14:paraId="25E24B78">
      <w:pPr>
        <w:spacing w:line="400" w:lineRule="exact"/>
        <w:ind w:firstLine="420" w:firstLineChars="200"/>
        <w:rPr>
          <w:rFonts w:hint="eastAsia"/>
          <w:highlight w:val="none"/>
        </w:rPr>
      </w:pPr>
      <w:r>
        <w:rPr>
          <w:rFonts w:hint="eastAsia"/>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7642D814">
      <w:pPr>
        <w:pStyle w:val="45"/>
        <w:rPr>
          <w:rFonts w:hint="eastAsia"/>
          <w:highlight w:val="none"/>
        </w:rPr>
      </w:pPr>
      <w:bookmarkStart w:id="363" w:name="_Toc24262"/>
      <w:bookmarkStart w:id="364" w:name="_Toc152042395"/>
      <w:bookmarkStart w:id="365" w:name="_Toc152045617"/>
      <w:bookmarkStart w:id="366" w:name="_Toc144974585"/>
      <w:r>
        <w:rPr>
          <w:rFonts w:hint="eastAsia"/>
          <w:highlight w:val="none"/>
        </w:rPr>
        <w:t>1.6 图纸和承包人文件</w:t>
      </w:r>
      <w:bookmarkEnd w:id="363"/>
      <w:bookmarkEnd w:id="364"/>
      <w:bookmarkEnd w:id="365"/>
      <w:bookmarkEnd w:id="366"/>
    </w:p>
    <w:p w14:paraId="27E19234">
      <w:pPr>
        <w:spacing w:line="400" w:lineRule="exact"/>
        <w:ind w:firstLine="420" w:firstLineChars="200"/>
        <w:rPr>
          <w:rFonts w:hint="eastAsia"/>
          <w:highlight w:val="none"/>
        </w:rPr>
      </w:pPr>
      <w:r>
        <w:rPr>
          <w:rFonts w:hint="eastAsia"/>
          <w:highlight w:val="none"/>
        </w:rPr>
        <w:t>1.6.1</w:t>
      </w:r>
      <w:r>
        <w:rPr>
          <w:rFonts w:hint="eastAsia" w:ascii="黑体" w:eastAsia="黑体"/>
          <w:highlight w:val="none"/>
        </w:rPr>
        <w:t>图纸的提供</w:t>
      </w:r>
    </w:p>
    <w:p w14:paraId="37DEBD99">
      <w:pPr>
        <w:spacing w:line="400" w:lineRule="exact"/>
        <w:ind w:firstLine="420" w:firstLineChars="200"/>
        <w:rPr>
          <w:rFonts w:hint="eastAsia"/>
          <w:highlight w:val="none"/>
        </w:rPr>
      </w:pPr>
      <w:r>
        <w:rPr>
          <w:rFonts w:hint="eastAsia"/>
          <w:highlight w:val="none"/>
        </w:rPr>
        <w:t>除专用合同条款另有约定外，图纸应在合理的期限内按照合同约定的数量提供给承包人。由于发包人未按时提供图纸造成工期延误的，按第11.3款的约定办理。</w:t>
      </w:r>
    </w:p>
    <w:p w14:paraId="7374F68A">
      <w:pPr>
        <w:spacing w:line="400" w:lineRule="exact"/>
        <w:ind w:firstLine="420" w:firstLineChars="200"/>
        <w:rPr>
          <w:rFonts w:hint="eastAsia"/>
          <w:highlight w:val="none"/>
        </w:rPr>
      </w:pPr>
      <w:r>
        <w:rPr>
          <w:rFonts w:hint="eastAsia"/>
          <w:highlight w:val="none"/>
        </w:rPr>
        <w:t xml:space="preserve">1.6.2 </w:t>
      </w:r>
      <w:r>
        <w:rPr>
          <w:rFonts w:hint="eastAsia" w:ascii="黑体" w:eastAsia="黑体"/>
          <w:highlight w:val="none"/>
        </w:rPr>
        <w:t>承包人提供的文件</w:t>
      </w:r>
    </w:p>
    <w:p w14:paraId="553F34F6">
      <w:pPr>
        <w:spacing w:line="400" w:lineRule="exact"/>
        <w:rPr>
          <w:rFonts w:hint="eastAsia"/>
          <w:highlight w:val="none"/>
        </w:rPr>
      </w:pPr>
      <w:r>
        <w:rPr>
          <w:rFonts w:hint="eastAsia"/>
          <w:highlight w:val="none"/>
        </w:rPr>
        <w:t>　　按专用合同条款约定由承包人提供的文件，包括部分工程的大样图、加工图等，承包人应按约定的数量和期限报送监理人。监理人应在专用合同条款约定的期限内批复。</w:t>
      </w:r>
    </w:p>
    <w:p w14:paraId="163BD5C3">
      <w:pPr>
        <w:spacing w:line="400" w:lineRule="exact"/>
        <w:ind w:firstLine="420" w:firstLineChars="200"/>
        <w:rPr>
          <w:rFonts w:hint="eastAsia"/>
          <w:highlight w:val="none"/>
        </w:rPr>
      </w:pPr>
      <w:r>
        <w:rPr>
          <w:rFonts w:hint="eastAsia"/>
          <w:highlight w:val="none"/>
        </w:rPr>
        <w:t xml:space="preserve">1.6.3 </w:t>
      </w:r>
      <w:r>
        <w:rPr>
          <w:rFonts w:hint="eastAsia" w:ascii="黑体" w:eastAsia="黑体"/>
          <w:highlight w:val="none"/>
        </w:rPr>
        <w:t>图纸的修改</w:t>
      </w:r>
    </w:p>
    <w:p w14:paraId="457777E2">
      <w:pPr>
        <w:spacing w:line="400" w:lineRule="exact"/>
        <w:ind w:firstLine="420" w:firstLineChars="200"/>
        <w:rPr>
          <w:rFonts w:hint="eastAsia"/>
          <w:highlight w:val="none"/>
        </w:rPr>
      </w:pPr>
      <w:r>
        <w:rPr>
          <w:rFonts w:hint="eastAsia"/>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7A0F6B54">
      <w:pPr>
        <w:spacing w:line="400" w:lineRule="exact"/>
        <w:ind w:firstLine="420" w:firstLineChars="200"/>
        <w:rPr>
          <w:rFonts w:hint="eastAsia"/>
          <w:highlight w:val="none"/>
        </w:rPr>
      </w:pPr>
      <w:r>
        <w:rPr>
          <w:rFonts w:hint="eastAsia"/>
          <w:highlight w:val="none"/>
        </w:rPr>
        <w:t xml:space="preserve">1.6.4 </w:t>
      </w:r>
      <w:r>
        <w:rPr>
          <w:rFonts w:hint="eastAsia" w:ascii="黑体" w:eastAsia="黑体"/>
          <w:highlight w:val="none"/>
        </w:rPr>
        <w:t>图纸的错误</w:t>
      </w:r>
    </w:p>
    <w:p w14:paraId="0D17A778">
      <w:pPr>
        <w:spacing w:line="400" w:lineRule="exact"/>
        <w:ind w:firstLine="420" w:firstLineChars="200"/>
        <w:rPr>
          <w:rFonts w:hint="eastAsia"/>
          <w:highlight w:val="none"/>
        </w:rPr>
      </w:pPr>
      <w:r>
        <w:rPr>
          <w:rFonts w:hint="eastAsia"/>
          <w:highlight w:val="none"/>
        </w:rPr>
        <w:t>承包人发现发包人提供的图纸存在明显错误或疏忽，应及时通知监理人。</w:t>
      </w:r>
    </w:p>
    <w:p w14:paraId="53F5ABCA">
      <w:pPr>
        <w:spacing w:line="400" w:lineRule="exact"/>
        <w:ind w:firstLine="420" w:firstLineChars="200"/>
        <w:rPr>
          <w:rFonts w:hint="eastAsia"/>
          <w:highlight w:val="none"/>
        </w:rPr>
      </w:pPr>
      <w:r>
        <w:rPr>
          <w:rFonts w:hint="eastAsia"/>
          <w:highlight w:val="none"/>
        </w:rPr>
        <w:t xml:space="preserve">1.6.5 </w:t>
      </w:r>
      <w:r>
        <w:rPr>
          <w:rFonts w:hint="eastAsia" w:ascii="黑体" w:eastAsia="黑体"/>
          <w:highlight w:val="none"/>
        </w:rPr>
        <w:t>图纸和承包人文件的保管</w:t>
      </w:r>
    </w:p>
    <w:p w14:paraId="473B5144">
      <w:pPr>
        <w:spacing w:line="400" w:lineRule="exact"/>
        <w:ind w:firstLine="420" w:firstLineChars="200"/>
        <w:rPr>
          <w:rFonts w:hint="eastAsia"/>
          <w:highlight w:val="none"/>
        </w:rPr>
      </w:pPr>
      <w:r>
        <w:rPr>
          <w:rFonts w:hint="eastAsia"/>
          <w:highlight w:val="none"/>
        </w:rPr>
        <w:t>监理人和承包人均应在施工场地各保存一套完整的包含第1.6.1项、第1.6.2项、第1.6.3项约定内容的图纸和承包人文件。</w:t>
      </w:r>
    </w:p>
    <w:p w14:paraId="3BD33FD3">
      <w:pPr>
        <w:pStyle w:val="45"/>
        <w:rPr>
          <w:rFonts w:hint="eastAsia"/>
          <w:highlight w:val="none"/>
        </w:rPr>
      </w:pPr>
      <w:bookmarkStart w:id="367" w:name="_Toc144974586"/>
      <w:bookmarkStart w:id="368" w:name="_Toc13859"/>
      <w:bookmarkStart w:id="369" w:name="_Toc152045618"/>
      <w:bookmarkStart w:id="370" w:name="_Toc152042396"/>
      <w:r>
        <w:rPr>
          <w:rFonts w:hint="eastAsia"/>
          <w:highlight w:val="none"/>
        </w:rPr>
        <w:t>1.7 联络</w:t>
      </w:r>
      <w:bookmarkEnd w:id="367"/>
      <w:bookmarkEnd w:id="368"/>
      <w:bookmarkEnd w:id="369"/>
      <w:bookmarkEnd w:id="370"/>
    </w:p>
    <w:p w14:paraId="2A5AF942">
      <w:pPr>
        <w:spacing w:line="400" w:lineRule="exact"/>
        <w:ind w:firstLine="420" w:firstLineChars="200"/>
        <w:rPr>
          <w:rFonts w:hint="eastAsia"/>
          <w:highlight w:val="none"/>
        </w:rPr>
      </w:pPr>
      <w:r>
        <w:rPr>
          <w:rFonts w:hint="eastAsia"/>
          <w:highlight w:val="none"/>
        </w:rPr>
        <w:t>1.7.1 与合同有关的通知、批准、证明、证书、指示、要求、请求、同意、意见、确定和决定等，均应采用书面形式。</w:t>
      </w:r>
    </w:p>
    <w:p w14:paraId="2E06B06C">
      <w:pPr>
        <w:spacing w:line="400" w:lineRule="exact"/>
        <w:ind w:firstLine="420" w:firstLineChars="200"/>
        <w:rPr>
          <w:rFonts w:hint="eastAsia"/>
          <w:highlight w:val="none"/>
        </w:rPr>
      </w:pPr>
      <w:r>
        <w:rPr>
          <w:rFonts w:hint="eastAsia"/>
          <w:highlight w:val="none"/>
        </w:rPr>
        <w:t>1.7.2 第1.7.1项中的通知、批准、证明、证书、指示、要求、请求、同意、意见、确定和决定等来往函件，均应在合同约定的期限内送达指定地点和接收人，并办理签收手续。</w:t>
      </w:r>
    </w:p>
    <w:p w14:paraId="32B816FD">
      <w:pPr>
        <w:pStyle w:val="45"/>
        <w:rPr>
          <w:rFonts w:hint="eastAsia"/>
          <w:highlight w:val="none"/>
        </w:rPr>
      </w:pPr>
      <w:bookmarkStart w:id="371" w:name="_Toc4339"/>
      <w:bookmarkStart w:id="372" w:name="_Toc144974587"/>
      <w:bookmarkStart w:id="373" w:name="_Toc152045619"/>
      <w:bookmarkStart w:id="374" w:name="_Toc152042397"/>
      <w:r>
        <w:rPr>
          <w:rFonts w:hint="eastAsia"/>
          <w:highlight w:val="none"/>
        </w:rPr>
        <w:t>1.8 转让</w:t>
      </w:r>
      <w:bookmarkEnd w:id="371"/>
      <w:bookmarkEnd w:id="372"/>
      <w:bookmarkEnd w:id="373"/>
      <w:bookmarkEnd w:id="374"/>
    </w:p>
    <w:p w14:paraId="2CFFB279">
      <w:pPr>
        <w:spacing w:line="400" w:lineRule="exact"/>
        <w:ind w:firstLine="420" w:firstLineChars="200"/>
        <w:rPr>
          <w:rFonts w:hint="eastAsia"/>
          <w:highlight w:val="none"/>
        </w:rPr>
      </w:pPr>
      <w:r>
        <w:rPr>
          <w:rFonts w:hint="eastAsia"/>
          <w:highlight w:val="none"/>
        </w:rPr>
        <w:t>除合同另有约定外，未经对方当事人同意，一方当事人不得将合同权利全部或部分转让给第三人，也不得全部或部分转移合同义务。</w:t>
      </w:r>
    </w:p>
    <w:p w14:paraId="356F058B">
      <w:pPr>
        <w:pStyle w:val="45"/>
        <w:rPr>
          <w:rFonts w:hint="eastAsia"/>
          <w:highlight w:val="none"/>
        </w:rPr>
      </w:pPr>
      <w:bookmarkStart w:id="375" w:name="_Toc22844"/>
      <w:bookmarkStart w:id="376" w:name="_Toc152042398"/>
      <w:bookmarkStart w:id="377" w:name="_Toc144974588"/>
      <w:bookmarkStart w:id="378" w:name="_Toc152045620"/>
      <w:r>
        <w:rPr>
          <w:rFonts w:hint="eastAsia"/>
          <w:highlight w:val="none"/>
        </w:rPr>
        <w:t>1.9 严禁贿赂</w:t>
      </w:r>
      <w:bookmarkEnd w:id="375"/>
      <w:bookmarkEnd w:id="376"/>
      <w:bookmarkEnd w:id="377"/>
      <w:bookmarkEnd w:id="378"/>
    </w:p>
    <w:p w14:paraId="1BEA9ADB">
      <w:pPr>
        <w:spacing w:line="400" w:lineRule="exact"/>
        <w:ind w:firstLine="420" w:firstLineChars="200"/>
        <w:rPr>
          <w:rFonts w:hint="eastAsia"/>
          <w:highlight w:val="none"/>
        </w:rPr>
      </w:pPr>
      <w:r>
        <w:rPr>
          <w:rFonts w:hint="eastAsia"/>
          <w:highlight w:val="none"/>
        </w:rPr>
        <w:t>合同双方当事人不得以贿赂或变相贿赂的方式，谋取不当利益或损害对方权益。因贿赂造成对方损失的，行为人应赔偿损失，并承担相应的法律责任。</w:t>
      </w:r>
    </w:p>
    <w:p w14:paraId="3F048EC4">
      <w:pPr>
        <w:pStyle w:val="45"/>
        <w:rPr>
          <w:rFonts w:hint="eastAsia"/>
          <w:highlight w:val="none"/>
        </w:rPr>
      </w:pPr>
      <w:bookmarkStart w:id="379" w:name="_Toc17386"/>
      <w:bookmarkStart w:id="380" w:name="_Toc152042399"/>
      <w:bookmarkStart w:id="381" w:name="_Toc152045621"/>
      <w:bookmarkStart w:id="382" w:name="_Toc144974589"/>
      <w:r>
        <w:rPr>
          <w:rFonts w:hint="eastAsia"/>
          <w:highlight w:val="none"/>
        </w:rPr>
        <w:t>1.10 化石、文物</w:t>
      </w:r>
      <w:bookmarkEnd w:id="379"/>
      <w:bookmarkEnd w:id="380"/>
      <w:bookmarkEnd w:id="381"/>
      <w:bookmarkEnd w:id="382"/>
    </w:p>
    <w:p w14:paraId="2CFB52A9">
      <w:pPr>
        <w:spacing w:line="400" w:lineRule="exact"/>
        <w:ind w:firstLine="420" w:firstLineChars="200"/>
        <w:rPr>
          <w:rFonts w:hint="eastAsia"/>
          <w:highlight w:val="none"/>
        </w:rPr>
      </w:pPr>
      <w:r>
        <w:rPr>
          <w:rFonts w:hint="eastAsia"/>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7DE2B4">
      <w:pPr>
        <w:spacing w:line="400" w:lineRule="exact"/>
        <w:ind w:firstLine="420" w:firstLineChars="200"/>
        <w:rPr>
          <w:rFonts w:hint="eastAsia"/>
          <w:highlight w:val="none"/>
        </w:rPr>
      </w:pPr>
      <w:r>
        <w:rPr>
          <w:rFonts w:hint="eastAsia"/>
          <w:highlight w:val="none"/>
        </w:rPr>
        <w:t>1.10.2 承包人发现文物后不及时报告或隐瞒不报，致使文物丢失或损坏的，应赔偿损失，并承担相应的法律责任。</w:t>
      </w:r>
    </w:p>
    <w:p w14:paraId="7FF3A102">
      <w:pPr>
        <w:pStyle w:val="45"/>
        <w:rPr>
          <w:rFonts w:hint="eastAsia"/>
          <w:highlight w:val="none"/>
        </w:rPr>
      </w:pPr>
      <w:bookmarkStart w:id="383" w:name="_Toc144974590"/>
      <w:bookmarkStart w:id="384" w:name="_Toc4148"/>
      <w:bookmarkStart w:id="385" w:name="_Toc152045622"/>
      <w:bookmarkStart w:id="386" w:name="_Toc152042400"/>
      <w:r>
        <w:rPr>
          <w:rFonts w:hint="eastAsia"/>
          <w:highlight w:val="none"/>
        </w:rPr>
        <w:t>1.11 专利技术</w:t>
      </w:r>
      <w:bookmarkEnd w:id="383"/>
      <w:bookmarkEnd w:id="384"/>
      <w:bookmarkEnd w:id="385"/>
      <w:bookmarkEnd w:id="386"/>
    </w:p>
    <w:p w14:paraId="72FAE561">
      <w:pPr>
        <w:spacing w:line="400" w:lineRule="exact"/>
        <w:ind w:firstLine="420" w:firstLineChars="200"/>
        <w:rPr>
          <w:rFonts w:hint="eastAsia"/>
          <w:highlight w:val="none"/>
        </w:rPr>
      </w:pPr>
      <w:r>
        <w:rPr>
          <w:rFonts w:hint="eastAsia"/>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0049CA1C">
      <w:pPr>
        <w:spacing w:line="400" w:lineRule="exact"/>
        <w:ind w:firstLine="420" w:firstLineChars="200"/>
        <w:rPr>
          <w:rFonts w:hint="eastAsia"/>
          <w:highlight w:val="none"/>
        </w:rPr>
      </w:pPr>
      <w:r>
        <w:rPr>
          <w:rFonts w:hint="eastAsia"/>
          <w:highlight w:val="none"/>
        </w:rPr>
        <w:t>1.11.2 承包人在投标文件中采用专利技术的，专利技术的使用费包含在投标报价内。</w:t>
      </w:r>
    </w:p>
    <w:p w14:paraId="039AE229">
      <w:pPr>
        <w:spacing w:line="400" w:lineRule="exact"/>
        <w:ind w:firstLine="420" w:firstLineChars="200"/>
        <w:rPr>
          <w:rFonts w:hint="eastAsia"/>
          <w:highlight w:val="none"/>
        </w:rPr>
      </w:pPr>
      <w:r>
        <w:rPr>
          <w:rFonts w:hint="eastAsia"/>
          <w:highlight w:val="none"/>
        </w:rPr>
        <w:t>1.11.3 承包人的技术秘密和声明需要保密的资料和信息，发包人和监理人不得为合同以外的目的泄露给他人。</w:t>
      </w:r>
    </w:p>
    <w:p w14:paraId="0EBDE1E5">
      <w:pPr>
        <w:pStyle w:val="45"/>
        <w:rPr>
          <w:rFonts w:hint="eastAsia"/>
          <w:highlight w:val="none"/>
        </w:rPr>
      </w:pPr>
      <w:bookmarkStart w:id="387" w:name="_Toc152045623"/>
      <w:bookmarkStart w:id="388" w:name="_Toc152042401"/>
      <w:bookmarkStart w:id="389" w:name="_Toc16773"/>
      <w:bookmarkStart w:id="390" w:name="_Toc144974591"/>
      <w:r>
        <w:rPr>
          <w:rFonts w:hint="eastAsia"/>
          <w:highlight w:val="none"/>
        </w:rPr>
        <w:t>1.12 图纸和文件的保密</w:t>
      </w:r>
      <w:bookmarkEnd w:id="387"/>
      <w:bookmarkEnd w:id="388"/>
      <w:bookmarkEnd w:id="389"/>
      <w:bookmarkEnd w:id="390"/>
    </w:p>
    <w:p w14:paraId="58C7B4A8">
      <w:pPr>
        <w:spacing w:line="400" w:lineRule="exact"/>
        <w:ind w:firstLine="420" w:firstLineChars="200"/>
        <w:rPr>
          <w:rFonts w:hint="eastAsia"/>
          <w:highlight w:val="none"/>
        </w:rPr>
      </w:pPr>
      <w:r>
        <w:rPr>
          <w:rFonts w:hint="eastAsia"/>
          <w:highlight w:val="none"/>
        </w:rPr>
        <w:t>1.12.1 发包人提供的图纸和文件，未经发包人同意，承包人不得为合同以外的目的泄露给他人或公开发表与引用。</w:t>
      </w:r>
    </w:p>
    <w:p w14:paraId="44DA59BC">
      <w:pPr>
        <w:spacing w:line="400" w:lineRule="exact"/>
        <w:ind w:firstLine="420" w:firstLineChars="200"/>
        <w:rPr>
          <w:rFonts w:hint="eastAsia"/>
          <w:highlight w:val="none"/>
        </w:rPr>
      </w:pPr>
      <w:r>
        <w:rPr>
          <w:rFonts w:hint="eastAsia"/>
          <w:highlight w:val="none"/>
        </w:rPr>
        <w:t>1.12.2 承包人提供的文件，未经承包人同意，发包人和监理人不得为合同以外的目的泄露给他人或公开发表与引用。</w:t>
      </w:r>
    </w:p>
    <w:p w14:paraId="17F3E9A4">
      <w:pPr>
        <w:pStyle w:val="46"/>
        <w:rPr>
          <w:rFonts w:hint="eastAsia"/>
          <w:highlight w:val="none"/>
        </w:rPr>
      </w:pPr>
      <w:bookmarkStart w:id="391" w:name="_Toc31089"/>
      <w:bookmarkStart w:id="392" w:name="_Toc144974592"/>
      <w:bookmarkStart w:id="393" w:name="_Toc152045624"/>
      <w:bookmarkStart w:id="394" w:name="_Toc152042402"/>
      <w:r>
        <w:rPr>
          <w:rFonts w:hint="eastAsia"/>
          <w:highlight w:val="none"/>
        </w:rPr>
        <w:t>2. 发包人义务</w:t>
      </w:r>
      <w:bookmarkEnd w:id="391"/>
      <w:bookmarkEnd w:id="392"/>
      <w:bookmarkEnd w:id="393"/>
      <w:bookmarkEnd w:id="394"/>
    </w:p>
    <w:p w14:paraId="7DF345EB">
      <w:pPr>
        <w:pStyle w:val="45"/>
        <w:rPr>
          <w:rFonts w:hint="eastAsia"/>
          <w:highlight w:val="none"/>
        </w:rPr>
      </w:pPr>
      <w:bookmarkStart w:id="395" w:name="_Toc152045625"/>
      <w:bookmarkStart w:id="396" w:name="_Toc144974593"/>
      <w:bookmarkStart w:id="397" w:name="_Toc152042403"/>
      <w:bookmarkStart w:id="398" w:name="_Toc710"/>
      <w:r>
        <w:rPr>
          <w:rFonts w:hint="eastAsia"/>
          <w:highlight w:val="none"/>
        </w:rPr>
        <w:t>2.1 遵守法律</w:t>
      </w:r>
      <w:bookmarkEnd w:id="395"/>
      <w:bookmarkEnd w:id="396"/>
      <w:bookmarkEnd w:id="397"/>
      <w:bookmarkEnd w:id="398"/>
    </w:p>
    <w:p w14:paraId="55C0BA63">
      <w:pPr>
        <w:spacing w:line="400" w:lineRule="exact"/>
        <w:ind w:firstLine="420" w:firstLineChars="200"/>
        <w:rPr>
          <w:rFonts w:hint="eastAsia"/>
          <w:highlight w:val="none"/>
        </w:rPr>
      </w:pPr>
      <w:r>
        <w:rPr>
          <w:rFonts w:hint="eastAsia"/>
          <w:highlight w:val="none"/>
        </w:rPr>
        <w:t>发包人在履行合同过程中应遵守法律，并保证承包人免于承担因发包人违反法律而引起的任何责任。</w:t>
      </w:r>
    </w:p>
    <w:p w14:paraId="4FD97960">
      <w:pPr>
        <w:pStyle w:val="45"/>
        <w:rPr>
          <w:rFonts w:hint="eastAsia"/>
          <w:highlight w:val="none"/>
        </w:rPr>
      </w:pPr>
      <w:bookmarkStart w:id="399" w:name="_Toc152042404"/>
      <w:bookmarkStart w:id="400" w:name="_Toc21871"/>
      <w:bookmarkStart w:id="401" w:name="_Toc144974594"/>
      <w:bookmarkStart w:id="402" w:name="_Toc152045626"/>
      <w:r>
        <w:rPr>
          <w:rFonts w:hint="eastAsia"/>
          <w:highlight w:val="none"/>
        </w:rPr>
        <w:t>2.2 发出开工通知</w:t>
      </w:r>
      <w:bookmarkEnd w:id="399"/>
      <w:bookmarkEnd w:id="400"/>
      <w:bookmarkEnd w:id="401"/>
      <w:bookmarkEnd w:id="402"/>
    </w:p>
    <w:p w14:paraId="5DFDED55">
      <w:pPr>
        <w:spacing w:line="400" w:lineRule="exact"/>
        <w:ind w:firstLine="420" w:firstLineChars="200"/>
        <w:rPr>
          <w:rFonts w:hint="eastAsia"/>
          <w:highlight w:val="none"/>
        </w:rPr>
      </w:pPr>
      <w:r>
        <w:rPr>
          <w:rFonts w:hint="eastAsia"/>
          <w:highlight w:val="none"/>
        </w:rPr>
        <w:t>发包人应委托监理人按第11.1款的约定向承包人发出开工通知。</w:t>
      </w:r>
    </w:p>
    <w:p w14:paraId="5C728175">
      <w:pPr>
        <w:pStyle w:val="45"/>
        <w:rPr>
          <w:rFonts w:hint="eastAsia"/>
          <w:highlight w:val="none"/>
        </w:rPr>
      </w:pPr>
      <w:bookmarkStart w:id="403" w:name="_Toc152042405"/>
      <w:bookmarkStart w:id="404" w:name="_Toc144974595"/>
      <w:bookmarkStart w:id="405" w:name="_Toc19368"/>
      <w:bookmarkStart w:id="406" w:name="_Toc152045627"/>
      <w:r>
        <w:rPr>
          <w:rFonts w:hint="eastAsia"/>
          <w:highlight w:val="none"/>
        </w:rPr>
        <w:t>2.3 提供施工场地</w:t>
      </w:r>
      <w:bookmarkEnd w:id="403"/>
      <w:bookmarkEnd w:id="404"/>
      <w:bookmarkEnd w:id="405"/>
      <w:bookmarkEnd w:id="406"/>
    </w:p>
    <w:p w14:paraId="48F78E2E">
      <w:pPr>
        <w:spacing w:line="400" w:lineRule="exact"/>
        <w:ind w:firstLine="420" w:firstLineChars="200"/>
        <w:rPr>
          <w:rFonts w:hint="eastAsia"/>
          <w:highlight w:val="none"/>
        </w:rPr>
      </w:pPr>
      <w:r>
        <w:rPr>
          <w:rFonts w:hint="eastAsia"/>
          <w:highlight w:val="none"/>
        </w:rPr>
        <w:t>发包人应按专用合同条款约定向承包人提供施工场地，以及施工场地内地下管线和地下设施等有关资料，并保证资料的真实、准确、完整。</w:t>
      </w:r>
    </w:p>
    <w:p w14:paraId="739DD621">
      <w:pPr>
        <w:pStyle w:val="45"/>
        <w:rPr>
          <w:rFonts w:hint="eastAsia"/>
          <w:highlight w:val="none"/>
        </w:rPr>
      </w:pPr>
      <w:bookmarkStart w:id="407" w:name="_Toc12236"/>
      <w:bookmarkStart w:id="408" w:name="_Toc152045628"/>
      <w:bookmarkStart w:id="409" w:name="_Toc144974596"/>
      <w:bookmarkStart w:id="410" w:name="_Toc152042406"/>
      <w:r>
        <w:rPr>
          <w:rFonts w:hint="eastAsia"/>
          <w:highlight w:val="none"/>
        </w:rPr>
        <w:t>2.4 协助承包人办理证件和批件</w:t>
      </w:r>
      <w:bookmarkEnd w:id="407"/>
      <w:bookmarkEnd w:id="408"/>
      <w:bookmarkEnd w:id="409"/>
      <w:bookmarkEnd w:id="410"/>
    </w:p>
    <w:p w14:paraId="5B9BFCA7">
      <w:pPr>
        <w:spacing w:line="400" w:lineRule="exact"/>
        <w:ind w:firstLine="420" w:firstLineChars="200"/>
        <w:rPr>
          <w:rFonts w:hint="eastAsia"/>
          <w:highlight w:val="none"/>
        </w:rPr>
      </w:pPr>
      <w:r>
        <w:rPr>
          <w:rFonts w:hint="eastAsia"/>
          <w:highlight w:val="none"/>
        </w:rPr>
        <w:t>发包人应协助承包人办理法律规定的有关施工证件和批件。</w:t>
      </w:r>
    </w:p>
    <w:p w14:paraId="6325D93A">
      <w:pPr>
        <w:pStyle w:val="45"/>
        <w:rPr>
          <w:rFonts w:hint="eastAsia"/>
          <w:highlight w:val="none"/>
        </w:rPr>
      </w:pPr>
      <w:bookmarkStart w:id="411" w:name="_Toc15012"/>
      <w:bookmarkStart w:id="412" w:name="_Toc152045629"/>
      <w:bookmarkStart w:id="413" w:name="_Toc144974597"/>
      <w:bookmarkStart w:id="414" w:name="_Toc152042407"/>
      <w:r>
        <w:rPr>
          <w:rFonts w:hint="eastAsia"/>
          <w:highlight w:val="none"/>
        </w:rPr>
        <w:t>2.5 组织设计交底</w:t>
      </w:r>
      <w:bookmarkEnd w:id="411"/>
      <w:bookmarkEnd w:id="412"/>
      <w:bookmarkEnd w:id="413"/>
      <w:bookmarkEnd w:id="414"/>
    </w:p>
    <w:p w14:paraId="55661D48">
      <w:pPr>
        <w:spacing w:line="400" w:lineRule="exact"/>
        <w:ind w:firstLine="420" w:firstLineChars="200"/>
        <w:rPr>
          <w:rFonts w:hint="eastAsia"/>
          <w:highlight w:val="none"/>
        </w:rPr>
      </w:pPr>
      <w:r>
        <w:rPr>
          <w:rFonts w:hint="eastAsia"/>
          <w:highlight w:val="none"/>
        </w:rPr>
        <w:t>发包人应根据合同进度计划，组织设计单位向承包人进行设计交底。</w:t>
      </w:r>
    </w:p>
    <w:p w14:paraId="624E1391">
      <w:pPr>
        <w:pStyle w:val="45"/>
        <w:rPr>
          <w:rFonts w:hint="eastAsia"/>
          <w:highlight w:val="none"/>
        </w:rPr>
      </w:pPr>
      <w:bookmarkStart w:id="415" w:name="_Toc152042408"/>
      <w:bookmarkStart w:id="416" w:name="_Toc144974598"/>
      <w:bookmarkStart w:id="417" w:name="_Toc4421"/>
      <w:bookmarkStart w:id="418" w:name="_Toc152045630"/>
      <w:r>
        <w:rPr>
          <w:rFonts w:hint="eastAsia"/>
          <w:highlight w:val="none"/>
        </w:rPr>
        <w:t>2.6 支付合同价款</w:t>
      </w:r>
      <w:bookmarkEnd w:id="415"/>
      <w:bookmarkEnd w:id="416"/>
      <w:bookmarkEnd w:id="417"/>
      <w:bookmarkEnd w:id="418"/>
    </w:p>
    <w:p w14:paraId="7F7893C4">
      <w:pPr>
        <w:spacing w:line="400" w:lineRule="exact"/>
        <w:ind w:firstLine="420" w:firstLineChars="200"/>
        <w:rPr>
          <w:rFonts w:hint="eastAsia"/>
          <w:highlight w:val="none"/>
        </w:rPr>
      </w:pPr>
      <w:r>
        <w:rPr>
          <w:rFonts w:hint="eastAsia"/>
          <w:highlight w:val="none"/>
        </w:rPr>
        <w:t>发包人应按合同约定向承包人及时支付合同价款。</w:t>
      </w:r>
    </w:p>
    <w:p w14:paraId="2B98435F">
      <w:pPr>
        <w:pStyle w:val="45"/>
        <w:rPr>
          <w:rFonts w:hint="eastAsia"/>
          <w:highlight w:val="none"/>
        </w:rPr>
      </w:pPr>
      <w:bookmarkStart w:id="419" w:name="_Toc152042409"/>
      <w:bookmarkStart w:id="420" w:name="_Toc152045631"/>
      <w:bookmarkStart w:id="421" w:name="_Toc144974599"/>
      <w:bookmarkStart w:id="422" w:name="_Toc4375"/>
      <w:r>
        <w:rPr>
          <w:rFonts w:hint="eastAsia"/>
          <w:highlight w:val="none"/>
        </w:rPr>
        <w:t>2.7 组织竣工验收</w:t>
      </w:r>
      <w:bookmarkEnd w:id="419"/>
      <w:bookmarkEnd w:id="420"/>
      <w:bookmarkEnd w:id="421"/>
      <w:bookmarkEnd w:id="422"/>
    </w:p>
    <w:p w14:paraId="0A729AB6">
      <w:pPr>
        <w:spacing w:line="400" w:lineRule="exact"/>
        <w:ind w:firstLine="420" w:firstLineChars="200"/>
        <w:rPr>
          <w:rFonts w:hint="eastAsia"/>
          <w:highlight w:val="none"/>
        </w:rPr>
      </w:pPr>
      <w:r>
        <w:rPr>
          <w:rFonts w:hint="eastAsia"/>
          <w:highlight w:val="none"/>
        </w:rPr>
        <w:t>发包人应按合同约定及时组织竣工验收。</w:t>
      </w:r>
    </w:p>
    <w:p w14:paraId="3140B64E">
      <w:pPr>
        <w:pStyle w:val="45"/>
        <w:rPr>
          <w:rFonts w:hint="eastAsia"/>
          <w:highlight w:val="none"/>
        </w:rPr>
      </w:pPr>
      <w:bookmarkStart w:id="423" w:name="_Toc2798"/>
      <w:bookmarkStart w:id="424" w:name="_Toc152045632"/>
      <w:bookmarkStart w:id="425" w:name="_Toc152042410"/>
      <w:bookmarkStart w:id="426" w:name="_Toc144974600"/>
      <w:r>
        <w:rPr>
          <w:rFonts w:hint="eastAsia"/>
          <w:highlight w:val="none"/>
        </w:rPr>
        <w:t>2.8 其他义务</w:t>
      </w:r>
      <w:bookmarkEnd w:id="423"/>
      <w:bookmarkEnd w:id="424"/>
      <w:bookmarkEnd w:id="425"/>
      <w:bookmarkEnd w:id="426"/>
    </w:p>
    <w:p w14:paraId="7970E0A8">
      <w:pPr>
        <w:spacing w:line="400" w:lineRule="exact"/>
        <w:ind w:firstLine="420" w:firstLineChars="200"/>
        <w:rPr>
          <w:rFonts w:hint="eastAsia"/>
          <w:highlight w:val="none"/>
        </w:rPr>
      </w:pPr>
      <w:r>
        <w:rPr>
          <w:rFonts w:hint="eastAsia"/>
          <w:highlight w:val="none"/>
        </w:rPr>
        <w:t>发包人应履行合同约定的其他义务。</w:t>
      </w:r>
    </w:p>
    <w:p w14:paraId="0D1FBBD1">
      <w:pPr>
        <w:pStyle w:val="46"/>
        <w:rPr>
          <w:rFonts w:hint="eastAsia"/>
          <w:highlight w:val="none"/>
        </w:rPr>
      </w:pPr>
      <w:bookmarkStart w:id="427" w:name="_Toc152042411"/>
      <w:bookmarkStart w:id="428" w:name="_Toc152045633"/>
      <w:bookmarkStart w:id="429" w:name="_Toc25652"/>
      <w:bookmarkStart w:id="430" w:name="_Toc144974601"/>
      <w:r>
        <w:rPr>
          <w:rFonts w:hint="eastAsia"/>
          <w:highlight w:val="none"/>
        </w:rPr>
        <w:t>3. 监理人</w:t>
      </w:r>
      <w:bookmarkEnd w:id="427"/>
      <w:bookmarkEnd w:id="428"/>
      <w:bookmarkEnd w:id="429"/>
      <w:bookmarkEnd w:id="430"/>
    </w:p>
    <w:p w14:paraId="7861BB4D">
      <w:pPr>
        <w:pStyle w:val="45"/>
        <w:rPr>
          <w:rFonts w:hint="eastAsia"/>
          <w:highlight w:val="none"/>
        </w:rPr>
      </w:pPr>
      <w:bookmarkStart w:id="431" w:name="_Toc152042412"/>
      <w:bookmarkStart w:id="432" w:name="_Toc11253"/>
      <w:bookmarkStart w:id="433" w:name="_Toc144974602"/>
      <w:bookmarkStart w:id="434" w:name="_Toc152045634"/>
      <w:r>
        <w:rPr>
          <w:rFonts w:hint="eastAsia"/>
          <w:highlight w:val="none"/>
        </w:rPr>
        <w:t>3.1 监理人的职责和权力</w:t>
      </w:r>
      <w:bookmarkEnd w:id="431"/>
      <w:bookmarkEnd w:id="432"/>
      <w:bookmarkEnd w:id="433"/>
      <w:bookmarkEnd w:id="434"/>
    </w:p>
    <w:p w14:paraId="6D800CD0">
      <w:pPr>
        <w:spacing w:line="400" w:lineRule="exact"/>
        <w:ind w:firstLine="420" w:firstLineChars="200"/>
        <w:rPr>
          <w:rFonts w:hint="eastAsia"/>
          <w:highlight w:val="none"/>
        </w:rPr>
      </w:pPr>
      <w:r>
        <w:rPr>
          <w:rFonts w:hint="eastAsia"/>
          <w:highlight w:val="none"/>
        </w:rPr>
        <w:t>3.1.1 监理人受发包人委托，享有合同约定的权力。监理人在行使某项权力前需要经发包人事先批准而通用合同条款没有指明的，应在专用合同条款中指明。</w:t>
      </w:r>
    </w:p>
    <w:p w14:paraId="5F7379DA">
      <w:pPr>
        <w:spacing w:line="400" w:lineRule="exact"/>
        <w:ind w:firstLine="420" w:firstLineChars="200"/>
        <w:rPr>
          <w:rFonts w:hint="eastAsia"/>
          <w:highlight w:val="none"/>
        </w:rPr>
      </w:pPr>
      <w:r>
        <w:rPr>
          <w:rFonts w:hint="eastAsia"/>
          <w:highlight w:val="none"/>
        </w:rPr>
        <w:t>3.1.2 监理人发出的任何指示应视为已得到发包人的批准，但监理人无权免除或变更合同约定的发包人和承包人的权利、义务和责任。</w:t>
      </w:r>
    </w:p>
    <w:p w14:paraId="5F5D40A8">
      <w:pPr>
        <w:spacing w:line="400" w:lineRule="exact"/>
        <w:ind w:firstLine="420" w:firstLineChars="200"/>
        <w:rPr>
          <w:rFonts w:hint="eastAsia"/>
          <w:highlight w:val="none"/>
        </w:rPr>
      </w:pPr>
      <w:r>
        <w:rPr>
          <w:rFonts w:hint="eastAsia"/>
          <w:highlight w:val="none"/>
        </w:rPr>
        <w:t>3.1.3 合同约定应由承包人承担的义务和责任，不因监理人对承包人提交文件的审查或批准，对工程、材料和设备的检查和检验，以及为实施监理作出的指示等职务行为而减轻或解除。</w:t>
      </w:r>
    </w:p>
    <w:p w14:paraId="0A10941F">
      <w:pPr>
        <w:pStyle w:val="45"/>
        <w:rPr>
          <w:rFonts w:hint="eastAsia"/>
          <w:highlight w:val="none"/>
        </w:rPr>
      </w:pPr>
      <w:bookmarkStart w:id="435" w:name="_Toc152042413"/>
      <w:bookmarkStart w:id="436" w:name="_Toc152045635"/>
      <w:bookmarkStart w:id="437" w:name="_Toc144974603"/>
      <w:bookmarkStart w:id="438" w:name="_Toc8741"/>
      <w:r>
        <w:rPr>
          <w:rFonts w:hint="eastAsia"/>
          <w:highlight w:val="none"/>
        </w:rPr>
        <w:t>3.2 总监理工程师</w:t>
      </w:r>
      <w:bookmarkEnd w:id="435"/>
      <w:bookmarkEnd w:id="436"/>
      <w:bookmarkEnd w:id="437"/>
      <w:bookmarkEnd w:id="438"/>
    </w:p>
    <w:p w14:paraId="4DD10EC1">
      <w:pPr>
        <w:spacing w:line="400" w:lineRule="exact"/>
        <w:ind w:firstLine="420" w:firstLineChars="200"/>
        <w:rPr>
          <w:rFonts w:hint="eastAsia"/>
          <w:highlight w:val="none"/>
        </w:rPr>
      </w:pPr>
      <w:r>
        <w:rPr>
          <w:rFonts w:hint="eastAsia"/>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067AAA8A">
      <w:pPr>
        <w:pStyle w:val="45"/>
        <w:rPr>
          <w:rFonts w:hint="eastAsia"/>
          <w:highlight w:val="none"/>
        </w:rPr>
      </w:pPr>
      <w:bookmarkStart w:id="439" w:name="_Toc16045"/>
      <w:bookmarkStart w:id="440" w:name="_Toc144974604"/>
      <w:bookmarkStart w:id="441" w:name="_Toc152042414"/>
      <w:bookmarkStart w:id="442" w:name="_Toc152045636"/>
      <w:r>
        <w:rPr>
          <w:rFonts w:hint="eastAsia"/>
          <w:highlight w:val="none"/>
        </w:rPr>
        <w:t>3.3 监理人员</w:t>
      </w:r>
      <w:bookmarkEnd w:id="439"/>
      <w:bookmarkEnd w:id="440"/>
      <w:bookmarkEnd w:id="441"/>
      <w:bookmarkEnd w:id="442"/>
    </w:p>
    <w:p w14:paraId="5012E35E">
      <w:pPr>
        <w:spacing w:line="400" w:lineRule="exact"/>
        <w:ind w:firstLine="420" w:firstLineChars="200"/>
        <w:rPr>
          <w:rFonts w:hint="eastAsia"/>
          <w:highlight w:val="none"/>
        </w:rPr>
      </w:pPr>
      <w:r>
        <w:rPr>
          <w:rFonts w:hint="eastAsia"/>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95F4E22">
      <w:pPr>
        <w:spacing w:line="400" w:lineRule="exact"/>
        <w:ind w:firstLine="420" w:firstLineChars="200"/>
        <w:rPr>
          <w:rFonts w:hint="eastAsia"/>
          <w:highlight w:val="none"/>
        </w:rPr>
      </w:pPr>
      <w:r>
        <w:rPr>
          <w:rFonts w:hint="eastAsia"/>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1E2D0B08">
      <w:pPr>
        <w:spacing w:line="400" w:lineRule="exact"/>
        <w:ind w:firstLine="420" w:firstLineChars="200"/>
        <w:rPr>
          <w:rFonts w:hint="eastAsia"/>
          <w:highlight w:val="none"/>
        </w:rPr>
      </w:pPr>
      <w:r>
        <w:rPr>
          <w:rFonts w:hint="eastAsia"/>
          <w:highlight w:val="none"/>
        </w:rPr>
        <w:t>3.3.3 承包人对总监理工程师授权的监理人员发出的指示有疑问的，可向总监理工程师提出书面异议，总监理工程师应在48小时内对该指示予以确认、更改或撤销。</w:t>
      </w:r>
    </w:p>
    <w:p w14:paraId="056D9D3B">
      <w:pPr>
        <w:spacing w:line="400" w:lineRule="exact"/>
        <w:ind w:firstLine="420" w:firstLineChars="200"/>
        <w:rPr>
          <w:rFonts w:hint="eastAsia"/>
          <w:highlight w:val="none"/>
        </w:rPr>
      </w:pPr>
      <w:r>
        <w:rPr>
          <w:rFonts w:hint="eastAsia"/>
          <w:highlight w:val="none"/>
        </w:rPr>
        <w:t>3.3.4 除专用合同条款另有约定外，总监理工程师不应将第3.5款约定应由总监理工程师作出确定的权力授权或委托给其他监理人员。</w:t>
      </w:r>
    </w:p>
    <w:p w14:paraId="474235CF">
      <w:pPr>
        <w:pStyle w:val="45"/>
        <w:rPr>
          <w:rFonts w:hint="eastAsia"/>
          <w:highlight w:val="none"/>
        </w:rPr>
      </w:pPr>
      <w:bookmarkStart w:id="443" w:name="_Toc30081"/>
      <w:bookmarkStart w:id="444" w:name="_Toc144974605"/>
      <w:bookmarkStart w:id="445" w:name="_Toc152045637"/>
      <w:bookmarkStart w:id="446" w:name="_Toc152042415"/>
      <w:r>
        <w:rPr>
          <w:rFonts w:hint="eastAsia"/>
          <w:highlight w:val="none"/>
        </w:rPr>
        <w:t>3.4 监理人的指示</w:t>
      </w:r>
      <w:bookmarkEnd w:id="443"/>
      <w:bookmarkEnd w:id="444"/>
      <w:bookmarkEnd w:id="445"/>
      <w:bookmarkEnd w:id="446"/>
    </w:p>
    <w:p w14:paraId="662024EF">
      <w:pPr>
        <w:spacing w:line="400" w:lineRule="exact"/>
        <w:ind w:firstLine="420" w:firstLineChars="200"/>
        <w:rPr>
          <w:rFonts w:hint="eastAsia"/>
          <w:highlight w:val="none"/>
        </w:rPr>
      </w:pPr>
      <w:r>
        <w:rPr>
          <w:rFonts w:hint="eastAsia"/>
          <w:highlight w:val="none"/>
        </w:rPr>
        <w:t>3.4.1 监理人应按第3.1款的约定向承包人发出指示，监理人的指示应盖有监理人授权的施工场地机构章，并由总监理工程师或总监理工程师按第3.3.1项约定授权的监理人员签字。</w:t>
      </w:r>
    </w:p>
    <w:p w14:paraId="6E2ED851">
      <w:pPr>
        <w:spacing w:line="400" w:lineRule="exact"/>
        <w:ind w:firstLine="420" w:firstLineChars="200"/>
        <w:rPr>
          <w:rFonts w:hint="eastAsia"/>
          <w:highlight w:val="none"/>
        </w:rPr>
      </w:pPr>
      <w:r>
        <w:rPr>
          <w:rFonts w:hint="eastAsia"/>
          <w:highlight w:val="none"/>
        </w:rPr>
        <w:t>3.4.2 承包人收到监理人按第3.4.1项作出的指示后应遵照执行。指示构成变更的，应按第15条处理。</w:t>
      </w:r>
    </w:p>
    <w:p w14:paraId="01B7BB95">
      <w:pPr>
        <w:spacing w:line="400" w:lineRule="exact"/>
        <w:ind w:firstLine="420" w:firstLineChars="200"/>
        <w:rPr>
          <w:rFonts w:hint="eastAsia"/>
          <w:highlight w:val="none"/>
        </w:rPr>
      </w:pPr>
      <w:r>
        <w:rPr>
          <w:rFonts w:hint="eastAsia"/>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13965578">
      <w:pPr>
        <w:spacing w:line="400" w:lineRule="exact"/>
        <w:ind w:firstLine="420" w:firstLineChars="200"/>
        <w:rPr>
          <w:rFonts w:hint="eastAsia"/>
          <w:highlight w:val="none"/>
        </w:rPr>
      </w:pPr>
      <w:r>
        <w:rPr>
          <w:rFonts w:hint="eastAsia"/>
          <w:highlight w:val="none"/>
        </w:rPr>
        <w:t>3.4.4 除合同另有约定外，承包人只从总监理工程师或按第3.3.1项被授权的监理人员处取得指示。</w:t>
      </w:r>
    </w:p>
    <w:p w14:paraId="11EE2707">
      <w:pPr>
        <w:spacing w:line="400" w:lineRule="exact"/>
        <w:ind w:firstLine="420" w:firstLineChars="200"/>
        <w:rPr>
          <w:rFonts w:hint="eastAsia"/>
          <w:highlight w:val="none"/>
        </w:rPr>
      </w:pPr>
      <w:r>
        <w:rPr>
          <w:rFonts w:hint="eastAsia"/>
          <w:highlight w:val="none"/>
        </w:rPr>
        <w:t xml:space="preserve">3.4.5 由于监理人未能按合同约定发出指示、指示延误或指示错误而导致承包人费用增加和（或）工期延误的，由发包人承担赔偿责任。 </w:t>
      </w:r>
    </w:p>
    <w:p w14:paraId="100D540E">
      <w:pPr>
        <w:pStyle w:val="45"/>
        <w:rPr>
          <w:rFonts w:hint="eastAsia"/>
          <w:highlight w:val="none"/>
        </w:rPr>
      </w:pPr>
      <w:bookmarkStart w:id="447" w:name="_Toc152045638"/>
      <w:bookmarkStart w:id="448" w:name="_Toc152042416"/>
      <w:bookmarkStart w:id="449" w:name="_Toc144974606"/>
      <w:bookmarkStart w:id="450" w:name="_Toc20144"/>
      <w:r>
        <w:rPr>
          <w:rFonts w:hint="eastAsia"/>
          <w:highlight w:val="none"/>
        </w:rPr>
        <w:t>3.5 商定或确定</w:t>
      </w:r>
      <w:bookmarkEnd w:id="447"/>
      <w:bookmarkEnd w:id="448"/>
      <w:bookmarkEnd w:id="449"/>
      <w:bookmarkEnd w:id="450"/>
    </w:p>
    <w:p w14:paraId="521F6425">
      <w:pPr>
        <w:spacing w:line="400" w:lineRule="exact"/>
        <w:ind w:firstLine="420" w:firstLineChars="200"/>
        <w:rPr>
          <w:rFonts w:hint="eastAsia"/>
          <w:highlight w:val="none"/>
        </w:rPr>
      </w:pPr>
      <w:r>
        <w:rPr>
          <w:rFonts w:hint="eastAsia"/>
          <w:highlight w:val="none"/>
        </w:rPr>
        <w:t>3.5.1合同约定总监理工程师应按照本款对任何事项进行商定或确定时，总监理工程师应与合同当事人协商，尽量达成一致。不能达成一致的，总监理工程师应认真研究后审慎确定。</w:t>
      </w:r>
    </w:p>
    <w:p w14:paraId="42D8BE54">
      <w:pPr>
        <w:spacing w:line="400" w:lineRule="exact"/>
        <w:ind w:firstLine="420" w:firstLineChars="200"/>
        <w:rPr>
          <w:rFonts w:hint="eastAsia"/>
          <w:highlight w:val="none"/>
        </w:rPr>
      </w:pPr>
      <w:r>
        <w:rPr>
          <w:rFonts w:hint="eastAsia"/>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3D6CC3D5">
      <w:pPr>
        <w:pStyle w:val="46"/>
        <w:rPr>
          <w:rFonts w:hint="eastAsia"/>
          <w:highlight w:val="none"/>
        </w:rPr>
      </w:pPr>
      <w:bookmarkStart w:id="451" w:name="_Toc152042417"/>
      <w:bookmarkStart w:id="452" w:name="_Toc144974607"/>
      <w:bookmarkStart w:id="453" w:name="_Toc152045639"/>
      <w:bookmarkStart w:id="454" w:name="_Toc8528"/>
      <w:r>
        <w:rPr>
          <w:rFonts w:hint="eastAsia"/>
          <w:highlight w:val="none"/>
        </w:rPr>
        <w:t>4. 承包人</w:t>
      </w:r>
      <w:bookmarkEnd w:id="451"/>
      <w:bookmarkEnd w:id="452"/>
      <w:bookmarkEnd w:id="453"/>
      <w:bookmarkEnd w:id="454"/>
    </w:p>
    <w:p w14:paraId="20F46DB7">
      <w:pPr>
        <w:pStyle w:val="45"/>
        <w:rPr>
          <w:rFonts w:hint="eastAsia"/>
          <w:highlight w:val="none"/>
        </w:rPr>
      </w:pPr>
      <w:bookmarkStart w:id="455" w:name="_Toc144974608"/>
      <w:bookmarkStart w:id="456" w:name="_Toc18779"/>
      <w:bookmarkStart w:id="457" w:name="_Toc152042418"/>
      <w:bookmarkStart w:id="458" w:name="_Toc152045640"/>
      <w:r>
        <w:rPr>
          <w:rFonts w:hint="eastAsia"/>
          <w:highlight w:val="none"/>
        </w:rPr>
        <w:t>4.1 承包人的一般义务</w:t>
      </w:r>
      <w:bookmarkEnd w:id="455"/>
      <w:bookmarkEnd w:id="456"/>
      <w:bookmarkEnd w:id="457"/>
      <w:bookmarkEnd w:id="458"/>
    </w:p>
    <w:p w14:paraId="303A7992">
      <w:pPr>
        <w:spacing w:line="400" w:lineRule="exact"/>
        <w:ind w:firstLine="420" w:firstLineChars="200"/>
        <w:rPr>
          <w:rFonts w:hint="eastAsia"/>
          <w:highlight w:val="none"/>
        </w:rPr>
      </w:pPr>
      <w:r>
        <w:rPr>
          <w:rFonts w:hint="eastAsia"/>
          <w:highlight w:val="none"/>
        </w:rPr>
        <w:t xml:space="preserve">4.1.1 </w:t>
      </w:r>
      <w:r>
        <w:rPr>
          <w:rFonts w:hint="eastAsia" w:ascii="黑体" w:eastAsia="黑体"/>
          <w:highlight w:val="none"/>
        </w:rPr>
        <w:t>遵守法律</w:t>
      </w:r>
    </w:p>
    <w:p w14:paraId="5FF123E8">
      <w:pPr>
        <w:spacing w:line="400" w:lineRule="exact"/>
        <w:ind w:firstLine="420" w:firstLineChars="200"/>
        <w:rPr>
          <w:rFonts w:hint="eastAsia"/>
          <w:highlight w:val="none"/>
        </w:rPr>
      </w:pPr>
      <w:r>
        <w:rPr>
          <w:rFonts w:hint="eastAsia"/>
          <w:highlight w:val="none"/>
        </w:rPr>
        <w:t>承包人在履行合同过程中应遵守法律，并保证发包人免于承担因承包人违反法律而引起的任何责任。</w:t>
      </w:r>
    </w:p>
    <w:p w14:paraId="4B89749D">
      <w:pPr>
        <w:spacing w:line="400" w:lineRule="exact"/>
        <w:ind w:firstLine="420" w:firstLineChars="200"/>
        <w:rPr>
          <w:rFonts w:hint="eastAsia"/>
          <w:highlight w:val="none"/>
        </w:rPr>
      </w:pPr>
      <w:r>
        <w:rPr>
          <w:rFonts w:hint="eastAsia"/>
          <w:highlight w:val="none"/>
        </w:rPr>
        <w:t xml:space="preserve">4.1.2 </w:t>
      </w:r>
      <w:r>
        <w:rPr>
          <w:rFonts w:hint="eastAsia" w:ascii="黑体" w:eastAsia="黑体"/>
          <w:highlight w:val="none"/>
        </w:rPr>
        <w:t>依法纳税</w:t>
      </w:r>
    </w:p>
    <w:p w14:paraId="7DC032A8">
      <w:pPr>
        <w:spacing w:line="400" w:lineRule="exact"/>
        <w:ind w:firstLine="420" w:firstLineChars="200"/>
        <w:rPr>
          <w:rFonts w:hint="eastAsia"/>
          <w:highlight w:val="none"/>
        </w:rPr>
      </w:pPr>
      <w:r>
        <w:rPr>
          <w:rFonts w:hint="eastAsia"/>
          <w:highlight w:val="none"/>
        </w:rPr>
        <w:t>承包人应按有关法律规定纳税，应缴纳的税金包括在合同价格内。</w:t>
      </w:r>
    </w:p>
    <w:p w14:paraId="5B2A19D7">
      <w:pPr>
        <w:spacing w:line="400" w:lineRule="exact"/>
        <w:ind w:firstLine="420" w:firstLineChars="200"/>
        <w:rPr>
          <w:rFonts w:hint="eastAsia"/>
          <w:highlight w:val="none"/>
        </w:rPr>
      </w:pPr>
      <w:r>
        <w:rPr>
          <w:rFonts w:hint="eastAsia"/>
          <w:highlight w:val="none"/>
        </w:rPr>
        <w:t xml:space="preserve">4.1.3 </w:t>
      </w:r>
      <w:r>
        <w:rPr>
          <w:rFonts w:hint="eastAsia" w:ascii="黑体" w:eastAsia="黑体"/>
          <w:highlight w:val="none"/>
        </w:rPr>
        <w:t>完成各项承包工作</w:t>
      </w:r>
    </w:p>
    <w:p w14:paraId="26D3FFD1">
      <w:pPr>
        <w:spacing w:line="400" w:lineRule="exact"/>
        <w:ind w:firstLine="420" w:firstLineChars="200"/>
        <w:rPr>
          <w:rFonts w:hint="eastAsia"/>
          <w:highlight w:val="none"/>
        </w:rPr>
      </w:pPr>
      <w:r>
        <w:rPr>
          <w:rFonts w:hint="eastAsia"/>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7338D91A">
      <w:pPr>
        <w:spacing w:line="400" w:lineRule="exact"/>
        <w:ind w:firstLine="420" w:firstLineChars="200"/>
        <w:rPr>
          <w:rFonts w:hint="eastAsia"/>
          <w:highlight w:val="none"/>
        </w:rPr>
      </w:pPr>
      <w:r>
        <w:rPr>
          <w:rFonts w:hint="eastAsia"/>
          <w:highlight w:val="none"/>
        </w:rPr>
        <w:t xml:space="preserve">4.1.4 </w:t>
      </w:r>
      <w:r>
        <w:rPr>
          <w:rFonts w:hint="eastAsia" w:ascii="黑体" w:eastAsia="黑体"/>
          <w:highlight w:val="none"/>
        </w:rPr>
        <w:t>对施工作业和施工方法的完备性负责</w:t>
      </w:r>
    </w:p>
    <w:p w14:paraId="55B978E2">
      <w:pPr>
        <w:spacing w:line="400" w:lineRule="exact"/>
        <w:ind w:firstLine="420" w:firstLineChars="200"/>
        <w:rPr>
          <w:rFonts w:hint="eastAsia"/>
          <w:highlight w:val="none"/>
        </w:rPr>
      </w:pPr>
      <w:r>
        <w:rPr>
          <w:rFonts w:hint="eastAsia"/>
          <w:highlight w:val="none"/>
        </w:rPr>
        <w:t>承包人应按合同约定的工作内容和施工进度要求，编制施工组织设计和施工措施计划，并对所有施工作业和施工方法的完备性和安全可靠性负责。</w:t>
      </w:r>
    </w:p>
    <w:p w14:paraId="0D477995">
      <w:pPr>
        <w:spacing w:line="400" w:lineRule="exact"/>
        <w:ind w:firstLine="420" w:firstLineChars="200"/>
        <w:rPr>
          <w:rFonts w:hint="eastAsia"/>
          <w:highlight w:val="none"/>
        </w:rPr>
      </w:pPr>
      <w:r>
        <w:rPr>
          <w:rFonts w:hint="eastAsia"/>
          <w:highlight w:val="none"/>
        </w:rPr>
        <w:t xml:space="preserve">4.1.5 </w:t>
      </w:r>
      <w:r>
        <w:rPr>
          <w:rFonts w:hint="eastAsia" w:ascii="黑体" w:eastAsia="黑体"/>
          <w:highlight w:val="none"/>
        </w:rPr>
        <w:t>保证工程施工和人员的安全</w:t>
      </w:r>
    </w:p>
    <w:p w14:paraId="1FFC5FE1">
      <w:pPr>
        <w:spacing w:line="400" w:lineRule="exact"/>
        <w:ind w:firstLine="420" w:firstLineChars="200"/>
        <w:rPr>
          <w:rFonts w:hint="eastAsia"/>
          <w:highlight w:val="none"/>
        </w:rPr>
      </w:pPr>
      <w:r>
        <w:rPr>
          <w:rFonts w:hint="eastAsia"/>
          <w:highlight w:val="none"/>
        </w:rPr>
        <w:t>承包人应按第9.2款约定采取施工安全措施，确保工程及其人员、材料、设备和设施的安全，防止因工程施工造成的人身伤害和财产损失。</w:t>
      </w:r>
    </w:p>
    <w:p w14:paraId="27EB08EF">
      <w:pPr>
        <w:spacing w:line="400" w:lineRule="exact"/>
        <w:ind w:firstLine="420" w:firstLineChars="200"/>
        <w:rPr>
          <w:rFonts w:hint="eastAsia"/>
          <w:highlight w:val="none"/>
        </w:rPr>
      </w:pPr>
      <w:r>
        <w:rPr>
          <w:rFonts w:hint="eastAsia"/>
          <w:highlight w:val="none"/>
        </w:rPr>
        <w:t xml:space="preserve">4.1.6 </w:t>
      </w:r>
      <w:r>
        <w:rPr>
          <w:rFonts w:hint="eastAsia" w:ascii="黑体" w:eastAsia="黑体"/>
          <w:highlight w:val="none"/>
        </w:rPr>
        <w:t>负责施工场地及其周边环境与生态的保护工作</w:t>
      </w:r>
    </w:p>
    <w:p w14:paraId="10B9D9F4">
      <w:pPr>
        <w:spacing w:line="400" w:lineRule="exact"/>
        <w:ind w:firstLine="420" w:firstLineChars="200"/>
        <w:rPr>
          <w:rFonts w:hint="eastAsia"/>
          <w:highlight w:val="none"/>
        </w:rPr>
      </w:pPr>
      <w:r>
        <w:rPr>
          <w:rFonts w:hint="eastAsia"/>
          <w:highlight w:val="none"/>
        </w:rPr>
        <w:t>承包人应按照第9.4款约定负责施工场地及其周边环境与生态的保护工作。</w:t>
      </w:r>
    </w:p>
    <w:p w14:paraId="08CE4AFD">
      <w:pPr>
        <w:spacing w:line="400" w:lineRule="exact"/>
        <w:ind w:firstLine="420" w:firstLineChars="200"/>
        <w:rPr>
          <w:rFonts w:hint="eastAsia"/>
          <w:highlight w:val="none"/>
        </w:rPr>
      </w:pPr>
      <w:r>
        <w:rPr>
          <w:rFonts w:hint="eastAsia"/>
          <w:highlight w:val="none"/>
        </w:rPr>
        <w:t xml:space="preserve">4.1.7 </w:t>
      </w:r>
      <w:r>
        <w:rPr>
          <w:rFonts w:hint="eastAsia" w:ascii="黑体" w:eastAsia="黑体"/>
          <w:highlight w:val="none"/>
        </w:rPr>
        <w:t>避免施工对公众与他人的利益造成损害</w:t>
      </w:r>
    </w:p>
    <w:p w14:paraId="32B75C5E">
      <w:pPr>
        <w:spacing w:line="400" w:lineRule="exact"/>
        <w:ind w:firstLine="420" w:firstLineChars="200"/>
        <w:rPr>
          <w:rFonts w:hint="eastAsia"/>
          <w:highlight w:val="none"/>
        </w:rPr>
      </w:pPr>
      <w:r>
        <w:rPr>
          <w:rFonts w:hint="eastAsia"/>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C030AAD">
      <w:pPr>
        <w:spacing w:line="400" w:lineRule="exact"/>
        <w:ind w:firstLine="420" w:firstLineChars="200"/>
        <w:rPr>
          <w:rFonts w:hint="eastAsia"/>
          <w:highlight w:val="none"/>
        </w:rPr>
      </w:pPr>
      <w:r>
        <w:rPr>
          <w:rFonts w:hint="eastAsia"/>
          <w:highlight w:val="none"/>
        </w:rPr>
        <w:t xml:space="preserve">4.1.8 </w:t>
      </w:r>
      <w:r>
        <w:rPr>
          <w:rFonts w:hint="eastAsia" w:ascii="黑体" w:eastAsia="黑体"/>
          <w:highlight w:val="none"/>
        </w:rPr>
        <w:t>为他人提供方便</w:t>
      </w:r>
    </w:p>
    <w:p w14:paraId="1F4C0AD7">
      <w:pPr>
        <w:spacing w:line="400" w:lineRule="exact"/>
        <w:ind w:firstLine="420" w:firstLineChars="200"/>
        <w:rPr>
          <w:rFonts w:hint="eastAsia"/>
          <w:highlight w:val="none"/>
        </w:rPr>
      </w:pPr>
      <w:r>
        <w:rPr>
          <w:rFonts w:hint="eastAsia"/>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3693A61B">
      <w:pPr>
        <w:spacing w:line="400" w:lineRule="exact"/>
        <w:ind w:firstLine="420" w:firstLineChars="200"/>
        <w:rPr>
          <w:rFonts w:hint="eastAsia"/>
          <w:highlight w:val="none"/>
        </w:rPr>
      </w:pPr>
      <w:r>
        <w:rPr>
          <w:rFonts w:hint="eastAsia"/>
          <w:highlight w:val="none"/>
        </w:rPr>
        <w:t xml:space="preserve">4.1.9 </w:t>
      </w:r>
      <w:r>
        <w:rPr>
          <w:rFonts w:hint="eastAsia" w:ascii="黑体" w:eastAsia="黑体"/>
          <w:highlight w:val="none"/>
        </w:rPr>
        <w:t>工程的维护和照管</w:t>
      </w:r>
    </w:p>
    <w:p w14:paraId="154581F1">
      <w:pPr>
        <w:spacing w:line="400" w:lineRule="exact"/>
        <w:ind w:firstLine="420" w:firstLineChars="200"/>
        <w:rPr>
          <w:rFonts w:hint="eastAsia"/>
          <w:highlight w:val="none"/>
        </w:rPr>
      </w:pPr>
      <w:r>
        <w:rPr>
          <w:rFonts w:hint="eastAsia"/>
          <w:highlight w:val="none"/>
        </w:rPr>
        <w:t>工程接收证书颁发前，承包人应负责照管和维护工程。工程接收证书颁发时尚有部分未竣工工程的，承包人还应负责该未竣工工程的照管和维护工作，直至竣工后移交给发包人为止。</w:t>
      </w:r>
    </w:p>
    <w:p w14:paraId="144E4EAB">
      <w:pPr>
        <w:spacing w:line="400" w:lineRule="exact"/>
        <w:ind w:firstLine="420" w:firstLineChars="200"/>
        <w:rPr>
          <w:rFonts w:hint="eastAsia"/>
          <w:highlight w:val="none"/>
        </w:rPr>
      </w:pPr>
      <w:r>
        <w:rPr>
          <w:rFonts w:hint="eastAsia"/>
          <w:highlight w:val="none"/>
        </w:rPr>
        <w:t xml:space="preserve">4.1.10 </w:t>
      </w:r>
      <w:r>
        <w:rPr>
          <w:rFonts w:hint="eastAsia" w:ascii="黑体" w:eastAsia="黑体"/>
          <w:highlight w:val="none"/>
        </w:rPr>
        <w:t>其他义务</w:t>
      </w:r>
    </w:p>
    <w:p w14:paraId="5502FC12">
      <w:pPr>
        <w:spacing w:line="400" w:lineRule="exact"/>
        <w:ind w:firstLine="420" w:firstLineChars="200"/>
        <w:rPr>
          <w:rFonts w:hint="eastAsia"/>
          <w:highlight w:val="none"/>
        </w:rPr>
      </w:pPr>
      <w:r>
        <w:rPr>
          <w:rFonts w:hint="eastAsia"/>
          <w:highlight w:val="none"/>
        </w:rPr>
        <w:t>承包人应履行合同约定的其他义务。</w:t>
      </w:r>
    </w:p>
    <w:p w14:paraId="510E2A8C">
      <w:pPr>
        <w:pStyle w:val="45"/>
        <w:rPr>
          <w:rFonts w:hint="eastAsia"/>
          <w:highlight w:val="none"/>
        </w:rPr>
      </w:pPr>
      <w:bookmarkStart w:id="459" w:name="_Toc548"/>
      <w:bookmarkStart w:id="460" w:name="_Toc152042419"/>
      <w:bookmarkStart w:id="461" w:name="_Toc144974609"/>
      <w:bookmarkStart w:id="462" w:name="_Toc152045641"/>
      <w:r>
        <w:rPr>
          <w:rFonts w:hint="eastAsia"/>
          <w:highlight w:val="none"/>
        </w:rPr>
        <w:t>4.2 履约担保</w:t>
      </w:r>
      <w:bookmarkEnd w:id="459"/>
      <w:bookmarkEnd w:id="460"/>
      <w:bookmarkEnd w:id="461"/>
      <w:bookmarkEnd w:id="462"/>
    </w:p>
    <w:p w14:paraId="6265CFFE">
      <w:pPr>
        <w:spacing w:line="400" w:lineRule="exact"/>
        <w:ind w:firstLine="420" w:firstLineChars="200"/>
        <w:rPr>
          <w:rFonts w:hint="eastAsia"/>
          <w:highlight w:val="none"/>
        </w:rPr>
      </w:pPr>
      <w:r>
        <w:rPr>
          <w:rFonts w:hint="eastAsia"/>
          <w:highlight w:val="none"/>
        </w:rPr>
        <w:t>承包人应保证其履约担保在发包人颁发工程接收证书前一直有效。发包人应在工程接收证书颁发后28天内把履约担保退还给承包人。</w:t>
      </w:r>
    </w:p>
    <w:p w14:paraId="142D130E">
      <w:pPr>
        <w:pStyle w:val="45"/>
        <w:rPr>
          <w:rFonts w:hint="eastAsia"/>
          <w:highlight w:val="none"/>
        </w:rPr>
      </w:pPr>
      <w:bookmarkStart w:id="463" w:name="_Toc21242"/>
      <w:bookmarkStart w:id="464" w:name="_Toc152042420"/>
      <w:bookmarkStart w:id="465" w:name="_Toc152045642"/>
      <w:bookmarkStart w:id="466" w:name="_Toc144974610"/>
      <w:r>
        <w:rPr>
          <w:rFonts w:hint="eastAsia"/>
          <w:highlight w:val="none"/>
        </w:rPr>
        <w:t>4.3 分包</w:t>
      </w:r>
      <w:bookmarkEnd w:id="463"/>
      <w:bookmarkEnd w:id="464"/>
      <w:bookmarkEnd w:id="465"/>
      <w:bookmarkEnd w:id="466"/>
    </w:p>
    <w:p w14:paraId="03FA4FCF">
      <w:pPr>
        <w:spacing w:line="400" w:lineRule="exact"/>
        <w:ind w:firstLine="420" w:firstLineChars="200"/>
        <w:rPr>
          <w:rFonts w:hint="eastAsia"/>
          <w:highlight w:val="none"/>
        </w:rPr>
      </w:pPr>
      <w:r>
        <w:rPr>
          <w:rFonts w:hint="eastAsia"/>
          <w:highlight w:val="none"/>
        </w:rPr>
        <w:t>4.3.1 承包人不得将其承包的全部工程转包给第三人，或将其承包的全部工程肢解后以分包的名义转包给第三人。</w:t>
      </w:r>
    </w:p>
    <w:p w14:paraId="24720E6B">
      <w:pPr>
        <w:spacing w:line="400" w:lineRule="exact"/>
        <w:ind w:firstLine="420" w:firstLineChars="200"/>
        <w:rPr>
          <w:rFonts w:hint="eastAsia"/>
          <w:highlight w:val="none"/>
        </w:rPr>
      </w:pPr>
      <w:r>
        <w:rPr>
          <w:rFonts w:hint="eastAsia"/>
          <w:highlight w:val="none"/>
        </w:rPr>
        <w:t>4.3.2 承包人不得将工程主体、关键性工作分包给第三人。除专用合同条款另有约定外，未经发包人同意，承包人不得将工程的其他部分或工作分包给第三人。</w:t>
      </w:r>
    </w:p>
    <w:p w14:paraId="2C41F8A7">
      <w:pPr>
        <w:spacing w:line="400" w:lineRule="exact"/>
        <w:ind w:firstLine="420" w:firstLineChars="200"/>
        <w:rPr>
          <w:rFonts w:hint="eastAsia"/>
          <w:highlight w:val="none"/>
        </w:rPr>
      </w:pPr>
      <w:r>
        <w:rPr>
          <w:rFonts w:hint="eastAsia"/>
          <w:highlight w:val="none"/>
        </w:rPr>
        <w:t>4.3.3 分包人的资格能力应与其分包工程的标准和规模相适应。</w:t>
      </w:r>
    </w:p>
    <w:p w14:paraId="2CDD8E96">
      <w:pPr>
        <w:spacing w:line="400" w:lineRule="exact"/>
        <w:ind w:firstLine="420" w:firstLineChars="200"/>
        <w:rPr>
          <w:rFonts w:hint="eastAsia"/>
          <w:highlight w:val="none"/>
        </w:rPr>
      </w:pPr>
      <w:r>
        <w:rPr>
          <w:rFonts w:hint="eastAsia"/>
          <w:highlight w:val="none"/>
        </w:rPr>
        <w:t>4.3.4 按投标函附录约定分包工程的，承包人应向发包人和监理人提交分包合同副本。</w:t>
      </w:r>
    </w:p>
    <w:p w14:paraId="3D817FFF">
      <w:pPr>
        <w:spacing w:line="400" w:lineRule="exact"/>
        <w:ind w:firstLine="420" w:firstLineChars="200"/>
        <w:rPr>
          <w:rFonts w:hint="eastAsia"/>
          <w:highlight w:val="none"/>
        </w:rPr>
      </w:pPr>
      <w:r>
        <w:rPr>
          <w:rFonts w:hint="eastAsia"/>
          <w:highlight w:val="none"/>
        </w:rPr>
        <w:t>4.3.5 承包人应与分包人就分包工程向发包人承担连带责任。</w:t>
      </w:r>
    </w:p>
    <w:p w14:paraId="2EC97EBB">
      <w:pPr>
        <w:pStyle w:val="45"/>
        <w:rPr>
          <w:rFonts w:hint="eastAsia"/>
          <w:highlight w:val="none"/>
        </w:rPr>
      </w:pPr>
      <w:bookmarkStart w:id="467" w:name="_Toc152042421"/>
      <w:bookmarkStart w:id="468" w:name="_Toc144974611"/>
      <w:bookmarkStart w:id="469" w:name="_Toc152045643"/>
      <w:bookmarkStart w:id="470" w:name="_Toc1304"/>
      <w:r>
        <w:rPr>
          <w:rFonts w:hint="eastAsia"/>
          <w:highlight w:val="none"/>
        </w:rPr>
        <w:t>4.4 联合体</w:t>
      </w:r>
      <w:bookmarkEnd w:id="467"/>
      <w:bookmarkEnd w:id="468"/>
      <w:bookmarkEnd w:id="469"/>
      <w:bookmarkEnd w:id="470"/>
    </w:p>
    <w:p w14:paraId="748E4D7A">
      <w:pPr>
        <w:spacing w:line="400" w:lineRule="exact"/>
        <w:ind w:firstLine="420" w:firstLineChars="200"/>
        <w:rPr>
          <w:rFonts w:hint="eastAsia"/>
          <w:highlight w:val="none"/>
        </w:rPr>
      </w:pPr>
      <w:r>
        <w:rPr>
          <w:rFonts w:hint="eastAsia"/>
          <w:highlight w:val="none"/>
        </w:rPr>
        <w:t>4.4.1 联合体各方应共同与发包人签订合同协议书。联合体各方应为履行合同承担连带责任。</w:t>
      </w:r>
    </w:p>
    <w:p w14:paraId="47D2DCBB">
      <w:pPr>
        <w:spacing w:line="400" w:lineRule="exact"/>
        <w:ind w:firstLine="420" w:firstLineChars="200"/>
        <w:rPr>
          <w:rFonts w:hint="eastAsia"/>
          <w:highlight w:val="none"/>
        </w:rPr>
      </w:pPr>
      <w:r>
        <w:rPr>
          <w:rFonts w:hint="eastAsia"/>
          <w:highlight w:val="none"/>
        </w:rPr>
        <w:t>4.4.2 联合体协议经发包人确认后作为合同附件。在履行合同过程中，未经发包人同意，不得修改联合体协议。</w:t>
      </w:r>
    </w:p>
    <w:p w14:paraId="6F3B15F1">
      <w:pPr>
        <w:spacing w:line="400" w:lineRule="exact"/>
        <w:ind w:firstLine="420" w:firstLineChars="200"/>
        <w:rPr>
          <w:rFonts w:hint="eastAsia"/>
          <w:highlight w:val="none"/>
        </w:rPr>
      </w:pPr>
      <w:r>
        <w:rPr>
          <w:rFonts w:hint="eastAsia"/>
          <w:highlight w:val="none"/>
        </w:rPr>
        <w:t>4.4.3 联合体牵头人负责与发包人和监理人联系，并接受指示，负责组织联合体各成员全面履行合同。</w:t>
      </w:r>
    </w:p>
    <w:p w14:paraId="3BEE07FC">
      <w:pPr>
        <w:pStyle w:val="45"/>
        <w:rPr>
          <w:rFonts w:hint="eastAsia"/>
          <w:highlight w:val="none"/>
        </w:rPr>
      </w:pPr>
      <w:bookmarkStart w:id="471" w:name="_Toc32331"/>
      <w:bookmarkStart w:id="472" w:name="_Toc152042422"/>
      <w:bookmarkStart w:id="473" w:name="_Toc144974612"/>
      <w:bookmarkStart w:id="474" w:name="_Toc152045644"/>
      <w:r>
        <w:rPr>
          <w:rFonts w:hint="eastAsia"/>
          <w:highlight w:val="none"/>
        </w:rPr>
        <w:t>4.5 承包人项目经理</w:t>
      </w:r>
      <w:bookmarkEnd w:id="471"/>
      <w:bookmarkEnd w:id="472"/>
      <w:bookmarkEnd w:id="473"/>
      <w:bookmarkEnd w:id="474"/>
    </w:p>
    <w:p w14:paraId="4D67AADC">
      <w:pPr>
        <w:spacing w:line="400" w:lineRule="exact"/>
        <w:ind w:firstLine="420" w:firstLineChars="200"/>
        <w:rPr>
          <w:rFonts w:hint="eastAsia"/>
          <w:highlight w:val="none"/>
        </w:rPr>
      </w:pPr>
      <w:r>
        <w:rPr>
          <w:rFonts w:hint="eastAsia"/>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14ECED6F">
      <w:pPr>
        <w:spacing w:line="400" w:lineRule="exact"/>
        <w:ind w:firstLine="420" w:firstLineChars="200"/>
        <w:rPr>
          <w:rFonts w:hint="eastAsia"/>
          <w:highlight w:val="none"/>
        </w:rPr>
      </w:pPr>
      <w:r>
        <w:rPr>
          <w:rFonts w:hint="eastAsia"/>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28DE8B8D">
      <w:pPr>
        <w:spacing w:line="400" w:lineRule="exact"/>
        <w:ind w:firstLine="420" w:firstLineChars="200"/>
        <w:rPr>
          <w:rFonts w:hint="eastAsia"/>
          <w:highlight w:val="none"/>
        </w:rPr>
      </w:pPr>
      <w:r>
        <w:rPr>
          <w:rFonts w:hint="eastAsia"/>
          <w:highlight w:val="none"/>
        </w:rPr>
        <w:t>4.5.3承包人为履行合同发出的一切函件均应盖有承包人授权的施工场地管理机构章，并由承包人项目经理或其授权代表签字。</w:t>
      </w:r>
    </w:p>
    <w:p w14:paraId="70393BFF">
      <w:pPr>
        <w:spacing w:line="400" w:lineRule="exact"/>
        <w:ind w:firstLine="420" w:firstLineChars="200"/>
        <w:rPr>
          <w:rFonts w:hint="eastAsia"/>
          <w:highlight w:val="none"/>
        </w:rPr>
      </w:pPr>
      <w:r>
        <w:rPr>
          <w:rFonts w:hint="eastAsia"/>
          <w:highlight w:val="none"/>
        </w:rPr>
        <w:t>4.5.4 承包人项目经理可以授权其下属人员履行其某项职责，但事先应将这些人员的姓名和授权范围通知监理人。</w:t>
      </w:r>
    </w:p>
    <w:p w14:paraId="18C0C4E2">
      <w:pPr>
        <w:pStyle w:val="45"/>
        <w:rPr>
          <w:rFonts w:hint="eastAsia"/>
          <w:highlight w:val="none"/>
        </w:rPr>
      </w:pPr>
      <w:bookmarkStart w:id="475" w:name="_Toc11191"/>
      <w:bookmarkStart w:id="476" w:name="_Toc152045645"/>
      <w:bookmarkStart w:id="477" w:name="_Toc144974613"/>
      <w:bookmarkStart w:id="478" w:name="_Toc152042423"/>
      <w:r>
        <w:rPr>
          <w:rFonts w:hint="eastAsia"/>
          <w:highlight w:val="none"/>
        </w:rPr>
        <w:t>4.6 承包人人员的管理</w:t>
      </w:r>
      <w:bookmarkEnd w:id="475"/>
      <w:bookmarkEnd w:id="476"/>
      <w:bookmarkEnd w:id="477"/>
      <w:bookmarkEnd w:id="478"/>
    </w:p>
    <w:p w14:paraId="696DE36F">
      <w:pPr>
        <w:spacing w:line="400" w:lineRule="exact"/>
        <w:ind w:firstLine="420" w:firstLineChars="200"/>
        <w:rPr>
          <w:rFonts w:hint="eastAsia"/>
          <w:highlight w:val="none"/>
        </w:rPr>
      </w:pPr>
      <w:r>
        <w:rPr>
          <w:rFonts w:hint="eastAsia"/>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3766CC6">
      <w:pPr>
        <w:spacing w:line="400" w:lineRule="exact"/>
        <w:ind w:firstLine="420" w:firstLineChars="200"/>
        <w:rPr>
          <w:rFonts w:hint="eastAsia"/>
          <w:highlight w:val="none"/>
        </w:rPr>
      </w:pPr>
      <w:r>
        <w:rPr>
          <w:rFonts w:hint="eastAsia"/>
          <w:highlight w:val="none"/>
        </w:rPr>
        <w:t>4.6.2 为完成合同约定的各项工作，承包人应向施工场地派遣或雇佣足够数量的下列人员：</w:t>
      </w:r>
    </w:p>
    <w:p w14:paraId="394A33D6">
      <w:pPr>
        <w:spacing w:line="400" w:lineRule="exact"/>
        <w:ind w:firstLine="718" w:firstLineChars="342"/>
        <w:rPr>
          <w:rFonts w:hint="eastAsia"/>
          <w:highlight w:val="none"/>
        </w:rPr>
      </w:pPr>
      <w:r>
        <w:rPr>
          <w:rFonts w:hint="eastAsia"/>
          <w:highlight w:val="none"/>
        </w:rPr>
        <w:t>（1）具有相应资格的专业技工和合格的普工；</w:t>
      </w:r>
    </w:p>
    <w:p w14:paraId="645341C8">
      <w:pPr>
        <w:spacing w:line="400" w:lineRule="exact"/>
        <w:ind w:firstLine="718" w:firstLineChars="342"/>
        <w:rPr>
          <w:rFonts w:hint="eastAsia"/>
          <w:highlight w:val="none"/>
        </w:rPr>
      </w:pPr>
      <w:r>
        <w:rPr>
          <w:rFonts w:hint="eastAsia"/>
          <w:highlight w:val="none"/>
        </w:rPr>
        <w:t>（2）具有相应施工经验的技术人员；</w:t>
      </w:r>
    </w:p>
    <w:p w14:paraId="4A7BEF74">
      <w:pPr>
        <w:spacing w:line="400" w:lineRule="exact"/>
        <w:ind w:firstLine="718" w:firstLineChars="342"/>
        <w:rPr>
          <w:rFonts w:hint="eastAsia"/>
          <w:highlight w:val="none"/>
        </w:rPr>
      </w:pPr>
      <w:r>
        <w:rPr>
          <w:rFonts w:hint="eastAsia"/>
          <w:highlight w:val="none"/>
        </w:rPr>
        <w:t>（3）具有相应岗位资格的各级管理人员。</w:t>
      </w:r>
    </w:p>
    <w:p w14:paraId="46E9AAE0">
      <w:pPr>
        <w:spacing w:line="400" w:lineRule="exact"/>
        <w:ind w:firstLine="420" w:firstLineChars="200"/>
        <w:rPr>
          <w:rFonts w:hint="eastAsia"/>
          <w:highlight w:val="none"/>
        </w:rPr>
      </w:pPr>
      <w:r>
        <w:rPr>
          <w:rFonts w:hint="eastAsia"/>
          <w:highlight w:val="none"/>
        </w:rPr>
        <w:t>4.6.3 承包人安排在施工场地的主要管理人员和技术骨干应相对稳定。承包人更换主要管理人员和技术骨干时，应取得监理人的同意。</w:t>
      </w:r>
    </w:p>
    <w:p w14:paraId="6844DFB2">
      <w:pPr>
        <w:spacing w:line="400" w:lineRule="exact"/>
        <w:ind w:firstLine="420" w:firstLineChars="200"/>
        <w:rPr>
          <w:rFonts w:hint="eastAsia"/>
          <w:highlight w:val="none"/>
        </w:rPr>
      </w:pPr>
      <w:r>
        <w:rPr>
          <w:rFonts w:hint="eastAsia"/>
          <w:highlight w:val="none"/>
        </w:rPr>
        <w:t>4.6.4 特殊岗位的工作人员均应持有相应的资格证明，监理人有权随时检查。监理人认为有必要时，可进行现场考核。</w:t>
      </w:r>
    </w:p>
    <w:p w14:paraId="2131F8CE">
      <w:pPr>
        <w:pStyle w:val="45"/>
        <w:rPr>
          <w:rFonts w:hint="eastAsia"/>
          <w:highlight w:val="none"/>
        </w:rPr>
      </w:pPr>
      <w:bookmarkStart w:id="479" w:name="_Toc152045646"/>
      <w:bookmarkStart w:id="480" w:name="_Toc16723"/>
      <w:bookmarkStart w:id="481" w:name="_Toc152042424"/>
      <w:bookmarkStart w:id="482" w:name="_Toc144974614"/>
      <w:r>
        <w:rPr>
          <w:rFonts w:hint="eastAsia"/>
          <w:highlight w:val="none"/>
        </w:rPr>
        <w:t>4.7 撤换承包人项目经理和其他人员</w:t>
      </w:r>
      <w:bookmarkEnd w:id="479"/>
      <w:bookmarkEnd w:id="480"/>
      <w:bookmarkEnd w:id="481"/>
      <w:bookmarkEnd w:id="482"/>
    </w:p>
    <w:p w14:paraId="1D97F39F">
      <w:pPr>
        <w:spacing w:line="400" w:lineRule="exact"/>
        <w:ind w:firstLine="420" w:firstLineChars="200"/>
        <w:rPr>
          <w:rFonts w:hint="eastAsia"/>
          <w:highlight w:val="none"/>
        </w:rPr>
      </w:pPr>
      <w:r>
        <w:rPr>
          <w:rFonts w:hint="eastAsia"/>
          <w:highlight w:val="none"/>
        </w:rPr>
        <w:t>承包人应对其项目经理和其他人员进行有效管理。监理人要求撤换不能胜任本职工作、行为不端或玩忽职守的承包人项目经理和其他人员的，承包人应予以撤换。</w:t>
      </w:r>
    </w:p>
    <w:p w14:paraId="40DF8139">
      <w:pPr>
        <w:pStyle w:val="45"/>
        <w:rPr>
          <w:rFonts w:hint="eastAsia"/>
          <w:highlight w:val="none"/>
        </w:rPr>
      </w:pPr>
      <w:bookmarkStart w:id="483" w:name="_Toc152045647"/>
      <w:bookmarkStart w:id="484" w:name="_Toc144974615"/>
      <w:bookmarkStart w:id="485" w:name="_Toc152042425"/>
      <w:bookmarkStart w:id="486" w:name="_Toc11282"/>
      <w:r>
        <w:rPr>
          <w:rFonts w:hint="eastAsia"/>
          <w:highlight w:val="none"/>
        </w:rPr>
        <w:t>4.8 保障承包人人员的合法权益</w:t>
      </w:r>
      <w:bookmarkEnd w:id="483"/>
      <w:bookmarkEnd w:id="484"/>
      <w:bookmarkEnd w:id="485"/>
      <w:bookmarkEnd w:id="486"/>
    </w:p>
    <w:p w14:paraId="75AC482E">
      <w:pPr>
        <w:spacing w:line="400" w:lineRule="exact"/>
        <w:ind w:firstLine="420" w:firstLineChars="200"/>
        <w:rPr>
          <w:rFonts w:hint="eastAsia"/>
          <w:highlight w:val="none"/>
        </w:rPr>
      </w:pPr>
      <w:r>
        <w:rPr>
          <w:rFonts w:hint="eastAsia"/>
          <w:highlight w:val="none"/>
        </w:rPr>
        <w:t>4.8.1 承包人应与其雇佣的人员签订劳动合同，并按时发放工资。</w:t>
      </w:r>
    </w:p>
    <w:p w14:paraId="6BEE29EB">
      <w:pPr>
        <w:spacing w:line="400" w:lineRule="exact"/>
        <w:ind w:firstLine="420" w:firstLineChars="200"/>
        <w:rPr>
          <w:rFonts w:hint="eastAsia"/>
          <w:highlight w:val="none"/>
        </w:rPr>
      </w:pPr>
      <w:r>
        <w:rPr>
          <w:rFonts w:hint="eastAsia"/>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6FAEACCD">
      <w:pPr>
        <w:spacing w:line="400" w:lineRule="exact"/>
        <w:ind w:firstLine="420" w:firstLineChars="200"/>
        <w:rPr>
          <w:rFonts w:hint="eastAsia"/>
          <w:highlight w:val="none"/>
        </w:rPr>
      </w:pPr>
      <w:r>
        <w:rPr>
          <w:rFonts w:hint="eastAsia"/>
          <w:highlight w:val="none"/>
        </w:rPr>
        <w:t>4.8.3 承包人应为其雇佣人员提供必要的食宿条件，以及符合环境保护和卫生要求的生活环境，在远离城镇的施工场地，还应配备必要的伤病防治和急救的医务人员与医疗设施。</w:t>
      </w:r>
    </w:p>
    <w:p w14:paraId="58C1C359">
      <w:pPr>
        <w:spacing w:line="400" w:lineRule="exact"/>
        <w:ind w:firstLine="420" w:firstLineChars="200"/>
        <w:rPr>
          <w:rFonts w:hint="eastAsia"/>
          <w:highlight w:val="none"/>
        </w:rPr>
      </w:pPr>
      <w:r>
        <w:rPr>
          <w:rFonts w:hint="eastAsia"/>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89E5DA4">
      <w:pPr>
        <w:spacing w:line="400" w:lineRule="exact"/>
        <w:ind w:firstLine="420" w:firstLineChars="200"/>
        <w:rPr>
          <w:rFonts w:hint="eastAsia"/>
          <w:highlight w:val="none"/>
        </w:rPr>
      </w:pPr>
      <w:r>
        <w:rPr>
          <w:rFonts w:hint="eastAsia"/>
          <w:highlight w:val="none"/>
        </w:rPr>
        <w:t>4.8.5 承包人应按有关法律规定和合同约定，为其雇佣人员办理保险。</w:t>
      </w:r>
    </w:p>
    <w:p w14:paraId="5FD8B176">
      <w:pPr>
        <w:spacing w:line="400" w:lineRule="exact"/>
        <w:ind w:firstLine="420" w:firstLineChars="200"/>
        <w:rPr>
          <w:rFonts w:hint="eastAsia"/>
          <w:highlight w:val="none"/>
        </w:rPr>
      </w:pPr>
      <w:r>
        <w:rPr>
          <w:rFonts w:hint="eastAsia"/>
          <w:highlight w:val="none"/>
        </w:rPr>
        <w:t>4.8.6 承包人应负责处理其雇佣人员因工伤亡事故的善后事宜。</w:t>
      </w:r>
    </w:p>
    <w:p w14:paraId="767A868B">
      <w:pPr>
        <w:pStyle w:val="45"/>
        <w:rPr>
          <w:rFonts w:hint="eastAsia"/>
          <w:highlight w:val="none"/>
        </w:rPr>
      </w:pPr>
      <w:bookmarkStart w:id="487" w:name="_Toc152045648"/>
      <w:bookmarkStart w:id="488" w:name="_Toc152042426"/>
      <w:bookmarkStart w:id="489" w:name="_Toc6546"/>
      <w:bookmarkStart w:id="490" w:name="_Toc144974616"/>
      <w:r>
        <w:rPr>
          <w:rFonts w:hint="eastAsia"/>
          <w:highlight w:val="none"/>
        </w:rPr>
        <w:t>4.9 工程价款应专款专用</w:t>
      </w:r>
      <w:bookmarkEnd w:id="487"/>
      <w:bookmarkEnd w:id="488"/>
      <w:bookmarkEnd w:id="489"/>
      <w:bookmarkEnd w:id="490"/>
    </w:p>
    <w:p w14:paraId="1F102BC5">
      <w:pPr>
        <w:spacing w:line="400" w:lineRule="exact"/>
        <w:ind w:firstLine="420" w:firstLineChars="200"/>
        <w:rPr>
          <w:rFonts w:hint="eastAsia"/>
          <w:highlight w:val="none"/>
        </w:rPr>
      </w:pPr>
      <w:r>
        <w:rPr>
          <w:rFonts w:hint="eastAsia"/>
          <w:highlight w:val="none"/>
        </w:rPr>
        <w:t>发包人按合同约定支付给承包人的各项价款应专用于合同工程。</w:t>
      </w:r>
    </w:p>
    <w:p w14:paraId="51BCF2FB">
      <w:pPr>
        <w:pStyle w:val="45"/>
        <w:rPr>
          <w:rFonts w:hint="eastAsia"/>
          <w:highlight w:val="none"/>
        </w:rPr>
      </w:pPr>
      <w:bookmarkStart w:id="491" w:name="_Toc30349"/>
      <w:bookmarkStart w:id="492" w:name="_Toc152045649"/>
      <w:bookmarkStart w:id="493" w:name="_Toc152042427"/>
      <w:bookmarkStart w:id="494" w:name="_Toc144974617"/>
      <w:r>
        <w:rPr>
          <w:rFonts w:hint="eastAsia"/>
          <w:highlight w:val="none"/>
        </w:rPr>
        <w:t>4.10 承包人现场查勘</w:t>
      </w:r>
      <w:bookmarkEnd w:id="491"/>
      <w:bookmarkEnd w:id="492"/>
      <w:bookmarkEnd w:id="493"/>
      <w:bookmarkEnd w:id="494"/>
      <w:r>
        <w:rPr>
          <w:rFonts w:hint="eastAsia"/>
          <w:highlight w:val="none"/>
        </w:rPr>
        <w:t xml:space="preserve">                                                                                                           </w:t>
      </w:r>
    </w:p>
    <w:p w14:paraId="2754D27E">
      <w:pPr>
        <w:spacing w:line="400" w:lineRule="exact"/>
        <w:ind w:firstLine="420" w:firstLineChars="200"/>
        <w:rPr>
          <w:rFonts w:hint="eastAsia"/>
          <w:highlight w:val="none"/>
        </w:rPr>
      </w:pPr>
      <w:r>
        <w:rPr>
          <w:rFonts w:hint="eastAsia"/>
          <w:highlight w:val="none"/>
        </w:rPr>
        <w:t>4.10.1 发包人应将其持有的现场地质勘探资料、水文气象资料提供给承包人，并对其准确性负责。但承包人应对其阅读上述有关资料后所作出的解释和推断负责。</w:t>
      </w:r>
    </w:p>
    <w:p w14:paraId="0C335914">
      <w:pPr>
        <w:spacing w:line="400" w:lineRule="exact"/>
        <w:ind w:firstLine="420" w:firstLineChars="200"/>
        <w:rPr>
          <w:rFonts w:hint="eastAsia"/>
          <w:highlight w:val="none"/>
        </w:rPr>
      </w:pPr>
      <w:r>
        <w:rPr>
          <w:rFonts w:hint="eastAsia"/>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C5D3738">
      <w:pPr>
        <w:pStyle w:val="45"/>
        <w:rPr>
          <w:rFonts w:hint="eastAsia"/>
          <w:highlight w:val="none"/>
        </w:rPr>
      </w:pPr>
      <w:bookmarkStart w:id="495" w:name="_Toc8983"/>
      <w:bookmarkStart w:id="496" w:name="_Toc144974618"/>
      <w:bookmarkStart w:id="497" w:name="_Toc152042428"/>
      <w:bookmarkStart w:id="498" w:name="_Toc152045650"/>
      <w:r>
        <w:rPr>
          <w:rFonts w:hint="eastAsia"/>
          <w:highlight w:val="none"/>
        </w:rPr>
        <w:t>4.11 不利物质条件</w:t>
      </w:r>
      <w:bookmarkEnd w:id="495"/>
      <w:bookmarkEnd w:id="496"/>
      <w:bookmarkEnd w:id="497"/>
      <w:bookmarkEnd w:id="498"/>
    </w:p>
    <w:p w14:paraId="408ABF20">
      <w:pPr>
        <w:spacing w:line="400" w:lineRule="exact"/>
        <w:ind w:firstLine="420" w:firstLineChars="200"/>
        <w:rPr>
          <w:rFonts w:hint="eastAsia"/>
          <w:highlight w:val="none"/>
        </w:rPr>
      </w:pPr>
      <w:r>
        <w:rPr>
          <w:rFonts w:hint="eastAsia"/>
          <w:highlight w:val="none"/>
        </w:rPr>
        <w:t>4.11.1 不利物质条件，除专用合同条款另有约定外，是指承包人在施工场地遇到的不可预见的自然物质条件、非自然的物质障碍和污染物，包括地下和水文条件，但不包括气候条件。</w:t>
      </w:r>
    </w:p>
    <w:p w14:paraId="35C90F92">
      <w:pPr>
        <w:spacing w:line="400" w:lineRule="exact"/>
        <w:ind w:firstLine="420" w:firstLineChars="200"/>
        <w:rPr>
          <w:rFonts w:hint="eastAsia"/>
          <w:highlight w:val="none"/>
        </w:rPr>
      </w:pPr>
      <w:r>
        <w:rPr>
          <w:rFonts w:hint="eastAsia"/>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106EFB9">
      <w:pPr>
        <w:pStyle w:val="46"/>
        <w:rPr>
          <w:rFonts w:hint="eastAsia"/>
          <w:highlight w:val="none"/>
        </w:rPr>
      </w:pPr>
      <w:bookmarkStart w:id="499" w:name="_Toc152042429"/>
      <w:bookmarkStart w:id="500" w:name="_Toc144974619"/>
      <w:bookmarkStart w:id="501" w:name="_Toc30520"/>
      <w:bookmarkStart w:id="502" w:name="_Toc152045651"/>
      <w:r>
        <w:rPr>
          <w:rFonts w:hint="eastAsia"/>
          <w:highlight w:val="none"/>
        </w:rPr>
        <w:t>5. 材料和工程设备</w:t>
      </w:r>
      <w:bookmarkEnd w:id="499"/>
      <w:bookmarkEnd w:id="500"/>
      <w:bookmarkEnd w:id="501"/>
      <w:bookmarkEnd w:id="502"/>
    </w:p>
    <w:p w14:paraId="695DF1B4">
      <w:pPr>
        <w:pStyle w:val="45"/>
        <w:rPr>
          <w:rFonts w:hint="eastAsia"/>
          <w:highlight w:val="none"/>
        </w:rPr>
      </w:pPr>
      <w:bookmarkStart w:id="503" w:name="_Toc152042430"/>
      <w:bookmarkStart w:id="504" w:name="_Toc16651"/>
      <w:bookmarkStart w:id="505" w:name="_Toc152045652"/>
      <w:bookmarkStart w:id="506" w:name="_Toc144974620"/>
      <w:r>
        <w:rPr>
          <w:rFonts w:hint="eastAsia"/>
          <w:highlight w:val="none"/>
        </w:rPr>
        <w:t>5.1 承包人提供的材料和工程设备</w:t>
      </w:r>
      <w:bookmarkEnd w:id="503"/>
      <w:bookmarkEnd w:id="504"/>
      <w:bookmarkEnd w:id="505"/>
      <w:bookmarkEnd w:id="506"/>
    </w:p>
    <w:p w14:paraId="1081C72B">
      <w:pPr>
        <w:spacing w:line="400" w:lineRule="exact"/>
        <w:ind w:firstLine="420" w:firstLineChars="200"/>
        <w:rPr>
          <w:rFonts w:hint="eastAsia"/>
          <w:highlight w:val="none"/>
        </w:rPr>
      </w:pPr>
      <w:r>
        <w:rPr>
          <w:rFonts w:hint="eastAsia"/>
          <w:highlight w:val="none"/>
        </w:rPr>
        <w:t>5.1.1 除专用合同条款另有约定外，承包人提供的材料和工程设备均由承包人负责采购、运输和保管。承包人应对其采购的材料和工程设备负责。</w:t>
      </w:r>
    </w:p>
    <w:p w14:paraId="20F182BE">
      <w:pPr>
        <w:spacing w:line="400" w:lineRule="exact"/>
        <w:ind w:firstLine="420" w:firstLineChars="200"/>
        <w:rPr>
          <w:rFonts w:hint="eastAsia"/>
          <w:highlight w:val="none"/>
        </w:rPr>
      </w:pPr>
      <w:r>
        <w:rPr>
          <w:rFonts w:hint="eastAsia"/>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360B77F9">
      <w:pPr>
        <w:spacing w:line="400" w:lineRule="exact"/>
        <w:ind w:firstLine="420" w:firstLineChars="200"/>
        <w:rPr>
          <w:rFonts w:hint="eastAsia"/>
          <w:highlight w:val="none"/>
        </w:rPr>
      </w:pPr>
      <w:r>
        <w:rPr>
          <w:rFonts w:hint="eastAsia"/>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1539273">
      <w:pPr>
        <w:pStyle w:val="45"/>
        <w:rPr>
          <w:rFonts w:hint="eastAsia"/>
          <w:highlight w:val="none"/>
        </w:rPr>
      </w:pPr>
      <w:bookmarkStart w:id="507" w:name="_Toc144974621"/>
      <w:bookmarkStart w:id="508" w:name="_Toc22176"/>
      <w:bookmarkStart w:id="509" w:name="_Toc152042431"/>
      <w:bookmarkStart w:id="510" w:name="_Toc152045653"/>
      <w:r>
        <w:rPr>
          <w:rFonts w:hint="eastAsia"/>
          <w:highlight w:val="none"/>
        </w:rPr>
        <w:t>5.2 发包人提供的材料和工程设备</w:t>
      </w:r>
      <w:bookmarkEnd w:id="507"/>
      <w:bookmarkEnd w:id="508"/>
      <w:bookmarkEnd w:id="509"/>
      <w:bookmarkEnd w:id="510"/>
    </w:p>
    <w:p w14:paraId="7B730F05">
      <w:pPr>
        <w:spacing w:line="400" w:lineRule="exact"/>
        <w:ind w:firstLine="420" w:firstLineChars="200"/>
        <w:rPr>
          <w:rFonts w:hint="eastAsia"/>
          <w:highlight w:val="none"/>
        </w:rPr>
      </w:pPr>
      <w:r>
        <w:rPr>
          <w:rFonts w:hint="eastAsia"/>
          <w:highlight w:val="none"/>
        </w:rPr>
        <w:t>5.2.1 发包人提供的材料和工程设备，应在专用合同条款中写明材料和工程设备的名称、规格、数量、价格、交货方式、交货地点和计划交货日期等。</w:t>
      </w:r>
    </w:p>
    <w:p w14:paraId="41FC62AB">
      <w:pPr>
        <w:spacing w:line="400" w:lineRule="exact"/>
        <w:ind w:firstLine="420" w:firstLineChars="200"/>
        <w:rPr>
          <w:rFonts w:hint="eastAsia"/>
          <w:highlight w:val="none"/>
        </w:rPr>
      </w:pPr>
      <w:r>
        <w:rPr>
          <w:rFonts w:hint="eastAsia"/>
          <w:highlight w:val="none"/>
        </w:rPr>
        <w:t>5.2.2 承包人应根据合同进度计划的安排，向监理人报送要求发包人交货的日期计划。发包人应按照监理人与合同双方当事人商定的交货日期，向承包人提交材料和工程设备。</w:t>
      </w:r>
    </w:p>
    <w:p w14:paraId="5B771A98">
      <w:pPr>
        <w:spacing w:line="400" w:lineRule="exact"/>
        <w:ind w:firstLine="420" w:firstLineChars="200"/>
        <w:rPr>
          <w:rFonts w:hint="eastAsia"/>
          <w:highlight w:val="none"/>
        </w:rPr>
      </w:pPr>
      <w:r>
        <w:rPr>
          <w:rFonts w:hint="eastAsia"/>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596B3424">
      <w:pPr>
        <w:spacing w:line="400" w:lineRule="exact"/>
        <w:ind w:firstLine="420" w:firstLineChars="200"/>
        <w:rPr>
          <w:rFonts w:hint="eastAsia"/>
          <w:highlight w:val="none"/>
        </w:rPr>
      </w:pPr>
      <w:r>
        <w:rPr>
          <w:rFonts w:hint="eastAsia"/>
          <w:highlight w:val="none"/>
        </w:rPr>
        <w:t xml:space="preserve">5.2.4 发包人要求向承包人提前交货的，承包人不得拒绝，但发包人应承担承包人由此增加的费用。 </w:t>
      </w:r>
    </w:p>
    <w:p w14:paraId="06E1FA88">
      <w:pPr>
        <w:spacing w:line="400" w:lineRule="exact"/>
        <w:ind w:firstLine="420" w:firstLineChars="200"/>
        <w:rPr>
          <w:rFonts w:hint="eastAsia"/>
          <w:highlight w:val="none"/>
        </w:rPr>
      </w:pPr>
      <w:r>
        <w:rPr>
          <w:rFonts w:hint="eastAsia"/>
          <w:highlight w:val="none"/>
        </w:rPr>
        <w:t xml:space="preserve">5.2.5 承包人要求更改交货日期或地点的，应事先报请监理人批准。由于承包人要求更改交货时间或地点所增加的费用和（或）工期延误由承包人承担。 </w:t>
      </w:r>
    </w:p>
    <w:p w14:paraId="4DCDA70E">
      <w:pPr>
        <w:spacing w:line="400" w:lineRule="exact"/>
        <w:ind w:firstLine="420" w:firstLineChars="200"/>
        <w:rPr>
          <w:rFonts w:hint="eastAsia"/>
          <w:highlight w:val="none"/>
        </w:rPr>
      </w:pPr>
      <w:r>
        <w:rPr>
          <w:rFonts w:hint="eastAsia"/>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47345355">
      <w:pPr>
        <w:pStyle w:val="45"/>
        <w:rPr>
          <w:rFonts w:hint="eastAsia"/>
          <w:highlight w:val="none"/>
        </w:rPr>
      </w:pPr>
      <w:bookmarkStart w:id="511" w:name="_Toc152042432"/>
      <w:bookmarkStart w:id="512" w:name="_Toc11171"/>
      <w:bookmarkStart w:id="513" w:name="_Toc152045654"/>
      <w:bookmarkStart w:id="514" w:name="_Toc144974622"/>
      <w:r>
        <w:rPr>
          <w:rFonts w:hint="eastAsia"/>
          <w:highlight w:val="none"/>
        </w:rPr>
        <w:t>5.3 材料和工程设备专用于合同工程</w:t>
      </w:r>
      <w:bookmarkEnd w:id="511"/>
      <w:bookmarkEnd w:id="512"/>
      <w:bookmarkEnd w:id="513"/>
      <w:bookmarkEnd w:id="514"/>
    </w:p>
    <w:p w14:paraId="05833EDB">
      <w:pPr>
        <w:spacing w:line="400" w:lineRule="exact"/>
        <w:ind w:firstLine="420" w:firstLineChars="200"/>
        <w:rPr>
          <w:rFonts w:hint="eastAsia"/>
          <w:highlight w:val="none"/>
        </w:rPr>
      </w:pPr>
      <w:r>
        <w:rPr>
          <w:rFonts w:hint="eastAsia"/>
          <w:highlight w:val="none"/>
        </w:rPr>
        <w:t>5.3.1运入施工场地的材料、工程设备，包括备品备件、安装专用工器具与随机资料，必须专用于合同工程，未经监理人同意，承包人不得运出施工场地或挪作他用。</w:t>
      </w:r>
    </w:p>
    <w:p w14:paraId="00BD767E">
      <w:pPr>
        <w:spacing w:line="400" w:lineRule="exact"/>
        <w:ind w:firstLine="420" w:firstLineChars="200"/>
        <w:rPr>
          <w:rFonts w:hint="eastAsia"/>
          <w:highlight w:val="none"/>
        </w:rPr>
      </w:pPr>
      <w:r>
        <w:rPr>
          <w:rFonts w:hint="eastAsia"/>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D5221A8">
      <w:pPr>
        <w:pStyle w:val="45"/>
        <w:rPr>
          <w:rFonts w:hint="eastAsia"/>
          <w:highlight w:val="none"/>
        </w:rPr>
      </w:pPr>
      <w:bookmarkStart w:id="515" w:name="_Toc144974623"/>
      <w:bookmarkStart w:id="516" w:name="_Toc152042433"/>
      <w:bookmarkStart w:id="517" w:name="_Toc152045655"/>
      <w:bookmarkStart w:id="518" w:name="_Toc24195"/>
      <w:r>
        <w:rPr>
          <w:rFonts w:hint="eastAsia"/>
          <w:highlight w:val="none"/>
        </w:rPr>
        <w:t>5.4 禁止使用不合格的材料和工程设备</w:t>
      </w:r>
      <w:bookmarkEnd w:id="515"/>
      <w:bookmarkEnd w:id="516"/>
      <w:bookmarkEnd w:id="517"/>
      <w:bookmarkEnd w:id="518"/>
    </w:p>
    <w:p w14:paraId="6C2F75C2">
      <w:pPr>
        <w:spacing w:line="400" w:lineRule="exact"/>
        <w:ind w:firstLine="420" w:firstLineChars="200"/>
        <w:rPr>
          <w:rFonts w:hint="eastAsia"/>
          <w:highlight w:val="none"/>
        </w:rPr>
      </w:pPr>
      <w:r>
        <w:rPr>
          <w:rFonts w:hint="eastAsia"/>
          <w:highlight w:val="none"/>
        </w:rPr>
        <w:t>5.4.1 监理人有权拒绝承包人提供的不合格材料或工程设备，并要求承包人立即进行更换。监理人应在更换后再次进行检查和检验，由此增加的费用和（或）工期延误由承包人承担。</w:t>
      </w:r>
    </w:p>
    <w:p w14:paraId="70BD9CF1">
      <w:pPr>
        <w:spacing w:line="400" w:lineRule="exact"/>
        <w:ind w:firstLine="420" w:firstLineChars="200"/>
        <w:rPr>
          <w:rFonts w:hint="eastAsia"/>
          <w:highlight w:val="none"/>
        </w:rPr>
      </w:pPr>
      <w:r>
        <w:rPr>
          <w:rFonts w:hint="eastAsia"/>
          <w:highlight w:val="none"/>
        </w:rPr>
        <w:t>5.4.2 监理人发现承包人使用了不合格的材料和工程设备，应即时发出指示要求承包人立即改正，并禁止在工程中继续使用不合格的材料和工程设备。</w:t>
      </w:r>
    </w:p>
    <w:p w14:paraId="525074E4">
      <w:pPr>
        <w:spacing w:line="400" w:lineRule="exact"/>
        <w:ind w:firstLine="420" w:firstLineChars="200"/>
        <w:rPr>
          <w:rFonts w:hint="eastAsia"/>
          <w:highlight w:val="none"/>
        </w:rPr>
      </w:pPr>
      <w:r>
        <w:rPr>
          <w:rFonts w:hint="eastAsia"/>
          <w:highlight w:val="none"/>
        </w:rPr>
        <w:t>5.4.3 发包人提供的材料或工程设备不符合合同要求的，承包人有权拒绝，并可要求发包人更换，由此增加的费用和（或）工期延误由发包人承担。</w:t>
      </w:r>
    </w:p>
    <w:p w14:paraId="0639153E">
      <w:pPr>
        <w:pStyle w:val="46"/>
        <w:rPr>
          <w:rFonts w:hint="eastAsia"/>
          <w:highlight w:val="none"/>
        </w:rPr>
      </w:pPr>
      <w:bookmarkStart w:id="519" w:name="_Toc152042434"/>
      <w:bookmarkStart w:id="520" w:name="_Toc152045656"/>
      <w:bookmarkStart w:id="521" w:name="_Toc144974624"/>
      <w:bookmarkStart w:id="522" w:name="_Toc5790"/>
      <w:r>
        <w:rPr>
          <w:rFonts w:hint="eastAsia"/>
          <w:highlight w:val="none"/>
        </w:rPr>
        <w:t>6. 施工设备和临时设施</w:t>
      </w:r>
      <w:bookmarkEnd w:id="519"/>
      <w:bookmarkEnd w:id="520"/>
      <w:bookmarkEnd w:id="521"/>
      <w:bookmarkEnd w:id="522"/>
    </w:p>
    <w:p w14:paraId="1D5F2AD2">
      <w:pPr>
        <w:pStyle w:val="45"/>
        <w:rPr>
          <w:rFonts w:hint="eastAsia"/>
          <w:highlight w:val="none"/>
        </w:rPr>
      </w:pPr>
      <w:bookmarkStart w:id="523" w:name="_Toc144974625"/>
      <w:bookmarkStart w:id="524" w:name="_Toc152045657"/>
      <w:bookmarkStart w:id="525" w:name="_Toc2251"/>
      <w:bookmarkStart w:id="526" w:name="_Toc152042435"/>
      <w:r>
        <w:rPr>
          <w:rFonts w:hint="eastAsia"/>
          <w:highlight w:val="none"/>
        </w:rPr>
        <w:t>6.1 承包人提供的施工设备和临时设施</w:t>
      </w:r>
      <w:bookmarkEnd w:id="523"/>
      <w:bookmarkEnd w:id="524"/>
      <w:bookmarkEnd w:id="525"/>
      <w:bookmarkEnd w:id="526"/>
    </w:p>
    <w:p w14:paraId="5AAB83B8">
      <w:pPr>
        <w:spacing w:line="400" w:lineRule="exact"/>
        <w:ind w:firstLine="420" w:firstLineChars="200"/>
        <w:rPr>
          <w:rFonts w:hint="eastAsia"/>
          <w:highlight w:val="none"/>
        </w:rPr>
      </w:pPr>
      <w:r>
        <w:rPr>
          <w:rFonts w:hint="eastAsia"/>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7B5CDFD9">
      <w:pPr>
        <w:spacing w:line="400" w:lineRule="exact"/>
        <w:ind w:firstLine="420" w:firstLineChars="200"/>
        <w:rPr>
          <w:rFonts w:hint="eastAsia"/>
          <w:highlight w:val="none"/>
        </w:rPr>
      </w:pPr>
      <w:r>
        <w:rPr>
          <w:rFonts w:hint="eastAsia"/>
          <w:highlight w:val="none"/>
        </w:rPr>
        <w:t>6.1.2除专用合同条款另有约定外，承包人应自行承担修建临时设施的费用，需要临时占地的，应由发包人办理申请手续并承担相应费用。</w:t>
      </w:r>
    </w:p>
    <w:p w14:paraId="5AE6E4BB">
      <w:pPr>
        <w:pStyle w:val="45"/>
        <w:rPr>
          <w:rFonts w:hint="eastAsia"/>
          <w:highlight w:val="none"/>
        </w:rPr>
      </w:pPr>
      <w:bookmarkStart w:id="527" w:name="_Toc31929"/>
      <w:bookmarkStart w:id="528" w:name="_Toc152045658"/>
      <w:bookmarkStart w:id="529" w:name="_Toc152042436"/>
      <w:bookmarkStart w:id="530" w:name="_Toc144974626"/>
      <w:r>
        <w:rPr>
          <w:rFonts w:hint="eastAsia"/>
          <w:highlight w:val="none"/>
        </w:rPr>
        <w:t>6.2 发包人提供的施工设备和临时设施</w:t>
      </w:r>
      <w:bookmarkEnd w:id="527"/>
      <w:bookmarkEnd w:id="528"/>
      <w:bookmarkEnd w:id="529"/>
      <w:bookmarkEnd w:id="530"/>
    </w:p>
    <w:p w14:paraId="135DB84C">
      <w:pPr>
        <w:spacing w:line="400" w:lineRule="exact"/>
        <w:ind w:firstLine="420" w:firstLineChars="200"/>
        <w:rPr>
          <w:rFonts w:hint="eastAsia"/>
          <w:highlight w:val="none"/>
        </w:rPr>
      </w:pPr>
      <w:r>
        <w:rPr>
          <w:rFonts w:hint="eastAsia"/>
          <w:highlight w:val="none"/>
        </w:rPr>
        <w:t>发包人提供的施工设备或临时设施在专用合同条款中约定。</w:t>
      </w:r>
    </w:p>
    <w:p w14:paraId="0ED76502">
      <w:pPr>
        <w:pStyle w:val="45"/>
        <w:rPr>
          <w:rFonts w:hint="eastAsia"/>
          <w:highlight w:val="none"/>
        </w:rPr>
      </w:pPr>
      <w:bookmarkStart w:id="531" w:name="_Toc144974627"/>
      <w:bookmarkStart w:id="532" w:name="_Toc152042437"/>
      <w:bookmarkStart w:id="533" w:name="_Toc152045659"/>
      <w:bookmarkStart w:id="534" w:name="_Toc13244"/>
      <w:r>
        <w:rPr>
          <w:rFonts w:hint="eastAsia"/>
          <w:highlight w:val="none"/>
        </w:rPr>
        <w:t>6.3 要求承包人增加或更换施工设备</w:t>
      </w:r>
      <w:bookmarkEnd w:id="531"/>
      <w:bookmarkEnd w:id="532"/>
      <w:bookmarkEnd w:id="533"/>
      <w:bookmarkEnd w:id="534"/>
    </w:p>
    <w:p w14:paraId="60F80615">
      <w:pPr>
        <w:spacing w:line="400" w:lineRule="exact"/>
        <w:ind w:firstLine="420" w:firstLineChars="200"/>
        <w:rPr>
          <w:rFonts w:hint="eastAsia"/>
          <w:highlight w:val="none"/>
        </w:rPr>
      </w:pPr>
      <w:r>
        <w:rPr>
          <w:rFonts w:hint="eastAsia"/>
          <w:highlight w:val="none"/>
        </w:rPr>
        <w:t>承包人使用的施工设备不能满足合同进度计划和（或）质量要求时，监理人有权要求承包人增加或更换施工设备，承包人应及时增加或更换，由此增加的费用和（或）工期延误由承包人承担。</w:t>
      </w:r>
    </w:p>
    <w:p w14:paraId="18119724">
      <w:pPr>
        <w:pStyle w:val="45"/>
        <w:rPr>
          <w:rFonts w:hint="eastAsia"/>
          <w:highlight w:val="none"/>
        </w:rPr>
      </w:pPr>
      <w:bookmarkStart w:id="535" w:name="_Toc152042438"/>
      <w:bookmarkStart w:id="536" w:name="_Toc152045660"/>
      <w:bookmarkStart w:id="537" w:name="_Toc144974628"/>
      <w:bookmarkStart w:id="538" w:name="_Toc16321"/>
      <w:r>
        <w:rPr>
          <w:rFonts w:hint="eastAsia"/>
          <w:highlight w:val="none"/>
        </w:rPr>
        <w:t>6.4 施工设备和临时设施专用于合同工程</w:t>
      </w:r>
      <w:bookmarkEnd w:id="535"/>
      <w:bookmarkEnd w:id="536"/>
      <w:bookmarkEnd w:id="537"/>
      <w:bookmarkEnd w:id="538"/>
    </w:p>
    <w:p w14:paraId="4A401AF8">
      <w:pPr>
        <w:spacing w:line="400" w:lineRule="exact"/>
        <w:ind w:firstLine="420" w:firstLineChars="200"/>
        <w:rPr>
          <w:rFonts w:hint="eastAsia"/>
          <w:highlight w:val="none"/>
        </w:rPr>
      </w:pPr>
      <w:r>
        <w:rPr>
          <w:rFonts w:hint="eastAsia"/>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383F1F1D">
      <w:pPr>
        <w:spacing w:line="400" w:lineRule="exact"/>
        <w:ind w:firstLine="420" w:firstLineChars="200"/>
        <w:rPr>
          <w:rFonts w:hint="eastAsia"/>
          <w:highlight w:val="none"/>
        </w:rPr>
      </w:pPr>
      <w:r>
        <w:rPr>
          <w:rFonts w:hint="eastAsia"/>
          <w:highlight w:val="none"/>
        </w:rPr>
        <w:t>6.4.2 经监理人同意，承包人可根据合同进度计划撤走闲置的施工设备。</w:t>
      </w:r>
    </w:p>
    <w:p w14:paraId="1284BA8C">
      <w:pPr>
        <w:pStyle w:val="46"/>
        <w:rPr>
          <w:rFonts w:hint="eastAsia"/>
          <w:highlight w:val="none"/>
        </w:rPr>
      </w:pPr>
      <w:bookmarkStart w:id="539" w:name="_Toc152045661"/>
      <w:bookmarkStart w:id="540" w:name="_Toc144974629"/>
      <w:bookmarkStart w:id="541" w:name="_Toc152042439"/>
      <w:bookmarkStart w:id="542" w:name="_Toc3130"/>
      <w:r>
        <w:rPr>
          <w:rFonts w:hint="eastAsia"/>
          <w:highlight w:val="none"/>
        </w:rPr>
        <w:t>7. 交通运输</w:t>
      </w:r>
      <w:bookmarkEnd w:id="539"/>
      <w:bookmarkEnd w:id="540"/>
      <w:bookmarkEnd w:id="541"/>
      <w:bookmarkEnd w:id="542"/>
    </w:p>
    <w:p w14:paraId="294103DF">
      <w:pPr>
        <w:pStyle w:val="45"/>
        <w:rPr>
          <w:rFonts w:hint="eastAsia"/>
          <w:highlight w:val="none"/>
        </w:rPr>
      </w:pPr>
      <w:bookmarkStart w:id="543" w:name="_Toc2598"/>
      <w:bookmarkStart w:id="544" w:name="_Toc152042440"/>
      <w:bookmarkStart w:id="545" w:name="_Toc152045662"/>
      <w:bookmarkStart w:id="546" w:name="_Toc144974630"/>
      <w:r>
        <w:rPr>
          <w:rFonts w:hint="eastAsia"/>
          <w:highlight w:val="none"/>
        </w:rPr>
        <w:t>7.1 道路通行权和场外设施</w:t>
      </w:r>
      <w:bookmarkEnd w:id="543"/>
      <w:bookmarkEnd w:id="544"/>
      <w:bookmarkEnd w:id="545"/>
      <w:bookmarkEnd w:id="546"/>
    </w:p>
    <w:p w14:paraId="52333663">
      <w:pPr>
        <w:spacing w:line="400" w:lineRule="exact"/>
        <w:ind w:firstLine="420" w:firstLineChars="200"/>
        <w:rPr>
          <w:rFonts w:hint="eastAsia"/>
          <w:highlight w:val="none"/>
        </w:rPr>
      </w:pPr>
      <w:r>
        <w:rPr>
          <w:rFonts w:hint="eastAsia"/>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91627D4">
      <w:pPr>
        <w:pStyle w:val="45"/>
        <w:rPr>
          <w:rFonts w:hint="eastAsia"/>
          <w:highlight w:val="none"/>
        </w:rPr>
      </w:pPr>
      <w:bookmarkStart w:id="547" w:name="_Toc144974631"/>
      <w:bookmarkStart w:id="548" w:name="_Toc152045663"/>
      <w:bookmarkStart w:id="549" w:name="_Toc152042441"/>
      <w:bookmarkStart w:id="550" w:name="_Toc1935"/>
      <w:r>
        <w:rPr>
          <w:rFonts w:hint="eastAsia"/>
          <w:highlight w:val="none"/>
        </w:rPr>
        <w:t>7.2 场内施工道路</w:t>
      </w:r>
      <w:bookmarkEnd w:id="547"/>
      <w:bookmarkEnd w:id="548"/>
      <w:bookmarkEnd w:id="549"/>
      <w:bookmarkEnd w:id="550"/>
    </w:p>
    <w:p w14:paraId="2D5DB499">
      <w:pPr>
        <w:spacing w:line="400" w:lineRule="exact"/>
        <w:ind w:firstLine="420" w:firstLineChars="200"/>
        <w:rPr>
          <w:rFonts w:hint="eastAsia"/>
          <w:highlight w:val="none"/>
        </w:rPr>
      </w:pPr>
      <w:r>
        <w:rPr>
          <w:rFonts w:hint="eastAsia"/>
          <w:highlight w:val="none"/>
        </w:rPr>
        <w:t>7.2.1 除专用合同条款另有约定外，承包人应负责修建、维修、养护和管理施工所需的临时道路和交通设施，包括维修、养护和管理发包人提供的道路和交通设施，并承担相应费用。</w:t>
      </w:r>
    </w:p>
    <w:p w14:paraId="56FA935B">
      <w:pPr>
        <w:spacing w:line="400" w:lineRule="exact"/>
        <w:ind w:firstLine="420" w:firstLineChars="200"/>
        <w:rPr>
          <w:rFonts w:hint="eastAsia"/>
          <w:highlight w:val="none"/>
        </w:rPr>
      </w:pPr>
      <w:r>
        <w:rPr>
          <w:rFonts w:hint="eastAsia"/>
          <w:highlight w:val="none"/>
        </w:rPr>
        <w:t>7.2.2 除专用合同条款另有约定外，承包人修建的临时道路和交通设施应免费提供发包人和监理人使用。</w:t>
      </w:r>
    </w:p>
    <w:p w14:paraId="4463FA50">
      <w:pPr>
        <w:pStyle w:val="45"/>
        <w:rPr>
          <w:rFonts w:hint="eastAsia"/>
          <w:highlight w:val="none"/>
        </w:rPr>
      </w:pPr>
      <w:bookmarkStart w:id="551" w:name="_Toc152042442"/>
      <w:bookmarkStart w:id="552" w:name="_Toc144974632"/>
      <w:bookmarkStart w:id="553" w:name="_Toc1598"/>
      <w:bookmarkStart w:id="554" w:name="_Toc152045664"/>
      <w:r>
        <w:rPr>
          <w:rFonts w:hint="eastAsia"/>
          <w:highlight w:val="none"/>
        </w:rPr>
        <w:t>7.3 场外交通</w:t>
      </w:r>
      <w:bookmarkEnd w:id="551"/>
      <w:bookmarkEnd w:id="552"/>
      <w:bookmarkEnd w:id="553"/>
      <w:bookmarkEnd w:id="554"/>
    </w:p>
    <w:p w14:paraId="01F90C15">
      <w:pPr>
        <w:spacing w:line="400" w:lineRule="exact"/>
        <w:ind w:firstLine="420" w:firstLineChars="200"/>
        <w:rPr>
          <w:rFonts w:hint="eastAsia"/>
          <w:highlight w:val="none"/>
        </w:rPr>
      </w:pPr>
      <w:r>
        <w:rPr>
          <w:rFonts w:hint="eastAsia"/>
          <w:highlight w:val="none"/>
        </w:rPr>
        <w:t>7.3.1 承包人车辆外出行驶所需的场外公共道路的通行费、养路费和税款等由承包人承担。</w:t>
      </w:r>
    </w:p>
    <w:p w14:paraId="1D231AEC">
      <w:pPr>
        <w:spacing w:line="400" w:lineRule="exact"/>
        <w:ind w:firstLine="420" w:firstLineChars="200"/>
        <w:rPr>
          <w:rFonts w:hint="eastAsia"/>
          <w:highlight w:val="none"/>
        </w:rPr>
      </w:pPr>
      <w:r>
        <w:rPr>
          <w:rFonts w:hint="eastAsia"/>
          <w:highlight w:val="none"/>
        </w:rPr>
        <w:t>7.3.2 承包人应遵守有关交通法规，严格按照道路和桥梁的限制荷重安全行驶，并服从交通管理部门的检查和监督。</w:t>
      </w:r>
    </w:p>
    <w:p w14:paraId="498B1492">
      <w:pPr>
        <w:pStyle w:val="45"/>
        <w:rPr>
          <w:rFonts w:hint="eastAsia"/>
          <w:highlight w:val="none"/>
        </w:rPr>
      </w:pPr>
      <w:bookmarkStart w:id="555" w:name="_Toc152045665"/>
      <w:bookmarkStart w:id="556" w:name="_Toc144974633"/>
      <w:bookmarkStart w:id="557" w:name="_Toc20510"/>
      <w:bookmarkStart w:id="558" w:name="_Toc152042443"/>
      <w:r>
        <w:rPr>
          <w:rFonts w:hint="eastAsia"/>
          <w:highlight w:val="none"/>
        </w:rPr>
        <w:t>7.4 超大件和超重件的运输</w:t>
      </w:r>
      <w:bookmarkEnd w:id="555"/>
      <w:bookmarkEnd w:id="556"/>
      <w:bookmarkEnd w:id="557"/>
      <w:bookmarkEnd w:id="558"/>
    </w:p>
    <w:p w14:paraId="1353E52E">
      <w:pPr>
        <w:spacing w:line="400" w:lineRule="exact"/>
        <w:ind w:firstLine="420" w:firstLineChars="200"/>
        <w:rPr>
          <w:rFonts w:hint="eastAsia"/>
          <w:highlight w:val="none"/>
        </w:rPr>
      </w:pPr>
      <w:r>
        <w:rPr>
          <w:rFonts w:hint="eastAsia"/>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F64D2D2">
      <w:pPr>
        <w:pStyle w:val="45"/>
        <w:rPr>
          <w:rFonts w:hint="eastAsia"/>
          <w:highlight w:val="none"/>
        </w:rPr>
      </w:pPr>
      <w:bookmarkStart w:id="559" w:name="_Toc144974634"/>
      <w:bookmarkStart w:id="560" w:name="_Toc152042444"/>
      <w:bookmarkStart w:id="561" w:name="_Toc152045666"/>
      <w:bookmarkStart w:id="562" w:name="_Toc24737"/>
      <w:r>
        <w:rPr>
          <w:rFonts w:hint="eastAsia"/>
          <w:highlight w:val="none"/>
        </w:rPr>
        <w:t>7.5 道路和桥梁的损坏责任</w:t>
      </w:r>
      <w:bookmarkEnd w:id="559"/>
      <w:bookmarkEnd w:id="560"/>
      <w:bookmarkEnd w:id="561"/>
      <w:bookmarkEnd w:id="562"/>
    </w:p>
    <w:p w14:paraId="6EF49DAD">
      <w:pPr>
        <w:spacing w:line="400" w:lineRule="exact"/>
        <w:ind w:firstLine="420" w:firstLineChars="200"/>
        <w:rPr>
          <w:rFonts w:hint="eastAsia"/>
          <w:highlight w:val="none"/>
        </w:rPr>
      </w:pPr>
      <w:r>
        <w:rPr>
          <w:rFonts w:hint="eastAsia"/>
          <w:highlight w:val="none"/>
        </w:rPr>
        <w:t>因承包人运输造成施工场地内外公共道路和桥梁损坏的，由承包人承担修复损坏的全部费用和可能引起的赔偿。</w:t>
      </w:r>
    </w:p>
    <w:p w14:paraId="7B45E958">
      <w:pPr>
        <w:pStyle w:val="45"/>
        <w:rPr>
          <w:rFonts w:hint="eastAsia"/>
          <w:highlight w:val="none"/>
        </w:rPr>
      </w:pPr>
      <w:bookmarkStart w:id="563" w:name="_Toc25825"/>
      <w:bookmarkStart w:id="564" w:name="_Toc152042445"/>
      <w:bookmarkStart w:id="565" w:name="_Toc152045667"/>
      <w:bookmarkStart w:id="566" w:name="_Toc144974635"/>
      <w:r>
        <w:rPr>
          <w:rFonts w:hint="eastAsia"/>
          <w:highlight w:val="none"/>
        </w:rPr>
        <w:t>7.6 水路和航空运输</w:t>
      </w:r>
      <w:bookmarkEnd w:id="563"/>
      <w:bookmarkEnd w:id="564"/>
      <w:bookmarkEnd w:id="565"/>
      <w:bookmarkEnd w:id="566"/>
    </w:p>
    <w:p w14:paraId="785DCEA5">
      <w:pPr>
        <w:spacing w:line="400" w:lineRule="exact"/>
        <w:ind w:firstLine="420" w:firstLineChars="200"/>
        <w:rPr>
          <w:rFonts w:hint="eastAsia"/>
          <w:highlight w:val="none"/>
        </w:rPr>
      </w:pPr>
      <w:r>
        <w:rPr>
          <w:rFonts w:hint="eastAsia"/>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14:paraId="3129C632">
      <w:pPr>
        <w:pStyle w:val="46"/>
        <w:rPr>
          <w:rFonts w:hint="eastAsia"/>
          <w:highlight w:val="none"/>
        </w:rPr>
      </w:pPr>
      <w:bookmarkStart w:id="567" w:name="_Toc144974636"/>
      <w:bookmarkStart w:id="568" w:name="_Toc152042446"/>
      <w:bookmarkStart w:id="569" w:name="_Toc30263"/>
      <w:bookmarkStart w:id="570" w:name="_Toc152045668"/>
      <w:r>
        <w:rPr>
          <w:rFonts w:hint="eastAsia"/>
          <w:highlight w:val="none"/>
        </w:rPr>
        <w:t>8. 测量放线</w:t>
      </w:r>
      <w:bookmarkEnd w:id="567"/>
      <w:bookmarkEnd w:id="568"/>
      <w:bookmarkEnd w:id="569"/>
      <w:bookmarkEnd w:id="570"/>
    </w:p>
    <w:p w14:paraId="6DF805C6">
      <w:pPr>
        <w:pStyle w:val="45"/>
        <w:rPr>
          <w:rFonts w:hint="eastAsia"/>
          <w:highlight w:val="none"/>
        </w:rPr>
      </w:pPr>
      <w:bookmarkStart w:id="571" w:name="_Toc152045669"/>
      <w:bookmarkStart w:id="572" w:name="_Toc144974637"/>
      <w:bookmarkStart w:id="573" w:name="_Toc27045"/>
      <w:bookmarkStart w:id="574" w:name="_Toc152042447"/>
      <w:r>
        <w:rPr>
          <w:rFonts w:hint="eastAsia"/>
          <w:highlight w:val="none"/>
        </w:rPr>
        <w:t>8.1 施工控制网</w:t>
      </w:r>
      <w:bookmarkEnd w:id="571"/>
      <w:bookmarkEnd w:id="572"/>
      <w:bookmarkEnd w:id="573"/>
      <w:bookmarkEnd w:id="574"/>
    </w:p>
    <w:p w14:paraId="62693497">
      <w:pPr>
        <w:spacing w:line="400" w:lineRule="exact"/>
        <w:ind w:firstLine="420" w:firstLineChars="200"/>
        <w:rPr>
          <w:rFonts w:hint="eastAsia"/>
          <w:highlight w:val="none"/>
        </w:rPr>
      </w:pPr>
      <w:r>
        <w:rPr>
          <w:rFonts w:hint="eastAsia"/>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25B9FBBC">
      <w:pPr>
        <w:spacing w:line="400" w:lineRule="exact"/>
        <w:ind w:firstLine="420" w:firstLineChars="200"/>
        <w:rPr>
          <w:rFonts w:hint="eastAsia"/>
          <w:highlight w:val="none"/>
        </w:rPr>
      </w:pPr>
      <w:r>
        <w:rPr>
          <w:rFonts w:hint="eastAsia"/>
          <w:highlight w:val="none"/>
        </w:rPr>
        <w:t>8.1.2承包人应负责管理施工控制网点。施工控制网点丢失或损坏的，承包人应及时修复。承包人应承担施工控制网点的管理与修复费用，并在工程竣工后将施工控制网点移交发包人。</w:t>
      </w:r>
    </w:p>
    <w:p w14:paraId="15999184">
      <w:pPr>
        <w:pStyle w:val="45"/>
        <w:rPr>
          <w:rFonts w:hint="eastAsia"/>
          <w:highlight w:val="none"/>
        </w:rPr>
      </w:pPr>
      <w:bookmarkStart w:id="575" w:name="_Toc21495"/>
      <w:bookmarkStart w:id="576" w:name="_Toc152045670"/>
      <w:bookmarkStart w:id="577" w:name="_Toc152042448"/>
      <w:bookmarkStart w:id="578" w:name="_Toc144974638"/>
      <w:r>
        <w:rPr>
          <w:rFonts w:hint="eastAsia"/>
          <w:highlight w:val="none"/>
        </w:rPr>
        <w:t>8.2 施工测量</w:t>
      </w:r>
      <w:bookmarkEnd w:id="575"/>
      <w:bookmarkEnd w:id="576"/>
      <w:bookmarkEnd w:id="577"/>
      <w:bookmarkEnd w:id="578"/>
    </w:p>
    <w:p w14:paraId="1EEE7546">
      <w:pPr>
        <w:spacing w:line="400" w:lineRule="exact"/>
        <w:ind w:firstLine="420" w:firstLineChars="200"/>
        <w:rPr>
          <w:rFonts w:hint="eastAsia"/>
          <w:highlight w:val="none"/>
        </w:rPr>
      </w:pPr>
      <w:r>
        <w:rPr>
          <w:rFonts w:hint="eastAsia"/>
          <w:highlight w:val="none"/>
        </w:rPr>
        <w:t>8.2.1承包人应负责施工过程中的全部施工测量放线工作，并配置合格的人员、仪器、设备和其他物品。</w:t>
      </w:r>
    </w:p>
    <w:p w14:paraId="46E92B1F">
      <w:pPr>
        <w:spacing w:line="400" w:lineRule="exact"/>
        <w:ind w:firstLine="420" w:firstLineChars="200"/>
        <w:rPr>
          <w:rFonts w:hint="eastAsia"/>
          <w:highlight w:val="none"/>
        </w:rPr>
      </w:pPr>
      <w:r>
        <w:rPr>
          <w:rFonts w:hint="eastAsia"/>
          <w:highlight w:val="none"/>
        </w:rPr>
        <w:t>8.2.2监理人可以指示承包人进行抽样复测，当复测中发现错误或出现超过合同约定的误差时，承包人应按监理人指示进行修正或补测，并承担相应的复测费用。</w:t>
      </w:r>
    </w:p>
    <w:p w14:paraId="241584B6">
      <w:pPr>
        <w:pStyle w:val="45"/>
        <w:rPr>
          <w:rFonts w:hint="eastAsia"/>
          <w:highlight w:val="none"/>
        </w:rPr>
      </w:pPr>
      <w:bookmarkStart w:id="579" w:name="_Toc152042449"/>
      <w:bookmarkStart w:id="580" w:name="_Toc22115"/>
      <w:bookmarkStart w:id="581" w:name="_Toc144974639"/>
      <w:bookmarkStart w:id="582" w:name="_Toc152045671"/>
      <w:r>
        <w:rPr>
          <w:rFonts w:hint="eastAsia"/>
          <w:highlight w:val="none"/>
        </w:rPr>
        <w:t>8.3 基准资料错误的责任</w:t>
      </w:r>
      <w:bookmarkEnd w:id="579"/>
      <w:bookmarkEnd w:id="580"/>
      <w:bookmarkEnd w:id="581"/>
      <w:bookmarkEnd w:id="582"/>
    </w:p>
    <w:p w14:paraId="3A7A806C">
      <w:pPr>
        <w:spacing w:line="400" w:lineRule="exact"/>
        <w:ind w:firstLine="420" w:firstLineChars="200"/>
        <w:rPr>
          <w:rFonts w:hint="eastAsia"/>
          <w:highlight w:val="none"/>
        </w:rPr>
      </w:pPr>
      <w:r>
        <w:rPr>
          <w:rFonts w:hint="eastAsia"/>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229CBB08">
      <w:pPr>
        <w:pStyle w:val="45"/>
        <w:rPr>
          <w:rFonts w:hint="eastAsia"/>
          <w:highlight w:val="none"/>
        </w:rPr>
      </w:pPr>
      <w:bookmarkStart w:id="583" w:name="_Toc152042450"/>
      <w:bookmarkStart w:id="584" w:name="_Toc7528"/>
      <w:bookmarkStart w:id="585" w:name="_Toc144974640"/>
      <w:bookmarkStart w:id="586" w:name="_Toc152045672"/>
      <w:r>
        <w:rPr>
          <w:rFonts w:hint="eastAsia"/>
          <w:highlight w:val="none"/>
        </w:rPr>
        <w:t>8.4 监理人使用施工控制网</w:t>
      </w:r>
      <w:bookmarkEnd w:id="583"/>
      <w:bookmarkEnd w:id="584"/>
      <w:bookmarkEnd w:id="585"/>
      <w:bookmarkEnd w:id="586"/>
    </w:p>
    <w:p w14:paraId="28232AEE">
      <w:pPr>
        <w:spacing w:line="400" w:lineRule="exact"/>
        <w:ind w:firstLine="420" w:firstLineChars="200"/>
        <w:rPr>
          <w:rFonts w:hint="eastAsia"/>
          <w:dstrike/>
          <w:szCs w:val="21"/>
          <w:highlight w:val="none"/>
        </w:rPr>
      </w:pPr>
      <w:r>
        <w:rPr>
          <w:rFonts w:hint="eastAsia"/>
          <w:highlight w:val="none"/>
        </w:rPr>
        <w:t>监理人需要使用施工控制网的，承包人应提供必要的协助，发包人不再为此支付费用。</w:t>
      </w:r>
    </w:p>
    <w:p w14:paraId="3E9E3D80">
      <w:pPr>
        <w:pStyle w:val="46"/>
        <w:rPr>
          <w:rFonts w:hint="eastAsia"/>
          <w:highlight w:val="none"/>
        </w:rPr>
      </w:pPr>
      <w:bookmarkStart w:id="587" w:name="_Toc26153"/>
      <w:bookmarkStart w:id="588" w:name="_Toc144974641"/>
      <w:bookmarkStart w:id="589" w:name="_Toc152045673"/>
      <w:bookmarkStart w:id="590" w:name="_Toc152042451"/>
      <w:r>
        <w:rPr>
          <w:rFonts w:hint="eastAsia"/>
          <w:highlight w:val="none"/>
        </w:rPr>
        <w:t>9. 施工安全、治安保卫和环境保护</w:t>
      </w:r>
      <w:bookmarkEnd w:id="587"/>
      <w:bookmarkEnd w:id="588"/>
      <w:bookmarkEnd w:id="589"/>
      <w:bookmarkEnd w:id="590"/>
    </w:p>
    <w:p w14:paraId="1FFFA52A">
      <w:pPr>
        <w:pStyle w:val="45"/>
        <w:rPr>
          <w:rFonts w:hint="eastAsia"/>
          <w:highlight w:val="none"/>
        </w:rPr>
      </w:pPr>
      <w:bookmarkStart w:id="591" w:name="_Toc152042452"/>
      <w:bookmarkStart w:id="592" w:name="_Toc144974642"/>
      <w:bookmarkStart w:id="593" w:name="_Toc152045674"/>
      <w:bookmarkStart w:id="594" w:name="_Toc22629"/>
      <w:r>
        <w:rPr>
          <w:rFonts w:hint="eastAsia"/>
          <w:highlight w:val="none"/>
        </w:rPr>
        <w:t>9.1 发包人的施工安全责任</w:t>
      </w:r>
      <w:bookmarkEnd w:id="591"/>
      <w:bookmarkEnd w:id="592"/>
      <w:bookmarkEnd w:id="593"/>
      <w:bookmarkEnd w:id="594"/>
    </w:p>
    <w:p w14:paraId="06BD6167">
      <w:pPr>
        <w:spacing w:line="400" w:lineRule="exact"/>
        <w:ind w:firstLine="420" w:firstLineChars="200"/>
        <w:rPr>
          <w:rFonts w:hint="eastAsia"/>
          <w:highlight w:val="none"/>
        </w:rPr>
      </w:pPr>
      <w:r>
        <w:rPr>
          <w:rFonts w:hint="eastAsia"/>
          <w:highlight w:val="none"/>
        </w:rPr>
        <w:t>9.1.1 发包人应按合同约定履行安全职责，授权监理人按合同约定的安全工作内容监督、检查承包人安全工作的实施，组织承包人和有关单位进行安全检查。</w:t>
      </w:r>
    </w:p>
    <w:p w14:paraId="69CE7FF6">
      <w:pPr>
        <w:spacing w:line="400" w:lineRule="exact"/>
        <w:ind w:firstLine="420" w:firstLineChars="200"/>
        <w:rPr>
          <w:rFonts w:hint="eastAsia"/>
          <w:highlight w:val="none"/>
        </w:rPr>
      </w:pPr>
      <w:r>
        <w:rPr>
          <w:rFonts w:hint="eastAsia"/>
          <w:highlight w:val="none"/>
        </w:rPr>
        <w:t>9.1.2 发包人应对其现场机构雇佣的全部人员的工伤事故承担责任，但由于承包人原因造成发包人人员工伤的，应由承包人承担责任。</w:t>
      </w:r>
    </w:p>
    <w:p w14:paraId="78E2524C">
      <w:pPr>
        <w:spacing w:line="400" w:lineRule="exact"/>
        <w:ind w:firstLine="420" w:firstLineChars="200"/>
        <w:rPr>
          <w:rFonts w:hint="eastAsia"/>
          <w:highlight w:val="none"/>
        </w:rPr>
      </w:pPr>
      <w:r>
        <w:rPr>
          <w:rFonts w:hint="eastAsia"/>
          <w:highlight w:val="none"/>
        </w:rPr>
        <w:t>9.1.3 发包人应负责赔偿以下各种情况造成的第三者人身伤亡和财产损失：</w:t>
      </w:r>
    </w:p>
    <w:p w14:paraId="522A8062">
      <w:pPr>
        <w:spacing w:line="400" w:lineRule="exact"/>
        <w:ind w:firstLine="420" w:firstLineChars="200"/>
        <w:rPr>
          <w:rFonts w:hint="eastAsia"/>
          <w:highlight w:val="none"/>
        </w:rPr>
      </w:pPr>
      <w:r>
        <w:rPr>
          <w:rFonts w:hint="eastAsia"/>
          <w:highlight w:val="none"/>
        </w:rPr>
        <w:t>（1） 工程或工程的任何部分对土地的占用所造成的第三者财产损失；</w:t>
      </w:r>
    </w:p>
    <w:p w14:paraId="709F725A">
      <w:pPr>
        <w:spacing w:line="400" w:lineRule="exact"/>
        <w:ind w:firstLine="420" w:firstLineChars="200"/>
        <w:rPr>
          <w:rFonts w:hint="eastAsia"/>
          <w:highlight w:val="none"/>
        </w:rPr>
      </w:pPr>
      <w:r>
        <w:rPr>
          <w:rFonts w:hint="eastAsia"/>
          <w:highlight w:val="none"/>
        </w:rPr>
        <w:t>（2） 由于发包人原因在施工场地及其毗邻地带造成的第三者人身伤亡和财产损失。</w:t>
      </w:r>
    </w:p>
    <w:p w14:paraId="0B31A38F">
      <w:pPr>
        <w:pStyle w:val="45"/>
        <w:rPr>
          <w:rFonts w:hint="eastAsia"/>
          <w:highlight w:val="none"/>
        </w:rPr>
      </w:pPr>
      <w:bookmarkStart w:id="595" w:name="_Toc152042453"/>
      <w:bookmarkStart w:id="596" w:name="_Toc27239"/>
      <w:bookmarkStart w:id="597" w:name="_Toc152045675"/>
      <w:bookmarkStart w:id="598" w:name="_Toc144974643"/>
      <w:r>
        <w:rPr>
          <w:rFonts w:hint="eastAsia"/>
          <w:highlight w:val="none"/>
        </w:rPr>
        <w:t>9.2 承包人的施工安全责任</w:t>
      </w:r>
      <w:bookmarkEnd w:id="595"/>
      <w:bookmarkEnd w:id="596"/>
      <w:bookmarkEnd w:id="597"/>
      <w:bookmarkEnd w:id="598"/>
    </w:p>
    <w:p w14:paraId="6298FF82">
      <w:pPr>
        <w:spacing w:line="400" w:lineRule="exact"/>
        <w:ind w:firstLine="420" w:firstLineChars="200"/>
        <w:rPr>
          <w:rFonts w:hint="eastAsia"/>
          <w:highlight w:val="none"/>
        </w:rPr>
      </w:pPr>
      <w:r>
        <w:rPr>
          <w:rFonts w:hint="eastAsia"/>
          <w:highlight w:val="none"/>
        </w:rPr>
        <w:t>9.2.1 承包人应按合同约定履行安全职责,执行监理人有关安全工作的指示,并在专用合同条款约定的期限内，按合同约定的安全工作内容，编制施工安全措施计划报送监理人审批。</w:t>
      </w:r>
    </w:p>
    <w:p w14:paraId="3EEFECAF">
      <w:pPr>
        <w:spacing w:line="400" w:lineRule="exact"/>
        <w:ind w:firstLine="420" w:firstLineChars="200"/>
        <w:rPr>
          <w:rFonts w:hint="eastAsia"/>
          <w:highlight w:val="none"/>
        </w:rPr>
      </w:pPr>
      <w:r>
        <w:rPr>
          <w:rFonts w:hint="eastAsia"/>
          <w:highlight w:val="none"/>
        </w:rPr>
        <w:t>9.2.2 承包人应加强施工作业安全管理，特别应加强易燃、易爆材料、火工器材、有毒与腐蚀性材料和其他危险品的管理，以及对爆破作业和地下工程施工等危险作业的管理。</w:t>
      </w:r>
    </w:p>
    <w:p w14:paraId="634049C9">
      <w:pPr>
        <w:spacing w:line="400" w:lineRule="exact"/>
        <w:ind w:firstLine="420" w:firstLineChars="200"/>
        <w:rPr>
          <w:rFonts w:hint="eastAsia"/>
          <w:highlight w:val="none"/>
        </w:rPr>
      </w:pPr>
      <w:r>
        <w:rPr>
          <w:rFonts w:hint="eastAsia"/>
          <w:highlight w:val="none"/>
        </w:rPr>
        <w:t>9.2.3 承包人应严格按照国家安全标准制定施工安全操作规程，配备必要的安全生产和劳动保护设施，加强对承包人人员的安全教育，并发放安全工作手册和劳动保护用具。</w:t>
      </w:r>
    </w:p>
    <w:p w14:paraId="36CA0FEF">
      <w:pPr>
        <w:spacing w:line="400" w:lineRule="exact"/>
        <w:ind w:firstLine="420" w:firstLineChars="200"/>
        <w:rPr>
          <w:rFonts w:hint="eastAsia"/>
          <w:highlight w:val="none"/>
        </w:rPr>
      </w:pPr>
      <w:r>
        <w:rPr>
          <w:rFonts w:hint="eastAsia"/>
          <w:highlight w:val="none"/>
        </w:rPr>
        <w:t>9.2.4 承包人应按监理人的指示制定应对灾害的紧急预案，报送监理人审批。承包人还应按预案做好安全检查，配置必要的救助物资和器材，切实保护好有关人员的人身和财产安全。</w:t>
      </w:r>
    </w:p>
    <w:p w14:paraId="3F450B8B">
      <w:pPr>
        <w:spacing w:line="400" w:lineRule="exact"/>
        <w:ind w:firstLine="420" w:firstLineChars="200"/>
        <w:rPr>
          <w:rFonts w:hint="eastAsia"/>
          <w:highlight w:val="none"/>
        </w:rPr>
      </w:pPr>
      <w:r>
        <w:rPr>
          <w:rFonts w:hint="eastAsia"/>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1A2B27B0">
      <w:pPr>
        <w:spacing w:line="400" w:lineRule="exact"/>
        <w:ind w:firstLine="420" w:firstLineChars="200"/>
        <w:rPr>
          <w:rFonts w:hint="eastAsia"/>
          <w:highlight w:val="none"/>
        </w:rPr>
      </w:pPr>
      <w:r>
        <w:rPr>
          <w:rFonts w:hint="eastAsia"/>
          <w:highlight w:val="none"/>
        </w:rPr>
        <w:t>9.2.6 承包人应对其履行合同所雇佣的全部人员，包括分包人人员的工伤事故承担责任，但由于发包人原因造成承包人人员工伤事故的，应由发包人承担责任。</w:t>
      </w:r>
    </w:p>
    <w:p w14:paraId="26D755D3">
      <w:pPr>
        <w:spacing w:line="400" w:lineRule="exact"/>
        <w:ind w:firstLine="420" w:firstLineChars="200"/>
        <w:rPr>
          <w:rFonts w:hint="eastAsia"/>
          <w:highlight w:val="none"/>
        </w:rPr>
      </w:pPr>
      <w:r>
        <w:rPr>
          <w:rFonts w:hint="eastAsia"/>
          <w:highlight w:val="none"/>
        </w:rPr>
        <w:t>9.2.7 由于承包人原因在施工场地内及其毗邻地带造成的第三者人员伤亡和财产损失，由承包人负责赔偿。</w:t>
      </w:r>
    </w:p>
    <w:p w14:paraId="1DCF2209">
      <w:pPr>
        <w:pStyle w:val="45"/>
        <w:rPr>
          <w:rFonts w:hint="eastAsia"/>
          <w:highlight w:val="none"/>
        </w:rPr>
      </w:pPr>
      <w:bookmarkStart w:id="599" w:name="_Toc152045676"/>
      <w:bookmarkStart w:id="600" w:name="_Toc20397"/>
      <w:bookmarkStart w:id="601" w:name="_Toc144974644"/>
      <w:bookmarkStart w:id="602" w:name="_Toc152042454"/>
      <w:r>
        <w:rPr>
          <w:rFonts w:hint="eastAsia"/>
          <w:highlight w:val="none"/>
        </w:rPr>
        <w:t>9.3 治安保卫</w:t>
      </w:r>
      <w:bookmarkEnd w:id="599"/>
      <w:bookmarkEnd w:id="600"/>
      <w:bookmarkEnd w:id="601"/>
      <w:bookmarkEnd w:id="602"/>
    </w:p>
    <w:p w14:paraId="5FED6DDF">
      <w:pPr>
        <w:spacing w:line="400" w:lineRule="exact"/>
        <w:ind w:firstLine="420" w:firstLineChars="200"/>
        <w:rPr>
          <w:rFonts w:hint="eastAsia"/>
          <w:highlight w:val="none"/>
        </w:rPr>
      </w:pPr>
      <w:r>
        <w:rPr>
          <w:rFonts w:hint="eastAsia"/>
          <w:highlight w:val="none"/>
        </w:rPr>
        <w:t>9.3.1 除合同另有约定外，发包人应与当地公安部门协商，在现场建立治安管理机构或联防组织，统一管理施工场地的治安保卫事项，履行合同工程的治安保卫职责。</w:t>
      </w:r>
    </w:p>
    <w:p w14:paraId="6BEACDD4">
      <w:pPr>
        <w:spacing w:line="400" w:lineRule="exact"/>
        <w:ind w:firstLine="420" w:firstLineChars="200"/>
        <w:rPr>
          <w:rFonts w:hint="eastAsia"/>
          <w:highlight w:val="none"/>
        </w:rPr>
      </w:pPr>
      <w:r>
        <w:rPr>
          <w:rFonts w:hint="eastAsia"/>
          <w:highlight w:val="none"/>
        </w:rPr>
        <w:t>9.3.2 发包人和承包人除应协助现场治安管理机构或联防组织维护施工场地的社会治安外，还应做好包括生活区在内的各自管辖区的治安保卫工作。</w:t>
      </w:r>
    </w:p>
    <w:p w14:paraId="15335F77">
      <w:pPr>
        <w:spacing w:line="400" w:lineRule="exact"/>
        <w:ind w:firstLine="420" w:firstLineChars="200"/>
        <w:rPr>
          <w:rFonts w:hint="eastAsia"/>
          <w:highlight w:val="none"/>
        </w:rPr>
      </w:pPr>
      <w:r>
        <w:rPr>
          <w:rFonts w:hint="eastAsia"/>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EBD8784">
      <w:pPr>
        <w:pStyle w:val="45"/>
        <w:rPr>
          <w:rFonts w:hint="eastAsia"/>
          <w:highlight w:val="none"/>
        </w:rPr>
      </w:pPr>
      <w:bookmarkStart w:id="603" w:name="_Toc3496"/>
      <w:bookmarkStart w:id="604" w:name="_Toc152045677"/>
      <w:bookmarkStart w:id="605" w:name="_Toc144974645"/>
      <w:bookmarkStart w:id="606" w:name="_Toc152042455"/>
      <w:r>
        <w:rPr>
          <w:rFonts w:hint="eastAsia"/>
          <w:highlight w:val="none"/>
        </w:rPr>
        <w:t>9.4 环境保护</w:t>
      </w:r>
      <w:bookmarkEnd w:id="603"/>
      <w:bookmarkEnd w:id="604"/>
      <w:bookmarkEnd w:id="605"/>
      <w:bookmarkEnd w:id="606"/>
    </w:p>
    <w:p w14:paraId="13350AF1">
      <w:pPr>
        <w:spacing w:line="400" w:lineRule="exact"/>
        <w:ind w:firstLine="420" w:firstLineChars="200"/>
        <w:rPr>
          <w:rFonts w:hint="eastAsia"/>
          <w:highlight w:val="none"/>
        </w:rPr>
      </w:pPr>
      <w:r>
        <w:rPr>
          <w:rFonts w:hint="eastAsia"/>
          <w:highlight w:val="none"/>
        </w:rPr>
        <w:t>9.4.1 承包人在施工过程中，应遵守有关环境保护的法律，履行合同约定的环境保护义务，并对违反法律和合同约定义务所造成的环境破坏、人身伤害和财产损失负责。</w:t>
      </w:r>
    </w:p>
    <w:p w14:paraId="09395F92">
      <w:pPr>
        <w:spacing w:line="400" w:lineRule="exact"/>
        <w:ind w:firstLine="420" w:firstLineChars="200"/>
        <w:rPr>
          <w:rFonts w:hint="eastAsia"/>
          <w:highlight w:val="none"/>
        </w:rPr>
      </w:pPr>
      <w:r>
        <w:rPr>
          <w:rFonts w:hint="eastAsia"/>
          <w:highlight w:val="none"/>
        </w:rPr>
        <w:t>9.4.2 承包人应按合同约定的环保工作内容，编制施工环保措施计划，报送监理人审批。</w:t>
      </w:r>
    </w:p>
    <w:p w14:paraId="0CCB5E0B">
      <w:pPr>
        <w:spacing w:line="400" w:lineRule="exact"/>
        <w:ind w:firstLine="420" w:firstLineChars="200"/>
        <w:rPr>
          <w:rFonts w:hint="eastAsia"/>
          <w:highlight w:val="none"/>
        </w:rPr>
      </w:pPr>
      <w:r>
        <w:rPr>
          <w:rFonts w:hint="eastAsia"/>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B5EB124">
      <w:pPr>
        <w:spacing w:line="400" w:lineRule="exact"/>
        <w:ind w:firstLine="420" w:firstLineChars="200"/>
        <w:rPr>
          <w:rFonts w:hint="eastAsia"/>
          <w:highlight w:val="none"/>
        </w:rPr>
      </w:pPr>
      <w:r>
        <w:rPr>
          <w:rFonts w:hint="eastAsia"/>
          <w:highlight w:val="none"/>
        </w:rPr>
        <w:t>9.4.4 承包人应按合同约定采取有效措施，对施工开挖的边坡及时进行支护,维护排水设施，并进行水土保护，避免因施工造成的地质灾害。</w:t>
      </w:r>
    </w:p>
    <w:p w14:paraId="0F63B3D3">
      <w:pPr>
        <w:spacing w:line="400" w:lineRule="exact"/>
        <w:ind w:firstLine="420" w:firstLineChars="200"/>
        <w:rPr>
          <w:rFonts w:hint="eastAsia"/>
          <w:highlight w:val="none"/>
        </w:rPr>
      </w:pPr>
      <w:r>
        <w:rPr>
          <w:rFonts w:hint="eastAsia"/>
          <w:highlight w:val="none"/>
        </w:rPr>
        <w:t>9.4.5 承包人应按国家饮用水管理标准定期对饮用水源进行监测，防止施工活动污染饮用水源。</w:t>
      </w:r>
    </w:p>
    <w:p w14:paraId="65106CDE">
      <w:pPr>
        <w:spacing w:line="400" w:lineRule="exact"/>
        <w:ind w:firstLine="420" w:firstLineChars="200"/>
        <w:rPr>
          <w:rFonts w:hint="eastAsia"/>
          <w:highlight w:val="none"/>
        </w:rPr>
      </w:pPr>
      <w:r>
        <w:rPr>
          <w:rFonts w:hint="eastAsia"/>
          <w:highlight w:val="none"/>
        </w:rPr>
        <w:t>9.4.6 承包人应按合同约定，加强对噪声、粉尘、废气、废水和废油的控制，努力降低噪声，控制粉尘和废气浓度，做好废水和废油的治理和排放。</w:t>
      </w:r>
    </w:p>
    <w:p w14:paraId="3084723A">
      <w:pPr>
        <w:pStyle w:val="45"/>
        <w:rPr>
          <w:rFonts w:hint="eastAsia"/>
          <w:highlight w:val="none"/>
        </w:rPr>
      </w:pPr>
      <w:bookmarkStart w:id="607" w:name="_Toc152045678"/>
      <w:bookmarkStart w:id="608" w:name="_Toc2885"/>
      <w:bookmarkStart w:id="609" w:name="_Toc144974646"/>
      <w:bookmarkStart w:id="610" w:name="_Toc152042456"/>
      <w:r>
        <w:rPr>
          <w:rFonts w:hint="eastAsia"/>
          <w:highlight w:val="none"/>
        </w:rPr>
        <w:t>9.5 事故处理</w:t>
      </w:r>
      <w:bookmarkEnd w:id="607"/>
      <w:bookmarkEnd w:id="608"/>
      <w:bookmarkEnd w:id="609"/>
      <w:bookmarkEnd w:id="610"/>
    </w:p>
    <w:p w14:paraId="14C4FB9F">
      <w:pPr>
        <w:spacing w:line="400" w:lineRule="exact"/>
        <w:ind w:firstLine="420" w:firstLineChars="200"/>
        <w:rPr>
          <w:rFonts w:hint="eastAsia"/>
          <w:highlight w:val="none"/>
        </w:rPr>
      </w:pPr>
      <w:r>
        <w:rPr>
          <w:rFonts w:hint="eastAsia"/>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A2D416D">
      <w:pPr>
        <w:pStyle w:val="46"/>
        <w:rPr>
          <w:rFonts w:hint="eastAsia"/>
          <w:highlight w:val="none"/>
        </w:rPr>
      </w:pPr>
      <w:bookmarkStart w:id="611" w:name="_Toc144974647"/>
      <w:bookmarkStart w:id="612" w:name="_Toc152042457"/>
      <w:bookmarkStart w:id="613" w:name="_Toc152045679"/>
      <w:bookmarkStart w:id="614" w:name="_Toc10483"/>
      <w:r>
        <w:rPr>
          <w:rFonts w:hint="eastAsia"/>
          <w:highlight w:val="none"/>
        </w:rPr>
        <w:t>10. 进度计划</w:t>
      </w:r>
      <w:bookmarkEnd w:id="611"/>
      <w:bookmarkEnd w:id="612"/>
      <w:bookmarkEnd w:id="613"/>
      <w:bookmarkEnd w:id="614"/>
    </w:p>
    <w:p w14:paraId="31F7E18C">
      <w:pPr>
        <w:pStyle w:val="45"/>
        <w:rPr>
          <w:rFonts w:hint="eastAsia"/>
          <w:highlight w:val="none"/>
        </w:rPr>
      </w:pPr>
      <w:bookmarkStart w:id="615" w:name="_Toc144974648"/>
      <w:bookmarkStart w:id="616" w:name="_Toc152042458"/>
      <w:bookmarkStart w:id="617" w:name="_Toc152045680"/>
      <w:bookmarkStart w:id="618" w:name="_Toc5316"/>
      <w:r>
        <w:rPr>
          <w:rFonts w:hint="eastAsia"/>
          <w:highlight w:val="none"/>
        </w:rPr>
        <w:t>10.1 合同进度计划</w:t>
      </w:r>
      <w:bookmarkEnd w:id="615"/>
      <w:bookmarkEnd w:id="616"/>
      <w:bookmarkEnd w:id="617"/>
      <w:bookmarkEnd w:id="618"/>
    </w:p>
    <w:p w14:paraId="034FF051">
      <w:pPr>
        <w:spacing w:line="400" w:lineRule="exact"/>
        <w:ind w:firstLine="420" w:firstLineChars="200"/>
        <w:rPr>
          <w:rFonts w:hint="eastAsia"/>
          <w:highlight w:val="none"/>
        </w:rPr>
      </w:pPr>
      <w:r>
        <w:rPr>
          <w:rFonts w:hint="eastAsia"/>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3E12635A">
      <w:pPr>
        <w:pStyle w:val="45"/>
        <w:rPr>
          <w:rFonts w:hint="eastAsia"/>
          <w:highlight w:val="none"/>
        </w:rPr>
      </w:pPr>
      <w:bookmarkStart w:id="619" w:name="_Toc10612"/>
      <w:bookmarkStart w:id="620" w:name="_Toc152042459"/>
      <w:bookmarkStart w:id="621" w:name="_Toc144974649"/>
      <w:bookmarkStart w:id="622" w:name="_Toc152045681"/>
      <w:r>
        <w:rPr>
          <w:rFonts w:hint="eastAsia"/>
          <w:highlight w:val="none"/>
        </w:rPr>
        <w:t>10.2 合同进度计划的修订</w:t>
      </w:r>
      <w:bookmarkEnd w:id="619"/>
      <w:bookmarkEnd w:id="620"/>
      <w:bookmarkEnd w:id="621"/>
      <w:bookmarkEnd w:id="622"/>
    </w:p>
    <w:p w14:paraId="08514395">
      <w:pPr>
        <w:spacing w:line="400" w:lineRule="exact"/>
        <w:ind w:firstLine="420" w:firstLineChars="200"/>
        <w:rPr>
          <w:rFonts w:hint="eastAsia"/>
          <w:highlight w:val="none"/>
        </w:rPr>
      </w:pPr>
      <w:r>
        <w:rPr>
          <w:rFonts w:hint="eastAsia"/>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4A606ED1">
      <w:pPr>
        <w:pStyle w:val="46"/>
        <w:rPr>
          <w:rFonts w:hint="eastAsia"/>
          <w:highlight w:val="none"/>
        </w:rPr>
      </w:pPr>
      <w:bookmarkStart w:id="623" w:name="_Toc152042460"/>
      <w:bookmarkStart w:id="624" w:name="_Toc12014"/>
      <w:bookmarkStart w:id="625" w:name="_Toc152045682"/>
      <w:bookmarkStart w:id="626" w:name="_Toc144974650"/>
      <w:r>
        <w:rPr>
          <w:rFonts w:hint="eastAsia"/>
          <w:highlight w:val="none"/>
        </w:rPr>
        <w:t>11. 开工和竣工</w:t>
      </w:r>
      <w:bookmarkEnd w:id="623"/>
      <w:bookmarkEnd w:id="624"/>
      <w:bookmarkEnd w:id="625"/>
      <w:bookmarkEnd w:id="626"/>
    </w:p>
    <w:p w14:paraId="778C9F93">
      <w:pPr>
        <w:pStyle w:val="45"/>
        <w:rPr>
          <w:rFonts w:hint="eastAsia"/>
          <w:highlight w:val="none"/>
        </w:rPr>
      </w:pPr>
      <w:bookmarkStart w:id="627" w:name="_Toc12308"/>
      <w:bookmarkStart w:id="628" w:name="_Toc152045683"/>
      <w:bookmarkStart w:id="629" w:name="_Toc152042461"/>
      <w:bookmarkStart w:id="630" w:name="_Toc144974651"/>
      <w:r>
        <w:rPr>
          <w:rFonts w:hint="eastAsia"/>
          <w:highlight w:val="none"/>
        </w:rPr>
        <w:t>11.1 开工</w:t>
      </w:r>
      <w:bookmarkEnd w:id="627"/>
      <w:bookmarkEnd w:id="628"/>
      <w:bookmarkEnd w:id="629"/>
      <w:bookmarkEnd w:id="630"/>
    </w:p>
    <w:p w14:paraId="7C7E27CA">
      <w:pPr>
        <w:spacing w:line="400" w:lineRule="exact"/>
        <w:ind w:firstLine="420" w:firstLineChars="200"/>
        <w:rPr>
          <w:rFonts w:hint="eastAsia"/>
          <w:highlight w:val="none"/>
        </w:rPr>
      </w:pPr>
      <w:r>
        <w:rPr>
          <w:rFonts w:hint="eastAsia"/>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2D63DDF9">
      <w:pPr>
        <w:spacing w:line="400" w:lineRule="exact"/>
        <w:ind w:firstLine="420" w:firstLineChars="200"/>
        <w:rPr>
          <w:rFonts w:hint="eastAsia"/>
          <w:highlight w:val="none"/>
          <w:shd w:val="pct10" w:color="auto" w:fill="FFFFFF"/>
        </w:rPr>
      </w:pPr>
      <w:r>
        <w:rPr>
          <w:rFonts w:hint="eastAsia"/>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1DA1926">
      <w:pPr>
        <w:pStyle w:val="45"/>
        <w:rPr>
          <w:rFonts w:hint="eastAsia"/>
          <w:highlight w:val="none"/>
        </w:rPr>
      </w:pPr>
      <w:bookmarkStart w:id="631" w:name="_Toc144974652"/>
      <w:bookmarkStart w:id="632" w:name="_Toc152042462"/>
      <w:bookmarkStart w:id="633" w:name="_Toc152045684"/>
      <w:bookmarkStart w:id="634" w:name="_Toc9043"/>
      <w:r>
        <w:rPr>
          <w:rFonts w:hint="eastAsia"/>
          <w:highlight w:val="none"/>
        </w:rPr>
        <w:t>11.2 竣工</w:t>
      </w:r>
      <w:bookmarkEnd w:id="631"/>
      <w:bookmarkEnd w:id="632"/>
      <w:bookmarkEnd w:id="633"/>
      <w:bookmarkEnd w:id="634"/>
    </w:p>
    <w:p w14:paraId="4C8AEA06">
      <w:pPr>
        <w:spacing w:line="400" w:lineRule="exact"/>
        <w:ind w:firstLine="420" w:firstLineChars="200"/>
        <w:rPr>
          <w:rFonts w:hint="eastAsia"/>
          <w:highlight w:val="none"/>
        </w:rPr>
      </w:pPr>
      <w:r>
        <w:rPr>
          <w:rFonts w:hint="eastAsia"/>
          <w:highlight w:val="none"/>
        </w:rPr>
        <w:t>承包人应在第1.1.4.3目约定的期限内完成合同工程。实际竣工日期在接收证书中写明。</w:t>
      </w:r>
    </w:p>
    <w:p w14:paraId="0BCF0E13">
      <w:pPr>
        <w:pStyle w:val="45"/>
        <w:rPr>
          <w:rFonts w:hint="eastAsia"/>
          <w:highlight w:val="none"/>
        </w:rPr>
      </w:pPr>
      <w:bookmarkStart w:id="635" w:name="_Toc152045685"/>
      <w:bookmarkStart w:id="636" w:name="_Toc152042463"/>
      <w:bookmarkStart w:id="637" w:name="_Toc144974653"/>
      <w:bookmarkStart w:id="638" w:name="_Toc9003"/>
      <w:r>
        <w:rPr>
          <w:rFonts w:hint="eastAsia"/>
          <w:highlight w:val="none"/>
        </w:rPr>
        <w:t>11.3 发包人的工期延误</w:t>
      </w:r>
      <w:bookmarkEnd w:id="635"/>
      <w:bookmarkEnd w:id="636"/>
      <w:bookmarkEnd w:id="637"/>
      <w:bookmarkEnd w:id="638"/>
    </w:p>
    <w:p w14:paraId="183ECF56">
      <w:pPr>
        <w:spacing w:line="400" w:lineRule="exact"/>
        <w:ind w:firstLine="420" w:firstLineChars="200"/>
        <w:rPr>
          <w:rFonts w:hint="eastAsia"/>
          <w:highlight w:val="none"/>
        </w:rPr>
      </w:pPr>
      <w:r>
        <w:rPr>
          <w:rFonts w:hint="eastAsia"/>
          <w:highlight w:val="none"/>
        </w:rPr>
        <w:t>在履行合同过程中，由于发包人的下列原因造成工期延误的，承包人有权要求发包人延长工期和（或）增加费用，并支付合理利润。需要修订合同进度计划的，按照第10.2款的约定办理。</w:t>
      </w:r>
    </w:p>
    <w:p w14:paraId="4D626AB9">
      <w:pPr>
        <w:spacing w:line="400" w:lineRule="exact"/>
        <w:ind w:firstLine="359" w:firstLineChars="171"/>
        <w:rPr>
          <w:rFonts w:hint="eastAsia"/>
          <w:highlight w:val="none"/>
        </w:rPr>
      </w:pPr>
      <w:r>
        <w:rPr>
          <w:rFonts w:hint="eastAsia"/>
          <w:highlight w:val="none"/>
        </w:rPr>
        <w:t>（1）增加合同工作内容；</w:t>
      </w:r>
    </w:p>
    <w:p w14:paraId="14071043">
      <w:pPr>
        <w:spacing w:line="400" w:lineRule="exact"/>
        <w:ind w:firstLine="359" w:firstLineChars="171"/>
        <w:rPr>
          <w:rFonts w:hint="eastAsia"/>
          <w:highlight w:val="none"/>
        </w:rPr>
      </w:pPr>
      <w:r>
        <w:rPr>
          <w:rFonts w:hint="eastAsia"/>
          <w:highlight w:val="none"/>
        </w:rPr>
        <w:t>（2）改变合同中任何一项工作的质量要求或其他特性；</w:t>
      </w:r>
    </w:p>
    <w:p w14:paraId="60B06935">
      <w:pPr>
        <w:spacing w:line="400" w:lineRule="exact"/>
        <w:ind w:firstLine="359" w:firstLineChars="171"/>
        <w:rPr>
          <w:rFonts w:hint="eastAsia"/>
          <w:highlight w:val="none"/>
        </w:rPr>
      </w:pPr>
      <w:r>
        <w:rPr>
          <w:rFonts w:hint="eastAsia"/>
          <w:highlight w:val="none"/>
        </w:rPr>
        <w:t>（3）发包人迟延提供材料、工程设备或变更交货地点的；</w:t>
      </w:r>
    </w:p>
    <w:p w14:paraId="4B0DFD04">
      <w:pPr>
        <w:spacing w:line="400" w:lineRule="exact"/>
        <w:ind w:firstLine="359" w:firstLineChars="171"/>
        <w:rPr>
          <w:rFonts w:hint="eastAsia"/>
          <w:highlight w:val="none"/>
        </w:rPr>
      </w:pPr>
      <w:r>
        <w:rPr>
          <w:rFonts w:hint="eastAsia"/>
          <w:highlight w:val="none"/>
        </w:rPr>
        <w:t>（4）因发包人原因导致的暂停施工；</w:t>
      </w:r>
    </w:p>
    <w:p w14:paraId="7F4921F9">
      <w:pPr>
        <w:spacing w:line="400" w:lineRule="exact"/>
        <w:ind w:firstLine="359" w:firstLineChars="171"/>
        <w:rPr>
          <w:rFonts w:hint="eastAsia"/>
          <w:highlight w:val="none"/>
        </w:rPr>
      </w:pPr>
      <w:r>
        <w:rPr>
          <w:rFonts w:hint="eastAsia"/>
          <w:highlight w:val="none"/>
        </w:rPr>
        <w:t>（5）提供图纸延误；</w:t>
      </w:r>
    </w:p>
    <w:p w14:paraId="13ED7F04">
      <w:pPr>
        <w:spacing w:line="400" w:lineRule="exact"/>
        <w:ind w:firstLine="359" w:firstLineChars="171"/>
        <w:rPr>
          <w:rFonts w:hint="eastAsia"/>
          <w:highlight w:val="none"/>
        </w:rPr>
      </w:pPr>
      <w:r>
        <w:rPr>
          <w:rFonts w:hint="eastAsia"/>
          <w:highlight w:val="none"/>
        </w:rPr>
        <w:t>（6）未按合同约定及时支付预付款、进度款；</w:t>
      </w:r>
    </w:p>
    <w:p w14:paraId="04593DF3">
      <w:pPr>
        <w:spacing w:line="400" w:lineRule="exact"/>
        <w:ind w:firstLine="359" w:firstLineChars="171"/>
        <w:rPr>
          <w:rFonts w:hint="eastAsia"/>
          <w:highlight w:val="none"/>
        </w:rPr>
      </w:pPr>
      <w:r>
        <w:rPr>
          <w:rFonts w:hint="eastAsia"/>
          <w:highlight w:val="none"/>
        </w:rPr>
        <w:t>（7）发包人造成工期延误的其他原因。</w:t>
      </w:r>
    </w:p>
    <w:p w14:paraId="0E2E2CF4">
      <w:pPr>
        <w:pStyle w:val="45"/>
        <w:rPr>
          <w:rFonts w:hint="eastAsia"/>
          <w:highlight w:val="none"/>
        </w:rPr>
      </w:pPr>
      <w:bookmarkStart w:id="639" w:name="_Toc152045686"/>
      <w:bookmarkStart w:id="640" w:name="_Toc7637"/>
      <w:bookmarkStart w:id="641" w:name="_Toc152042464"/>
      <w:bookmarkStart w:id="642" w:name="_Toc144974654"/>
      <w:r>
        <w:rPr>
          <w:rFonts w:hint="eastAsia"/>
          <w:highlight w:val="none"/>
        </w:rPr>
        <w:t>11.4 异常恶劣的气候条件</w:t>
      </w:r>
      <w:bookmarkEnd w:id="639"/>
      <w:bookmarkEnd w:id="640"/>
      <w:bookmarkEnd w:id="641"/>
      <w:bookmarkEnd w:id="642"/>
    </w:p>
    <w:p w14:paraId="2234DA5C">
      <w:pPr>
        <w:spacing w:line="400" w:lineRule="exact"/>
        <w:ind w:firstLine="359" w:firstLineChars="171"/>
        <w:rPr>
          <w:rFonts w:hint="eastAsia"/>
          <w:highlight w:val="none"/>
        </w:rPr>
      </w:pPr>
      <w:r>
        <w:rPr>
          <w:rFonts w:hint="eastAsia"/>
          <w:highlight w:val="none"/>
        </w:rPr>
        <w:t>由于出现专用合同条款规定的异常恶劣气候的条件导致工期延误的，承包人有权要求发包人延长工期。</w:t>
      </w:r>
    </w:p>
    <w:p w14:paraId="64E9618C">
      <w:pPr>
        <w:pStyle w:val="45"/>
        <w:rPr>
          <w:rFonts w:hint="eastAsia"/>
          <w:highlight w:val="none"/>
        </w:rPr>
      </w:pPr>
      <w:bookmarkStart w:id="643" w:name="_Toc27253"/>
      <w:bookmarkStart w:id="644" w:name="_Toc152045687"/>
      <w:bookmarkStart w:id="645" w:name="_Toc144974655"/>
      <w:bookmarkStart w:id="646" w:name="_Toc152042465"/>
      <w:r>
        <w:rPr>
          <w:rFonts w:hint="eastAsia"/>
          <w:highlight w:val="none"/>
        </w:rPr>
        <w:t>11.5 承包人的工期延误</w:t>
      </w:r>
      <w:bookmarkEnd w:id="643"/>
      <w:bookmarkEnd w:id="644"/>
      <w:bookmarkEnd w:id="645"/>
      <w:bookmarkEnd w:id="646"/>
    </w:p>
    <w:p w14:paraId="044510EA">
      <w:pPr>
        <w:spacing w:line="400" w:lineRule="exact"/>
        <w:ind w:firstLine="420" w:firstLineChars="200"/>
        <w:rPr>
          <w:rFonts w:hint="eastAsia"/>
          <w:highlight w:val="none"/>
        </w:rPr>
      </w:pPr>
      <w:r>
        <w:rPr>
          <w:rFonts w:hint="eastAsia"/>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09F50C8">
      <w:pPr>
        <w:pStyle w:val="45"/>
        <w:rPr>
          <w:rFonts w:hint="eastAsia"/>
          <w:highlight w:val="none"/>
        </w:rPr>
      </w:pPr>
      <w:bookmarkStart w:id="647" w:name="_Toc144974656"/>
      <w:bookmarkStart w:id="648" w:name="_Toc152042466"/>
      <w:bookmarkStart w:id="649" w:name="_Toc3373"/>
      <w:bookmarkStart w:id="650" w:name="_Toc152045688"/>
      <w:r>
        <w:rPr>
          <w:rFonts w:hint="eastAsia"/>
          <w:highlight w:val="none"/>
        </w:rPr>
        <w:t>11.6</w:t>
      </w:r>
      <w:bookmarkEnd w:id="647"/>
      <w:bookmarkStart w:id="651" w:name="_Toc144974657"/>
      <w:r>
        <w:rPr>
          <w:rFonts w:hint="eastAsia"/>
          <w:highlight w:val="none"/>
        </w:rPr>
        <w:t xml:space="preserve"> 工期提前</w:t>
      </w:r>
      <w:bookmarkEnd w:id="648"/>
      <w:bookmarkEnd w:id="649"/>
      <w:bookmarkEnd w:id="650"/>
      <w:bookmarkEnd w:id="651"/>
    </w:p>
    <w:p w14:paraId="2A4F468D">
      <w:pPr>
        <w:spacing w:line="400" w:lineRule="exact"/>
        <w:ind w:firstLine="420" w:firstLineChars="200"/>
        <w:rPr>
          <w:rFonts w:hint="eastAsia"/>
          <w:highlight w:val="none"/>
        </w:rPr>
      </w:pPr>
      <w:r>
        <w:rPr>
          <w:rFonts w:hint="eastAsia"/>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4D47A749">
      <w:pPr>
        <w:pStyle w:val="46"/>
        <w:rPr>
          <w:rFonts w:hint="eastAsia"/>
          <w:highlight w:val="none"/>
        </w:rPr>
      </w:pPr>
      <w:bookmarkStart w:id="652" w:name="_Toc144974658"/>
      <w:bookmarkStart w:id="653" w:name="_Toc152042467"/>
      <w:bookmarkStart w:id="654" w:name="_Toc152045689"/>
      <w:bookmarkStart w:id="655" w:name="_Toc4074"/>
      <w:r>
        <w:rPr>
          <w:rFonts w:hint="eastAsia"/>
          <w:highlight w:val="none"/>
        </w:rPr>
        <w:t>12. 暂停施工</w:t>
      </w:r>
      <w:bookmarkEnd w:id="652"/>
      <w:bookmarkEnd w:id="653"/>
      <w:bookmarkEnd w:id="654"/>
      <w:bookmarkEnd w:id="655"/>
    </w:p>
    <w:p w14:paraId="1EE1F301">
      <w:pPr>
        <w:pStyle w:val="45"/>
        <w:rPr>
          <w:rFonts w:hint="eastAsia"/>
          <w:highlight w:val="none"/>
        </w:rPr>
      </w:pPr>
      <w:bookmarkStart w:id="656" w:name="_Toc30968"/>
      <w:bookmarkStart w:id="657" w:name="_Toc152045690"/>
      <w:bookmarkStart w:id="658" w:name="_Toc144974659"/>
      <w:bookmarkStart w:id="659" w:name="_Toc152042468"/>
      <w:r>
        <w:rPr>
          <w:rFonts w:hint="eastAsia"/>
          <w:highlight w:val="none"/>
        </w:rPr>
        <w:t>12.1 承包人暂停施工的责任</w:t>
      </w:r>
      <w:bookmarkEnd w:id="656"/>
      <w:bookmarkEnd w:id="657"/>
      <w:bookmarkEnd w:id="658"/>
      <w:bookmarkEnd w:id="659"/>
    </w:p>
    <w:p w14:paraId="4DBFAF92">
      <w:pPr>
        <w:spacing w:line="400" w:lineRule="exact"/>
        <w:ind w:firstLine="420" w:firstLineChars="200"/>
        <w:rPr>
          <w:rFonts w:hint="eastAsia"/>
          <w:highlight w:val="none"/>
        </w:rPr>
      </w:pPr>
      <w:r>
        <w:rPr>
          <w:rFonts w:hint="eastAsia"/>
          <w:highlight w:val="none"/>
        </w:rPr>
        <w:t>因下列暂停施工增加的费用和（或）工期延误由承包人承担：</w:t>
      </w:r>
    </w:p>
    <w:p w14:paraId="07176BCF">
      <w:pPr>
        <w:spacing w:line="400" w:lineRule="exact"/>
        <w:ind w:firstLine="359" w:firstLineChars="171"/>
        <w:rPr>
          <w:rFonts w:hint="eastAsia"/>
          <w:highlight w:val="none"/>
        </w:rPr>
      </w:pPr>
      <w:r>
        <w:rPr>
          <w:rFonts w:hint="eastAsia"/>
          <w:highlight w:val="none"/>
        </w:rPr>
        <w:t>（1）承包人违约引起的暂停施工；</w:t>
      </w:r>
    </w:p>
    <w:p w14:paraId="67F62825">
      <w:pPr>
        <w:spacing w:line="400" w:lineRule="exact"/>
        <w:ind w:firstLine="359" w:firstLineChars="171"/>
        <w:rPr>
          <w:rFonts w:hint="eastAsia"/>
          <w:highlight w:val="none"/>
        </w:rPr>
      </w:pPr>
      <w:r>
        <w:rPr>
          <w:rFonts w:hint="eastAsia"/>
          <w:highlight w:val="none"/>
        </w:rPr>
        <w:t>（2）由于承包人原因为工程合理施工和安全保障所必需的暂停施工；</w:t>
      </w:r>
    </w:p>
    <w:p w14:paraId="147B2F4A">
      <w:pPr>
        <w:spacing w:line="400" w:lineRule="exact"/>
        <w:ind w:firstLine="359" w:firstLineChars="171"/>
        <w:rPr>
          <w:rFonts w:hint="eastAsia"/>
          <w:highlight w:val="none"/>
        </w:rPr>
      </w:pPr>
      <w:r>
        <w:rPr>
          <w:rFonts w:hint="eastAsia"/>
          <w:highlight w:val="none"/>
        </w:rPr>
        <w:t>（3）承包人擅自暂停施工；</w:t>
      </w:r>
    </w:p>
    <w:p w14:paraId="249F1414">
      <w:pPr>
        <w:spacing w:line="400" w:lineRule="exact"/>
        <w:ind w:firstLine="359" w:firstLineChars="171"/>
        <w:rPr>
          <w:rFonts w:hint="eastAsia"/>
          <w:highlight w:val="none"/>
        </w:rPr>
      </w:pPr>
      <w:r>
        <w:rPr>
          <w:rFonts w:hint="eastAsia"/>
          <w:highlight w:val="none"/>
        </w:rPr>
        <w:t>（4）承包人其他原因引起的暂停施工；</w:t>
      </w:r>
    </w:p>
    <w:p w14:paraId="2E3483C1">
      <w:pPr>
        <w:spacing w:line="400" w:lineRule="exact"/>
        <w:ind w:firstLine="359" w:firstLineChars="171"/>
        <w:rPr>
          <w:rFonts w:hint="eastAsia"/>
          <w:highlight w:val="none"/>
        </w:rPr>
      </w:pPr>
      <w:r>
        <w:rPr>
          <w:rFonts w:hint="eastAsia"/>
          <w:highlight w:val="none"/>
        </w:rPr>
        <w:t>（5）专用合同条款约定由承包人承担的其他暂停施工。</w:t>
      </w:r>
    </w:p>
    <w:p w14:paraId="440C2558">
      <w:pPr>
        <w:pStyle w:val="45"/>
        <w:rPr>
          <w:rFonts w:hint="eastAsia"/>
          <w:highlight w:val="none"/>
        </w:rPr>
      </w:pPr>
      <w:bookmarkStart w:id="660" w:name="_Toc152045691"/>
      <w:bookmarkStart w:id="661" w:name="_Toc144974660"/>
      <w:bookmarkStart w:id="662" w:name="_Toc152042469"/>
      <w:bookmarkStart w:id="663" w:name="_Toc5168"/>
      <w:r>
        <w:rPr>
          <w:rFonts w:hint="eastAsia"/>
          <w:highlight w:val="none"/>
        </w:rPr>
        <w:t>12.2 发包人暂停施工的责任</w:t>
      </w:r>
      <w:bookmarkEnd w:id="660"/>
      <w:bookmarkEnd w:id="661"/>
      <w:bookmarkEnd w:id="662"/>
      <w:bookmarkEnd w:id="663"/>
    </w:p>
    <w:p w14:paraId="705AEAD7">
      <w:pPr>
        <w:spacing w:line="400" w:lineRule="exact"/>
        <w:ind w:firstLine="420" w:firstLineChars="200"/>
        <w:rPr>
          <w:rFonts w:hint="eastAsia"/>
          <w:highlight w:val="none"/>
        </w:rPr>
      </w:pPr>
      <w:r>
        <w:rPr>
          <w:rFonts w:hint="eastAsia"/>
          <w:highlight w:val="none"/>
        </w:rPr>
        <w:t>由于发包人原因引起的暂停施工造成工期延误的，承包人有权要求发包人延长工期和（或）增加费用，并支付合理利润。</w:t>
      </w:r>
    </w:p>
    <w:p w14:paraId="33D15BE0">
      <w:pPr>
        <w:pStyle w:val="45"/>
        <w:rPr>
          <w:rFonts w:hint="eastAsia"/>
          <w:highlight w:val="none"/>
        </w:rPr>
      </w:pPr>
      <w:bookmarkStart w:id="664" w:name="_Toc152042470"/>
      <w:bookmarkStart w:id="665" w:name="_Toc152045692"/>
      <w:bookmarkStart w:id="666" w:name="_Toc209"/>
      <w:bookmarkStart w:id="667" w:name="_Toc144974661"/>
      <w:r>
        <w:rPr>
          <w:rFonts w:hint="eastAsia"/>
          <w:highlight w:val="none"/>
        </w:rPr>
        <w:t>12.3 监理人暂停施工指示</w:t>
      </w:r>
      <w:bookmarkEnd w:id="664"/>
      <w:bookmarkEnd w:id="665"/>
      <w:bookmarkEnd w:id="666"/>
      <w:bookmarkEnd w:id="667"/>
    </w:p>
    <w:p w14:paraId="1C6AAA40">
      <w:pPr>
        <w:spacing w:line="400" w:lineRule="exact"/>
        <w:ind w:firstLine="420" w:firstLineChars="200"/>
        <w:rPr>
          <w:rFonts w:hint="eastAsia"/>
          <w:highlight w:val="none"/>
        </w:rPr>
      </w:pPr>
      <w:r>
        <w:rPr>
          <w:rFonts w:hint="eastAsia"/>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4F293C26">
      <w:pPr>
        <w:spacing w:line="400" w:lineRule="exact"/>
        <w:ind w:firstLine="420" w:firstLineChars="200"/>
        <w:rPr>
          <w:rFonts w:hint="eastAsia"/>
          <w:highlight w:val="none"/>
        </w:rPr>
      </w:pPr>
      <w:r>
        <w:rPr>
          <w:rFonts w:hint="eastAsia"/>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5784BA70">
      <w:pPr>
        <w:pStyle w:val="45"/>
        <w:rPr>
          <w:rFonts w:hint="eastAsia"/>
          <w:highlight w:val="none"/>
        </w:rPr>
      </w:pPr>
      <w:bookmarkStart w:id="668" w:name="_Toc144974662"/>
      <w:bookmarkStart w:id="669" w:name="_Toc152045693"/>
      <w:bookmarkStart w:id="670" w:name="_Toc31678"/>
      <w:bookmarkStart w:id="671" w:name="_Toc152042471"/>
      <w:r>
        <w:rPr>
          <w:rFonts w:hint="eastAsia"/>
          <w:highlight w:val="none"/>
        </w:rPr>
        <w:t>12.4 暂停施工后的复工</w:t>
      </w:r>
      <w:bookmarkEnd w:id="668"/>
      <w:bookmarkEnd w:id="669"/>
      <w:bookmarkEnd w:id="670"/>
      <w:bookmarkEnd w:id="671"/>
    </w:p>
    <w:p w14:paraId="08DDBFBC">
      <w:pPr>
        <w:spacing w:line="400" w:lineRule="exact"/>
        <w:ind w:firstLine="420" w:firstLineChars="200"/>
        <w:rPr>
          <w:rFonts w:hint="eastAsia"/>
          <w:highlight w:val="none"/>
        </w:rPr>
      </w:pPr>
      <w:r>
        <w:rPr>
          <w:rFonts w:hint="eastAsia"/>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1695911">
      <w:pPr>
        <w:spacing w:line="400" w:lineRule="exact"/>
        <w:ind w:firstLine="420" w:firstLineChars="200"/>
        <w:rPr>
          <w:rFonts w:hint="eastAsia"/>
          <w:highlight w:val="none"/>
        </w:rPr>
      </w:pPr>
      <w:r>
        <w:rPr>
          <w:rFonts w:hint="eastAsia"/>
          <w:highlight w:val="none"/>
        </w:rPr>
        <w:t>12.4.2 承包人无故拖延和拒绝复工的，由此增加的费用和工期延误由承包人承担；因发包人原因无法按时复工的，承包人有权要求发包人延长工期和（或）增加费用，并支付合理利润。</w:t>
      </w:r>
    </w:p>
    <w:p w14:paraId="384F9E41">
      <w:pPr>
        <w:pStyle w:val="45"/>
        <w:rPr>
          <w:rFonts w:hint="eastAsia"/>
          <w:highlight w:val="none"/>
        </w:rPr>
      </w:pPr>
      <w:bookmarkStart w:id="672" w:name="_Toc144974663"/>
      <w:bookmarkStart w:id="673" w:name="_Toc152042472"/>
      <w:bookmarkStart w:id="674" w:name="_Toc152045694"/>
      <w:bookmarkStart w:id="675" w:name="_Toc5500"/>
      <w:r>
        <w:rPr>
          <w:rFonts w:hint="eastAsia"/>
          <w:highlight w:val="none"/>
        </w:rPr>
        <w:t xml:space="preserve">12.5 </w:t>
      </w:r>
      <w:r>
        <w:rPr>
          <w:highlight w:val="none"/>
        </w:rPr>
        <w:t>暂停施工</w:t>
      </w:r>
      <w:r>
        <w:rPr>
          <w:rFonts w:hint="eastAsia"/>
          <w:highlight w:val="none"/>
        </w:rPr>
        <w:t>持续56天以上</w:t>
      </w:r>
      <w:bookmarkEnd w:id="672"/>
      <w:bookmarkEnd w:id="673"/>
      <w:bookmarkEnd w:id="674"/>
      <w:bookmarkEnd w:id="675"/>
    </w:p>
    <w:p w14:paraId="279F618E">
      <w:pPr>
        <w:spacing w:line="400" w:lineRule="exact"/>
        <w:ind w:firstLine="411" w:firstLineChars="196"/>
        <w:rPr>
          <w:rFonts w:hint="eastAsia"/>
          <w:highlight w:val="none"/>
        </w:rPr>
      </w:pPr>
      <w:r>
        <w:rPr>
          <w:rFonts w:hint="eastAsia"/>
          <w:highlight w:val="none"/>
        </w:rPr>
        <w:t xml:space="preserve">12.5.1 </w:t>
      </w:r>
      <w:r>
        <w:rPr>
          <w:highlight w:val="none"/>
        </w:rPr>
        <w:t>监理人</w:t>
      </w:r>
      <w:r>
        <w:rPr>
          <w:rFonts w:hint="eastAsia"/>
          <w:highlight w:val="none"/>
        </w:rPr>
        <w:t>发出</w:t>
      </w:r>
      <w:r>
        <w:rPr>
          <w:highlight w:val="none"/>
        </w:rPr>
        <w:t>暂停施工指示</w:t>
      </w:r>
      <w:r>
        <w:rPr>
          <w:rFonts w:hint="eastAsia"/>
          <w:highlight w:val="none"/>
        </w:rPr>
        <w:t>后56天内未向</w:t>
      </w:r>
      <w:r>
        <w:rPr>
          <w:highlight w:val="none"/>
        </w:rPr>
        <w:t>承包人</w:t>
      </w:r>
      <w:r>
        <w:rPr>
          <w:rFonts w:hint="eastAsia"/>
          <w:highlight w:val="none"/>
        </w:rPr>
        <w:t>发出复工通知，除了该项停工属于第12.1款的情况外，</w:t>
      </w:r>
      <w:r>
        <w:rPr>
          <w:highlight w:val="none"/>
        </w:rPr>
        <w:t>承包人</w:t>
      </w:r>
      <w:r>
        <w:rPr>
          <w:rFonts w:hint="eastAsia"/>
          <w:highlight w:val="none"/>
        </w:rPr>
        <w:t>可向</w:t>
      </w:r>
      <w:r>
        <w:rPr>
          <w:highlight w:val="none"/>
        </w:rPr>
        <w:t>监理人</w:t>
      </w:r>
      <w:r>
        <w:rPr>
          <w:rFonts w:hint="eastAsia"/>
          <w:highlight w:val="none"/>
        </w:rPr>
        <w:t>提交书面通知，要求</w:t>
      </w:r>
      <w:r>
        <w:rPr>
          <w:highlight w:val="none"/>
        </w:rPr>
        <w:t>监理人</w:t>
      </w:r>
      <w:r>
        <w:rPr>
          <w:rFonts w:hint="eastAsia"/>
          <w:highlight w:val="none"/>
        </w:rPr>
        <w:t>在收到书面通知后28天内准许已</w:t>
      </w:r>
      <w:r>
        <w:rPr>
          <w:highlight w:val="none"/>
        </w:rPr>
        <w:t>暂停施工</w:t>
      </w:r>
      <w:r>
        <w:rPr>
          <w:rFonts w:hint="eastAsia"/>
          <w:highlight w:val="none"/>
        </w:rPr>
        <w:t>的工程或其中一部分工程继续施工。如</w:t>
      </w:r>
      <w:r>
        <w:rPr>
          <w:highlight w:val="none"/>
        </w:rPr>
        <w:t>监理人</w:t>
      </w:r>
      <w:r>
        <w:rPr>
          <w:rFonts w:hint="eastAsia"/>
          <w:highlight w:val="none"/>
        </w:rPr>
        <w:t>逾期不予批准，则承包人可以通知</w:t>
      </w:r>
      <w:r>
        <w:rPr>
          <w:highlight w:val="none"/>
        </w:rPr>
        <w:t>监理人</w:t>
      </w:r>
      <w:r>
        <w:rPr>
          <w:rFonts w:hint="eastAsia"/>
          <w:highlight w:val="none"/>
        </w:rPr>
        <w:t>，将工程受影响的部分视为按第15.1（1）项的可取消工作。如</w:t>
      </w:r>
      <w:r>
        <w:rPr>
          <w:highlight w:val="none"/>
        </w:rPr>
        <w:t>暂停施工</w:t>
      </w:r>
      <w:r>
        <w:rPr>
          <w:rFonts w:hint="eastAsia"/>
          <w:highlight w:val="none"/>
        </w:rPr>
        <w:t>影响到整个工程，可视为发包人违约，应按第22.2款的规定办理。</w:t>
      </w:r>
    </w:p>
    <w:p w14:paraId="18352AC6">
      <w:pPr>
        <w:spacing w:line="400" w:lineRule="exact"/>
        <w:ind w:firstLine="420" w:firstLineChars="200"/>
        <w:rPr>
          <w:rFonts w:hint="eastAsia"/>
          <w:highlight w:val="none"/>
        </w:rPr>
      </w:pPr>
      <w:r>
        <w:rPr>
          <w:rFonts w:hint="eastAsia"/>
          <w:highlight w:val="none"/>
        </w:rPr>
        <w:t>12.5.2 由于</w:t>
      </w:r>
      <w:r>
        <w:rPr>
          <w:highlight w:val="none"/>
        </w:rPr>
        <w:t>承包人</w:t>
      </w:r>
      <w:r>
        <w:rPr>
          <w:rFonts w:hint="eastAsia"/>
          <w:highlight w:val="none"/>
        </w:rPr>
        <w:t>责任引起的</w:t>
      </w:r>
      <w:r>
        <w:rPr>
          <w:highlight w:val="none"/>
        </w:rPr>
        <w:t>暂停施工</w:t>
      </w:r>
      <w:r>
        <w:rPr>
          <w:rFonts w:hint="eastAsia"/>
          <w:highlight w:val="none"/>
        </w:rPr>
        <w:t>，如</w:t>
      </w:r>
      <w:r>
        <w:rPr>
          <w:highlight w:val="none"/>
        </w:rPr>
        <w:t>承包人</w:t>
      </w:r>
      <w:r>
        <w:rPr>
          <w:rFonts w:hint="eastAsia"/>
          <w:highlight w:val="none"/>
        </w:rPr>
        <w:t>在收到</w:t>
      </w:r>
      <w:r>
        <w:rPr>
          <w:highlight w:val="none"/>
        </w:rPr>
        <w:t>监理人暂停施工指示</w:t>
      </w:r>
      <w:r>
        <w:rPr>
          <w:rFonts w:hint="eastAsia"/>
          <w:highlight w:val="none"/>
        </w:rPr>
        <w:t>后56天内不认真采取有效的复工措施，造成工期延误，可视为</w:t>
      </w:r>
      <w:r>
        <w:rPr>
          <w:highlight w:val="none"/>
        </w:rPr>
        <w:t>承包人</w:t>
      </w:r>
      <w:r>
        <w:rPr>
          <w:rFonts w:hint="eastAsia"/>
          <w:highlight w:val="none"/>
        </w:rPr>
        <w:t>违约，应按第22.1款的规定办理。</w:t>
      </w:r>
    </w:p>
    <w:p w14:paraId="3C9E051A">
      <w:pPr>
        <w:pStyle w:val="46"/>
        <w:rPr>
          <w:rFonts w:hint="eastAsia"/>
          <w:highlight w:val="none"/>
        </w:rPr>
      </w:pPr>
      <w:bookmarkStart w:id="676" w:name="_Toc484"/>
      <w:bookmarkStart w:id="677" w:name="_Toc144974664"/>
      <w:bookmarkStart w:id="678" w:name="_Toc152042473"/>
      <w:bookmarkStart w:id="679" w:name="_Toc152045695"/>
      <w:r>
        <w:rPr>
          <w:rFonts w:hint="eastAsia"/>
          <w:highlight w:val="none"/>
        </w:rPr>
        <w:t>13. 工程质量</w:t>
      </w:r>
      <w:bookmarkEnd w:id="676"/>
      <w:bookmarkEnd w:id="677"/>
      <w:bookmarkEnd w:id="678"/>
      <w:bookmarkEnd w:id="679"/>
    </w:p>
    <w:p w14:paraId="59C93B49">
      <w:pPr>
        <w:pStyle w:val="45"/>
        <w:rPr>
          <w:rFonts w:hint="eastAsia"/>
          <w:highlight w:val="none"/>
        </w:rPr>
      </w:pPr>
      <w:bookmarkStart w:id="680" w:name="_Toc144974665"/>
      <w:bookmarkStart w:id="681" w:name="_Toc152042474"/>
      <w:bookmarkStart w:id="682" w:name="_Toc152045696"/>
      <w:bookmarkStart w:id="683" w:name="_Toc17460"/>
      <w:r>
        <w:rPr>
          <w:rFonts w:hint="eastAsia"/>
          <w:highlight w:val="none"/>
        </w:rPr>
        <w:t>13.1 工程质量要求</w:t>
      </w:r>
      <w:bookmarkEnd w:id="680"/>
      <w:bookmarkEnd w:id="681"/>
      <w:bookmarkEnd w:id="682"/>
      <w:bookmarkEnd w:id="683"/>
    </w:p>
    <w:p w14:paraId="3DC207F3">
      <w:pPr>
        <w:spacing w:line="400" w:lineRule="exact"/>
        <w:ind w:firstLine="420" w:firstLineChars="200"/>
        <w:rPr>
          <w:rFonts w:hint="eastAsia"/>
          <w:highlight w:val="none"/>
        </w:rPr>
      </w:pPr>
      <w:r>
        <w:rPr>
          <w:rFonts w:hint="eastAsia"/>
          <w:highlight w:val="none"/>
        </w:rPr>
        <w:t>13.1.1 工程质量验收按合同约定验收标准执行。</w:t>
      </w:r>
    </w:p>
    <w:p w14:paraId="52181B9A">
      <w:pPr>
        <w:spacing w:line="400" w:lineRule="exact"/>
        <w:ind w:firstLine="420" w:firstLineChars="200"/>
        <w:rPr>
          <w:rFonts w:hint="eastAsia"/>
          <w:highlight w:val="none"/>
        </w:rPr>
      </w:pPr>
      <w:r>
        <w:rPr>
          <w:rFonts w:hint="eastAsia"/>
          <w:highlight w:val="none"/>
        </w:rPr>
        <w:t>13.1.2 因承包人原因造成工程质量达不到合同约定验收标准的，监理人有权要求承包人返工直至符合合同要求为止，由此造成的费用增加和（或）工期延误由承包人承担。</w:t>
      </w:r>
    </w:p>
    <w:p w14:paraId="27CEDFE0">
      <w:pPr>
        <w:spacing w:line="400" w:lineRule="exact"/>
        <w:ind w:firstLine="420" w:firstLineChars="200"/>
        <w:rPr>
          <w:rFonts w:hint="eastAsia"/>
          <w:highlight w:val="none"/>
        </w:rPr>
      </w:pPr>
      <w:r>
        <w:rPr>
          <w:rFonts w:hint="eastAsia"/>
          <w:highlight w:val="none"/>
        </w:rPr>
        <w:t>13.1.3 因发包人原因造成工程质量达不到合同约定验收标准的，发包人应承担由于承包人返工造成的费用增加和（或）工期延误，并支付承包人合理利润。</w:t>
      </w:r>
    </w:p>
    <w:p w14:paraId="4D8CF8A4">
      <w:pPr>
        <w:pStyle w:val="45"/>
        <w:rPr>
          <w:rFonts w:hint="eastAsia"/>
          <w:highlight w:val="none"/>
        </w:rPr>
      </w:pPr>
      <w:bookmarkStart w:id="684" w:name="_Toc152042475"/>
      <w:bookmarkStart w:id="685" w:name="_Toc152045697"/>
      <w:bookmarkStart w:id="686" w:name="_Toc144974666"/>
      <w:bookmarkStart w:id="687" w:name="_Toc2395"/>
      <w:r>
        <w:rPr>
          <w:rFonts w:hint="eastAsia"/>
          <w:highlight w:val="none"/>
        </w:rPr>
        <w:t>13.2 承包人的质量管理</w:t>
      </w:r>
      <w:bookmarkEnd w:id="684"/>
      <w:bookmarkEnd w:id="685"/>
      <w:bookmarkEnd w:id="686"/>
      <w:bookmarkEnd w:id="687"/>
    </w:p>
    <w:p w14:paraId="2394151C">
      <w:pPr>
        <w:spacing w:line="400" w:lineRule="exact"/>
        <w:ind w:firstLine="420" w:firstLineChars="200"/>
        <w:rPr>
          <w:rFonts w:hint="eastAsia"/>
          <w:highlight w:val="none"/>
        </w:rPr>
      </w:pPr>
      <w:r>
        <w:rPr>
          <w:rFonts w:hint="eastAsia"/>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00C91DC1">
      <w:pPr>
        <w:spacing w:line="400" w:lineRule="exact"/>
        <w:ind w:firstLine="420" w:firstLineChars="200"/>
        <w:rPr>
          <w:rFonts w:hint="eastAsia"/>
          <w:highlight w:val="none"/>
        </w:rPr>
      </w:pPr>
      <w:r>
        <w:rPr>
          <w:rFonts w:hint="eastAsia"/>
          <w:highlight w:val="none"/>
        </w:rPr>
        <w:t>13.2.2 承包人应加强对施工人员的质量教育和技术培训，定期考核施工人员的劳动技能，严格执行规范和操作规程。</w:t>
      </w:r>
    </w:p>
    <w:p w14:paraId="5003D3AF">
      <w:pPr>
        <w:pStyle w:val="45"/>
        <w:rPr>
          <w:rFonts w:hint="eastAsia"/>
          <w:highlight w:val="none"/>
        </w:rPr>
      </w:pPr>
      <w:bookmarkStart w:id="688" w:name="_Toc28052"/>
      <w:bookmarkStart w:id="689" w:name="_Toc144974667"/>
      <w:bookmarkStart w:id="690" w:name="_Toc152045698"/>
      <w:bookmarkStart w:id="691" w:name="_Toc152042476"/>
      <w:r>
        <w:rPr>
          <w:rFonts w:hint="eastAsia"/>
          <w:highlight w:val="none"/>
        </w:rPr>
        <w:t>13.3 承包人的质量检查</w:t>
      </w:r>
      <w:bookmarkEnd w:id="688"/>
      <w:bookmarkEnd w:id="689"/>
      <w:bookmarkEnd w:id="690"/>
      <w:bookmarkEnd w:id="691"/>
    </w:p>
    <w:p w14:paraId="23E76BCF">
      <w:pPr>
        <w:spacing w:line="400" w:lineRule="exact"/>
        <w:ind w:firstLine="420" w:firstLineChars="200"/>
        <w:rPr>
          <w:rFonts w:hint="eastAsia"/>
          <w:highlight w:val="none"/>
        </w:rPr>
      </w:pPr>
      <w:r>
        <w:rPr>
          <w:rFonts w:hint="eastAsia"/>
          <w:highlight w:val="none"/>
        </w:rPr>
        <w:t>承包人应按合同约定对材料、工程设备以及工程的所有部位及其施工工艺进行全过程的质量检查和检验，并作详细记录，编制工程质量报表，报送监理人审查。</w:t>
      </w:r>
    </w:p>
    <w:p w14:paraId="4952F062">
      <w:pPr>
        <w:pStyle w:val="45"/>
        <w:rPr>
          <w:rFonts w:hint="eastAsia"/>
          <w:highlight w:val="none"/>
        </w:rPr>
      </w:pPr>
      <w:bookmarkStart w:id="692" w:name="_Toc152045699"/>
      <w:bookmarkStart w:id="693" w:name="_Toc144974668"/>
      <w:bookmarkStart w:id="694" w:name="_Toc152042477"/>
      <w:bookmarkStart w:id="695" w:name="_Toc24072"/>
      <w:r>
        <w:rPr>
          <w:rFonts w:hint="eastAsia"/>
          <w:highlight w:val="none"/>
        </w:rPr>
        <w:t>13.4 监理人的质量检查</w:t>
      </w:r>
      <w:bookmarkEnd w:id="692"/>
      <w:bookmarkEnd w:id="693"/>
      <w:bookmarkEnd w:id="694"/>
      <w:bookmarkEnd w:id="695"/>
    </w:p>
    <w:p w14:paraId="123BC569">
      <w:pPr>
        <w:spacing w:line="400" w:lineRule="exact"/>
        <w:ind w:firstLine="420" w:firstLineChars="200"/>
        <w:rPr>
          <w:rFonts w:hint="eastAsia"/>
          <w:highlight w:val="none"/>
        </w:rPr>
      </w:pPr>
      <w:r>
        <w:rPr>
          <w:rFonts w:hint="eastAsia"/>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14CD2E7">
      <w:pPr>
        <w:pStyle w:val="45"/>
        <w:rPr>
          <w:rFonts w:hint="eastAsia"/>
          <w:highlight w:val="none"/>
        </w:rPr>
      </w:pPr>
      <w:bookmarkStart w:id="696" w:name="_Toc152045700"/>
      <w:bookmarkStart w:id="697" w:name="_Toc19648"/>
      <w:bookmarkStart w:id="698" w:name="_Toc152042478"/>
      <w:bookmarkStart w:id="699" w:name="_Toc144974669"/>
      <w:r>
        <w:rPr>
          <w:rFonts w:hint="eastAsia"/>
          <w:highlight w:val="none"/>
        </w:rPr>
        <w:t>13.5 工程隐蔽部位覆盖前的检查</w:t>
      </w:r>
      <w:bookmarkEnd w:id="696"/>
      <w:bookmarkEnd w:id="697"/>
      <w:bookmarkEnd w:id="698"/>
      <w:bookmarkEnd w:id="699"/>
    </w:p>
    <w:p w14:paraId="06D5A77A">
      <w:pPr>
        <w:spacing w:line="400" w:lineRule="exact"/>
        <w:ind w:firstLine="420" w:firstLineChars="200"/>
        <w:rPr>
          <w:rFonts w:hint="eastAsia"/>
          <w:highlight w:val="none"/>
        </w:rPr>
      </w:pPr>
      <w:r>
        <w:rPr>
          <w:rFonts w:hint="eastAsia"/>
          <w:highlight w:val="none"/>
        </w:rPr>
        <w:t xml:space="preserve">13.5.1 </w:t>
      </w:r>
      <w:r>
        <w:rPr>
          <w:rFonts w:hint="eastAsia" w:ascii="黑体" w:eastAsia="黑体"/>
          <w:highlight w:val="none"/>
        </w:rPr>
        <w:t>通知监理人检查</w:t>
      </w:r>
    </w:p>
    <w:p w14:paraId="3666EEDD">
      <w:pPr>
        <w:spacing w:line="400" w:lineRule="exact"/>
        <w:ind w:firstLine="420" w:firstLineChars="200"/>
        <w:rPr>
          <w:rFonts w:hint="eastAsia"/>
          <w:highlight w:val="none"/>
        </w:rPr>
      </w:pPr>
      <w:r>
        <w:rPr>
          <w:rFonts w:hint="eastAsia"/>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0F242E97">
      <w:pPr>
        <w:spacing w:line="400" w:lineRule="exact"/>
        <w:ind w:firstLine="420" w:firstLineChars="200"/>
        <w:rPr>
          <w:rFonts w:hint="eastAsia"/>
          <w:highlight w:val="none"/>
        </w:rPr>
      </w:pPr>
      <w:r>
        <w:rPr>
          <w:rFonts w:hint="eastAsia"/>
          <w:highlight w:val="none"/>
        </w:rPr>
        <w:t xml:space="preserve">13.5.2 </w:t>
      </w:r>
      <w:r>
        <w:rPr>
          <w:rFonts w:hint="eastAsia" w:ascii="黑体" w:eastAsia="黑体"/>
          <w:highlight w:val="none"/>
        </w:rPr>
        <w:t>监理人未到场检查</w:t>
      </w:r>
    </w:p>
    <w:p w14:paraId="1B072429">
      <w:pPr>
        <w:spacing w:line="400" w:lineRule="exact"/>
        <w:ind w:firstLine="420" w:firstLineChars="200"/>
        <w:rPr>
          <w:rFonts w:hint="eastAsia"/>
          <w:highlight w:val="none"/>
        </w:rPr>
      </w:pPr>
      <w:r>
        <w:rPr>
          <w:rFonts w:hint="eastAsia"/>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3CB59173">
      <w:pPr>
        <w:spacing w:line="400" w:lineRule="exact"/>
        <w:ind w:firstLine="420" w:firstLineChars="200"/>
        <w:rPr>
          <w:rFonts w:hint="eastAsia"/>
          <w:highlight w:val="none"/>
        </w:rPr>
      </w:pPr>
      <w:r>
        <w:rPr>
          <w:rFonts w:hint="eastAsia"/>
          <w:highlight w:val="none"/>
        </w:rPr>
        <w:t xml:space="preserve">13.5.3 </w:t>
      </w:r>
      <w:r>
        <w:rPr>
          <w:rFonts w:hint="eastAsia" w:ascii="黑体" w:eastAsia="黑体"/>
          <w:highlight w:val="none"/>
        </w:rPr>
        <w:t>监理人重新检查</w:t>
      </w:r>
    </w:p>
    <w:p w14:paraId="6497613A">
      <w:pPr>
        <w:spacing w:line="400" w:lineRule="exact"/>
        <w:ind w:firstLine="420" w:firstLineChars="200"/>
        <w:rPr>
          <w:rFonts w:hint="eastAsia"/>
          <w:highlight w:val="none"/>
        </w:rPr>
      </w:pPr>
      <w:r>
        <w:rPr>
          <w:rFonts w:hint="eastAsia"/>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F05EA57">
      <w:pPr>
        <w:spacing w:line="400" w:lineRule="exact"/>
        <w:ind w:firstLine="420" w:firstLineChars="200"/>
        <w:rPr>
          <w:rFonts w:hint="eastAsia"/>
          <w:highlight w:val="none"/>
        </w:rPr>
      </w:pPr>
      <w:r>
        <w:rPr>
          <w:rFonts w:hint="eastAsia"/>
          <w:highlight w:val="none"/>
        </w:rPr>
        <w:t xml:space="preserve">13.5.4 </w:t>
      </w:r>
      <w:r>
        <w:rPr>
          <w:rFonts w:hint="eastAsia" w:ascii="黑体" w:eastAsia="黑体"/>
          <w:highlight w:val="none"/>
        </w:rPr>
        <w:t>承包人私自覆盖</w:t>
      </w:r>
    </w:p>
    <w:p w14:paraId="2C7528C9">
      <w:pPr>
        <w:spacing w:line="400" w:lineRule="exact"/>
        <w:ind w:firstLine="420" w:firstLineChars="200"/>
        <w:rPr>
          <w:rFonts w:hint="eastAsia"/>
          <w:highlight w:val="none"/>
        </w:rPr>
      </w:pPr>
      <w:r>
        <w:rPr>
          <w:rFonts w:hint="eastAsia"/>
          <w:highlight w:val="none"/>
        </w:rPr>
        <w:t>承包人未通知监理人到场检查，私自将工程隐蔽部位覆盖的，监理人有权指示承包人钻孔探测或揭开检查，由此增加的费用和（或）工期延误由承包人承担。</w:t>
      </w:r>
    </w:p>
    <w:p w14:paraId="32E9A9CD">
      <w:pPr>
        <w:pStyle w:val="45"/>
        <w:rPr>
          <w:rFonts w:hint="eastAsia"/>
          <w:highlight w:val="none"/>
        </w:rPr>
      </w:pPr>
      <w:bookmarkStart w:id="700" w:name="_Toc152042479"/>
      <w:bookmarkStart w:id="701" w:name="_Toc14865"/>
      <w:bookmarkStart w:id="702" w:name="_Toc152045701"/>
      <w:bookmarkStart w:id="703" w:name="_Toc144974670"/>
      <w:r>
        <w:rPr>
          <w:rFonts w:hint="eastAsia"/>
          <w:highlight w:val="none"/>
        </w:rPr>
        <w:t>13.6 清除不合格工程</w:t>
      </w:r>
      <w:bookmarkEnd w:id="700"/>
      <w:bookmarkEnd w:id="701"/>
      <w:bookmarkEnd w:id="702"/>
      <w:bookmarkEnd w:id="703"/>
    </w:p>
    <w:p w14:paraId="5F2EC08C">
      <w:pPr>
        <w:spacing w:line="400" w:lineRule="exact"/>
        <w:ind w:firstLine="420" w:firstLineChars="200"/>
        <w:rPr>
          <w:rFonts w:hint="eastAsia"/>
          <w:highlight w:val="none"/>
        </w:rPr>
      </w:pPr>
      <w:r>
        <w:rPr>
          <w:rFonts w:hint="eastAsia"/>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F2AF871">
      <w:pPr>
        <w:spacing w:line="400" w:lineRule="exact"/>
        <w:ind w:firstLine="420" w:firstLineChars="200"/>
        <w:rPr>
          <w:rFonts w:hint="eastAsia"/>
          <w:highlight w:val="none"/>
        </w:rPr>
      </w:pPr>
      <w:r>
        <w:rPr>
          <w:rFonts w:hint="eastAsia"/>
          <w:highlight w:val="none"/>
        </w:rPr>
        <w:t>13.6.2 由于发包人提供的材料或工程设备不合格造成的工程不合格，需要承包人采取措施补救的，发包人应承担由此增加的费用和（或）工期延误，并支付承包人合理利润。</w:t>
      </w:r>
    </w:p>
    <w:p w14:paraId="0944C3B8">
      <w:pPr>
        <w:pStyle w:val="46"/>
        <w:rPr>
          <w:rFonts w:hint="eastAsia"/>
          <w:highlight w:val="none"/>
        </w:rPr>
      </w:pPr>
      <w:bookmarkStart w:id="704" w:name="_Toc152042480"/>
      <w:bookmarkStart w:id="705" w:name="_Toc152045702"/>
      <w:bookmarkStart w:id="706" w:name="_Toc6310"/>
      <w:bookmarkStart w:id="707" w:name="_Toc144974671"/>
      <w:r>
        <w:rPr>
          <w:rFonts w:hint="eastAsia"/>
          <w:highlight w:val="none"/>
        </w:rPr>
        <w:t>14. 试验和检验</w:t>
      </w:r>
      <w:bookmarkEnd w:id="704"/>
      <w:bookmarkEnd w:id="705"/>
      <w:bookmarkEnd w:id="706"/>
      <w:bookmarkEnd w:id="707"/>
    </w:p>
    <w:p w14:paraId="25BE90FC">
      <w:pPr>
        <w:pStyle w:val="45"/>
        <w:rPr>
          <w:rFonts w:hint="eastAsia"/>
          <w:highlight w:val="none"/>
        </w:rPr>
      </w:pPr>
      <w:bookmarkStart w:id="708" w:name="_Toc152042481"/>
      <w:bookmarkStart w:id="709" w:name="_Toc144974672"/>
      <w:bookmarkStart w:id="710" w:name="_Toc152045703"/>
      <w:bookmarkStart w:id="711" w:name="_Toc20607"/>
      <w:r>
        <w:rPr>
          <w:rFonts w:hint="eastAsia"/>
          <w:highlight w:val="none"/>
        </w:rPr>
        <w:t>14.1 材料、工程设备和工程的试验和检验</w:t>
      </w:r>
      <w:bookmarkEnd w:id="708"/>
      <w:bookmarkEnd w:id="709"/>
      <w:bookmarkEnd w:id="710"/>
      <w:bookmarkEnd w:id="711"/>
    </w:p>
    <w:p w14:paraId="5920F129">
      <w:pPr>
        <w:spacing w:line="400" w:lineRule="exact"/>
        <w:ind w:firstLine="420" w:firstLineChars="200"/>
        <w:rPr>
          <w:rFonts w:hint="eastAsia"/>
          <w:highlight w:val="none"/>
        </w:rPr>
      </w:pPr>
      <w:r>
        <w:rPr>
          <w:rFonts w:hint="eastAsia"/>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6242CEC">
      <w:pPr>
        <w:spacing w:line="400" w:lineRule="exact"/>
        <w:ind w:firstLine="420" w:firstLineChars="200"/>
        <w:rPr>
          <w:rFonts w:hint="eastAsia"/>
          <w:highlight w:val="none"/>
        </w:rPr>
      </w:pPr>
      <w:r>
        <w:rPr>
          <w:rFonts w:hint="eastAsia"/>
          <w:highlight w:val="none"/>
        </w:rPr>
        <w:t>14.1.2 监理人未按合同约定派员参加试验和检验的，除监理人另有指示外，承包人可自行试验和检验，并应立即将试验和检验结果报送监理人，监理人应签字确认。</w:t>
      </w:r>
    </w:p>
    <w:p w14:paraId="5B2688E3">
      <w:pPr>
        <w:spacing w:line="400" w:lineRule="exact"/>
        <w:ind w:firstLine="420" w:firstLineChars="200"/>
        <w:rPr>
          <w:rFonts w:hint="eastAsia"/>
          <w:highlight w:val="none"/>
        </w:rPr>
      </w:pPr>
      <w:r>
        <w:rPr>
          <w:rFonts w:hint="eastAsia"/>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C49D594">
      <w:pPr>
        <w:pStyle w:val="45"/>
        <w:rPr>
          <w:rFonts w:hint="eastAsia"/>
          <w:highlight w:val="none"/>
        </w:rPr>
      </w:pPr>
      <w:bookmarkStart w:id="712" w:name="_Toc6300"/>
      <w:bookmarkStart w:id="713" w:name="_Toc152042482"/>
      <w:bookmarkStart w:id="714" w:name="_Toc152045704"/>
      <w:bookmarkStart w:id="715" w:name="_Toc144974673"/>
      <w:r>
        <w:rPr>
          <w:rFonts w:hint="eastAsia"/>
          <w:highlight w:val="none"/>
        </w:rPr>
        <w:t>14.2 现场材料试验</w:t>
      </w:r>
      <w:bookmarkEnd w:id="712"/>
      <w:bookmarkEnd w:id="713"/>
      <w:bookmarkEnd w:id="714"/>
      <w:bookmarkEnd w:id="715"/>
    </w:p>
    <w:p w14:paraId="7278C020">
      <w:pPr>
        <w:spacing w:line="400" w:lineRule="exact"/>
        <w:ind w:firstLine="420" w:firstLineChars="200"/>
        <w:rPr>
          <w:rFonts w:hint="eastAsia"/>
          <w:highlight w:val="none"/>
        </w:rPr>
      </w:pPr>
      <w:r>
        <w:rPr>
          <w:rFonts w:hint="eastAsia"/>
          <w:highlight w:val="none"/>
        </w:rPr>
        <w:t>14.2.1 承包人根据合同约定或监理人指示进行的现场材料试验，应由承包人提供试验场所、试验人员、试验设备器材以及其他必要的试验条件。</w:t>
      </w:r>
    </w:p>
    <w:p w14:paraId="40756186">
      <w:pPr>
        <w:spacing w:line="400" w:lineRule="exact"/>
        <w:ind w:firstLine="420" w:firstLineChars="200"/>
        <w:rPr>
          <w:rFonts w:hint="eastAsia"/>
          <w:highlight w:val="none"/>
        </w:rPr>
      </w:pPr>
      <w:r>
        <w:rPr>
          <w:rFonts w:hint="eastAsia"/>
          <w:highlight w:val="none"/>
        </w:rPr>
        <w:t>14.2.2 监理人在必要时可以使用承包人的试验场所、试验设备器材以及其他试验条件，进行以工程质量检查为目的的复核性材料试验，承包人应予以协助。</w:t>
      </w:r>
    </w:p>
    <w:p w14:paraId="58B7AA2E">
      <w:pPr>
        <w:pStyle w:val="45"/>
        <w:rPr>
          <w:rFonts w:hint="eastAsia"/>
          <w:highlight w:val="none"/>
        </w:rPr>
      </w:pPr>
      <w:bookmarkStart w:id="716" w:name="_Toc144974674"/>
      <w:bookmarkStart w:id="717" w:name="_Toc152045705"/>
      <w:bookmarkStart w:id="718" w:name="_Toc29179"/>
      <w:bookmarkStart w:id="719" w:name="_Toc152042483"/>
      <w:r>
        <w:rPr>
          <w:rFonts w:hint="eastAsia"/>
          <w:highlight w:val="none"/>
        </w:rPr>
        <w:t>14.3 现场工艺试验</w:t>
      </w:r>
      <w:bookmarkEnd w:id="716"/>
      <w:bookmarkEnd w:id="717"/>
      <w:bookmarkEnd w:id="718"/>
      <w:bookmarkEnd w:id="719"/>
    </w:p>
    <w:p w14:paraId="62F0B28E">
      <w:pPr>
        <w:spacing w:line="400" w:lineRule="exact"/>
        <w:ind w:firstLine="420" w:firstLineChars="200"/>
        <w:rPr>
          <w:rFonts w:hint="eastAsia"/>
          <w:highlight w:val="none"/>
        </w:rPr>
      </w:pPr>
      <w:r>
        <w:rPr>
          <w:rFonts w:hint="eastAsia"/>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3CC56721">
      <w:pPr>
        <w:pStyle w:val="46"/>
        <w:rPr>
          <w:rFonts w:hint="eastAsia"/>
          <w:highlight w:val="none"/>
        </w:rPr>
      </w:pPr>
      <w:bookmarkStart w:id="720" w:name="_Toc144974675"/>
      <w:bookmarkStart w:id="721" w:name="_Toc152042484"/>
      <w:bookmarkStart w:id="722" w:name="_Toc3753"/>
      <w:bookmarkStart w:id="723" w:name="_Toc152045706"/>
      <w:r>
        <w:rPr>
          <w:rFonts w:hint="eastAsia"/>
          <w:highlight w:val="none"/>
        </w:rPr>
        <w:t>15. 变更</w:t>
      </w:r>
      <w:bookmarkEnd w:id="720"/>
      <w:bookmarkEnd w:id="721"/>
      <w:bookmarkEnd w:id="722"/>
      <w:bookmarkEnd w:id="723"/>
    </w:p>
    <w:p w14:paraId="3E8CB07A">
      <w:pPr>
        <w:pStyle w:val="45"/>
        <w:rPr>
          <w:rFonts w:hint="eastAsia"/>
          <w:highlight w:val="none"/>
        </w:rPr>
      </w:pPr>
      <w:bookmarkStart w:id="724" w:name="_Toc144974676"/>
      <w:bookmarkStart w:id="725" w:name="_Toc152045707"/>
      <w:bookmarkStart w:id="726" w:name="_Toc17516"/>
      <w:bookmarkStart w:id="727" w:name="_Toc152042485"/>
      <w:r>
        <w:rPr>
          <w:rFonts w:hint="eastAsia"/>
          <w:highlight w:val="none"/>
        </w:rPr>
        <w:t>15.1 变更的范围和内容</w:t>
      </w:r>
      <w:bookmarkEnd w:id="724"/>
      <w:bookmarkEnd w:id="725"/>
      <w:bookmarkEnd w:id="726"/>
      <w:bookmarkEnd w:id="727"/>
    </w:p>
    <w:p w14:paraId="0BFB8C30">
      <w:pPr>
        <w:spacing w:line="400" w:lineRule="exact"/>
        <w:ind w:firstLine="420" w:firstLineChars="200"/>
        <w:rPr>
          <w:rFonts w:hint="eastAsia"/>
          <w:highlight w:val="none"/>
        </w:rPr>
      </w:pPr>
      <w:r>
        <w:rPr>
          <w:rFonts w:hint="eastAsia"/>
          <w:highlight w:val="none"/>
        </w:rPr>
        <w:t>除专用合同条款另有约定外，在履行合同中发生以下情形之一，应按照本条规定进行变更。</w:t>
      </w:r>
    </w:p>
    <w:p w14:paraId="5495DEA6">
      <w:pPr>
        <w:spacing w:line="400" w:lineRule="exact"/>
        <w:ind w:firstLine="359" w:firstLineChars="171"/>
        <w:rPr>
          <w:rFonts w:hint="eastAsia"/>
          <w:highlight w:val="none"/>
        </w:rPr>
      </w:pPr>
      <w:r>
        <w:rPr>
          <w:rFonts w:hint="eastAsia"/>
          <w:highlight w:val="none"/>
        </w:rPr>
        <w:t>（1）取消合同中任何一项工作，但被取消的工作不能转由发包人或其他人实施；</w:t>
      </w:r>
    </w:p>
    <w:p w14:paraId="0902797F">
      <w:pPr>
        <w:spacing w:line="400" w:lineRule="exact"/>
        <w:ind w:firstLine="359" w:firstLineChars="171"/>
        <w:rPr>
          <w:rFonts w:hint="eastAsia"/>
          <w:highlight w:val="none"/>
        </w:rPr>
      </w:pPr>
      <w:r>
        <w:rPr>
          <w:rFonts w:hint="eastAsia"/>
          <w:highlight w:val="none"/>
        </w:rPr>
        <w:t>（2）改变合同中任何一项工作的质量或其他特性；</w:t>
      </w:r>
    </w:p>
    <w:p w14:paraId="74DDDF1C">
      <w:pPr>
        <w:spacing w:line="400" w:lineRule="exact"/>
        <w:ind w:firstLine="359" w:firstLineChars="171"/>
        <w:rPr>
          <w:rFonts w:hint="eastAsia"/>
          <w:highlight w:val="none"/>
        </w:rPr>
      </w:pPr>
      <w:r>
        <w:rPr>
          <w:rFonts w:hint="eastAsia"/>
          <w:highlight w:val="none"/>
        </w:rPr>
        <w:t>（3）改变合同工程的基线、标高、位置或尺寸；</w:t>
      </w:r>
    </w:p>
    <w:p w14:paraId="551F8DB9">
      <w:pPr>
        <w:spacing w:line="400" w:lineRule="exact"/>
        <w:ind w:firstLine="359" w:firstLineChars="171"/>
        <w:rPr>
          <w:rFonts w:hint="eastAsia"/>
          <w:highlight w:val="none"/>
        </w:rPr>
      </w:pPr>
      <w:r>
        <w:rPr>
          <w:rFonts w:hint="eastAsia"/>
          <w:highlight w:val="none"/>
        </w:rPr>
        <w:t>（4）改变合同中任何一项工作的施工时间或改变已批准的施工工艺或顺序；</w:t>
      </w:r>
    </w:p>
    <w:p w14:paraId="7608EFEF">
      <w:pPr>
        <w:spacing w:line="400" w:lineRule="exact"/>
        <w:ind w:firstLine="359" w:firstLineChars="171"/>
        <w:rPr>
          <w:rFonts w:hint="eastAsia"/>
          <w:highlight w:val="none"/>
        </w:rPr>
      </w:pPr>
      <w:r>
        <w:rPr>
          <w:rFonts w:hint="eastAsia"/>
          <w:highlight w:val="none"/>
        </w:rPr>
        <w:t>（5）为完成工程需要追加的额外工作。</w:t>
      </w:r>
    </w:p>
    <w:p w14:paraId="32713175">
      <w:pPr>
        <w:pStyle w:val="45"/>
        <w:rPr>
          <w:rFonts w:hint="eastAsia"/>
          <w:highlight w:val="none"/>
        </w:rPr>
      </w:pPr>
      <w:bookmarkStart w:id="728" w:name="_Toc11566"/>
      <w:bookmarkStart w:id="729" w:name="_Toc152045708"/>
      <w:bookmarkStart w:id="730" w:name="_Toc152042486"/>
      <w:bookmarkStart w:id="731" w:name="_Toc144974677"/>
      <w:r>
        <w:rPr>
          <w:rFonts w:hint="eastAsia"/>
          <w:highlight w:val="none"/>
        </w:rPr>
        <w:t>15.2 变更权</w:t>
      </w:r>
      <w:bookmarkEnd w:id="728"/>
      <w:bookmarkEnd w:id="729"/>
      <w:bookmarkEnd w:id="730"/>
      <w:bookmarkEnd w:id="731"/>
    </w:p>
    <w:p w14:paraId="7D55FFDB">
      <w:pPr>
        <w:spacing w:line="400" w:lineRule="exact"/>
        <w:ind w:firstLine="420" w:firstLineChars="200"/>
        <w:rPr>
          <w:rFonts w:hint="eastAsia"/>
          <w:highlight w:val="none"/>
        </w:rPr>
      </w:pPr>
      <w:r>
        <w:rPr>
          <w:rFonts w:hint="eastAsia"/>
          <w:highlight w:val="none"/>
        </w:rPr>
        <w:t>在履行合同过程中，经发包人同意，监理人可按第15.3款约定的变更程序向承包人作出变更指示，承包人应遵照执行。没有监理人的变更指示，承包人不得擅自变更。</w:t>
      </w:r>
    </w:p>
    <w:p w14:paraId="42C0808A">
      <w:pPr>
        <w:pStyle w:val="45"/>
        <w:rPr>
          <w:rFonts w:hint="eastAsia"/>
          <w:highlight w:val="none"/>
        </w:rPr>
      </w:pPr>
      <w:bookmarkStart w:id="732" w:name="_Toc152045709"/>
      <w:bookmarkStart w:id="733" w:name="_Toc144974678"/>
      <w:bookmarkStart w:id="734" w:name="_Toc3194"/>
      <w:bookmarkStart w:id="735" w:name="_Toc152042487"/>
      <w:r>
        <w:rPr>
          <w:rFonts w:hint="eastAsia"/>
          <w:highlight w:val="none"/>
        </w:rPr>
        <w:t>15.3 变更程序</w:t>
      </w:r>
      <w:bookmarkEnd w:id="732"/>
      <w:bookmarkEnd w:id="733"/>
      <w:bookmarkEnd w:id="734"/>
      <w:bookmarkEnd w:id="735"/>
    </w:p>
    <w:p w14:paraId="0FAD4827">
      <w:pPr>
        <w:spacing w:line="400" w:lineRule="exact"/>
        <w:ind w:firstLine="420" w:firstLineChars="200"/>
        <w:rPr>
          <w:rFonts w:hint="eastAsia"/>
          <w:highlight w:val="none"/>
        </w:rPr>
      </w:pPr>
      <w:r>
        <w:rPr>
          <w:rFonts w:hint="eastAsia"/>
          <w:highlight w:val="none"/>
        </w:rPr>
        <w:t xml:space="preserve">15.3.1 </w:t>
      </w:r>
      <w:r>
        <w:rPr>
          <w:rFonts w:hint="eastAsia" w:ascii="黑体" w:eastAsia="黑体"/>
          <w:highlight w:val="none"/>
        </w:rPr>
        <w:t>变更的提出</w:t>
      </w:r>
    </w:p>
    <w:p w14:paraId="473FCB2C">
      <w:pPr>
        <w:spacing w:line="400" w:lineRule="exact"/>
        <w:ind w:firstLine="420" w:firstLineChars="200"/>
        <w:rPr>
          <w:rFonts w:hint="eastAsia"/>
          <w:highlight w:val="none"/>
        </w:rPr>
      </w:pPr>
      <w:r>
        <w:rPr>
          <w:rFonts w:hint="eastAsia"/>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1078F970">
      <w:pPr>
        <w:spacing w:line="400" w:lineRule="exact"/>
        <w:ind w:firstLine="420" w:firstLineChars="200"/>
        <w:rPr>
          <w:rFonts w:hint="eastAsia"/>
          <w:highlight w:val="none"/>
        </w:rPr>
      </w:pPr>
      <w:r>
        <w:rPr>
          <w:rFonts w:hint="eastAsia"/>
          <w:highlight w:val="none"/>
        </w:rPr>
        <w:t>（2）在合同履行过程中，发生第15.1款约定情形的，监理人应按照第15.3.3项约定向承包人发出变更指示。</w:t>
      </w:r>
    </w:p>
    <w:p w14:paraId="0D7FB3E8">
      <w:pPr>
        <w:spacing w:line="400" w:lineRule="exact"/>
        <w:ind w:firstLine="420" w:firstLineChars="200"/>
        <w:rPr>
          <w:rFonts w:hint="eastAsia"/>
          <w:highlight w:val="none"/>
        </w:rPr>
      </w:pPr>
      <w:r>
        <w:rPr>
          <w:rFonts w:hint="eastAsia"/>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D375C8E">
      <w:pPr>
        <w:spacing w:line="400" w:lineRule="exact"/>
        <w:ind w:firstLine="420" w:firstLineChars="200"/>
        <w:rPr>
          <w:rFonts w:hint="eastAsia"/>
          <w:highlight w:val="none"/>
        </w:rPr>
      </w:pPr>
      <w:r>
        <w:rPr>
          <w:rFonts w:hint="eastAsia"/>
          <w:highlight w:val="none"/>
        </w:rPr>
        <w:t>（4）若承包人收到监理人的变更意向书后认为难以实施此项变更，应立即通知监理人，说明原因并附详细依据。监理人与承包人和发包人协商后确定撤销</w:t>
      </w:r>
      <w:r>
        <w:rPr>
          <w:rFonts w:hint="eastAsia" w:ascii="宋体" w:hAnsi="宋体"/>
          <w:highlight w:val="none"/>
        </w:rPr>
        <w:t>、</w:t>
      </w:r>
      <w:r>
        <w:rPr>
          <w:rFonts w:hint="eastAsia"/>
          <w:highlight w:val="none"/>
        </w:rPr>
        <w:t>改变或不改变原变更意向书。</w:t>
      </w:r>
    </w:p>
    <w:p w14:paraId="11729C85">
      <w:pPr>
        <w:spacing w:line="400" w:lineRule="exact"/>
        <w:ind w:firstLine="420" w:firstLineChars="200"/>
        <w:rPr>
          <w:rFonts w:hint="eastAsia"/>
          <w:highlight w:val="none"/>
        </w:rPr>
      </w:pPr>
      <w:r>
        <w:rPr>
          <w:rFonts w:hint="eastAsia"/>
          <w:highlight w:val="none"/>
        </w:rPr>
        <w:t xml:space="preserve">15.3.2 </w:t>
      </w:r>
      <w:r>
        <w:rPr>
          <w:rFonts w:hint="eastAsia" w:ascii="黑体" w:eastAsia="黑体"/>
          <w:highlight w:val="none"/>
        </w:rPr>
        <w:t>变更估价</w:t>
      </w:r>
    </w:p>
    <w:p w14:paraId="56962F4C">
      <w:pPr>
        <w:spacing w:line="400" w:lineRule="exact"/>
        <w:ind w:firstLine="420" w:firstLineChars="200"/>
        <w:rPr>
          <w:rFonts w:hint="eastAsia"/>
          <w:highlight w:val="none"/>
        </w:rPr>
      </w:pPr>
      <w:r>
        <w:rPr>
          <w:rFonts w:hint="eastAsia"/>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511242F">
      <w:pPr>
        <w:spacing w:line="400" w:lineRule="exact"/>
        <w:ind w:firstLine="420" w:firstLineChars="200"/>
        <w:rPr>
          <w:rFonts w:hint="eastAsia"/>
          <w:highlight w:val="none"/>
        </w:rPr>
      </w:pPr>
      <w:r>
        <w:rPr>
          <w:rFonts w:hint="eastAsia"/>
          <w:highlight w:val="none"/>
        </w:rPr>
        <w:t>（2）变更工作影响工期的，承包人应提出调整工期的具体细节。监理人认为有必要时，可要求承包人提交要求提前或延长工期的施工进度计划及相应施工措施等详细资料。</w:t>
      </w:r>
    </w:p>
    <w:p w14:paraId="7250B9E5">
      <w:pPr>
        <w:spacing w:line="400" w:lineRule="exact"/>
        <w:ind w:firstLine="420" w:firstLineChars="200"/>
        <w:rPr>
          <w:rFonts w:hint="eastAsia"/>
          <w:highlight w:val="none"/>
        </w:rPr>
      </w:pPr>
      <w:r>
        <w:rPr>
          <w:rFonts w:hint="eastAsia"/>
          <w:highlight w:val="none"/>
        </w:rPr>
        <w:t>（3）除专用合同条款对期限另有约定外，监理人收到承包人变更报价书后的14天内，根据第15.4款约定的估价原则，按照第3.5款商定或确定变更价格。</w:t>
      </w:r>
    </w:p>
    <w:p w14:paraId="7CE5058F">
      <w:pPr>
        <w:spacing w:line="400" w:lineRule="exact"/>
        <w:ind w:firstLine="420" w:firstLineChars="200"/>
        <w:rPr>
          <w:rFonts w:hint="eastAsia"/>
          <w:highlight w:val="none"/>
        </w:rPr>
      </w:pPr>
      <w:r>
        <w:rPr>
          <w:rFonts w:hint="eastAsia"/>
          <w:highlight w:val="none"/>
        </w:rPr>
        <w:t xml:space="preserve">15.3.3 </w:t>
      </w:r>
      <w:r>
        <w:rPr>
          <w:rFonts w:hint="eastAsia" w:ascii="黑体" w:eastAsia="黑体"/>
          <w:highlight w:val="none"/>
        </w:rPr>
        <w:t>变更指示</w:t>
      </w:r>
    </w:p>
    <w:p w14:paraId="5DF3462F">
      <w:pPr>
        <w:spacing w:line="400" w:lineRule="exact"/>
        <w:ind w:firstLine="420" w:firstLineChars="200"/>
        <w:rPr>
          <w:rFonts w:hint="eastAsia"/>
          <w:highlight w:val="none"/>
        </w:rPr>
      </w:pPr>
      <w:r>
        <w:rPr>
          <w:rFonts w:hint="eastAsia"/>
          <w:highlight w:val="none"/>
        </w:rPr>
        <w:t>（1）变更指示只能由监理人发出。</w:t>
      </w:r>
    </w:p>
    <w:p w14:paraId="056BB74D">
      <w:pPr>
        <w:spacing w:line="400" w:lineRule="exact"/>
        <w:ind w:firstLine="420" w:firstLineChars="200"/>
        <w:rPr>
          <w:rFonts w:hint="eastAsia"/>
          <w:highlight w:val="none"/>
        </w:rPr>
      </w:pPr>
      <w:r>
        <w:rPr>
          <w:rFonts w:hint="eastAsia"/>
          <w:highlight w:val="none"/>
        </w:rPr>
        <w:t>（2）变更指示应说明变更的目的、范围、变更内容以及变更的工程量及其进度和技术要求，并附有关图纸和文件。承包人收到变更指示后，应按变更指示进行变更工作。</w:t>
      </w:r>
    </w:p>
    <w:p w14:paraId="024D58D3">
      <w:pPr>
        <w:pStyle w:val="45"/>
        <w:rPr>
          <w:rFonts w:hint="eastAsia"/>
          <w:highlight w:val="none"/>
        </w:rPr>
      </w:pPr>
      <w:bookmarkStart w:id="736" w:name="_Toc152045710"/>
      <w:bookmarkStart w:id="737" w:name="_Toc144974679"/>
      <w:bookmarkStart w:id="738" w:name="_Toc15058"/>
      <w:bookmarkStart w:id="739" w:name="_Toc152042488"/>
      <w:r>
        <w:rPr>
          <w:rFonts w:hint="eastAsia"/>
          <w:highlight w:val="none"/>
        </w:rPr>
        <w:t>15.4 变更的估价原则</w:t>
      </w:r>
      <w:bookmarkEnd w:id="736"/>
      <w:bookmarkEnd w:id="737"/>
      <w:bookmarkEnd w:id="738"/>
      <w:bookmarkEnd w:id="739"/>
    </w:p>
    <w:p w14:paraId="4B7F02E2">
      <w:pPr>
        <w:spacing w:line="400" w:lineRule="exact"/>
        <w:ind w:firstLine="420" w:firstLineChars="200"/>
        <w:rPr>
          <w:rFonts w:hint="eastAsia"/>
          <w:highlight w:val="none"/>
        </w:rPr>
      </w:pPr>
      <w:r>
        <w:rPr>
          <w:rFonts w:hint="eastAsia"/>
          <w:highlight w:val="none"/>
        </w:rPr>
        <w:t>除专用合同条款另有约定外，因变更引起的价格调整按照本款约定处理。</w:t>
      </w:r>
    </w:p>
    <w:p w14:paraId="56C1622C">
      <w:pPr>
        <w:spacing w:line="400" w:lineRule="exact"/>
        <w:ind w:firstLine="420" w:firstLineChars="200"/>
        <w:rPr>
          <w:rFonts w:hint="eastAsia"/>
          <w:highlight w:val="none"/>
        </w:rPr>
      </w:pPr>
      <w:r>
        <w:rPr>
          <w:rFonts w:hint="eastAsia"/>
          <w:highlight w:val="none"/>
        </w:rPr>
        <w:t>15.4.1 已标价工程量清单中有适用于变更工作的子目的，采用该子目的单价。</w:t>
      </w:r>
    </w:p>
    <w:p w14:paraId="7E46D5C0">
      <w:pPr>
        <w:spacing w:line="400" w:lineRule="exact"/>
        <w:ind w:firstLine="420" w:firstLineChars="200"/>
        <w:rPr>
          <w:rFonts w:hint="eastAsia"/>
          <w:highlight w:val="none"/>
        </w:rPr>
      </w:pPr>
      <w:r>
        <w:rPr>
          <w:rFonts w:hint="eastAsia"/>
          <w:highlight w:val="none"/>
        </w:rPr>
        <w:t>15.4.2 已标价工程量清单中无适用于变更工作的子目，但有类似子目的，可在合理范围内参照类似子目的单价，由监理人按第3.5款商定或确定变更工作的单价。</w:t>
      </w:r>
    </w:p>
    <w:p w14:paraId="4F333C82">
      <w:pPr>
        <w:spacing w:line="400" w:lineRule="exact"/>
        <w:ind w:firstLine="420" w:firstLineChars="200"/>
        <w:rPr>
          <w:rFonts w:hint="eastAsia"/>
          <w:highlight w:val="none"/>
        </w:rPr>
      </w:pPr>
      <w:r>
        <w:rPr>
          <w:rFonts w:hint="eastAsia"/>
          <w:highlight w:val="none"/>
        </w:rPr>
        <w:t>15.4.3 已标价工程量清单中无适用或类似子目的单价，可按照成本加利润的原则，由监理人按第3.5款商定或确定变更工作的单价。</w:t>
      </w:r>
    </w:p>
    <w:p w14:paraId="5AF478D0">
      <w:pPr>
        <w:pStyle w:val="45"/>
        <w:rPr>
          <w:rFonts w:hint="eastAsia"/>
          <w:highlight w:val="none"/>
        </w:rPr>
      </w:pPr>
      <w:bookmarkStart w:id="740" w:name="_Toc16455"/>
      <w:bookmarkStart w:id="741" w:name="_Toc152042489"/>
      <w:bookmarkStart w:id="742" w:name="_Toc144974680"/>
      <w:bookmarkStart w:id="743" w:name="_Toc152045711"/>
      <w:r>
        <w:rPr>
          <w:rFonts w:hint="eastAsia"/>
          <w:highlight w:val="none"/>
        </w:rPr>
        <w:t>15.5 承包人的合理化建议</w:t>
      </w:r>
      <w:bookmarkEnd w:id="740"/>
      <w:bookmarkEnd w:id="741"/>
      <w:bookmarkEnd w:id="742"/>
      <w:bookmarkEnd w:id="743"/>
    </w:p>
    <w:p w14:paraId="2203CAE3">
      <w:pPr>
        <w:spacing w:line="400" w:lineRule="exact"/>
        <w:ind w:firstLine="420" w:firstLineChars="200"/>
        <w:rPr>
          <w:rFonts w:hint="eastAsia"/>
          <w:highlight w:val="none"/>
        </w:rPr>
      </w:pPr>
      <w:r>
        <w:rPr>
          <w:rFonts w:hint="eastAsia"/>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3E497FE">
      <w:pPr>
        <w:spacing w:line="400" w:lineRule="exact"/>
        <w:ind w:firstLine="420" w:firstLineChars="200"/>
        <w:rPr>
          <w:rFonts w:hint="eastAsia"/>
          <w:highlight w:val="none"/>
        </w:rPr>
      </w:pPr>
      <w:r>
        <w:rPr>
          <w:rFonts w:hint="eastAsia"/>
          <w:highlight w:val="none"/>
        </w:rPr>
        <w:t>15.5.2 承包人提出的合理化建议降低了合同价格、缩短了工期或者提高了工程经济效益的，发包人可按国家有关规定在专用合同条款中约定给予奖励。</w:t>
      </w:r>
    </w:p>
    <w:p w14:paraId="1423C292">
      <w:pPr>
        <w:pStyle w:val="45"/>
        <w:rPr>
          <w:rFonts w:hint="eastAsia"/>
          <w:highlight w:val="none"/>
        </w:rPr>
      </w:pPr>
      <w:bookmarkStart w:id="744" w:name="_Toc152045712"/>
      <w:bookmarkStart w:id="745" w:name="_Toc24286"/>
      <w:bookmarkStart w:id="746" w:name="_Toc144974681"/>
      <w:bookmarkStart w:id="747" w:name="_Toc152042490"/>
      <w:r>
        <w:rPr>
          <w:rFonts w:hint="eastAsia"/>
          <w:highlight w:val="none"/>
        </w:rPr>
        <w:t>15.6 暂列金额</w:t>
      </w:r>
      <w:bookmarkEnd w:id="744"/>
      <w:bookmarkEnd w:id="745"/>
      <w:bookmarkEnd w:id="746"/>
      <w:bookmarkEnd w:id="747"/>
    </w:p>
    <w:p w14:paraId="0E97015F">
      <w:pPr>
        <w:spacing w:line="400" w:lineRule="exact"/>
        <w:ind w:firstLine="420" w:firstLineChars="200"/>
        <w:rPr>
          <w:rFonts w:hint="eastAsia"/>
          <w:highlight w:val="none"/>
        </w:rPr>
      </w:pPr>
      <w:r>
        <w:rPr>
          <w:rFonts w:hint="eastAsia"/>
          <w:highlight w:val="none"/>
        </w:rPr>
        <w:t>暂列金额只能按照监理人的指示使用，并对合同价格进行相应调整。</w:t>
      </w:r>
    </w:p>
    <w:p w14:paraId="3C1FE50C">
      <w:pPr>
        <w:pStyle w:val="45"/>
        <w:rPr>
          <w:rFonts w:hint="eastAsia"/>
          <w:highlight w:val="none"/>
        </w:rPr>
      </w:pPr>
      <w:bookmarkStart w:id="748" w:name="_Toc152045713"/>
      <w:bookmarkStart w:id="749" w:name="_Toc152042491"/>
      <w:bookmarkStart w:id="750" w:name="_Toc144974682"/>
      <w:bookmarkStart w:id="751" w:name="_Toc5345"/>
      <w:r>
        <w:rPr>
          <w:rFonts w:hint="eastAsia"/>
          <w:highlight w:val="none"/>
        </w:rPr>
        <w:t>15.7 计日工</w:t>
      </w:r>
      <w:bookmarkEnd w:id="748"/>
      <w:bookmarkEnd w:id="749"/>
      <w:bookmarkEnd w:id="750"/>
      <w:bookmarkEnd w:id="751"/>
    </w:p>
    <w:p w14:paraId="3A70A4F0">
      <w:pPr>
        <w:spacing w:line="400" w:lineRule="exact"/>
        <w:ind w:firstLine="420" w:firstLineChars="200"/>
        <w:rPr>
          <w:rFonts w:hint="eastAsia"/>
          <w:highlight w:val="none"/>
          <w:shd w:val="pct10" w:color="auto" w:fill="FFFFFF"/>
        </w:rPr>
      </w:pPr>
      <w:r>
        <w:rPr>
          <w:rFonts w:hint="eastAsia"/>
          <w:highlight w:val="none"/>
        </w:rPr>
        <w:t>15.7.1 发包人认为有必要时，</w:t>
      </w:r>
      <w:r>
        <w:rPr>
          <w:rFonts w:hint="eastAsia"/>
          <w:szCs w:val="21"/>
          <w:highlight w:val="none"/>
        </w:rPr>
        <w:t>由</w:t>
      </w:r>
      <w:r>
        <w:rPr>
          <w:rFonts w:hint="eastAsia"/>
          <w:highlight w:val="none"/>
        </w:rPr>
        <w:t>监理人通知承包人以计日工方式实施变更的零星工作。其价款按列入已标价工程量清单中的计日工计价子目及其单价进行计算。</w:t>
      </w:r>
    </w:p>
    <w:p w14:paraId="32C53572">
      <w:pPr>
        <w:spacing w:line="400" w:lineRule="exact"/>
        <w:ind w:firstLine="420" w:firstLineChars="200"/>
        <w:rPr>
          <w:rFonts w:hint="eastAsia"/>
          <w:highlight w:val="none"/>
        </w:rPr>
      </w:pPr>
      <w:r>
        <w:rPr>
          <w:rFonts w:hint="eastAsia"/>
          <w:highlight w:val="none"/>
        </w:rPr>
        <w:t>15.7.2 采用计日工计价的任何一项变更工作，应从暂列金额中支付，承包人应在该项变更的实施过程中，每天提交以下报表和有关凭证报送监理人审批：</w:t>
      </w:r>
    </w:p>
    <w:p w14:paraId="2A4528EF">
      <w:pPr>
        <w:spacing w:line="400" w:lineRule="exact"/>
        <w:ind w:firstLine="718" w:firstLineChars="342"/>
        <w:rPr>
          <w:rFonts w:hint="eastAsia"/>
          <w:highlight w:val="none"/>
        </w:rPr>
      </w:pPr>
      <w:r>
        <w:rPr>
          <w:rFonts w:hint="eastAsia"/>
          <w:highlight w:val="none"/>
        </w:rPr>
        <w:t>（1）工作名称、内容和数量；</w:t>
      </w:r>
    </w:p>
    <w:p w14:paraId="2336D066">
      <w:pPr>
        <w:spacing w:line="400" w:lineRule="exact"/>
        <w:ind w:firstLine="718" w:firstLineChars="342"/>
        <w:rPr>
          <w:rFonts w:hint="eastAsia"/>
          <w:highlight w:val="none"/>
        </w:rPr>
      </w:pPr>
      <w:r>
        <w:rPr>
          <w:rFonts w:hint="eastAsia"/>
          <w:highlight w:val="none"/>
        </w:rPr>
        <w:t>（2）投入该工作所有人员的姓名、工种、级别和耗用工时；</w:t>
      </w:r>
    </w:p>
    <w:p w14:paraId="1FCC3EFD">
      <w:pPr>
        <w:spacing w:line="400" w:lineRule="exact"/>
        <w:ind w:firstLine="718" w:firstLineChars="342"/>
        <w:rPr>
          <w:rFonts w:hint="eastAsia"/>
          <w:highlight w:val="none"/>
        </w:rPr>
      </w:pPr>
      <w:r>
        <w:rPr>
          <w:rFonts w:hint="eastAsia"/>
          <w:highlight w:val="none"/>
        </w:rPr>
        <w:t>（3）投入该工作的材料类别和数量；</w:t>
      </w:r>
    </w:p>
    <w:p w14:paraId="6D6C78E5">
      <w:pPr>
        <w:spacing w:line="400" w:lineRule="exact"/>
        <w:ind w:firstLine="718" w:firstLineChars="342"/>
        <w:rPr>
          <w:rFonts w:hint="eastAsia"/>
          <w:highlight w:val="none"/>
        </w:rPr>
      </w:pPr>
      <w:r>
        <w:rPr>
          <w:rFonts w:hint="eastAsia"/>
          <w:highlight w:val="none"/>
        </w:rPr>
        <w:t>（4）投入该工作的施工设备型号、台数和耗用台时；</w:t>
      </w:r>
    </w:p>
    <w:p w14:paraId="7F579086">
      <w:pPr>
        <w:spacing w:line="400" w:lineRule="exact"/>
        <w:ind w:firstLine="718" w:firstLineChars="342"/>
        <w:rPr>
          <w:rFonts w:hint="eastAsia"/>
          <w:highlight w:val="none"/>
        </w:rPr>
      </w:pPr>
      <w:r>
        <w:rPr>
          <w:rFonts w:hint="eastAsia"/>
          <w:highlight w:val="none"/>
        </w:rPr>
        <w:t>（5）监理人要求提交的其他资料和凭证。</w:t>
      </w:r>
    </w:p>
    <w:p w14:paraId="2837B213">
      <w:pPr>
        <w:spacing w:line="400" w:lineRule="exact"/>
        <w:ind w:firstLine="420" w:firstLineChars="200"/>
        <w:rPr>
          <w:rFonts w:hint="eastAsia"/>
          <w:highlight w:val="none"/>
        </w:rPr>
      </w:pPr>
      <w:r>
        <w:rPr>
          <w:rFonts w:hint="eastAsia"/>
          <w:highlight w:val="none"/>
        </w:rPr>
        <w:t>15.7.3 计日工由承包人汇总后，按第17.3.2项的约定列入进度付款申请单，由监理人复核并经发包人同意后列入进度付款。</w:t>
      </w:r>
    </w:p>
    <w:p w14:paraId="5C337E8D">
      <w:pPr>
        <w:pStyle w:val="45"/>
        <w:rPr>
          <w:rFonts w:hint="eastAsia"/>
          <w:highlight w:val="none"/>
        </w:rPr>
      </w:pPr>
      <w:bookmarkStart w:id="752" w:name="_Toc152045714"/>
      <w:bookmarkStart w:id="753" w:name="_Toc152042492"/>
      <w:bookmarkStart w:id="754" w:name="_Toc144974683"/>
      <w:bookmarkStart w:id="755" w:name="_Toc8559"/>
      <w:r>
        <w:rPr>
          <w:rFonts w:hint="eastAsia"/>
          <w:highlight w:val="none"/>
        </w:rPr>
        <w:t>15.8 暂估价</w:t>
      </w:r>
      <w:bookmarkEnd w:id="752"/>
      <w:bookmarkEnd w:id="753"/>
      <w:bookmarkEnd w:id="754"/>
      <w:bookmarkEnd w:id="755"/>
    </w:p>
    <w:p w14:paraId="0199E861">
      <w:pPr>
        <w:spacing w:line="400" w:lineRule="exact"/>
        <w:rPr>
          <w:rFonts w:hint="eastAsia"/>
          <w:highlight w:val="none"/>
        </w:rPr>
      </w:pPr>
      <w:r>
        <w:rPr>
          <w:rFonts w:hint="eastAsia"/>
          <w:highlight w:val="none"/>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3328E67C">
      <w:pPr>
        <w:spacing w:line="400" w:lineRule="exact"/>
        <w:ind w:firstLine="420" w:firstLineChars="200"/>
        <w:rPr>
          <w:rFonts w:hint="eastAsia"/>
          <w:highlight w:val="none"/>
        </w:rPr>
      </w:pPr>
      <w:r>
        <w:rPr>
          <w:rFonts w:hint="eastAsia"/>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35731DDD">
      <w:pPr>
        <w:spacing w:line="400" w:lineRule="exact"/>
        <w:ind w:firstLine="420" w:firstLineChars="200"/>
        <w:rPr>
          <w:rFonts w:hint="eastAsia"/>
          <w:highlight w:val="none"/>
        </w:rPr>
      </w:pPr>
      <w:r>
        <w:rPr>
          <w:rFonts w:hint="eastAsia"/>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1E9A481B">
      <w:pPr>
        <w:pStyle w:val="46"/>
        <w:rPr>
          <w:rFonts w:hint="eastAsia"/>
          <w:highlight w:val="none"/>
        </w:rPr>
      </w:pPr>
      <w:bookmarkStart w:id="756" w:name="_Toc144974684"/>
      <w:bookmarkStart w:id="757" w:name="_Toc152042493"/>
      <w:bookmarkStart w:id="758" w:name="_Toc152045715"/>
      <w:bookmarkStart w:id="759" w:name="_Toc1073"/>
      <w:r>
        <w:rPr>
          <w:rFonts w:hint="eastAsia"/>
          <w:highlight w:val="none"/>
        </w:rPr>
        <w:t>16. 价格调整</w:t>
      </w:r>
      <w:bookmarkEnd w:id="756"/>
      <w:bookmarkEnd w:id="757"/>
      <w:bookmarkEnd w:id="758"/>
      <w:bookmarkEnd w:id="759"/>
    </w:p>
    <w:p w14:paraId="72589D5C">
      <w:pPr>
        <w:pStyle w:val="45"/>
        <w:rPr>
          <w:rFonts w:hint="eastAsia"/>
          <w:highlight w:val="none"/>
        </w:rPr>
      </w:pPr>
      <w:bookmarkStart w:id="760" w:name="_Toc152042494"/>
      <w:bookmarkStart w:id="761" w:name="_Toc17949"/>
      <w:bookmarkStart w:id="762" w:name="_Toc152045716"/>
      <w:bookmarkStart w:id="763" w:name="_Toc144974685"/>
      <w:r>
        <w:rPr>
          <w:rFonts w:hint="eastAsia"/>
          <w:highlight w:val="none"/>
        </w:rPr>
        <w:t>16.1 物价波动引起的价格调整</w:t>
      </w:r>
      <w:bookmarkEnd w:id="760"/>
      <w:bookmarkEnd w:id="761"/>
      <w:bookmarkEnd w:id="762"/>
      <w:bookmarkEnd w:id="763"/>
    </w:p>
    <w:p w14:paraId="1108CB7D">
      <w:pPr>
        <w:spacing w:line="400" w:lineRule="exact"/>
        <w:ind w:firstLine="420" w:firstLineChars="200"/>
        <w:rPr>
          <w:rFonts w:hint="eastAsia"/>
          <w:highlight w:val="none"/>
        </w:rPr>
      </w:pPr>
      <w:r>
        <w:rPr>
          <w:rFonts w:hint="eastAsia"/>
          <w:highlight w:val="none"/>
        </w:rPr>
        <w:t>除专用合同条款另有约定外，因物价波动引起的价格调整按照本款约定处理。</w:t>
      </w:r>
    </w:p>
    <w:p w14:paraId="5A169DD1">
      <w:pPr>
        <w:spacing w:line="400" w:lineRule="exact"/>
        <w:ind w:firstLine="420" w:firstLineChars="200"/>
        <w:rPr>
          <w:rFonts w:hint="eastAsia"/>
          <w:highlight w:val="none"/>
        </w:rPr>
      </w:pPr>
      <w:r>
        <w:rPr>
          <w:rFonts w:hint="eastAsia"/>
          <w:highlight w:val="none"/>
        </w:rPr>
        <w:t xml:space="preserve">16.1.1 </w:t>
      </w:r>
      <w:r>
        <w:rPr>
          <w:rFonts w:hint="eastAsia" w:ascii="黑体" w:eastAsia="黑体"/>
          <w:highlight w:val="none"/>
        </w:rPr>
        <w:t>采用价格指数调整价格差额</w:t>
      </w:r>
    </w:p>
    <w:p w14:paraId="6C7CABA9">
      <w:pPr>
        <w:spacing w:line="400" w:lineRule="exact"/>
        <w:ind w:firstLine="420" w:firstLineChars="200"/>
        <w:rPr>
          <w:rFonts w:hint="eastAsia"/>
          <w:highlight w:val="none"/>
        </w:rPr>
      </w:pPr>
      <w:r>
        <w:rPr>
          <w:rFonts w:hint="eastAsia"/>
          <w:highlight w:val="none"/>
        </w:rPr>
        <w:t>16.1.1.1 价格调整公式</w:t>
      </w:r>
    </w:p>
    <w:p w14:paraId="4EC53192">
      <w:pPr>
        <w:spacing w:line="400" w:lineRule="exact"/>
        <w:ind w:firstLine="420" w:firstLineChars="200"/>
        <w:rPr>
          <w:rFonts w:hint="eastAsia"/>
          <w:highlight w:val="none"/>
        </w:rPr>
      </w:pPr>
      <w:r>
        <w:rPr>
          <w:rFonts w:hint="eastAsia"/>
          <w:highlight w:val="none"/>
        </w:rPr>
        <w:t>因人工、材料和设备等价格波动影响合同价格时，根据投标函附录中的价格指数和权重表约定的数据，按以下公式计算差额并调整合同价格。</w:t>
      </w:r>
    </w:p>
    <w:p w14:paraId="21A019EC">
      <w:pPr>
        <w:autoSpaceDE w:val="0"/>
        <w:autoSpaceDN w:val="0"/>
        <w:adjustRightInd w:val="0"/>
        <w:spacing w:line="1200" w:lineRule="exact"/>
        <w:ind w:right="248" w:firstLine="759" w:firstLineChars="398"/>
        <w:rPr>
          <w:rFonts w:hint="eastAsia"/>
          <w:highlight w:val="none"/>
        </w:rPr>
      </w:pPr>
      <w:r>
        <w:rPr>
          <w:rFonts w:hint="eastAsia"/>
          <w:b/>
          <w:bCs/>
          <w:kern w:val="0"/>
          <w:sz w:val="19"/>
          <w:szCs w:val="19"/>
          <w:highlight w:val="none"/>
          <w:lang w:val="zh-CN"/>
        </w:rPr>
        <w:t xml:space="preserve">        </w:t>
      </w:r>
      <w:r>
        <w:rPr>
          <w:position w:val="-34"/>
          <w:highlight w:val="none"/>
        </w:rPr>
        <w:object>
          <v:shape id="_x0000_i1025" o:spt="75" type="#_x0000_t75" style="height:40pt;width:306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p>
    <w:p w14:paraId="2586A278">
      <w:pPr>
        <w:tabs>
          <w:tab w:val="left" w:pos="1260"/>
        </w:tabs>
        <w:spacing w:line="400" w:lineRule="exact"/>
        <w:ind w:firstLine="420" w:firstLineChars="200"/>
        <w:rPr>
          <w:rFonts w:hint="eastAsia"/>
          <w:highlight w:val="none"/>
        </w:rPr>
      </w:pPr>
      <w:r>
        <w:rPr>
          <w:rFonts w:hint="eastAsia"/>
          <w:highlight w:val="none"/>
        </w:rPr>
        <w:t xml:space="preserve"> </w:t>
      </w:r>
    </w:p>
    <w:p w14:paraId="52D9B4B0">
      <w:pPr>
        <w:tabs>
          <w:tab w:val="left" w:pos="1260"/>
        </w:tabs>
        <w:spacing w:line="400" w:lineRule="exact"/>
        <w:ind w:firstLine="420" w:firstLineChars="200"/>
        <w:rPr>
          <w:rFonts w:hint="eastAsia"/>
          <w:highlight w:val="none"/>
        </w:rPr>
      </w:pPr>
      <w:r>
        <w:rPr>
          <w:rFonts w:hint="eastAsia"/>
          <w:highlight w:val="none"/>
        </w:rPr>
        <w:t>式中： △P -- 需调整的价格差额；</w:t>
      </w:r>
    </w:p>
    <w:p w14:paraId="46BF2AE0">
      <w:pPr>
        <w:tabs>
          <w:tab w:val="left" w:pos="1260"/>
        </w:tabs>
        <w:spacing w:line="400" w:lineRule="exact"/>
        <w:rPr>
          <w:rFonts w:hint="eastAsia"/>
          <w:highlight w:val="none"/>
        </w:rPr>
      </w:pPr>
      <w:r>
        <w:rPr>
          <w:rFonts w:hint="eastAsia"/>
          <w:highlight w:val="none"/>
        </w:rPr>
        <w:tab/>
      </w:r>
      <w:r>
        <w:rPr>
          <w:rFonts w:hint="eastAsia"/>
          <w:highlight w:val="none"/>
        </w:rPr>
        <w:t>P</w:t>
      </w:r>
      <w:r>
        <w:rPr>
          <w:rFonts w:hint="eastAsia"/>
          <w:szCs w:val="21"/>
          <w:highlight w:val="none"/>
          <w:vertAlign w:val="subscript"/>
        </w:rPr>
        <w:t>0</w:t>
      </w:r>
      <w:r>
        <w:rPr>
          <w:rFonts w:hint="eastAsia"/>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4C682F36">
      <w:pPr>
        <w:tabs>
          <w:tab w:val="left" w:pos="1260"/>
        </w:tabs>
        <w:spacing w:line="400" w:lineRule="exact"/>
        <w:rPr>
          <w:rFonts w:hint="eastAsia"/>
          <w:highlight w:val="none"/>
        </w:rPr>
      </w:pPr>
      <w:r>
        <w:rPr>
          <w:rFonts w:hint="eastAsia"/>
          <w:highlight w:val="none"/>
        </w:rPr>
        <w:tab/>
      </w:r>
      <w:bookmarkStart w:id="764" w:name="_Toc152042495"/>
      <w:bookmarkStart w:id="765" w:name="_Toc144974686"/>
      <w:r>
        <w:rPr>
          <w:rFonts w:hint="eastAsia"/>
          <w:highlight w:val="none"/>
        </w:rPr>
        <w:t>A -- 定值权重(即不调部分的权重)；</w:t>
      </w:r>
      <w:bookmarkEnd w:id="764"/>
      <w:bookmarkEnd w:id="765"/>
    </w:p>
    <w:p w14:paraId="52FBD0D3">
      <w:pPr>
        <w:tabs>
          <w:tab w:val="left" w:pos="1260"/>
        </w:tabs>
        <w:spacing w:line="400" w:lineRule="exact"/>
        <w:rPr>
          <w:rFonts w:hint="eastAsia"/>
          <w:highlight w:val="none"/>
        </w:rPr>
      </w:pPr>
      <w:r>
        <w:rPr>
          <w:rFonts w:hint="eastAsia"/>
          <w:highlight w:val="none"/>
        </w:rPr>
        <w:tab/>
      </w:r>
      <w:r>
        <w:rPr>
          <w:rFonts w:hint="eastAsia"/>
          <w:highlight w:val="none"/>
        </w:rPr>
        <w:t>B</w:t>
      </w:r>
      <w:r>
        <w:rPr>
          <w:rFonts w:hint="eastAsia"/>
          <w:szCs w:val="21"/>
          <w:highlight w:val="none"/>
          <w:vertAlign w:val="subscript"/>
        </w:rPr>
        <w:t>1</w:t>
      </w:r>
      <w:r>
        <w:rPr>
          <w:rFonts w:hint="eastAsia"/>
          <w:sz w:val="15"/>
          <w:szCs w:val="15"/>
          <w:highlight w:val="none"/>
        </w:rPr>
        <w:t>;</w:t>
      </w:r>
      <w:r>
        <w:rPr>
          <w:rFonts w:hint="eastAsia"/>
          <w:highlight w:val="none"/>
        </w:rPr>
        <w:t xml:space="preserve"> B</w:t>
      </w:r>
      <w:r>
        <w:rPr>
          <w:rFonts w:hint="eastAsia"/>
          <w:szCs w:val="21"/>
          <w:highlight w:val="none"/>
          <w:vertAlign w:val="subscript"/>
        </w:rPr>
        <w:t>2</w:t>
      </w:r>
      <w:r>
        <w:rPr>
          <w:rFonts w:hint="eastAsia"/>
          <w:highlight w:val="none"/>
        </w:rPr>
        <w:t xml:space="preserve"> ;B</w:t>
      </w:r>
      <w:r>
        <w:rPr>
          <w:rFonts w:hint="eastAsia"/>
          <w:szCs w:val="21"/>
          <w:highlight w:val="none"/>
          <w:vertAlign w:val="subscript"/>
        </w:rPr>
        <w:t>3</w:t>
      </w:r>
      <w:r>
        <w:rPr>
          <w:rFonts w:hint="eastAsia" w:ascii="宋体" w:hAnsi="宋体"/>
          <w:sz w:val="15"/>
          <w:szCs w:val="15"/>
          <w:highlight w:val="none"/>
        </w:rPr>
        <w:t>·····</w:t>
      </w:r>
      <w:r>
        <w:rPr>
          <w:rFonts w:hint="eastAsia"/>
          <w:highlight w:val="none"/>
        </w:rPr>
        <w:t>B</w:t>
      </w:r>
      <w:r>
        <w:rPr>
          <w:rFonts w:hint="eastAsia"/>
          <w:szCs w:val="21"/>
          <w:highlight w:val="none"/>
          <w:vertAlign w:val="subscript"/>
        </w:rPr>
        <w:t>n</w:t>
      </w:r>
      <w:r>
        <w:rPr>
          <w:rFonts w:hint="eastAsia"/>
          <w:highlight w:val="none"/>
        </w:rPr>
        <w:t xml:space="preserve"> -- 各可调因子的变值权重(即可调部分的权重)为各可调因子在投标函投标总报价中所占的比例；</w:t>
      </w:r>
    </w:p>
    <w:p w14:paraId="26FB7B53">
      <w:pPr>
        <w:tabs>
          <w:tab w:val="left" w:pos="1260"/>
        </w:tabs>
        <w:spacing w:line="400" w:lineRule="exact"/>
        <w:rPr>
          <w:rFonts w:hint="eastAsia"/>
          <w:highlight w:val="none"/>
        </w:rPr>
      </w:pPr>
      <w:r>
        <w:rPr>
          <w:rFonts w:hint="eastAsia"/>
          <w:highlight w:val="none"/>
        </w:rPr>
        <w:tab/>
      </w:r>
      <w:r>
        <w:rPr>
          <w:rFonts w:hint="eastAsia"/>
          <w:highlight w:val="none"/>
        </w:rPr>
        <w:t>F</w:t>
      </w:r>
      <w:r>
        <w:rPr>
          <w:rFonts w:hint="eastAsia"/>
          <w:szCs w:val="21"/>
          <w:highlight w:val="none"/>
          <w:vertAlign w:val="subscript"/>
        </w:rPr>
        <w:t>t1</w:t>
      </w:r>
      <w:r>
        <w:rPr>
          <w:rFonts w:hint="eastAsia"/>
          <w:highlight w:val="none"/>
        </w:rPr>
        <w:t xml:space="preserve"> ;F</w:t>
      </w:r>
      <w:r>
        <w:rPr>
          <w:rFonts w:hint="eastAsia"/>
          <w:szCs w:val="21"/>
          <w:highlight w:val="none"/>
          <w:vertAlign w:val="subscript"/>
        </w:rPr>
        <w:t>t2</w:t>
      </w:r>
      <w:r>
        <w:rPr>
          <w:rFonts w:hint="eastAsia"/>
          <w:highlight w:val="none"/>
        </w:rPr>
        <w:t xml:space="preserve"> ;F</w:t>
      </w:r>
      <w:r>
        <w:rPr>
          <w:rFonts w:hint="eastAsia"/>
          <w:szCs w:val="21"/>
          <w:highlight w:val="none"/>
          <w:vertAlign w:val="subscript"/>
        </w:rPr>
        <w:t>t3</w:t>
      </w:r>
      <w:r>
        <w:rPr>
          <w:rFonts w:hint="eastAsia" w:ascii="宋体" w:hAnsi="宋体"/>
          <w:sz w:val="15"/>
          <w:szCs w:val="15"/>
          <w:highlight w:val="none"/>
        </w:rPr>
        <w:t>·····</w:t>
      </w:r>
      <w:r>
        <w:rPr>
          <w:rFonts w:hint="eastAsia"/>
          <w:highlight w:val="none"/>
        </w:rPr>
        <w:t>F</w:t>
      </w:r>
      <w:r>
        <w:rPr>
          <w:rFonts w:hint="eastAsia"/>
          <w:szCs w:val="21"/>
          <w:highlight w:val="none"/>
          <w:vertAlign w:val="subscript"/>
        </w:rPr>
        <w:t>tn</w:t>
      </w:r>
      <w:r>
        <w:rPr>
          <w:rFonts w:hint="eastAsia"/>
          <w:highlight w:val="none"/>
        </w:rPr>
        <w:t xml:space="preserve"> -- 各可调因子的现行价格指数，指第17.3.3项、第17.5.2项和第17.6.2项约定的付款证书相关周期最后一天的前42天的各可调因子的价格指数；</w:t>
      </w:r>
    </w:p>
    <w:p w14:paraId="6FB29AB9">
      <w:pPr>
        <w:tabs>
          <w:tab w:val="left" w:pos="1260"/>
        </w:tabs>
        <w:spacing w:line="400" w:lineRule="exact"/>
        <w:rPr>
          <w:rFonts w:hint="eastAsia"/>
          <w:highlight w:val="none"/>
        </w:rPr>
      </w:pPr>
      <w:r>
        <w:rPr>
          <w:rFonts w:hint="eastAsia"/>
          <w:highlight w:val="none"/>
        </w:rPr>
        <w:tab/>
      </w:r>
      <w:r>
        <w:rPr>
          <w:rFonts w:hint="eastAsia"/>
          <w:highlight w:val="none"/>
        </w:rPr>
        <w:t>F</w:t>
      </w:r>
      <w:r>
        <w:rPr>
          <w:rFonts w:hint="eastAsia"/>
          <w:szCs w:val="21"/>
          <w:highlight w:val="none"/>
          <w:vertAlign w:val="subscript"/>
        </w:rPr>
        <w:t>o1</w:t>
      </w:r>
      <w:r>
        <w:rPr>
          <w:rFonts w:hint="eastAsia"/>
          <w:highlight w:val="none"/>
        </w:rPr>
        <w:t>; F</w:t>
      </w:r>
      <w:r>
        <w:rPr>
          <w:rFonts w:hint="eastAsia"/>
          <w:szCs w:val="21"/>
          <w:highlight w:val="none"/>
          <w:vertAlign w:val="subscript"/>
        </w:rPr>
        <w:t>o2</w:t>
      </w:r>
      <w:r>
        <w:rPr>
          <w:rFonts w:hint="eastAsia"/>
          <w:sz w:val="15"/>
          <w:szCs w:val="15"/>
          <w:highlight w:val="none"/>
        </w:rPr>
        <w:t>;</w:t>
      </w:r>
      <w:r>
        <w:rPr>
          <w:rFonts w:hint="eastAsia"/>
          <w:highlight w:val="none"/>
        </w:rPr>
        <w:t xml:space="preserve"> F</w:t>
      </w:r>
      <w:r>
        <w:rPr>
          <w:rFonts w:hint="eastAsia"/>
          <w:szCs w:val="21"/>
          <w:highlight w:val="none"/>
          <w:vertAlign w:val="subscript"/>
        </w:rPr>
        <w:t>o3</w:t>
      </w:r>
      <w:r>
        <w:rPr>
          <w:rFonts w:hint="eastAsia" w:ascii="宋体" w:hAnsi="宋体"/>
          <w:sz w:val="15"/>
          <w:szCs w:val="15"/>
          <w:highlight w:val="none"/>
        </w:rPr>
        <w:t>·····</w:t>
      </w:r>
      <w:r>
        <w:rPr>
          <w:rFonts w:hint="eastAsia"/>
          <w:highlight w:val="none"/>
        </w:rPr>
        <w:t>F</w:t>
      </w:r>
      <w:r>
        <w:rPr>
          <w:rFonts w:hint="eastAsia"/>
          <w:szCs w:val="21"/>
          <w:highlight w:val="none"/>
          <w:vertAlign w:val="subscript"/>
        </w:rPr>
        <w:t>on</w:t>
      </w:r>
      <w:r>
        <w:rPr>
          <w:rFonts w:hint="eastAsia"/>
          <w:highlight w:val="none"/>
        </w:rPr>
        <w:t xml:space="preserve"> -- 各可调因子的基本价格指数，指基准日期的各可调因子的价格指数。</w:t>
      </w:r>
    </w:p>
    <w:p w14:paraId="7058363F">
      <w:pPr>
        <w:spacing w:line="400" w:lineRule="exact"/>
        <w:ind w:firstLine="420" w:firstLineChars="200"/>
        <w:rPr>
          <w:rFonts w:hint="eastAsia"/>
          <w:highlight w:val="none"/>
        </w:rPr>
      </w:pPr>
      <w:r>
        <w:rPr>
          <w:rFonts w:hint="eastAsia"/>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10CE631D">
      <w:pPr>
        <w:spacing w:line="400" w:lineRule="exact"/>
        <w:ind w:firstLine="420" w:firstLineChars="200"/>
        <w:rPr>
          <w:rFonts w:hint="eastAsia"/>
          <w:highlight w:val="none"/>
        </w:rPr>
      </w:pPr>
      <w:r>
        <w:rPr>
          <w:rFonts w:hint="eastAsia"/>
          <w:highlight w:val="none"/>
        </w:rPr>
        <w:t>16.1.1.2 暂时确定调整差额</w:t>
      </w:r>
    </w:p>
    <w:p w14:paraId="3861AEA1">
      <w:pPr>
        <w:spacing w:line="400" w:lineRule="exact"/>
        <w:ind w:firstLine="420" w:firstLineChars="200"/>
        <w:rPr>
          <w:rFonts w:hint="eastAsia"/>
          <w:highlight w:val="none"/>
        </w:rPr>
      </w:pPr>
      <w:r>
        <w:rPr>
          <w:rFonts w:hint="eastAsia"/>
          <w:highlight w:val="none"/>
        </w:rPr>
        <w:t>在计算调整差额时得不到现行价格指数的，可暂用上一次价格指数计算，并在以后的付款中再按实际价格指数进行调整。</w:t>
      </w:r>
    </w:p>
    <w:p w14:paraId="00D38ED9">
      <w:pPr>
        <w:spacing w:line="400" w:lineRule="exact"/>
        <w:ind w:firstLine="420" w:firstLineChars="200"/>
        <w:rPr>
          <w:rFonts w:hint="eastAsia"/>
          <w:highlight w:val="none"/>
        </w:rPr>
      </w:pPr>
      <w:r>
        <w:rPr>
          <w:rFonts w:hint="eastAsia"/>
          <w:highlight w:val="none"/>
        </w:rPr>
        <w:t>16.1.1.3 权重的调整</w:t>
      </w:r>
    </w:p>
    <w:p w14:paraId="4A47972B">
      <w:pPr>
        <w:spacing w:line="400" w:lineRule="exact"/>
        <w:ind w:firstLine="420" w:firstLineChars="200"/>
        <w:rPr>
          <w:rFonts w:hint="eastAsia"/>
          <w:highlight w:val="none"/>
        </w:rPr>
      </w:pPr>
      <w:r>
        <w:rPr>
          <w:rFonts w:hint="eastAsia"/>
          <w:highlight w:val="none"/>
        </w:rPr>
        <w:t>按第15.1款约定的变更导致原定合同中的权重不合理时，由监理人与承包人和发包人协商后进行调整。</w:t>
      </w:r>
    </w:p>
    <w:p w14:paraId="3C6CB599">
      <w:pPr>
        <w:spacing w:line="400" w:lineRule="exact"/>
        <w:ind w:firstLine="420" w:firstLineChars="200"/>
        <w:rPr>
          <w:rFonts w:hint="eastAsia"/>
          <w:highlight w:val="none"/>
        </w:rPr>
      </w:pPr>
      <w:r>
        <w:rPr>
          <w:rFonts w:hint="eastAsia"/>
          <w:highlight w:val="none"/>
        </w:rPr>
        <w:t>16.1.1.4 承包人工期延误后的价格调整</w:t>
      </w:r>
    </w:p>
    <w:p w14:paraId="1579CD39">
      <w:pPr>
        <w:spacing w:line="400" w:lineRule="exact"/>
        <w:ind w:firstLine="420" w:firstLineChars="200"/>
        <w:rPr>
          <w:rFonts w:hint="eastAsia"/>
          <w:highlight w:val="none"/>
        </w:rPr>
      </w:pPr>
      <w:r>
        <w:rPr>
          <w:rFonts w:hint="eastAsia"/>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04F2F4A3">
      <w:pPr>
        <w:spacing w:line="400" w:lineRule="exact"/>
        <w:ind w:firstLine="420" w:firstLineChars="200"/>
        <w:rPr>
          <w:rFonts w:hint="eastAsia" w:ascii="黑体" w:eastAsia="黑体"/>
          <w:highlight w:val="none"/>
        </w:rPr>
      </w:pPr>
      <w:r>
        <w:rPr>
          <w:rFonts w:hint="eastAsia" w:ascii="黑体" w:eastAsia="黑体"/>
          <w:highlight w:val="none"/>
        </w:rPr>
        <w:t>16.1.2 采用造价信息调整价格差额</w:t>
      </w:r>
    </w:p>
    <w:p w14:paraId="19284929">
      <w:pPr>
        <w:spacing w:line="400" w:lineRule="exact"/>
        <w:ind w:firstLine="420" w:firstLineChars="200"/>
        <w:rPr>
          <w:rFonts w:hint="eastAsia"/>
          <w:highlight w:val="none"/>
        </w:rPr>
      </w:pPr>
      <w:r>
        <w:rPr>
          <w:rFonts w:hint="eastAsia"/>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455FED44">
      <w:pPr>
        <w:pStyle w:val="45"/>
        <w:rPr>
          <w:rFonts w:hint="eastAsia"/>
          <w:highlight w:val="none"/>
        </w:rPr>
      </w:pPr>
      <w:bookmarkStart w:id="766" w:name="_Toc152045717"/>
      <w:bookmarkStart w:id="767" w:name="_Toc144974688"/>
      <w:bookmarkStart w:id="768" w:name="_Toc30578"/>
      <w:bookmarkStart w:id="769" w:name="_Toc152042496"/>
      <w:r>
        <w:rPr>
          <w:rFonts w:hint="eastAsia"/>
          <w:highlight w:val="none"/>
        </w:rPr>
        <w:t>16.2 法律变化引起的价格调整</w:t>
      </w:r>
      <w:bookmarkEnd w:id="766"/>
      <w:bookmarkEnd w:id="767"/>
      <w:bookmarkEnd w:id="768"/>
      <w:bookmarkEnd w:id="769"/>
    </w:p>
    <w:p w14:paraId="26991825">
      <w:pPr>
        <w:spacing w:line="400" w:lineRule="exact"/>
        <w:ind w:firstLine="420" w:firstLineChars="200"/>
        <w:rPr>
          <w:rFonts w:hint="eastAsia"/>
          <w:highlight w:val="none"/>
        </w:rPr>
      </w:pPr>
      <w:r>
        <w:rPr>
          <w:rFonts w:hint="eastAsia"/>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EB44288">
      <w:pPr>
        <w:pStyle w:val="46"/>
        <w:rPr>
          <w:rFonts w:hint="eastAsia"/>
          <w:highlight w:val="none"/>
        </w:rPr>
      </w:pPr>
      <w:bookmarkStart w:id="770" w:name="_Toc7443"/>
      <w:bookmarkStart w:id="771" w:name="_Toc152045718"/>
      <w:bookmarkStart w:id="772" w:name="_Toc152042497"/>
      <w:bookmarkStart w:id="773" w:name="_Toc144974689"/>
      <w:r>
        <w:rPr>
          <w:rFonts w:hint="eastAsia"/>
          <w:highlight w:val="none"/>
        </w:rPr>
        <w:t>17. 计量与支付</w:t>
      </w:r>
      <w:bookmarkEnd w:id="770"/>
      <w:bookmarkEnd w:id="771"/>
      <w:bookmarkEnd w:id="772"/>
      <w:bookmarkEnd w:id="773"/>
    </w:p>
    <w:p w14:paraId="4707EA1C">
      <w:pPr>
        <w:pStyle w:val="45"/>
        <w:rPr>
          <w:rFonts w:hint="eastAsia"/>
          <w:highlight w:val="none"/>
        </w:rPr>
      </w:pPr>
      <w:bookmarkStart w:id="774" w:name="_Toc25220"/>
      <w:bookmarkStart w:id="775" w:name="_Toc152042498"/>
      <w:bookmarkStart w:id="776" w:name="_Toc152045719"/>
      <w:bookmarkStart w:id="777" w:name="_Toc144974690"/>
      <w:r>
        <w:rPr>
          <w:rFonts w:hint="eastAsia"/>
          <w:highlight w:val="none"/>
        </w:rPr>
        <w:t>17.1 计量</w:t>
      </w:r>
      <w:bookmarkEnd w:id="774"/>
      <w:bookmarkEnd w:id="775"/>
      <w:bookmarkEnd w:id="776"/>
      <w:bookmarkEnd w:id="777"/>
    </w:p>
    <w:p w14:paraId="3F94AD24">
      <w:pPr>
        <w:spacing w:line="400" w:lineRule="exact"/>
        <w:ind w:firstLine="420" w:firstLineChars="200"/>
        <w:rPr>
          <w:rFonts w:hint="eastAsia"/>
          <w:highlight w:val="none"/>
        </w:rPr>
      </w:pPr>
      <w:r>
        <w:rPr>
          <w:rFonts w:hint="eastAsia"/>
          <w:highlight w:val="none"/>
        </w:rPr>
        <w:t xml:space="preserve">17.1.1 </w:t>
      </w:r>
      <w:r>
        <w:rPr>
          <w:rFonts w:hint="eastAsia" w:ascii="黑体" w:eastAsia="黑体"/>
          <w:highlight w:val="none"/>
        </w:rPr>
        <w:t>计量单位</w:t>
      </w:r>
    </w:p>
    <w:p w14:paraId="0390D6BC">
      <w:pPr>
        <w:spacing w:line="400" w:lineRule="exact"/>
        <w:ind w:firstLine="420" w:firstLineChars="200"/>
        <w:rPr>
          <w:rFonts w:hint="eastAsia"/>
          <w:highlight w:val="none"/>
        </w:rPr>
      </w:pPr>
      <w:r>
        <w:rPr>
          <w:rFonts w:hint="eastAsia"/>
          <w:highlight w:val="none"/>
        </w:rPr>
        <w:t>计量采用国家法定的计量单位。</w:t>
      </w:r>
    </w:p>
    <w:p w14:paraId="609BE62F">
      <w:pPr>
        <w:spacing w:line="400" w:lineRule="exact"/>
        <w:ind w:firstLine="420" w:firstLineChars="200"/>
        <w:rPr>
          <w:rFonts w:hint="eastAsia"/>
          <w:highlight w:val="none"/>
        </w:rPr>
      </w:pPr>
      <w:r>
        <w:rPr>
          <w:rFonts w:hint="eastAsia"/>
          <w:highlight w:val="none"/>
        </w:rPr>
        <w:t xml:space="preserve">17.1.2 </w:t>
      </w:r>
      <w:r>
        <w:rPr>
          <w:rFonts w:hint="eastAsia" w:ascii="黑体" w:eastAsia="黑体"/>
          <w:highlight w:val="none"/>
        </w:rPr>
        <w:t>计量方法</w:t>
      </w:r>
    </w:p>
    <w:p w14:paraId="175E40B0">
      <w:pPr>
        <w:spacing w:line="400" w:lineRule="exact"/>
        <w:ind w:firstLine="420" w:firstLineChars="200"/>
        <w:rPr>
          <w:rFonts w:hint="eastAsia"/>
          <w:highlight w:val="none"/>
        </w:rPr>
      </w:pPr>
      <w:r>
        <w:rPr>
          <w:rFonts w:hint="eastAsia"/>
          <w:highlight w:val="none"/>
        </w:rPr>
        <w:t>工程量清单中的工程量计算规则应按有关国家标准、行业标准的规定，并在合同中约定执行。</w:t>
      </w:r>
    </w:p>
    <w:p w14:paraId="3CBB0EDC">
      <w:pPr>
        <w:spacing w:line="400" w:lineRule="exact"/>
        <w:ind w:firstLine="420" w:firstLineChars="200"/>
        <w:rPr>
          <w:rFonts w:hint="eastAsia"/>
          <w:highlight w:val="none"/>
        </w:rPr>
      </w:pPr>
      <w:r>
        <w:rPr>
          <w:rFonts w:hint="eastAsia"/>
          <w:highlight w:val="none"/>
        </w:rPr>
        <w:t xml:space="preserve">17.1.3 </w:t>
      </w:r>
      <w:r>
        <w:rPr>
          <w:rFonts w:hint="eastAsia" w:ascii="黑体" w:eastAsia="黑体"/>
          <w:highlight w:val="none"/>
        </w:rPr>
        <w:t>计量周期</w:t>
      </w:r>
    </w:p>
    <w:p w14:paraId="45E37B0B">
      <w:pPr>
        <w:spacing w:line="400" w:lineRule="exact"/>
        <w:ind w:firstLine="420" w:firstLineChars="200"/>
        <w:rPr>
          <w:rFonts w:hint="eastAsia"/>
          <w:highlight w:val="none"/>
        </w:rPr>
      </w:pPr>
      <w:r>
        <w:rPr>
          <w:rFonts w:hint="eastAsia"/>
          <w:highlight w:val="none"/>
        </w:rPr>
        <w:t>除专用合同条款另有约定外，单价子目已完成工程量按月计量，总价子目的计量周期按批准的支付分解报告确定。</w:t>
      </w:r>
    </w:p>
    <w:p w14:paraId="5A3123E7">
      <w:pPr>
        <w:spacing w:line="400" w:lineRule="exact"/>
        <w:ind w:firstLine="420" w:firstLineChars="200"/>
        <w:rPr>
          <w:rFonts w:hint="eastAsia"/>
          <w:highlight w:val="none"/>
        </w:rPr>
      </w:pPr>
      <w:r>
        <w:rPr>
          <w:rFonts w:hint="eastAsia"/>
          <w:highlight w:val="none"/>
        </w:rPr>
        <w:t>17.1.4</w:t>
      </w:r>
      <w:r>
        <w:rPr>
          <w:rFonts w:hint="eastAsia" w:ascii="黑体" w:eastAsia="黑体"/>
          <w:highlight w:val="none"/>
        </w:rPr>
        <w:t xml:space="preserve"> 单价子目的计量</w:t>
      </w:r>
    </w:p>
    <w:p w14:paraId="79AFCE6E">
      <w:pPr>
        <w:spacing w:line="400" w:lineRule="exact"/>
        <w:ind w:firstLine="718" w:firstLineChars="342"/>
        <w:rPr>
          <w:rFonts w:hint="eastAsia"/>
          <w:highlight w:val="none"/>
        </w:rPr>
      </w:pPr>
      <w:r>
        <w:rPr>
          <w:rFonts w:hint="eastAsia"/>
          <w:highlight w:val="none"/>
        </w:rPr>
        <w:t>（1）已标价工程量清单中的单价子目工程量为估算工程量。结算工程量是承包人实际完成的，并按合同约定的计量方法进行计量的工程量。</w:t>
      </w:r>
    </w:p>
    <w:p w14:paraId="33E39656">
      <w:pPr>
        <w:spacing w:line="400" w:lineRule="exact"/>
        <w:ind w:firstLine="718" w:firstLineChars="342"/>
        <w:rPr>
          <w:rFonts w:hint="eastAsia"/>
          <w:highlight w:val="none"/>
        </w:rPr>
      </w:pPr>
      <w:r>
        <w:rPr>
          <w:rFonts w:hint="eastAsia"/>
          <w:highlight w:val="none"/>
        </w:rPr>
        <w:t>（2）承包人对已完成的工程进行计量，向监理人提交进度付款申请单、已完成工程量报表和有关计量资料。</w:t>
      </w:r>
    </w:p>
    <w:p w14:paraId="1DB569D2">
      <w:pPr>
        <w:spacing w:line="400" w:lineRule="exact"/>
        <w:ind w:firstLine="718" w:firstLineChars="342"/>
        <w:rPr>
          <w:rFonts w:hint="eastAsia"/>
          <w:highlight w:val="none"/>
        </w:rPr>
      </w:pPr>
      <w:r>
        <w:rPr>
          <w:rFonts w:hint="eastAsia"/>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42890274">
      <w:pPr>
        <w:spacing w:line="400" w:lineRule="exact"/>
        <w:ind w:firstLine="718" w:firstLineChars="342"/>
        <w:rPr>
          <w:rFonts w:hint="eastAsia"/>
          <w:highlight w:val="none"/>
        </w:rPr>
      </w:pPr>
      <w:r>
        <w:rPr>
          <w:rFonts w:hint="eastAsia"/>
          <w:highlight w:val="none"/>
        </w:rPr>
        <w:t>（4）监理人认为有必要时，可通知承包人共同进行联合测量、计量，承包人应遵照执行。</w:t>
      </w:r>
    </w:p>
    <w:p w14:paraId="0D93E59C">
      <w:pPr>
        <w:spacing w:line="400" w:lineRule="exact"/>
        <w:ind w:firstLine="718" w:firstLineChars="342"/>
        <w:rPr>
          <w:rFonts w:hint="eastAsia"/>
          <w:highlight w:val="none"/>
        </w:rPr>
      </w:pPr>
      <w:r>
        <w:rPr>
          <w:rFonts w:hint="eastAsia"/>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2C2A57E7">
      <w:pPr>
        <w:spacing w:line="400" w:lineRule="exact"/>
        <w:ind w:firstLine="718" w:firstLineChars="342"/>
        <w:rPr>
          <w:rFonts w:hint="eastAsia"/>
          <w:highlight w:val="none"/>
        </w:rPr>
      </w:pPr>
      <w:r>
        <w:rPr>
          <w:rFonts w:hint="eastAsia"/>
          <w:highlight w:val="none"/>
        </w:rPr>
        <w:t>（6）监理人应在收到承包人提交的工程量报表后的7天内进行复核，监理人未在约定时间内复核的，承包人提交的工程量报表中的工程量视为承包人实际完成的工程量，据此计算工程价款。</w:t>
      </w:r>
    </w:p>
    <w:p w14:paraId="3BA8F4CA">
      <w:pPr>
        <w:spacing w:line="400" w:lineRule="exact"/>
        <w:ind w:firstLine="420" w:firstLineChars="200"/>
        <w:rPr>
          <w:rFonts w:hint="eastAsia" w:ascii="黑体" w:eastAsia="黑体"/>
          <w:highlight w:val="none"/>
        </w:rPr>
      </w:pPr>
      <w:r>
        <w:rPr>
          <w:rFonts w:hint="eastAsia"/>
          <w:highlight w:val="none"/>
        </w:rPr>
        <w:t xml:space="preserve">17.1.5 </w:t>
      </w:r>
      <w:r>
        <w:rPr>
          <w:rFonts w:hint="eastAsia" w:ascii="黑体" w:eastAsia="黑体"/>
          <w:highlight w:val="none"/>
        </w:rPr>
        <w:t>总价子目的计量</w:t>
      </w:r>
    </w:p>
    <w:p w14:paraId="49C2B19F">
      <w:pPr>
        <w:spacing w:line="400" w:lineRule="exact"/>
        <w:ind w:firstLine="630" w:firstLineChars="300"/>
        <w:rPr>
          <w:rFonts w:hint="eastAsia" w:ascii="宋体" w:hAnsi="宋体"/>
          <w:highlight w:val="none"/>
        </w:rPr>
      </w:pPr>
      <w:r>
        <w:rPr>
          <w:rFonts w:hint="eastAsia" w:ascii="宋体" w:hAnsi="宋体"/>
          <w:highlight w:val="none"/>
        </w:rPr>
        <w:t>除专用合同条款另有约定外，总价子目的分解和计量按照下述约定进行。</w:t>
      </w:r>
    </w:p>
    <w:p w14:paraId="40D46036">
      <w:pPr>
        <w:spacing w:line="400" w:lineRule="exact"/>
        <w:ind w:firstLine="630" w:firstLineChars="300"/>
        <w:rPr>
          <w:rFonts w:hint="eastAsia" w:ascii="宋体" w:hAnsi="宋体"/>
          <w:highlight w:val="none"/>
        </w:rPr>
      </w:pPr>
      <w:r>
        <w:rPr>
          <w:rFonts w:hint="eastAsia" w:ascii="宋体" w:hAnsi="宋体"/>
          <w:highlight w:val="none"/>
        </w:rPr>
        <w:t>（1）总价子目的计量和支付应以总价为基础，不因第16.1款中的因素而进行调整。承包人实际完成的工程量，是进行工程目标管理和控制进度支付的依据。</w:t>
      </w:r>
    </w:p>
    <w:p w14:paraId="38E30B67">
      <w:pPr>
        <w:spacing w:line="400" w:lineRule="exact"/>
        <w:ind w:firstLine="630" w:firstLineChars="300"/>
        <w:rPr>
          <w:rFonts w:hint="eastAsia" w:ascii="宋体" w:hAnsi="宋体"/>
          <w:highlight w:val="none"/>
        </w:rPr>
      </w:pPr>
      <w:r>
        <w:rPr>
          <w:rFonts w:hint="eastAsia" w:ascii="宋体" w:hAnsi="宋体"/>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6B6EADC">
      <w:pPr>
        <w:spacing w:line="400" w:lineRule="exact"/>
        <w:ind w:firstLine="630" w:firstLineChars="300"/>
        <w:rPr>
          <w:rFonts w:hint="eastAsia" w:ascii="宋体" w:hAnsi="宋体"/>
          <w:highlight w:val="none"/>
        </w:rPr>
      </w:pPr>
      <w:r>
        <w:rPr>
          <w:rFonts w:hint="eastAsia" w:ascii="宋体" w:hAnsi="宋体"/>
          <w:highlight w:val="none"/>
        </w:rPr>
        <w:t>（3）监理人对承包人提交的上述资料进行复核，以确定分阶段实际完成的工程量和工程形象目标。对其有异议的，可要求承包人按第8.2款约定进行共同复核和抽样复测。</w:t>
      </w:r>
    </w:p>
    <w:p w14:paraId="172F2F00">
      <w:pPr>
        <w:spacing w:line="400" w:lineRule="exact"/>
        <w:ind w:firstLine="630" w:firstLineChars="300"/>
        <w:rPr>
          <w:rFonts w:ascii="宋体" w:hAnsi="宋体"/>
          <w:highlight w:val="none"/>
        </w:rPr>
      </w:pPr>
      <w:r>
        <w:rPr>
          <w:rFonts w:hint="eastAsia" w:ascii="宋体" w:hAnsi="宋体"/>
          <w:highlight w:val="none"/>
        </w:rPr>
        <w:t xml:space="preserve">（4）除按照第15条约定的变更外，总价子目的工程量是承包人用于结算的最终工程量。 </w:t>
      </w:r>
    </w:p>
    <w:p w14:paraId="330083D4">
      <w:pPr>
        <w:pStyle w:val="45"/>
        <w:rPr>
          <w:rFonts w:hint="eastAsia"/>
          <w:highlight w:val="none"/>
        </w:rPr>
      </w:pPr>
      <w:bookmarkStart w:id="778" w:name="_Toc152045720"/>
      <w:bookmarkStart w:id="779" w:name="_Toc1446"/>
      <w:bookmarkStart w:id="780" w:name="_Toc144974691"/>
      <w:bookmarkStart w:id="781" w:name="_Toc152042499"/>
      <w:r>
        <w:rPr>
          <w:rFonts w:hint="eastAsia"/>
          <w:highlight w:val="none"/>
        </w:rPr>
        <w:t>17.2 预付款</w:t>
      </w:r>
      <w:bookmarkEnd w:id="778"/>
      <w:bookmarkEnd w:id="779"/>
      <w:bookmarkEnd w:id="780"/>
      <w:bookmarkEnd w:id="781"/>
    </w:p>
    <w:p w14:paraId="7E9C423A">
      <w:pPr>
        <w:spacing w:line="400" w:lineRule="exact"/>
        <w:ind w:firstLine="420" w:firstLineChars="200"/>
        <w:rPr>
          <w:rFonts w:hint="eastAsia"/>
          <w:highlight w:val="none"/>
        </w:rPr>
      </w:pPr>
      <w:r>
        <w:rPr>
          <w:rFonts w:hint="eastAsia"/>
          <w:highlight w:val="none"/>
        </w:rPr>
        <w:t xml:space="preserve">17.2.1 </w:t>
      </w:r>
      <w:r>
        <w:rPr>
          <w:rFonts w:hint="eastAsia" w:ascii="黑体" w:eastAsia="黑体"/>
          <w:highlight w:val="none"/>
        </w:rPr>
        <w:t>预付款</w:t>
      </w:r>
    </w:p>
    <w:p w14:paraId="37412D7E">
      <w:pPr>
        <w:spacing w:line="400" w:lineRule="exact"/>
        <w:ind w:firstLine="420" w:firstLineChars="200"/>
        <w:rPr>
          <w:rFonts w:hint="eastAsia"/>
          <w:highlight w:val="none"/>
        </w:rPr>
      </w:pPr>
      <w:r>
        <w:rPr>
          <w:rFonts w:hint="eastAsia"/>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199FCB68">
      <w:pPr>
        <w:spacing w:line="400" w:lineRule="exact"/>
        <w:ind w:firstLine="420" w:firstLineChars="200"/>
        <w:rPr>
          <w:rFonts w:hint="eastAsia"/>
          <w:highlight w:val="none"/>
        </w:rPr>
      </w:pPr>
      <w:r>
        <w:rPr>
          <w:rFonts w:hint="eastAsia"/>
          <w:highlight w:val="none"/>
        </w:rPr>
        <w:t xml:space="preserve">17.2.2 </w:t>
      </w:r>
      <w:r>
        <w:rPr>
          <w:rFonts w:hint="eastAsia" w:ascii="黑体" w:eastAsia="黑体"/>
          <w:highlight w:val="none"/>
        </w:rPr>
        <w:t>预付款保函</w:t>
      </w:r>
    </w:p>
    <w:p w14:paraId="0793E3BA">
      <w:pPr>
        <w:spacing w:line="400" w:lineRule="exact"/>
        <w:ind w:firstLine="420" w:firstLineChars="200"/>
        <w:rPr>
          <w:rFonts w:hint="eastAsia"/>
          <w:highlight w:val="none"/>
        </w:rPr>
      </w:pPr>
      <w:r>
        <w:rPr>
          <w:rFonts w:hint="eastAsia"/>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7F2B30E3">
      <w:pPr>
        <w:spacing w:line="400" w:lineRule="exact"/>
        <w:ind w:firstLine="420" w:firstLineChars="200"/>
        <w:rPr>
          <w:rFonts w:hint="eastAsia"/>
          <w:highlight w:val="none"/>
        </w:rPr>
      </w:pPr>
      <w:r>
        <w:rPr>
          <w:rFonts w:hint="eastAsia"/>
          <w:highlight w:val="none"/>
        </w:rPr>
        <w:t xml:space="preserve">17.2.3 </w:t>
      </w:r>
      <w:r>
        <w:rPr>
          <w:rFonts w:hint="eastAsia" w:ascii="黑体" w:eastAsia="黑体"/>
          <w:highlight w:val="none"/>
        </w:rPr>
        <w:t>预付款的扣回与还清</w:t>
      </w:r>
    </w:p>
    <w:p w14:paraId="275A8DA2">
      <w:pPr>
        <w:spacing w:line="400" w:lineRule="exact"/>
        <w:ind w:firstLine="420" w:firstLineChars="200"/>
        <w:rPr>
          <w:rFonts w:hint="eastAsia"/>
          <w:highlight w:val="none"/>
        </w:rPr>
      </w:pPr>
      <w:r>
        <w:rPr>
          <w:rFonts w:hint="eastAsia"/>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0A09E5A6">
      <w:pPr>
        <w:pStyle w:val="45"/>
        <w:rPr>
          <w:rFonts w:hint="eastAsia"/>
          <w:highlight w:val="none"/>
        </w:rPr>
      </w:pPr>
      <w:bookmarkStart w:id="782" w:name="_Toc152045721"/>
      <w:bookmarkStart w:id="783" w:name="_Toc152042500"/>
      <w:bookmarkStart w:id="784" w:name="_Toc16010"/>
      <w:bookmarkStart w:id="785" w:name="_Toc144974692"/>
      <w:r>
        <w:rPr>
          <w:rFonts w:hint="eastAsia"/>
          <w:highlight w:val="none"/>
        </w:rPr>
        <w:t>17.3 工程进度付款</w:t>
      </w:r>
      <w:bookmarkEnd w:id="782"/>
      <w:bookmarkEnd w:id="783"/>
      <w:bookmarkEnd w:id="784"/>
      <w:bookmarkEnd w:id="785"/>
    </w:p>
    <w:p w14:paraId="7BFBB9F4">
      <w:pPr>
        <w:spacing w:line="400" w:lineRule="exact"/>
        <w:ind w:firstLine="420" w:firstLineChars="200"/>
        <w:rPr>
          <w:rFonts w:hint="eastAsia"/>
          <w:highlight w:val="none"/>
        </w:rPr>
      </w:pPr>
      <w:r>
        <w:rPr>
          <w:rFonts w:hint="eastAsia"/>
          <w:highlight w:val="none"/>
        </w:rPr>
        <w:t xml:space="preserve">17.3.1 </w:t>
      </w:r>
      <w:r>
        <w:rPr>
          <w:rFonts w:hint="eastAsia" w:ascii="黑体" w:eastAsia="黑体"/>
          <w:highlight w:val="none"/>
        </w:rPr>
        <w:t>付款周期</w:t>
      </w:r>
    </w:p>
    <w:p w14:paraId="658C1F76">
      <w:pPr>
        <w:spacing w:line="400" w:lineRule="exact"/>
        <w:ind w:firstLine="420" w:firstLineChars="200"/>
        <w:rPr>
          <w:rFonts w:hint="eastAsia"/>
          <w:highlight w:val="none"/>
        </w:rPr>
      </w:pPr>
      <w:r>
        <w:rPr>
          <w:rFonts w:hint="eastAsia"/>
          <w:highlight w:val="none"/>
        </w:rPr>
        <w:t>付款周期同计量周期。</w:t>
      </w:r>
    </w:p>
    <w:p w14:paraId="243D44A4">
      <w:pPr>
        <w:spacing w:line="400" w:lineRule="exact"/>
        <w:ind w:firstLine="420" w:firstLineChars="200"/>
        <w:rPr>
          <w:rFonts w:hint="eastAsia"/>
          <w:highlight w:val="none"/>
        </w:rPr>
      </w:pPr>
      <w:r>
        <w:rPr>
          <w:rFonts w:hint="eastAsia"/>
          <w:highlight w:val="none"/>
        </w:rPr>
        <w:t xml:space="preserve">17.3.2 </w:t>
      </w:r>
      <w:r>
        <w:rPr>
          <w:rFonts w:hint="eastAsia" w:ascii="黑体" w:eastAsia="黑体"/>
          <w:highlight w:val="none"/>
        </w:rPr>
        <w:t>进度付款申请单</w:t>
      </w:r>
    </w:p>
    <w:p w14:paraId="14DC78A5">
      <w:pPr>
        <w:spacing w:line="400" w:lineRule="exact"/>
        <w:ind w:firstLine="420" w:firstLineChars="200"/>
        <w:rPr>
          <w:rFonts w:hint="eastAsia"/>
          <w:dstrike/>
          <w:szCs w:val="21"/>
          <w:highlight w:val="none"/>
        </w:rPr>
      </w:pPr>
      <w:r>
        <w:rPr>
          <w:rFonts w:hint="eastAsia"/>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E0F8A92">
      <w:pPr>
        <w:spacing w:line="400" w:lineRule="exact"/>
        <w:ind w:firstLine="420" w:firstLineChars="200"/>
        <w:rPr>
          <w:rFonts w:hint="eastAsia"/>
          <w:highlight w:val="none"/>
        </w:rPr>
      </w:pPr>
      <w:r>
        <w:rPr>
          <w:rFonts w:hint="eastAsia"/>
          <w:highlight w:val="none"/>
        </w:rPr>
        <w:t>（1）截至本次付款周期末已实施工程的价款；</w:t>
      </w:r>
    </w:p>
    <w:p w14:paraId="42837C55">
      <w:pPr>
        <w:spacing w:line="400" w:lineRule="exact"/>
        <w:ind w:firstLine="420" w:firstLineChars="200"/>
        <w:rPr>
          <w:rFonts w:hint="eastAsia"/>
          <w:highlight w:val="none"/>
        </w:rPr>
      </w:pPr>
      <w:r>
        <w:rPr>
          <w:rFonts w:hint="eastAsia"/>
          <w:highlight w:val="none"/>
        </w:rPr>
        <w:t>（2）根据第15条应增加和扣减的变更金额；</w:t>
      </w:r>
    </w:p>
    <w:p w14:paraId="5FDB50B6">
      <w:pPr>
        <w:spacing w:line="400" w:lineRule="exact"/>
        <w:ind w:firstLine="420" w:firstLineChars="200"/>
        <w:rPr>
          <w:rFonts w:hint="eastAsia"/>
          <w:highlight w:val="none"/>
        </w:rPr>
      </w:pPr>
      <w:r>
        <w:rPr>
          <w:rFonts w:hint="eastAsia"/>
          <w:highlight w:val="none"/>
        </w:rPr>
        <w:t>（3）根据第23条应增加和扣减的索赔金额；</w:t>
      </w:r>
    </w:p>
    <w:p w14:paraId="53127899">
      <w:pPr>
        <w:spacing w:line="400" w:lineRule="exact"/>
        <w:ind w:firstLine="420" w:firstLineChars="200"/>
        <w:rPr>
          <w:rFonts w:hint="eastAsia"/>
          <w:highlight w:val="none"/>
        </w:rPr>
      </w:pPr>
      <w:r>
        <w:rPr>
          <w:rFonts w:hint="eastAsia"/>
          <w:highlight w:val="none"/>
        </w:rPr>
        <w:t>（4）根据第17.2款约定应支付的预付款和扣减的返还预付款；</w:t>
      </w:r>
    </w:p>
    <w:p w14:paraId="5323AD2F">
      <w:pPr>
        <w:spacing w:line="400" w:lineRule="exact"/>
        <w:ind w:firstLine="420" w:firstLineChars="200"/>
        <w:rPr>
          <w:rFonts w:hint="eastAsia"/>
          <w:highlight w:val="none"/>
        </w:rPr>
      </w:pPr>
      <w:r>
        <w:rPr>
          <w:rFonts w:hint="eastAsia"/>
          <w:highlight w:val="none"/>
        </w:rPr>
        <w:t>（5）根据第17.4.1项约定应扣减的质量保证金；</w:t>
      </w:r>
    </w:p>
    <w:p w14:paraId="25AE71C0">
      <w:pPr>
        <w:spacing w:line="400" w:lineRule="exact"/>
        <w:ind w:firstLine="420" w:firstLineChars="200"/>
        <w:rPr>
          <w:rFonts w:hint="eastAsia"/>
          <w:highlight w:val="none"/>
        </w:rPr>
      </w:pPr>
      <w:r>
        <w:rPr>
          <w:rFonts w:hint="eastAsia"/>
          <w:highlight w:val="none"/>
        </w:rPr>
        <w:t>（6）根据合同应增加和扣减的其他金额。</w:t>
      </w:r>
    </w:p>
    <w:p w14:paraId="3E012233">
      <w:pPr>
        <w:spacing w:line="400" w:lineRule="exact"/>
        <w:ind w:firstLine="420" w:firstLineChars="200"/>
        <w:rPr>
          <w:rFonts w:hint="eastAsia"/>
          <w:highlight w:val="none"/>
        </w:rPr>
      </w:pPr>
      <w:r>
        <w:rPr>
          <w:rFonts w:hint="eastAsia"/>
          <w:highlight w:val="none"/>
        </w:rPr>
        <w:t xml:space="preserve">17.3.3 </w:t>
      </w:r>
      <w:r>
        <w:rPr>
          <w:rFonts w:hint="eastAsia" w:ascii="黑体" w:eastAsia="黑体"/>
          <w:highlight w:val="none"/>
        </w:rPr>
        <w:t>进度付款证书和支付时间</w:t>
      </w:r>
    </w:p>
    <w:p w14:paraId="35388A27">
      <w:pPr>
        <w:spacing w:line="400" w:lineRule="exact"/>
        <w:ind w:firstLine="630" w:firstLineChars="300"/>
        <w:rPr>
          <w:rFonts w:hint="eastAsia"/>
          <w:highlight w:val="none"/>
        </w:rPr>
      </w:pPr>
      <w:r>
        <w:rPr>
          <w:rFonts w:hint="eastAsia"/>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55FB329">
      <w:pPr>
        <w:spacing w:line="400" w:lineRule="exact"/>
        <w:ind w:firstLine="718" w:firstLineChars="342"/>
        <w:rPr>
          <w:rFonts w:hint="eastAsia"/>
          <w:highlight w:val="none"/>
        </w:rPr>
      </w:pPr>
      <w:r>
        <w:rPr>
          <w:rFonts w:hint="eastAsia"/>
          <w:highlight w:val="none"/>
        </w:rPr>
        <w:t>（2）发包人应在监理人收到进度付款申请单后的28天内，将进度应付款支付给承包人。发包人不按期支付的，按专用合同条款的约定支付逾期付款违约金。</w:t>
      </w:r>
    </w:p>
    <w:p w14:paraId="39558B8A">
      <w:pPr>
        <w:spacing w:line="400" w:lineRule="exact"/>
        <w:ind w:firstLine="718" w:firstLineChars="342"/>
        <w:rPr>
          <w:rFonts w:hint="eastAsia"/>
          <w:highlight w:val="none"/>
        </w:rPr>
      </w:pPr>
      <w:r>
        <w:rPr>
          <w:rFonts w:hint="eastAsia"/>
          <w:highlight w:val="none"/>
        </w:rPr>
        <w:t>（3）监理人出具进度付款证书，不应视为监理人已同意、批准或接受了承包人完成的该部分工作。</w:t>
      </w:r>
    </w:p>
    <w:p w14:paraId="74C14A9C">
      <w:pPr>
        <w:spacing w:line="400" w:lineRule="exact"/>
        <w:ind w:firstLine="718" w:firstLineChars="342"/>
        <w:rPr>
          <w:rFonts w:hint="eastAsia"/>
          <w:highlight w:val="none"/>
        </w:rPr>
      </w:pPr>
      <w:r>
        <w:rPr>
          <w:rFonts w:hint="eastAsia"/>
          <w:highlight w:val="none"/>
        </w:rPr>
        <w:t>（4）进度付款涉及政府投资资金的，按照国库集中支付等国家相关规定和专用合同条款的约定办理。</w:t>
      </w:r>
    </w:p>
    <w:p w14:paraId="464FFBED">
      <w:pPr>
        <w:spacing w:line="400" w:lineRule="exact"/>
        <w:ind w:firstLine="420" w:firstLineChars="200"/>
        <w:rPr>
          <w:rFonts w:hint="eastAsia"/>
          <w:highlight w:val="none"/>
        </w:rPr>
      </w:pPr>
      <w:r>
        <w:rPr>
          <w:rFonts w:hint="eastAsia"/>
          <w:highlight w:val="none"/>
        </w:rPr>
        <w:t xml:space="preserve">17.3.4 </w:t>
      </w:r>
      <w:r>
        <w:rPr>
          <w:rFonts w:hint="eastAsia" w:ascii="黑体" w:eastAsia="黑体"/>
          <w:highlight w:val="none"/>
        </w:rPr>
        <w:t>工程进度付款的修正</w:t>
      </w:r>
    </w:p>
    <w:p w14:paraId="53EB9EED">
      <w:pPr>
        <w:spacing w:line="400" w:lineRule="exact"/>
        <w:ind w:firstLine="420" w:firstLineChars="200"/>
        <w:rPr>
          <w:rFonts w:hint="eastAsia"/>
          <w:highlight w:val="none"/>
        </w:rPr>
      </w:pPr>
      <w:r>
        <w:rPr>
          <w:rFonts w:hint="eastAsia"/>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2329712B">
      <w:pPr>
        <w:pStyle w:val="45"/>
        <w:rPr>
          <w:rFonts w:hint="eastAsia"/>
          <w:highlight w:val="none"/>
        </w:rPr>
      </w:pPr>
      <w:bookmarkStart w:id="786" w:name="_Toc144974693"/>
      <w:bookmarkStart w:id="787" w:name="_Toc152042501"/>
      <w:bookmarkStart w:id="788" w:name="_Toc152045722"/>
      <w:bookmarkStart w:id="789" w:name="_Toc30451"/>
      <w:r>
        <w:rPr>
          <w:rFonts w:hint="eastAsia"/>
          <w:highlight w:val="none"/>
        </w:rPr>
        <w:t xml:space="preserve">17.4 </w:t>
      </w:r>
      <w:bookmarkEnd w:id="786"/>
      <w:bookmarkEnd w:id="787"/>
      <w:bookmarkEnd w:id="788"/>
      <w:r>
        <w:rPr>
          <w:rFonts w:hint="eastAsia"/>
          <w:highlight w:val="none"/>
        </w:rPr>
        <w:t>质量保证金</w:t>
      </w:r>
      <w:bookmarkEnd w:id="789"/>
    </w:p>
    <w:p w14:paraId="32C4A688">
      <w:pPr>
        <w:spacing w:line="400" w:lineRule="exact"/>
        <w:ind w:firstLine="420" w:firstLineChars="200"/>
        <w:rPr>
          <w:rFonts w:hint="eastAsia"/>
          <w:highlight w:val="none"/>
        </w:rPr>
      </w:pPr>
      <w:r>
        <w:rPr>
          <w:rFonts w:hint="eastAsia"/>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31A195F">
      <w:pPr>
        <w:spacing w:line="400" w:lineRule="exact"/>
        <w:ind w:firstLine="420" w:firstLineChars="200"/>
        <w:rPr>
          <w:rFonts w:hint="eastAsia"/>
          <w:highlight w:val="none"/>
        </w:rPr>
      </w:pPr>
      <w:r>
        <w:rPr>
          <w:rFonts w:hint="eastAsia"/>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0DAFBAAF">
      <w:pPr>
        <w:spacing w:line="400" w:lineRule="exact"/>
        <w:ind w:firstLine="420" w:firstLineChars="200"/>
        <w:rPr>
          <w:rFonts w:hint="eastAsia"/>
          <w:highlight w:val="none"/>
        </w:rPr>
      </w:pPr>
      <w:r>
        <w:rPr>
          <w:rFonts w:hint="eastAsia"/>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4BE6140F">
      <w:pPr>
        <w:pStyle w:val="45"/>
        <w:rPr>
          <w:rFonts w:hint="eastAsia"/>
          <w:highlight w:val="none"/>
        </w:rPr>
      </w:pPr>
      <w:bookmarkStart w:id="790" w:name="_Toc152045723"/>
      <w:bookmarkStart w:id="791" w:name="_Toc152042502"/>
      <w:bookmarkStart w:id="792" w:name="_Toc1711"/>
      <w:bookmarkStart w:id="793" w:name="_Toc144974694"/>
      <w:r>
        <w:rPr>
          <w:rFonts w:hint="eastAsia"/>
          <w:highlight w:val="none"/>
        </w:rPr>
        <w:t>17.5 竣工结算</w:t>
      </w:r>
      <w:bookmarkEnd w:id="790"/>
      <w:bookmarkEnd w:id="791"/>
      <w:bookmarkEnd w:id="792"/>
      <w:bookmarkEnd w:id="793"/>
    </w:p>
    <w:p w14:paraId="0A7E292D">
      <w:pPr>
        <w:spacing w:line="400" w:lineRule="exact"/>
        <w:ind w:firstLine="420" w:firstLineChars="200"/>
        <w:rPr>
          <w:rFonts w:hint="eastAsia"/>
          <w:highlight w:val="none"/>
        </w:rPr>
      </w:pPr>
      <w:r>
        <w:rPr>
          <w:rFonts w:hint="eastAsia"/>
          <w:highlight w:val="none"/>
        </w:rPr>
        <w:t xml:space="preserve">17.5.1 </w:t>
      </w:r>
      <w:r>
        <w:rPr>
          <w:rFonts w:hint="eastAsia" w:ascii="黑体" w:eastAsia="黑体"/>
          <w:highlight w:val="none"/>
        </w:rPr>
        <w:t>竣工付款申请单</w:t>
      </w:r>
    </w:p>
    <w:p w14:paraId="1711710C">
      <w:pPr>
        <w:spacing w:line="400" w:lineRule="exact"/>
        <w:ind w:firstLine="718" w:firstLineChars="342"/>
        <w:rPr>
          <w:rFonts w:hint="eastAsia"/>
          <w:highlight w:val="none"/>
        </w:rPr>
      </w:pPr>
      <w:r>
        <w:rPr>
          <w:rFonts w:hint="eastAsia"/>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C85F77D">
      <w:pPr>
        <w:spacing w:line="400" w:lineRule="exact"/>
        <w:ind w:firstLine="718" w:firstLineChars="342"/>
        <w:rPr>
          <w:rFonts w:hint="eastAsia"/>
          <w:highlight w:val="none"/>
        </w:rPr>
      </w:pPr>
      <w:r>
        <w:rPr>
          <w:rFonts w:hint="eastAsia"/>
          <w:highlight w:val="none"/>
        </w:rPr>
        <w:t>（2）监理人对竣工付款申请单有异议的，有权要求承包人进行修正和提供补充资料。经监理人和承包人协商后，由承包人向监理人提交修正后的竣工付款申请单。</w:t>
      </w:r>
    </w:p>
    <w:p w14:paraId="75D8B10B">
      <w:pPr>
        <w:spacing w:line="400" w:lineRule="exact"/>
        <w:ind w:firstLine="420" w:firstLineChars="200"/>
        <w:rPr>
          <w:rFonts w:hint="eastAsia"/>
          <w:highlight w:val="none"/>
        </w:rPr>
      </w:pPr>
      <w:r>
        <w:rPr>
          <w:rFonts w:hint="eastAsia"/>
          <w:highlight w:val="none"/>
        </w:rPr>
        <w:t xml:space="preserve">17.5.2 </w:t>
      </w:r>
      <w:r>
        <w:rPr>
          <w:rFonts w:hint="eastAsia" w:ascii="黑体" w:eastAsia="黑体"/>
          <w:highlight w:val="none"/>
        </w:rPr>
        <w:t>竣工付款证书及支付时间</w:t>
      </w:r>
    </w:p>
    <w:p w14:paraId="0923FF34">
      <w:pPr>
        <w:spacing w:line="400" w:lineRule="exact"/>
        <w:ind w:firstLine="718" w:firstLineChars="342"/>
        <w:rPr>
          <w:rFonts w:hint="eastAsia"/>
          <w:highlight w:val="none"/>
        </w:rPr>
      </w:pPr>
      <w:r>
        <w:rPr>
          <w:rFonts w:hint="eastAsia"/>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6569DF5B">
      <w:pPr>
        <w:spacing w:line="400" w:lineRule="exact"/>
        <w:ind w:firstLine="718" w:firstLineChars="342"/>
        <w:rPr>
          <w:rFonts w:hint="eastAsia"/>
          <w:highlight w:val="none"/>
        </w:rPr>
      </w:pPr>
      <w:r>
        <w:rPr>
          <w:rFonts w:hint="eastAsia"/>
          <w:highlight w:val="none"/>
        </w:rPr>
        <w:t>（2）发包人应在监理人出具竣工付款证书后的14天内，将应支付款支付给承包人。发包人不按期支付的，按第17.3.3（2）目的约定，将逾期付款违约金支付给承包人。</w:t>
      </w:r>
    </w:p>
    <w:p w14:paraId="3AD0375B">
      <w:pPr>
        <w:spacing w:line="400" w:lineRule="exact"/>
        <w:ind w:firstLine="718" w:firstLineChars="342"/>
        <w:rPr>
          <w:rFonts w:hint="eastAsia"/>
          <w:highlight w:val="none"/>
        </w:rPr>
      </w:pPr>
      <w:r>
        <w:rPr>
          <w:rFonts w:hint="eastAsia"/>
          <w:highlight w:val="none"/>
        </w:rPr>
        <w:t>（3）承包人对发包人签认的竣工付款证书有异议的，发包人可出具竣工付款申请单中承包人已同意部分的临时付款证书。存在争议的部分，按第24条的约定办理。</w:t>
      </w:r>
    </w:p>
    <w:p w14:paraId="76913828">
      <w:pPr>
        <w:spacing w:line="400" w:lineRule="exact"/>
        <w:ind w:firstLine="630" w:firstLineChars="300"/>
        <w:rPr>
          <w:rFonts w:hint="eastAsia"/>
          <w:highlight w:val="none"/>
        </w:rPr>
      </w:pPr>
      <w:r>
        <w:rPr>
          <w:rFonts w:hint="eastAsia"/>
          <w:highlight w:val="none"/>
        </w:rPr>
        <w:t>（4）竣工付款涉及政府投资资金的，按第17.3.3（４）目的约定办理。</w:t>
      </w:r>
    </w:p>
    <w:p w14:paraId="5D543098">
      <w:pPr>
        <w:pStyle w:val="45"/>
        <w:rPr>
          <w:rFonts w:hint="eastAsia"/>
          <w:highlight w:val="none"/>
        </w:rPr>
      </w:pPr>
      <w:bookmarkStart w:id="794" w:name="_Toc17924"/>
      <w:bookmarkStart w:id="795" w:name="_Toc144974695"/>
      <w:bookmarkStart w:id="796" w:name="_Toc152045724"/>
      <w:bookmarkStart w:id="797" w:name="_Toc152042503"/>
      <w:r>
        <w:rPr>
          <w:rFonts w:hint="eastAsia"/>
          <w:highlight w:val="none"/>
        </w:rPr>
        <w:t>17.6 最终结清</w:t>
      </w:r>
      <w:bookmarkEnd w:id="794"/>
      <w:bookmarkEnd w:id="795"/>
      <w:bookmarkEnd w:id="796"/>
      <w:bookmarkEnd w:id="797"/>
    </w:p>
    <w:p w14:paraId="710E0FA9">
      <w:pPr>
        <w:spacing w:line="400" w:lineRule="exact"/>
        <w:ind w:firstLine="420" w:firstLineChars="200"/>
        <w:rPr>
          <w:rFonts w:hint="eastAsia"/>
          <w:highlight w:val="none"/>
        </w:rPr>
      </w:pPr>
      <w:r>
        <w:rPr>
          <w:rFonts w:hint="eastAsia"/>
          <w:highlight w:val="none"/>
        </w:rPr>
        <w:t xml:space="preserve">17.6.1 </w:t>
      </w:r>
      <w:r>
        <w:rPr>
          <w:rFonts w:hint="eastAsia" w:ascii="黑体" w:eastAsia="黑体"/>
          <w:highlight w:val="none"/>
        </w:rPr>
        <w:t>最终结清申请单</w:t>
      </w:r>
    </w:p>
    <w:p w14:paraId="160BF3F1">
      <w:pPr>
        <w:spacing w:line="400" w:lineRule="exact"/>
        <w:ind w:firstLine="718" w:firstLineChars="342"/>
        <w:rPr>
          <w:rFonts w:hint="eastAsia"/>
          <w:highlight w:val="none"/>
        </w:rPr>
      </w:pPr>
      <w:r>
        <w:rPr>
          <w:rFonts w:hint="eastAsia"/>
          <w:highlight w:val="none"/>
        </w:rPr>
        <w:t>（1）缺陷责任期终止证书签发后，承包人可按专用合同条款约定的份数和期限向监理人提交最终结清申请单，并提供相关证明材料。</w:t>
      </w:r>
    </w:p>
    <w:p w14:paraId="2E875871">
      <w:pPr>
        <w:spacing w:line="400" w:lineRule="exact"/>
        <w:ind w:firstLine="718" w:firstLineChars="342"/>
        <w:rPr>
          <w:rFonts w:hint="eastAsia"/>
          <w:highlight w:val="none"/>
        </w:rPr>
      </w:pPr>
      <w:r>
        <w:rPr>
          <w:rFonts w:hint="eastAsia"/>
          <w:highlight w:val="none"/>
        </w:rPr>
        <w:t>（2）发包人对最终结清申请单内容有异议的，有权要求承包人进行修正和提供补充资料，由承包人向监理人提交修正后的最终结清申请单。</w:t>
      </w:r>
    </w:p>
    <w:p w14:paraId="6D2B7B61">
      <w:pPr>
        <w:spacing w:line="400" w:lineRule="exact"/>
        <w:ind w:firstLine="420" w:firstLineChars="200"/>
        <w:rPr>
          <w:rFonts w:hint="eastAsia"/>
          <w:highlight w:val="none"/>
        </w:rPr>
      </w:pPr>
      <w:r>
        <w:rPr>
          <w:rFonts w:hint="eastAsia"/>
          <w:highlight w:val="none"/>
        </w:rPr>
        <w:t xml:space="preserve">17.6.2 </w:t>
      </w:r>
      <w:r>
        <w:rPr>
          <w:rFonts w:hint="eastAsia" w:ascii="黑体" w:eastAsia="黑体"/>
          <w:highlight w:val="none"/>
        </w:rPr>
        <w:t>最终结清证书和支付时间</w:t>
      </w:r>
    </w:p>
    <w:p w14:paraId="6214319B">
      <w:pPr>
        <w:spacing w:line="400" w:lineRule="exact"/>
        <w:ind w:firstLine="718" w:firstLineChars="342"/>
        <w:rPr>
          <w:rFonts w:hint="eastAsia"/>
          <w:highlight w:val="none"/>
        </w:rPr>
      </w:pPr>
      <w:r>
        <w:rPr>
          <w:rFonts w:hint="eastAsia"/>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9B75578">
      <w:pPr>
        <w:spacing w:line="400" w:lineRule="exact"/>
        <w:ind w:firstLine="718" w:firstLineChars="342"/>
        <w:rPr>
          <w:rFonts w:hint="eastAsia"/>
          <w:highlight w:val="none"/>
        </w:rPr>
      </w:pPr>
      <w:r>
        <w:rPr>
          <w:rFonts w:hint="eastAsia"/>
          <w:highlight w:val="none"/>
        </w:rPr>
        <w:t>（2）发包人应在监理人出具最终结清证书后的14天内，将应支付款支付给承包人。发包人不按期支付的，按第17.3.3（2）目的约定，将逾期付款违约金支付给承包人。</w:t>
      </w:r>
    </w:p>
    <w:p w14:paraId="4F176128">
      <w:pPr>
        <w:spacing w:line="400" w:lineRule="exact"/>
        <w:ind w:firstLine="718" w:firstLineChars="342"/>
        <w:rPr>
          <w:rFonts w:hint="eastAsia"/>
          <w:highlight w:val="none"/>
        </w:rPr>
      </w:pPr>
      <w:r>
        <w:rPr>
          <w:rFonts w:hint="eastAsia"/>
          <w:highlight w:val="none"/>
        </w:rPr>
        <w:t>（3）承包人对发包人签认的最终结清证书有异议的，按第24条的约定办理。</w:t>
      </w:r>
    </w:p>
    <w:p w14:paraId="5A354577">
      <w:pPr>
        <w:spacing w:line="400" w:lineRule="exact"/>
        <w:ind w:firstLine="718" w:firstLineChars="342"/>
        <w:rPr>
          <w:rFonts w:hint="eastAsia"/>
          <w:highlight w:val="none"/>
        </w:rPr>
      </w:pPr>
      <w:r>
        <w:rPr>
          <w:rFonts w:hint="eastAsia"/>
          <w:highlight w:val="none"/>
        </w:rPr>
        <w:t>（4）最终结清付款涉及政府投资资金的，按第17.3.3（４）目的约定办理。</w:t>
      </w:r>
    </w:p>
    <w:p w14:paraId="6FA0E463">
      <w:pPr>
        <w:pStyle w:val="46"/>
        <w:rPr>
          <w:rFonts w:hint="eastAsia"/>
          <w:highlight w:val="none"/>
        </w:rPr>
      </w:pPr>
      <w:bookmarkStart w:id="798" w:name="_Toc144974696"/>
      <w:bookmarkStart w:id="799" w:name="_Toc152045725"/>
      <w:bookmarkStart w:id="800" w:name="_Toc152042504"/>
      <w:bookmarkStart w:id="801" w:name="_Toc12312"/>
      <w:r>
        <w:rPr>
          <w:rFonts w:hint="eastAsia"/>
          <w:highlight w:val="none"/>
        </w:rPr>
        <w:t>18. 竣工验收</w:t>
      </w:r>
      <w:bookmarkEnd w:id="798"/>
      <w:bookmarkEnd w:id="799"/>
      <w:bookmarkEnd w:id="800"/>
      <w:bookmarkEnd w:id="801"/>
    </w:p>
    <w:p w14:paraId="48371E7B">
      <w:pPr>
        <w:pStyle w:val="45"/>
        <w:rPr>
          <w:rFonts w:hint="eastAsia"/>
          <w:highlight w:val="none"/>
        </w:rPr>
      </w:pPr>
      <w:bookmarkStart w:id="802" w:name="_Toc152042505"/>
      <w:bookmarkStart w:id="803" w:name="_Toc24208"/>
      <w:bookmarkStart w:id="804" w:name="_Toc152045726"/>
      <w:bookmarkStart w:id="805" w:name="_Toc144974697"/>
      <w:r>
        <w:rPr>
          <w:rFonts w:hint="eastAsia"/>
          <w:highlight w:val="none"/>
        </w:rPr>
        <w:t>18.1 竣工验收的含义</w:t>
      </w:r>
      <w:bookmarkEnd w:id="802"/>
      <w:bookmarkEnd w:id="803"/>
      <w:bookmarkEnd w:id="804"/>
      <w:bookmarkEnd w:id="805"/>
    </w:p>
    <w:p w14:paraId="0A7F9ABA">
      <w:pPr>
        <w:spacing w:line="400" w:lineRule="exact"/>
        <w:ind w:firstLine="420" w:firstLineChars="200"/>
        <w:rPr>
          <w:rFonts w:hint="eastAsia"/>
          <w:highlight w:val="none"/>
        </w:rPr>
      </w:pPr>
      <w:r>
        <w:rPr>
          <w:rFonts w:hint="eastAsia"/>
          <w:highlight w:val="none"/>
        </w:rPr>
        <w:t>18.1.1 竣工验收指承包人完成了全部合同工作后，发包人按合同要求进行的验收。</w:t>
      </w:r>
    </w:p>
    <w:p w14:paraId="363725FB">
      <w:pPr>
        <w:spacing w:line="400" w:lineRule="exact"/>
        <w:ind w:firstLine="420" w:firstLineChars="200"/>
        <w:rPr>
          <w:rFonts w:hint="eastAsia"/>
          <w:highlight w:val="none"/>
        </w:rPr>
      </w:pPr>
      <w:r>
        <w:rPr>
          <w:rFonts w:hint="eastAsia"/>
          <w:highlight w:val="none"/>
        </w:rPr>
        <w:t>18.1.2 国家验收是政府有关部门根据法律、规范、规程和政策要求，针对发包人全面组织实施的整个工程正式交付投运前的验收。</w:t>
      </w:r>
    </w:p>
    <w:p w14:paraId="181227D5">
      <w:pPr>
        <w:spacing w:line="400" w:lineRule="exact"/>
        <w:ind w:firstLine="420" w:firstLineChars="200"/>
        <w:rPr>
          <w:rFonts w:hint="eastAsia"/>
          <w:highlight w:val="none"/>
        </w:rPr>
      </w:pPr>
      <w:r>
        <w:rPr>
          <w:rFonts w:hint="eastAsia"/>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0931B219">
      <w:pPr>
        <w:pStyle w:val="45"/>
        <w:rPr>
          <w:rFonts w:hint="eastAsia"/>
          <w:highlight w:val="none"/>
        </w:rPr>
      </w:pPr>
      <w:bookmarkStart w:id="806" w:name="_Toc152042506"/>
      <w:bookmarkStart w:id="807" w:name="_Toc152045727"/>
      <w:bookmarkStart w:id="808" w:name="_Toc7745"/>
      <w:bookmarkStart w:id="809" w:name="_Toc144974698"/>
      <w:r>
        <w:rPr>
          <w:rFonts w:hint="eastAsia"/>
          <w:highlight w:val="none"/>
        </w:rPr>
        <w:t>18.2 竣工验收申请报告</w:t>
      </w:r>
      <w:bookmarkEnd w:id="806"/>
      <w:bookmarkEnd w:id="807"/>
      <w:bookmarkEnd w:id="808"/>
      <w:bookmarkEnd w:id="809"/>
    </w:p>
    <w:p w14:paraId="63F0741B">
      <w:pPr>
        <w:spacing w:line="400" w:lineRule="exact"/>
        <w:ind w:firstLine="420" w:firstLineChars="200"/>
        <w:rPr>
          <w:rFonts w:hint="eastAsia"/>
          <w:highlight w:val="none"/>
        </w:rPr>
      </w:pPr>
      <w:r>
        <w:rPr>
          <w:rFonts w:hint="eastAsia"/>
          <w:highlight w:val="none"/>
        </w:rPr>
        <w:t>当工程具备以下条件时，承包人即可向监理人报送竣工验收申请报告：</w:t>
      </w:r>
    </w:p>
    <w:p w14:paraId="1A335458">
      <w:pPr>
        <w:spacing w:line="400" w:lineRule="exact"/>
        <w:ind w:firstLine="359" w:firstLineChars="171"/>
        <w:rPr>
          <w:rFonts w:hint="eastAsia"/>
          <w:highlight w:val="none"/>
        </w:rPr>
      </w:pPr>
      <w:r>
        <w:rPr>
          <w:rFonts w:hint="eastAsia"/>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7C4CB703">
      <w:pPr>
        <w:spacing w:line="400" w:lineRule="exact"/>
        <w:ind w:firstLine="359" w:firstLineChars="171"/>
        <w:rPr>
          <w:rFonts w:hint="eastAsia"/>
          <w:highlight w:val="none"/>
        </w:rPr>
      </w:pPr>
      <w:r>
        <w:rPr>
          <w:rFonts w:hint="eastAsia"/>
          <w:highlight w:val="none"/>
        </w:rPr>
        <w:t xml:space="preserve">（2）已按合同约定的内容和份数备齐了符合要求的竣工资料； </w:t>
      </w:r>
    </w:p>
    <w:p w14:paraId="1173B720">
      <w:pPr>
        <w:spacing w:line="400" w:lineRule="exact"/>
        <w:ind w:firstLine="359" w:firstLineChars="171"/>
        <w:rPr>
          <w:rFonts w:hint="eastAsia"/>
          <w:highlight w:val="none"/>
        </w:rPr>
      </w:pPr>
      <w:r>
        <w:rPr>
          <w:rFonts w:hint="eastAsia"/>
          <w:highlight w:val="none"/>
        </w:rPr>
        <w:t>（3）已按监理人的要求编制了在缺陷责任期内完成的尾工（甩项）工程和缺陷修补工作清单以及相应施工计划；</w:t>
      </w:r>
    </w:p>
    <w:p w14:paraId="78FADA4D">
      <w:pPr>
        <w:spacing w:line="400" w:lineRule="exact"/>
        <w:ind w:firstLine="359" w:firstLineChars="171"/>
        <w:rPr>
          <w:rFonts w:hint="eastAsia"/>
          <w:highlight w:val="none"/>
        </w:rPr>
      </w:pPr>
      <w:r>
        <w:rPr>
          <w:rFonts w:hint="eastAsia"/>
          <w:highlight w:val="none"/>
        </w:rPr>
        <w:t>（4）监理人要求在竣工验收前应完成的其他工作；</w:t>
      </w:r>
    </w:p>
    <w:p w14:paraId="1EC21E71">
      <w:pPr>
        <w:spacing w:line="400" w:lineRule="exact"/>
        <w:ind w:firstLine="359" w:firstLineChars="171"/>
        <w:rPr>
          <w:rFonts w:hint="eastAsia"/>
          <w:highlight w:val="none"/>
        </w:rPr>
      </w:pPr>
      <w:r>
        <w:rPr>
          <w:rFonts w:hint="eastAsia"/>
          <w:highlight w:val="none"/>
        </w:rPr>
        <w:t>（5）监理人要求提交的竣工验收资料清单。</w:t>
      </w:r>
    </w:p>
    <w:p w14:paraId="6616ECBE">
      <w:pPr>
        <w:pStyle w:val="45"/>
        <w:rPr>
          <w:rFonts w:hint="eastAsia"/>
          <w:highlight w:val="none"/>
        </w:rPr>
      </w:pPr>
      <w:bookmarkStart w:id="810" w:name="_Toc2645"/>
      <w:bookmarkStart w:id="811" w:name="_Toc152042507"/>
      <w:bookmarkStart w:id="812" w:name="_Toc152045728"/>
      <w:bookmarkStart w:id="813" w:name="_Toc144974699"/>
      <w:r>
        <w:rPr>
          <w:rFonts w:hint="eastAsia"/>
          <w:highlight w:val="none"/>
        </w:rPr>
        <w:t>18.3 验收</w:t>
      </w:r>
      <w:bookmarkEnd w:id="810"/>
      <w:bookmarkEnd w:id="811"/>
      <w:bookmarkEnd w:id="812"/>
      <w:bookmarkEnd w:id="813"/>
    </w:p>
    <w:p w14:paraId="7A045430">
      <w:pPr>
        <w:spacing w:line="400" w:lineRule="exact"/>
        <w:ind w:firstLine="420" w:firstLineChars="200"/>
        <w:rPr>
          <w:rFonts w:hint="eastAsia"/>
          <w:highlight w:val="none"/>
        </w:rPr>
      </w:pPr>
      <w:r>
        <w:rPr>
          <w:rFonts w:hint="eastAsia"/>
          <w:highlight w:val="none"/>
        </w:rPr>
        <w:t>监理人收到承包人按第18.2款约定提交的竣工验收申请报告后，应审查申请报告的各项内容，并按以下不同情况进行处理。</w:t>
      </w:r>
    </w:p>
    <w:p w14:paraId="53C5A39E">
      <w:pPr>
        <w:spacing w:line="400" w:lineRule="exact"/>
        <w:ind w:firstLine="420" w:firstLineChars="200"/>
        <w:rPr>
          <w:rFonts w:hint="eastAsia"/>
          <w:highlight w:val="none"/>
        </w:rPr>
      </w:pPr>
      <w:r>
        <w:rPr>
          <w:rFonts w:hint="eastAsia"/>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5F869461">
      <w:pPr>
        <w:spacing w:line="400" w:lineRule="exact"/>
        <w:ind w:firstLine="420" w:firstLineChars="200"/>
        <w:rPr>
          <w:rFonts w:hint="eastAsia"/>
          <w:highlight w:val="none"/>
        </w:rPr>
      </w:pPr>
      <w:r>
        <w:rPr>
          <w:rFonts w:hint="eastAsia"/>
          <w:highlight w:val="none"/>
        </w:rPr>
        <w:t>18.3.2 监理人审查后认为已具备竣工验收条件的，应在收到竣工验收申请报告后的28天内提请发包人进行工程验收。</w:t>
      </w:r>
    </w:p>
    <w:p w14:paraId="00C3EF30">
      <w:pPr>
        <w:spacing w:line="400" w:lineRule="exact"/>
        <w:ind w:firstLine="420" w:firstLineChars="200"/>
        <w:rPr>
          <w:rFonts w:hint="eastAsia"/>
          <w:highlight w:val="none"/>
        </w:rPr>
      </w:pPr>
      <w:r>
        <w:rPr>
          <w:rFonts w:hint="eastAsia"/>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00D92378">
      <w:pPr>
        <w:spacing w:line="400" w:lineRule="exact"/>
        <w:ind w:firstLine="420" w:firstLineChars="200"/>
        <w:rPr>
          <w:rFonts w:hint="eastAsia"/>
          <w:highlight w:val="none"/>
        </w:rPr>
      </w:pPr>
      <w:r>
        <w:rPr>
          <w:rFonts w:hint="eastAsia"/>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598E9D29">
      <w:pPr>
        <w:spacing w:line="400" w:lineRule="exact"/>
        <w:ind w:firstLine="420" w:firstLineChars="200"/>
        <w:rPr>
          <w:rFonts w:hint="eastAsia"/>
          <w:highlight w:val="none"/>
        </w:rPr>
      </w:pPr>
      <w:r>
        <w:rPr>
          <w:rFonts w:hint="eastAsia"/>
          <w:highlight w:val="none"/>
        </w:rPr>
        <w:t>18.3.5 除专用合同条款另有约定外，经验收合格工程的实际竣工日期，以提交竣工验收申请报告的日期为准，并在工程接收证书中写明。</w:t>
      </w:r>
    </w:p>
    <w:p w14:paraId="55B01727">
      <w:pPr>
        <w:spacing w:line="400" w:lineRule="exact"/>
        <w:ind w:firstLine="420" w:firstLineChars="200"/>
        <w:rPr>
          <w:rFonts w:hint="eastAsia"/>
          <w:highlight w:val="none"/>
        </w:rPr>
      </w:pPr>
      <w:r>
        <w:rPr>
          <w:rFonts w:hint="eastAsia"/>
          <w:highlight w:val="none"/>
        </w:rPr>
        <w:t>18.3.6 发包人在收到承包人竣工验收申请报告56天后未进行验收的，视为验收合格，实际竣工日期以提交竣工验收申请报告的日期为准，但发包人由于不可抗力不能进行验收的除外。</w:t>
      </w:r>
    </w:p>
    <w:p w14:paraId="782DFCF0">
      <w:pPr>
        <w:pStyle w:val="45"/>
        <w:rPr>
          <w:rFonts w:hint="eastAsia"/>
          <w:highlight w:val="none"/>
        </w:rPr>
      </w:pPr>
      <w:bookmarkStart w:id="814" w:name="_Toc144974700"/>
      <w:bookmarkStart w:id="815" w:name="_Toc152042508"/>
      <w:bookmarkStart w:id="816" w:name="_Toc24403"/>
      <w:bookmarkStart w:id="817" w:name="_Toc152045729"/>
      <w:r>
        <w:rPr>
          <w:rFonts w:hint="eastAsia"/>
          <w:highlight w:val="none"/>
        </w:rPr>
        <w:t>18.4 单位工程验收</w:t>
      </w:r>
      <w:bookmarkEnd w:id="814"/>
      <w:bookmarkEnd w:id="815"/>
      <w:bookmarkEnd w:id="816"/>
      <w:bookmarkEnd w:id="817"/>
    </w:p>
    <w:p w14:paraId="3D7EC597">
      <w:pPr>
        <w:spacing w:line="400" w:lineRule="exact"/>
        <w:ind w:firstLine="420" w:firstLineChars="200"/>
        <w:rPr>
          <w:rFonts w:hint="eastAsia"/>
          <w:highlight w:val="none"/>
        </w:rPr>
      </w:pPr>
      <w:r>
        <w:rPr>
          <w:rFonts w:hint="eastAsia"/>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079F13D0">
      <w:pPr>
        <w:spacing w:line="400" w:lineRule="exact"/>
        <w:ind w:firstLine="420" w:firstLineChars="200"/>
        <w:rPr>
          <w:rFonts w:hint="eastAsia"/>
          <w:highlight w:val="none"/>
        </w:rPr>
      </w:pPr>
      <w:r>
        <w:rPr>
          <w:rFonts w:hint="eastAsia"/>
          <w:highlight w:val="none"/>
        </w:rPr>
        <w:t>18.4.2 发包人在全部工程竣工前，使用已接收的单位工程导致承包人费用增加的，发包人应承担由此增加的费用和（或）工期延误，并支付承包人合理利润。</w:t>
      </w:r>
    </w:p>
    <w:p w14:paraId="63018AB6">
      <w:pPr>
        <w:pStyle w:val="45"/>
        <w:rPr>
          <w:rFonts w:hint="eastAsia"/>
          <w:highlight w:val="none"/>
        </w:rPr>
      </w:pPr>
      <w:bookmarkStart w:id="818" w:name="_Toc152042509"/>
      <w:bookmarkStart w:id="819" w:name="_Toc144974701"/>
      <w:bookmarkStart w:id="820" w:name="_Toc152045730"/>
      <w:bookmarkStart w:id="821" w:name="_Toc1174"/>
      <w:r>
        <w:rPr>
          <w:rFonts w:hint="eastAsia"/>
          <w:highlight w:val="none"/>
        </w:rPr>
        <w:t>18.5 施工期运行</w:t>
      </w:r>
      <w:bookmarkEnd w:id="818"/>
      <w:bookmarkEnd w:id="819"/>
      <w:bookmarkEnd w:id="820"/>
      <w:bookmarkEnd w:id="821"/>
    </w:p>
    <w:p w14:paraId="42BD5F7B">
      <w:pPr>
        <w:spacing w:line="400" w:lineRule="exact"/>
        <w:ind w:firstLine="420" w:firstLineChars="200"/>
        <w:rPr>
          <w:rFonts w:hint="eastAsia"/>
          <w:highlight w:val="none"/>
        </w:rPr>
      </w:pPr>
      <w:r>
        <w:rPr>
          <w:rFonts w:hint="eastAsia"/>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6881D3E6">
      <w:pPr>
        <w:spacing w:line="400" w:lineRule="exact"/>
        <w:ind w:firstLine="420" w:firstLineChars="200"/>
        <w:rPr>
          <w:rFonts w:hint="eastAsia"/>
          <w:highlight w:val="none"/>
        </w:rPr>
      </w:pPr>
      <w:r>
        <w:rPr>
          <w:rFonts w:hint="eastAsia"/>
          <w:highlight w:val="none"/>
        </w:rPr>
        <w:t>18.5.2 在施工期运行中发现工程或工程设备损坏或存在缺陷的，由承包人按第19.2款约定进行修复。</w:t>
      </w:r>
    </w:p>
    <w:p w14:paraId="107DA1E3">
      <w:pPr>
        <w:pStyle w:val="45"/>
        <w:rPr>
          <w:rFonts w:hint="eastAsia"/>
          <w:highlight w:val="none"/>
        </w:rPr>
      </w:pPr>
      <w:bookmarkStart w:id="822" w:name="_Toc144974702"/>
      <w:bookmarkStart w:id="823" w:name="_Toc152042510"/>
      <w:bookmarkStart w:id="824" w:name="_Toc6211"/>
      <w:bookmarkStart w:id="825" w:name="_Toc152045731"/>
      <w:r>
        <w:rPr>
          <w:rFonts w:hint="eastAsia"/>
          <w:highlight w:val="none"/>
        </w:rPr>
        <w:t>18.6 试运行</w:t>
      </w:r>
      <w:bookmarkEnd w:id="822"/>
      <w:bookmarkEnd w:id="823"/>
      <w:bookmarkEnd w:id="824"/>
      <w:bookmarkEnd w:id="825"/>
    </w:p>
    <w:p w14:paraId="2C1EA919">
      <w:pPr>
        <w:spacing w:line="400" w:lineRule="exact"/>
        <w:ind w:firstLine="420" w:firstLineChars="200"/>
        <w:rPr>
          <w:rFonts w:hint="eastAsia"/>
          <w:highlight w:val="none"/>
        </w:rPr>
      </w:pPr>
      <w:r>
        <w:rPr>
          <w:rFonts w:hint="eastAsia"/>
          <w:highlight w:val="none"/>
        </w:rPr>
        <w:t>18.6.1 除专用合同条款另有约定外，承包人应按专用合同条款约定进行工程及工程设备试运行，负责提供试运行所需的人员、器材和必要的条件，并承担全部试运行费用。</w:t>
      </w:r>
    </w:p>
    <w:p w14:paraId="6DBF23B1">
      <w:pPr>
        <w:spacing w:line="400" w:lineRule="exact"/>
        <w:ind w:firstLine="420" w:firstLineChars="200"/>
        <w:rPr>
          <w:rFonts w:hint="eastAsia"/>
          <w:highlight w:val="none"/>
        </w:rPr>
      </w:pPr>
      <w:r>
        <w:rPr>
          <w:rFonts w:hint="eastAsia"/>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3CD89E9">
      <w:pPr>
        <w:pStyle w:val="45"/>
        <w:rPr>
          <w:rFonts w:hint="eastAsia"/>
          <w:highlight w:val="none"/>
        </w:rPr>
      </w:pPr>
      <w:bookmarkStart w:id="826" w:name="_Toc152045732"/>
      <w:bookmarkStart w:id="827" w:name="_Toc152042511"/>
      <w:bookmarkStart w:id="828" w:name="_Toc16973"/>
      <w:bookmarkStart w:id="829" w:name="_Toc144974703"/>
      <w:r>
        <w:rPr>
          <w:rFonts w:hint="eastAsia"/>
          <w:highlight w:val="none"/>
        </w:rPr>
        <w:t>18.7 竣工清场</w:t>
      </w:r>
      <w:bookmarkEnd w:id="826"/>
      <w:bookmarkEnd w:id="827"/>
      <w:bookmarkEnd w:id="828"/>
      <w:bookmarkEnd w:id="829"/>
    </w:p>
    <w:p w14:paraId="438790DD">
      <w:pPr>
        <w:spacing w:line="400" w:lineRule="exact"/>
        <w:ind w:firstLine="420" w:firstLineChars="200"/>
        <w:rPr>
          <w:rFonts w:hint="eastAsia"/>
          <w:highlight w:val="none"/>
        </w:rPr>
      </w:pPr>
      <w:r>
        <w:rPr>
          <w:rFonts w:hint="eastAsia"/>
          <w:highlight w:val="none"/>
        </w:rPr>
        <w:t>18.7.1 除合同另有约定外，工程接收证书颁发后，承包人应按以下要求对施工场地进行清理，直至监理人检验合格为止。竣工清场费用由承包人承担。</w:t>
      </w:r>
    </w:p>
    <w:p w14:paraId="34ACF894">
      <w:pPr>
        <w:spacing w:line="400" w:lineRule="exact"/>
        <w:ind w:firstLine="718" w:firstLineChars="342"/>
        <w:rPr>
          <w:rFonts w:hint="eastAsia"/>
          <w:highlight w:val="none"/>
        </w:rPr>
      </w:pPr>
      <w:r>
        <w:rPr>
          <w:rFonts w:hint="eastAsia"/>
          <w:highlight w:val="none"/>
        </w:rPr>
        <w:t>（1）施工场地内残留的垃圾已全部清除出场；</w:t>
      </w:r>
    </w:p>
    <w:p w14:paraId="23E3BFA9">
      <w:pPr>
        <w:spacing w:line="400" w:lineRule="exact"/>
        <w:ind w:firstLine="718" w:firstLineChars="342"/>
        <w:rPr>
          <w:rFonts w:hint="eastAsia"/>
          <w:highlight w:val="none"/>
        </w:rPr>
      </w:pPr>
      <w:r>
        <w:rPr>
          <w:rFonts w:hint="eastAsia"/>
          <w:highlight w:val="none"/>
        </w:rPr>
        <w:t>（2）临时工程已拆除，场地已按合同要求进行清理、平整或复原；</w:t>
      </w:r>
    </w:p>
    <w:p w14:paraId="4045E665">
      <w:pPr>
        <w:spacing w:line="400" w:lineRule="exact"/>
        <w:ind w:firstLine="718" w:firstLineChars="342"/>
        <w:rPr>
          <w:rFonts w:hint="eastAsia"/>
          <w:highlight w:val="none"/>
        </w:rPr>
      </w:pPr>
      <w:r>
        <w:rPr>
          <w:rFonts w:hint="eastAsia"/>
          <w:highlight w:val="none"/>
        </w:rPr>
        <w:t>（3）按合同约定应撤离的承包人设备和剩余的材料，包括废弃的施工设备和材料，已按计划撤离施工场地；</w:t>
      </w:r>
    </w:p>
    <w:p w14:paraId="5A50E732">
      <w:pPr>
        <w:spacing w:line="400" w:lineRule="exact"/>
        <w:ind w:firstLine="718" w:firstLineChars="342"/>
        <w:rPr>
          <w:rFonts w:hint="eastAsia"/>
          <w:highlight w:val="none"/>
        </w:rPr>
      </w:pPr>
      <w:r>
        <w:rPr>
          <w:rFonts w:hint="eastAsia"/>
          <w:highlight w:val="none"/>
        </w:rPr>
        <w:t>（4）工程建筑物周边及其附近道路、河道的施工堆积物，已按监理人指示全部清理；</w:t>
      </w:r>
    </w:p>
    <w:p w14:paraId="5ED5AEB4">
      <w:pPr>
        <w:spacing w:line="400" w:lineRule="exact"/>
        <w:ind w:firstLine="718" w:firstLineChars="342"/>
        <w:rPr>
          <w:rFonts w:hint="eastAsia"/>
          <w:highlight w:val="none"/>
        </w:rPr>
      </w:pPr>
      <w:r>
        <w:rPr>
          <w:rFonts w:hint="eastAsia"/>
          <w:highlight w:val="none"/>
        </w:rPr>
        <w:t>（5）监理人指示的其他场地清理工作已全部完成。</w:t>
      </w:r>
    </w:p>
    <w:p w14:paraId="29B1F06B">
      <w:pPr>
        <w:spacing w:line="400" w:lineRule="exact"/>
        <w:ind w:firstLine="420" w:firstLineChars="200"/>
        <w:rPr>
          <w:rFonts w:hint="eastAsia"/>
          <w:highlight w:val="none"/>
        </w:rPr>
      </w:pPr>
      <w:r>
        <w:rPr>
          <w:rFonts w:hint="eastAsia"/>
          <w:highlight w:val="none"/>
        </w:rPr>
        <w:t>18.7.2 承包人未按监理人的要求恢复临时占地，或者场地清理未达到合同约定的，发包人有权委托其他人恢复或清理，所发生的金额从拟支付给承包人的款项中扣除。</w:t>
      </w:r>
    </w:p>
    <w:p w14:paraId="572A4652">
      <w:pPr>
        <w:pStyle w:val="45"/>
        <w:rPr>
          <w:rFonts w:hint="eastAsia"/>
          <w:highlight w:val="none"/>
        </w:rPr>
      </w:pPr>
      <w:bookmarkStart w:id="830" w:name="_Toc144974704"/>
      <w:bookmarkStart w:id="831" w:name="_Toc1709"/>
      <w:bookmarkStart w:id="832" w:name="_Toc152045733"/>
      <w:bookmarkStart w:id="833" w:name="_Toc152042512"/>
      <w:r>
        <w:rPr>
          <w:rFonts w:hint="eastAsia"/>
          <w:highlight w:val="none"/>
        </w:rPr>
        <w:t>18.8 施工队伍的撤离</w:t>
      </w:r>
      <w:bookmarkEnd w:id="830"/>
      <w:bookmarkEnd w:id="831"/>
      <w:bookmarkEnd w:id="832"/>
      <w:bookmarkEnd w:id="833"/>
    </w:p>
    <w:p w14:paraId="66B1E175">
      <w:pPr>
        <w:spacing w:line="400" w:lineRule="exact"/>
        <w:ind w:firstLine="420" w:firstLineChars="200"/>
        <w:rPr>
          <w:rFonts w:hint="eastAsia"/>
          <w:highlight w:val="none"/>
        </w:rPr>
      </w:pPr>
      <w:r>
        <w:rPr>
          <w:rFonts w:hint="eastAsia"/>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80BE7B4">
      <w:pPr>
        <w:pStyle w:val="46"/>
        <w:rPr>
          <w:rFonts w:hint="eastAsia"/>
          <w:highlight w:val="none"/>
        </w:rPr>
      </w:pPr>
      <w:bookmarkStart w:id="834" w:name="_Toc152042513"/>
      <w:bookmarkStart w:id="835" w:name="_Toc23812"/>
      <w:bookmarkStart w:id="836" w:name="_Toc152045734"/>
      <w:bookmarkStart w:id="837" w:name="_Toc144974705"/>
      <w:r>
        <w:rPr>
          <w:rFonts w:hint="eastAsia"/>
          <w:highlight w:val="none"/>
        </w:rPr>
        <w:t>19. 缺陷责任与保修责任</w:t>
      </w:r>
      <w:bookmarkEnd w:id="834"/>
      <w:bookmarkEnd w:id="835"/>
      <w:bookmarkEnd w:id="836"/>
      <w:bookmarkEnd w:id="837"/>
    </w:p>
    <w:p w14:paraId="54170B04">
      <w:pPr>
        <w:pStyle w:val="45"/>
        <w:rPr>
          <w:rFonts w:hint="eastAsia"/>
          <w:highlight w:val="none"/>
        </w:rPr>
      </w:pPr>
      <w:bookmarkStart w:id="838" w:name="_Toc152042514"/>
      <w:bookmarkStart w:id="839" w:name="_Toc28363"/>
      <w:bookmarkStart w:id="840" w:name="_Toc144974706"/>
      <w:bookmarkStart w:id="841" w:name="_Toc152045735"/>
      <w:r>
        <w:rPr>
          <w:rFonts w:hint="eastAsia"/>
          <w:highlight w:val="none"/>
        </w:rPr>
        <w:t>19.1 缺陷责任期的起算时间</w:t>
      </w:r>
      <w:bookmarkEnd w:id="838"/>
      <w:bookmarkEnd w:id="839"/>
      <w:bookmarkEnd w:id="840"/>
      <w:bookmarkEnd w:id="841"/>
    </w:p>
    <w:p w14:paraId="7BC23E8B">
      <w:pPr>
        <w:spacing w:line="400" w:lineRule="exact"/>
        <w:ind w:firstLine="420" w:firstLineChars="200"/>
        <w:rPr>
          <w:rFonts w:hint="eastAsia"/>
          <w:highlight w:val="none"/>
        </w:rPr>
      </w:pPr>
      <w:r>
        <w:rPr>
          <w:rFonts w:hint="eastAsia"/>
          <w:highlight w:val="none"/>
        </w:rPr>
        <w:t>缺陷责任期自实际竣工日期起计算。在全部工程竣工验收前，已经发包人提前验收的单位工程，其缺陷责任期的起算日期相应提前。</w:t>
      </w:r>
    </w:p>
    <w:p w14:paraId="21F23CCD">
      <w:pPr>
        <w:pStyle w:val="45"/>
        <w:rPr>
          <w:rFonts w:hint="eastAsia"/>
          <w:highlight w:val="none"/>
        </w:rPr>
      </w:pPr>
      <w:bookmarkStart w:id="842" w:name="_Toc144974707"/>
      <w:bookmarkStart w:id="843" w:name="_Toc152045736"/>
      <w:bookmarkStart w:id="844" w:name="_Toc15742"/>
      <w:bookmarkStart w:id="845" w:name="_Toc152042515"/>
      <w:r>
        <w:rPr>
          <w:rFonts w:hint="eastAsia"/>
          <w:highlight w:val="none"/>
        </w:rPr>
        <w:t>19.2 缺陷责任</w:t>
      </w:r>
      <w:bookmarkEnd w:id="842"/>
      <w:bookmarkEnd w:id="843"/>
      <w:bookmarkEnd w:id="844"/>
      <w:bookmarkEnd w:id="845"/>
    </w:p>
    <w:p w14:paraId="7AB71CDA">
      <w:pPr>
        <w:spacing w:line="400" w:lineRule="exact"/>
        <w:ind w:firstLine="420" w:firstLineChars="200"/>
        <w:rPr>
          <w:rFonts w:hint="eastAsia"/>
          <w:highlight w:val="none"/>
        </w:rPr>
      </w:pPr>
      <w:r>
        <w:rPr>
          <w:rFonts w:hint="eastAsia"/>
          <w:highlight w:val="none"/>
        </w:rPr>
        <w:t>19.2.1 承包人应在缺陷责任期内对已交付使用的工程承担缺陷责任。</w:t>
      </w:r>
    </w:p>
    <w:p w14:paraId="365BF9BB">
      <w:pPr>
        <w:spacing w:line="400" w:lineRule="exact"/>
        <w:ind w:firstLine="420" w:firstLineChars="200"/>
        <w:rPr>
          <w:rFonts w:hint="eastAsia"/>
          <w:highlight w:val="none"/>
        </w:rPr>
      </w:pPr>
      <w:r>
        <w:rPr>
          <w:rFonts w:hint="eastAsia"/>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208D8BF0">
      <w:pPr>
        <w:spacing w:line="400" w:lineRule="exact"/>
        <w:ind w:firstLine="420" w:firstLineChars="200"/>
        <w:rPr>
          <w:rFonts w:hint="eastAsia"/>
          <w:highlight w:val="none"/>
        </w:rPr>
      </w:pPr>
      <w:r>
        <w:rPr>
          <w:rFonts w:hint="eastAsia"/>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74A3B70">
      <w:pPr>
        <w:spacing w:line="400" w:lineRule="exact"/>
        <w:ind w:firstLine="420" w:firstLineChars="200"/>
        <w:rPr>
          <w:rFonts w:hint="eastAsia"/>
          <w:highlight w:val="none"/>
        </w:rPr>
      </w:pPr>
      <w:r>
        <w:rPr>
          <w:rFonts w:hint="eastAsia"/>
          <w:highlight w:val="none"/>
        </w:rPr>
        <w:t>19.2.4 承包人不能在合理时间内修复缺陷的，发包人可自行修复或委托其他人修复，所需费用和利润的承担，按第19.2.3项约定办理。</w:t>
      </w:r>
    </w:p>
    <w:p w14:paraId="1D9A4B2C">
      <w:pPr>
        <w:pStyle w:val="45"/>
        <w:rPr>
          <w:rFonts w:hint="eastAsia"/>
          <w:highlight w:val="none"/>
        </w:rPr>
      </w:pPr>
      <w:bookmarkStart w:id="846" w:name="_Toc144974708"/>
      <w:bookmarkStart w:id="847" w:name="_Toc152042516"/>
      <w:bookmarkStart w:id="848" w:name="_Toc15874"/>
      <w:bookmarkStart w:id="849" w:name="_Toc152045737"/>
      <w:r>
        <w:rPr>
          <w:rFonts w:hint="eastAsia"/>
          <w:highlight w:val="none"/>
        </w:rPr>
        <w:t>19.3 缺陷责任期的延长</w:t>
      </w:r>
      <w:bookmarkEnd w:id="846"/>
      <w:bookmarkEnd w:id="847"/>
      <w:bookmarkEnd w:id="848"/>
      <w:bookmarkEnd w:id="849"/>
    </w:p>
    <w:p w14:paraId="01A3218E">
      <w:pPr>
        <w:spacing w:line="400" w:lineRule="exact"/>
        <w:ind w:firstLine="420" w:firstLineChars="200"/>
        <w:rPr>
          <w:rFonts w:hint="eastAsia"/>
          <w:highlight w:val="none"/>
        </w:rPr>
      </w:pPr>
      <w:r>
        <w:rPr>
          <w:rFonts w:hint="eastAsia"/>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71E41283">
      <w:pPr>
        <w:pStyle w:val="45"/>
        <w:rPr>
          <w:rFonts w:hint="eastAsia"/>
          <w:highlight w:val="none"/>
        </w:rPr>
      </w:pPr>
      <w:bookmarkStart w:id="850" w:name="_Toc19598"/>
      <w:bookmarkStart w:id="851" w:name="_Toc152045738"/>
      <w:bookmarkStart w:id="852" w:name="_Toc152042517"/>
      <w:bookmarkStart w:id="853" w:name="_Toc144974709"/>
      <w:r>
        <w:rPr>
          <w:rFonts w:hint="eastAsia"/>
          <w:highlight w:val="none"/>
        </w:rPr>
        <w:t>19.4 进一步试验和试运行</w:t>
      </w:r>
      <w:bookmarkEnd w:id="850"/>
      <w:bookmarkEnd w:id="851"/>
      <w:bookmarkEnd w:id="852"/>
      <w:bookmarkEnd w:id="853"/>
    </w:p>
    <w:p w14:paraId="2290AD11">
      <w:pPr>
        <w:spacing w:line="400" w:lineRule="exact"/>
        <w:ind w:firstLine="420" w:firstLineChars="200"/>
        <w:rPr>
          <w:rFonts w:hint="eastAsia"/>
          <w:highlight w:val="none"/>
        </w:rPr>
      </w:pPr>
      <w:r>
        <w:rPr>
          <w:rFonts w:hint="eastAsia"/>
          <w:highlight w:val="none"/>
        </w:rPr>
        <w:t>任何一项缺陷或损坏修复后，经检查证明其影响了工程或工程设备的使用性能，承包人应重新进行合同约定的试验和试运行，试验和试运行的全部费用应由责任方承担。</w:t>
      </w:r>
    </w:p>
    <w:p w14:paraId="48382520">
      <w:pPr>
        <w:pStyle w:val="45"/>
        <w:rPr>
          <w:rFonts w:hint="eastAsia"/>
          <w:highlight w:val="none"/>
        </w:rPr>
      </w:pPr>
      <w:bookmarkStart w:id="854" w:name="_Toc11982"/>
      <w:bookmarkStart w:id="855" w:name="_Toc144974710"/>
      <w:bookmarkStart w:id="856" w:name="_Toc152045739"/>
      <w:bookmarkStart w:id="857" w:name="_Toc152042518"/>
      <w:r>
        <w:rPr>
          <w:rFonts w:hint="eastAsia"/>
          <w:highlight w:val="none"/>
        </w:rPr>
        <w:t>19.5 承包人的进入权</w:t>
      </w:r>
      <w:bookmarkEnd w:id="854"/>
      <w:bookmarkEnd w:id="855"/>
      <w:bookmarkEnd w:id="856"/>
      <w:bookmarkEnd w:id="857"/>
    </w:p>
    <w:p w14:paraId="77AB8FF2">
      <w:pPr>
        <w:spacing w:line="400" w:lineRule="exact"/>
        <w:ind w:firstLine="420" w:firstLineChars="200"/>
        <w:rPr>
          <w:rFonts w:hint="eastAsia"/>
          <w:highlight w:val="none"/>
        </w:rPr>
      </w:pPr>
      <w:r>
        <w:rPr>
          <w:rFonts w:hint="eastAsia"/>
          <w:highlight w:val="none"/>
        </w:rPr>
        <w:t>缺陷责任期内承包人为缺陷修复工作需要，有权进入工程现场，但应遵守发包人的保安和保密规定。</w:t>
      </w:r>
    </w:p>
    <w:p w14:paraId="63D2DB05">
      <w:pPr>
        <w:pStyle w:val="45"/>
        <w:rPr>
          <w:rFonts w:hint="eastAsia"/>
          <w:highlight w:val="none"/>
        </w:rPr>
      </w:pPr>
      <w:bookmarkStart w:id="858" w:name="_Toc144974711"/>
      <w:bookmarkStart w:id="859" w:name="_Toc152042519"/>
      <w:bookmarkStart w:id="860" w:name="_Toc25558"/>
      <w:bookmarkStart w:id="861" w:name="_Toc152045740"/>
      <w:r>
        <w:rPr>
          <w:rFonts w:hint="eastAsia"/>
          <w:highlight w:val="none"/>
        </w:rPr>
        <w:t>19.6 缺陷责任期终止证书</w:t>
      </w:r>
      <w:bookmarkEnd w:id="858"/>
      <w:bookmarkEnd w:id="859"/>
      <w:bookmarkEnd w:id="860"/>
      <w:bookmarkEnd w:id="861"/>
    </w:p>
    <w:p w14:paraId="0037AD7B">
      <w:pPr>
        <w:spacing w:line="400" w:lineRule="exact"/>
        <w:ind w:firstLine="420" w:firstLineChars="200"/>
        <w:rPr>
          <w:rFonts w:hint="eastAsia"/>
          <w:highlight w:val="none"/>
        </w:rPr>
      </w:pPr>
      <w:r>
        <w:rPr>
          <w:rFonts w:hint="eastAsia"/>
          <w:highlight w:val="none"/>
        </w:rPr>
        <w:t>在第1.1.4.5目约定的缺陷责任期，包括根据第19.3款延长的期限终止后14天内，由监理人向承包人出具经发包人签认的缺陷责任期终止证书，并退还剩余的质量保证金。</w:t>
      </w:r>
    </w:p>
    <w:p w14:paraId="0E46416B">
      <w:pPr>
        <w:pStyle w:val="45"/>
        <w:rPr>
          <w:rFonts w:hint="eastAsia"/>
          <w:highlight w:val="none"/>
        </w:rPr>
      </w:pPr>
      <w:bookmarkStart w:id="862" w:name="_Toc144974712"/>
      <w:bookmarkStart w:id="863" w:name="_Toc152042520"/>
      <w:bookmarkStart w:id="864" w:name="_Toc152045741"/>
      <w:bookmarkStart w:id="865" w:name="_Toc24854"/>
      <w:r>
        <w:rPr>
          <w:rFonts w:hint="eastAsia"/>
          <w:highlight w:val="none"/>
        </w:rPr>
        <w:t>19.7 保修责任</w:t>
      </w:r>
      <w:bookmarkEnd w:id="862"/>
      <w:bookmarkEnd w:id="863"/>
      <w:bookmarkEnd w:id="864"/>
      <w:bookmarkEnd w:id="865"/>
    </w:p>
    <w:p w14:paraId="0DEA4B4B">
      <w:pPr>
        <w:spacing w:line="400" w:lineRule="exact"/>
        <w:ind w:firstLine="420" w:firstLineChars="200"/>
        <w:rPr>
          <w:rFonts w:hint="eastAsia"/>
          <w:highlight w:val="none"/>
        </w:rPr>
      </w:pPr>
      <w:r>
        <w:rPr>
          <w:rFonts w:hint="eastAsia"/>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FDE995F">
      <w:pPr>
        <w:pStyle w:val="46"/>
        <w:rPr>
          <w:rFonts w:hint="eastAsia"/>
          <w:highlight w:val="none"/>
        </w:rPr>
      </w:pPr>
      <w:bookmarkStart w:id="866" w:name="_Toc152042521"/>
      <w:bookmarkStart w:id="867" w:name="_Toc152045742"/>
      <w:bookmarkStart w:id="868" w:name="_Toc17728"/>
      <w:bookmarkStart w:id="869" w:name="_Toc144974713"/>
      <w:r>
        <w:rPr>
          <w:rFonts w:hint="eastAsia"/>
          <w:highlight w:val="none"/>
        </w:rPr>
        <w:t>20. 保险</w:t>
      </w:r>
      <w:bookmarkEnd w:id="866"/>
      <w:bookmarkEnd w:id="867"/>
      <w:bookmarkEnd w:id="868"/>
      <w:bookmarkEnd w:id="869"/>
    </w:p>
    <w:p w14:paraId="3A735329">
      <w:pPr>
        <w:pStyle w:val="45"/>
        <w:rPr>
          <w:rFonts w:hint="eastAsia"/>
          <w:highlight w:val="none"/>
        </w:rPr>
      </w:pPr>
      <w:bookmarkStart w:id="870" w:name="_Toc144974714"/>
      <w:bookmarkStart w:id="871" w:name="_Toc152042522"/>
      <w:bookmarkStart w:id="872" w:name="_Toc152045743"/>
      <w:bookmarkStart w:id="873" w:name="_Toc12854"/>
      <w:r>
        <w:rPr>
          <w:rFonts w:hint="eastAsia"/>
          <w:highlight w:val="none"/>
        </w:rPr>
        <w:t>20.1 工程保险</w:t>
      </w:r>
      <w:bookmarkEnd w:id="870"/>
      <w:bookmarkEnd w:id="871"/>
      <w:bookmarkEnd w:id="872"/>
      <w:bookmarkEnd w:id="873"/>
    </w:p>
    <w:p w14:paraId="2C828AC3">
      <w:pPr>
        <w:spacing w:line="380" w:lineRule="exact"/>
        <w:ind w:firstLine="420" w:firstLineChars="200"/>
        <w:rPr>
          <w:rFonts w:hint="eastAsia"/>
          <w:highlight w:val="none"/>
        </w:rPr>
      </w:pPr>
      <w:r>
        <w:rPr>
          <w:rFonts w:hint="eastAsia"/>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34B4A81C">
      <w:pPr>
        <w:pStyle w:val="45"/>
        <w:rPr>
          <w:rFonts w:hint="eastAsia"/>
          <w:highlight w:val="none"/>
        </w:rPr>
      </w:pPr>
      <w:bookmarkStart w:id="874" w:name="_Toc22377"/>
      <w:bookmarkStart w:id="875" w:name="_Toc144974715"/>
      <w:bookmarkStart w:id="876" w:name="_Toc152042523"/>
      <w:bookmarkStart w:id="877" w:name="_Toc152045744"/>
      <w:r>
        <w:rPr>
          <w:rFonts w:hint="eastAsia"/>
          <w:highlight w:val="none"/>
        </w:rPr>
        <w:t>20.2 人员工伤事故的保险</w:t>
      </w:r>
      <w:bookmarkEnd w:id="874"/>
      <w:bookmarkEnd w:id="875"/>
      <w:bookmarkEnd w:id="876"/>
      <w:bookmarkEnd w:id="877"/>
    </w:p>
    <w:p w14:paraId="28FDAD9D">
      <w:pPr>
        <w:spacing w:line="380" w:lineRule="exact"/>
        <w:ind w:firstLine="420" w:firstLineChars="200"/>
        <w:rPr>
          <w:rFonts w:hint="eastAsia" w:ascii="黑体" w:eastAsia="黑体"/>
          <w:highlight w:val="none"/>
        </w:rPr>
      </w:pPr>
      <w:r>
        <w:rPr>
          <w:rFonts w:hint="eastAsia"/>
          <w:highlight w:val="none"/>
        </w:rPr>
        <w:t xml:space="preserve">20.2.1 </w:t>
      </w:r>
      <w:r>
        <w:rPr>
          <w:rFonts w:hint="eastAsia" w:ascii="黑体" w:eastAsia="黑体"/>
          <w:highlight w:val="none"/>
        </w:rPr>
        <w:t>承包人员工伤事故的保险</w:t>
      </w:r>
    </w:p>
    <w:p w14:paraId="3E121E00">
      <w:pPr>
        <w:spacing w:line="380" w:lineRule="exact"/>
        <w:ind w:firstLine="420" w:firstLineChars="200"/>
        <w:rPr>
          <w:rFonts w:hint="eastAsia"/>
          <w:highlight w:val="none"/>
        </w:rPr>
      </w:pPr>
      <w:r>
        <w:rPr>
          <w:rFonts w:hint="eastAsia"/>
          <w:highlight w:val="none"/>
        </w:rPr>
        <w:t>承包人应</w:t>
      </w:r>
      <w:r>
        <w:rPr>
          <w:highlight w:val="none"/>
        </w:rPr>
        <w:t>依照</w:t>
      </w:r>
      <w:r>
        <w:rPr>
          <w:rFonts w:hint="eastAsia"/>
          <w:highlight w:val="none"/>
        </w:rPr>
        <w:t>有关法律</w:t>
      </w:r>
      <w:r>
        <w:rPr>
          <w:highlight w:val="none"/>
        </w:rPr>
        <w:t>规定参加工伤保险，</w:t>
      </w:r>
      <w:r>
        <w:rPr>
          <w:rFonts w:hint="eastAsia"/>
          <w:highlight w:val="none"/>
        </w:rPr>
        <w:t>为其履行合同所雇佣的全部人员，</w:t>
      </w:r>
      <w:r>
        <w:rPr>
          <w:highlight w:val="none"/>
        </w:rPr>
        <w:t>缴纳工伤保险费</w:t>
      </w:r>
      <w:r>
        <w:rPr>
          <w:rFonts w:hint="eastAsia"/>
          <w:highlight w:val="none"/>
        </w:rPr>
        <w:t>，并要求其分包人也进行此项保险。</w:t>
      </w:r>
    </w:p>
    <w:p w14:paraId="5793CA64">
      <w:pPr>
        <w:spacing w:line="380" w:lineRule="exact"/>
        <w:ind w:firstLine="420" w:firstLineChars="200"/>
        <w:rPr>
          <w:rFonts w:hint="eastAsia" w:ascii="黑体" w:eastAsia="黑体"/>
          <w:highlight w:val="none"/>
        </w:rPr>
      </w:pPr>
      <w:r>
        <w:rPr>
          <w:rFonts w:hint="eastAsia"/>
          <w:highlight w:val="none"/>
        </w:rPr>
        <w:t>20.2.2</w:t>
      </w:r>
      <w:r>
        <w:rPr>
          <w:rFonts w:hint="eastAsia" w:ascii="黑体" w:eastAsia="黑体"/>
          <w:highlight w:val="none"/>
        </w:rPr>
        <w:t xml:space="preserve"> 发包人员工伤事故的保险</w:t>
      </w:r>
    </w:p>
    <w:p w14:paraId="3D98B98D">
      <w:pPr>
        <w:spacing w:line="380" w:lineRule="exact"/>
        <w:ind w:firstLine="420" w:firstLineChars="200"/>
        <w:rPr>
          <w:rFonts w:hint="eastAsia"/>
          <w:highlight w:val="none"/>
        </w:rPr>
      </w:pPr>
      <w:r>
        <w:rPr>
          <w:rFonts w:hint="eastAsia"/>
          <w:highlight w:val="none"/>
        </w:rPr>
        <w:t>发包人应</w:t>
      </w:r>
      <w:r>
        <w:rPr>
          <w:highlight w:val="none"/>
        </w:rPr>
        <w:t>依照</w:t>
      </w:r>
      <w:r>
        <w:rPr>
          <w:rFonts w:hint="eastAsia"/>
          <w:highlight w:val="none"/>
        </w:rPr>
        <w:t>有关法律</w:t>
      </w:r>
      <w:r>
        <w:rPr>
          <w:highlight w:val="none"/>
        </w:rPr>
        <w:t>规定参加工伤保险，</w:t>
      </w:r>
      <w:r>
        <w:rPr>
          <w:rFonts w:hint="eastAsia"/>
          <w:highlight w:val="none"/>
        </w:rPr>
        <w:t>为其现场机构雇佣的全部人员，</w:t>
      </w:r>
      <w:r>
        <w:rPr>
          <w:highlight w:val="none"/>
        </w:rPr>
        <w:t>缴纳工伤保险费</w:t>
      </w:r>
      <w:r>
        <w:rPr>
          <w:rFonts w:hint="eastAsia"/>
          <w:highlight w:val="none"/>
        </w:rPr>
        <w:t>，并要求其监理人也进行此项保险。</w:t>
      </w:r>
    </w:p>
    <w:p w14:paraId="26B37802">
      <w:pPr>
        <w:pStyle w:val="45"/>
        <w:rPr>
          <w:rFonts w:hint="eastAsia"/>
          <w:highlight w:val="none"/>
        </w:rPr>
      </w:pPr>
      <w:bookmarkStart w:id="878" w:name="_Toc152045745"/>
      <w:bookmarkStart w:id="879" w:name="_Toc152042524"/>
      <w:bookmarkStart w:id="880" w:name="_Toc144974716"/>
      <w:bookmarkStart w:id="881" w:name="_Toc14910"/>
      <w:r>
        <w:rPr>
          <w:rFonts w:hint="eastAsia"/>
          <w:highlight w:val="none"/>
        </w:rPr>
        <w:t>20.3 人身意外伤害险</w:t>
      </w:r>
      <w:bookmarkEnd w:id="878"/>
      <w:bookmarkEnd w:id="879"/>
      <w:bookmarkEnd w:id="880"/>
      <w:bookmarkEnd w:id="881"/>
    </w:p>
    <w:p w14:paraId="17E842B8">
      <w:pPr>
        <w:spacing w:line="380" w:lineRule="exact"/>
        <w:ind w:firstLine="420" w:firstLineChars="200"/>
        <w:rPr>
          <w:rFonts w:hint="eastAsia"/>
          <w:highlight w:val="none"/>
        </w:rPr>
      </w:pPr>
      <w:r>
        <w:rPr>
          <w:rFonts w:hint="eastAsia"/>
          <w:highlight w:val="none"/>
        </w:rPr>
        <w:t>20.3.1 发包人应在整个施工期间为其现场机构雇用的全部人员，投保人身意外伤害险，缴纳保险费，并要求其监理人也进行此项保险。</w:t>
      </w:r>
    </w:p>
    <w:p w14:paraId="3005335B">
      <w:pPr>
        <w:spacing w:line="380" w:lineRule="exact"/>
        <w:ind w:firstLine="420" w:firstLineChars="200"/>
        <w:rPr>
          <w:rFonts w:hint="eastAsia"/>
          <w:highlight w:val="none"/>
        </w:rPr>
      </w:pPr>
      <w:r>
        <w:rPr>
          <w:rFonts w:hint="eastAsia"/>
          <w:highlight w:val="none"/>
        </w:rPr>
        <w:t>20.3.2 承包人应在整个施工期间为其现场机构雇用的全部人员，投保人身意外伤害险，缴纳保险费，并要求其分包人也进行此项保险。</w:t>
      </w:r>
    </w:p>
    <w:p w14:paraId="1687C6B8">
      <w:pPr>
        <w:pStyle w:val="45"/>
        <w:rPr>
          <w:rFonts w:hint="eastAsia"/>
          <w:highlight w:val="none"/>
        </w:rPr>
      </w:pPr>
      <w:bookmarkStart w:id="882" w:name="_Toc144974717"/>
      <w:bookmarkStart w:id="883" w:name="_Toc152042525"/>
      <w:bookmarkStart w:id="884" w:name="_Toc5731"/>
      <w:bookmarkStart w:id="885" w:name="_Toc152045746"/>
      <w:r>
        <w:rPr>
          <w:rFonts w:hint="eastAsia"/>
          <w:highlight w:val="none"/>
        </w:rPr>
        <w:t>20.4 第三者责任险</w:t>
      </w:r>
      <w:bookmarkEnd w:id="882"/>
      <w:bookmarkEnd w:id="883"/>
      <w:bookmarkEnd w:id="884"/>
      <w:bookmarkEnd w:id="885"/>
    </w:p>
    <w:p w14:paraId="6D1897AE">
      <w:pPr>
        <w:spacing w:line="380" w:lineRule="exact"/>
        <w:ind w:firstLine="420" w:firstLineChars="200"/>
        <w:rPr>
          <w:rFonts w:hint="eastAsia"/>
          <w:highlight w:val="none"/>
        </w:rPr>
      </w:pPr>
      <w:r>
        <w:rPr>
          <w:rFonts w:hint="eastAsia"/>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D4199AE">
      <w:pPr>
        <w:spacing w:line="380" w:lineRule="exact"/>
        <w:ind w:firstLine="420" w:firstLineChars="200"/>
        <w:rPr>
          <w:rFonts w:hint="eastAsia"/>
          <w:highlight w:val="none"/>
        </w:rPr>
      </w:pPr>
      <w:r>
        <w:rPr>
          <w:rFonts w:hint="eastAsia"/>
          <w:highlight w:val="none"/>
        </w:rPr>
        <w:t>20.4.2 在缺陷责任期终止证书颁发前，承包人应以承包人和发包人的共同名义，投保第20.4.1项约定的第三者责任险，其保险费率、保险金额等有关内容在专用合同条款中约定。</w:t>
      </w:r>
    </w:p>
    <w:p w14:paraId="7699EBFF">
      <w:pPr>
        <w:pStyle w:val="45"/>
        <w:rPr>
          <w:rFonts w:hint="eastAsia"/>
          <w:highlight w:val="none"/>
        </w:rPr>
      </w:pPr>
      <w:bookmarkStart w:id="886" w:name="_Toc152045747"/>
      <w:bookmarkStart w:id="887" w:name="_Toc16436"/>
      <w:bookmarkStart w:id="888" w:name="_Toc152042526"/>
      <w:bookmarkStart w:id="889" w:name="_Toc144974718"/>
      <w:r>
        <w:rPr>
          <w:rFonts w:hint="eastAsia"/>
          <w:highlight w:val="none"/>
        </w:rPr>
        <w:t>20.5 其他保险</w:t>
      </w:r>
      <w:bookmarkEnd w:id="886"/>
      <w:bookmarkEnd w:id="887"/>
      <w:bookmarkEnd w:id="888"/>
      <w:bookmarkEnd w:id="889"/>
    </w:p>
    <w:p w14:paraId="649A7FD2">
      <w:pPr>
        <w:spacing w:line="380" w:lineRule="exact"/>
        <w:ind w:firstLine="420" w:firstLineChars="200"/>
        <w:rPr>
          <w:rFonts w:hint="eastAsia"/>
          <w:highlight w:val="none"/>
        </w:rPr>
      </w:pPr>
      <w:r>
        <w:rPr>
          <w:rFonts w:hint="eastAsia"/>
          <w:highlight w:val="none"/>
        </w:rPr>
        <w:t>除专用合同条款另有约定外，承包人应为其施工设备、进场的材料和工程设备等办理保险。</w:t>
      </w:r>
    </w:p>
    <w:p w14:paraId="630F7268">
      <w:pPr>
        <w:pStyle w:val="45"/>
        <w:rPr>
          <w:rFonts w:hint="eastAsia"/>
          <w:highlight w:val="none"/>
        </w:rPr>
      </w:pPr>
      <w:bookmarkStart w:id="890" w:name="_Toc25456"/>
      <w:bookmarkStart w:id="891" w:name="_Toc152045748"/>
      <w:bookmarkStart w:id="892" w:name="_Toc144974719"/>
      <w:bookmarkStart w:id="893" w:name="_Toc152042527"/>
      <w:r>
        <w:rPr>
          <w:rFonts w:hint="eastAsia"/>
          <w:highlight w:val="none"/>
        </w:rPr>
        <w:t>20.6 对各项保险的一般要求</w:t>
      </w:r>
      <w:bookmarkEnd w:id="890"/>
      <w:bookmarkEnd w:id="891"/>
      <w:bookmarkEnd w:id="892"/>
      <w:bookmarkEnd w:id="893"/>
    </w:p>
    <w:p w14:paraId="73732FBD">
      <w:pPr>
        <w:spacing w:line="380" w:lineRule="exact"/>
        <w:ind w:firstLine="420" w:firstLineChars="200"/>
        <w:rPr>
          <w:rFonts w:hint="eastAsia"/>
          <w:highlight w:val="none"/>
        </w:rPr>
      </w:pPr>
      <w:r>
        <w:rPr>
          <w:rFonts w:hint="eastAsia"/>
          <w:highlight w:val="none"/>
        </w:rPr>
        <w:t xml:space="preserve">20.6.1 </w:t>
      </w:r>
      <w:r>
        <w:rPr>
          <w:rFonts w:hint="eastAsia" w:ascii="黑体" w:eastAsia="黑体"/>
          <w:highlight w:val="none"/>
        </w:rPr>
        <w:t>保险凭证</w:t>
      </w:r>
    </w:p>
    <w:p w14:paraId="72624483">
      <w:pPr>
        <w:spacing w:line="380" w:lineRule="exact"/>
        <w:ind w:firstLine="420" w:firstLineChars="200"/>
        <w:rPr>
          <w:rFonts w:hint="eastAsia"/>
          <w:highlight w:val="none"/>
        </w:rPr>
      </w:pPr>
      <w:r>
        <w:rPr>
          <w:rFonts w:hint="eastAsia"/>
          <w:highlight w:val="none"/>
        </w:rPr>
        <w:t>承包人应在专用合同条款约定的期限内向发包人提交各项保险生效的证据和保险单副本，保险单必须与专用合同条款约定的条件保持一致。</w:t>
      </w:r>
    </w:p>
    <w:p w14:paraId="51A46CE8">
      <w:pPr>
        <w:spacing w:line="380" w:lineRule="exact"/>
        <w:ind w:firstLine="420" w:firstLineChars="200"/>
        <w:rPr>
          <w:rFonts w:hint="eastAsia"/>
          <w:highlight w:val="none"/>
        </w:rPr>
      </w:pPr>
      <w:r>
        <w:rPr>
          <w:rFonts w:hint="eastAsia"/>
          <w:highlight w:val="none"/>
        </w:rPr>
        <w:t xml:space="preserve">20.6.2 </w:t>
      </w:r>
      <w:r>
        <w:rPr>
          <w:rFonts w:hint="eastAsia" w:ascii="黑体" w:eastAsia="黑体"/>
          <w:highlight w:val="none"/>
        </w:rPr>
        <w:t>保险合同条款的变动</w:t>
      </w:r>
    </w:p>
    <w:p w14:paraId="20797A9D">
      <w:pPr>
        <w:spacing w:line="380" w:lineRule="exact"/>
        <w:ind w:firstLine="420" w:firstLineChars="200"/>
        <w:rPr>
          <w:rFonts w:hint="eastAsia"/>
          <w:highlight w:val="none"/>
        </w:rPr>
      </w:pPr>
      <w:r>
        <w:rPr>
          <w:rFonts w:hint="eastAsia"/>
          <w:highlight w:val="none"/>
        </w:rPr>
        <w:t>承包人需要变动保险合同条款时，应事先征得发包人同意，并通知监理人。保险人作出变动的，承包人应在收到保险人通知后立即通知发包人和监理人。</w:t>
      </w:r>
    </w:p>
    <w:p w14:paraId="5AFE57CC">
      <w:pPr>
        <w:spacing w:line="380" w:lineRule="exact"/>
        <w:ind w:firstLine="420" w:firstLineChars="200"/>
        <w:rPr>
          <w:rFonts w:hint="eastAsia"/>
          <w:highlight w:val="none"/>
        </w:rPr>
      </w:pPr>
      <w:r>
        <w:rPr>
          <w:rFonts w:hint="eastAsia"/>
          <w:highlight w:val="none"/>
        </w:rPr>
        <w:t xml:space="preserve">20.6.3 </w:t>
      </w:r>
      <w:r>
        <w:rPr>
          <w:rFonts w:hint="eastAsia" w:ascii="黑体" w:eastAsia="黑体"/>
          <w:highlight w:val="none"/>
        </w:rPr>
        <w:t>持续保险</w:t>
      </w:r>
    </w:p>
    <w:p w14:paraId="76BC1206">
      <w:pPr>
        <w:spacing w:line="380" w:lineRule="exact"/>
        <w:ind w:firstLine="420" w:firstLineChars="200"/>
        <w:rPr>
          <w:rFonts w:hint="eastAsia"/>
          <w:highlight w:val="none"/>
        </w:rPr>
      </w:pPr>
      <w:r>
        <w:rPr>
          <w:rFonts w:hint="eastAsia"/>
          <w:highlight w:val="none"/>
        </w:rPr>
        <w:t>承包人应与保险人保持联系，使保险人能够随时了解工程实施中的变动，并确保按保险合同条款要求持续保险。</w:t>
      </w:r>
    </w:p>
    <w:p w14:paraId="1756B799">
      <w:pPr>
        <w:spacing w:line="380" w:lineRule="exact"/>
        <w:ind w:firstLine="420" w:firstLineChars="200"/>
        <w:rPr>
          <w:rFonts w:hint="eastAsia" w:ascii="黑体" w:eastAsia="黑体"/>
          <w:highlight w:val="none"/>
        </w:rPr>
      </w:pPr>
      <w:r>
        <w:rPr>
          <w:rFonts w:hint="eastAsia"/>
          <w:highlight w:val="none"/>
        </w:rPr>
        <w:t xml:space="preserve">20.6.4 </w:t>
      </w:r>
      <w:r>
        <w:rPr>
          <w:rFonts w:hint="eastAsia" w:ascii="黑体" w:eastAsia="黑体"/>
          <w:highlight w:val="none"/>
        </w:rPr>
        <w:t>保险金不足的补偿</w:t>
      </w:r>
    </w:p>
    <w:p w14:paraId="0D3DDD46">
      <w:pPr>
        <w:spacing w:line="380" w:lineRule="exact"/>
        <w:ind w:firstLine="420" w:firstLineChars="200"/>
        <w:rPr>
          <w:rFonts w:hint="eastAsia"/>
          <w:highlight w:val="none"/>
        </w:rPr>
      </w:pPr>
      <w:r>
        <w:rPr>
          <w:rFonts w:hint="eastAsia"/>
          <w:highlight w:val="none"/>
        </w:rPr>
        <w:t>保险金不足以补偿损失的，应由承包人和（或）发包人按合同约定负责补偿。</w:t>
      </w:r>
    </w:p>
    <w:p w14:paraId="52C8FB17">
      <w:pPr>
        <w:spacing w:line="380" w:lineRule="exact"/>
        <w:ind w:firstLine="420" w:firstLineChars="200"/>
        <w:rPr>
          <w:rFonts w:hint="eastAsia" w:ascii="黑体" w:eastAsia="黑体"/>
          <w:highlight w:val="none"/>
        </w:rPr>
      </w:pPr>
      <w:r>
        <w:rPr>
          <w:rFonts w:hint="eastAsia"/>
          <w:highlight w:val="none"/>
        </w:rPr>
        <w:t xml:space="preserve">20.6.5 </w:t>
      </w:r>
      <w:r>
        <w:rPr>
          <w:rFonts w:hint="eastAsia" w:ascii="黑体" w:eastAsia="黑体"/>
          <w:highlight w:val="none"/>
        </w:rPr>
        <w:t>未按约定投保的补救</w:t>
      </w:r>
    </w:p>
    <w:p w14:paraId="19CDF03B">
      <w:pPr>
        <w:spacing w:line="380" w:lineRule="exact"/>
        <w:ind w:firstLine="420" w:firstLineChars="200"/>
        <w:rPr>
          <w:rFonts w:hint="eastAsia" w:ascii="黑体" w:eastAsia="黑体"/>
          <w:highlight w:val="none"/>
        </w:rPr>
      </w:pPr>
      <w:r>
        <w:rPr>
          <w:rFonts w:hint="eastAsia"/>
          <w:highlight w:val="none"/>
        </w:rPr>
        <w:t>（1）由于负有投保义务的一方当事人未按合同约定办理保险，或未能使保险持续有效的，另一方当事人可代为办理，所需费用由对方当事人承担。</w:t>
      </w:r>
    </w:p>
    <w:p w14:paraId="26739812">
      <w:pPr>
        <w:spacing w:line="380" w:lineRule="exact"/>
        <w:ind w:firstLine="420" w:firstLineChars="200"/>
        <w:rPr>
          <w:rFonts w:hint="eastAsia"/>
          <w:highlight w:val="none"/>
        </w:rPr>
      </w:pPr>
      <w:r>
        <w:rPr>
          <w:rFonts w:hint="eastAsia"/>
          <w:highlight w:val="none"/>
        </w:rPr>
        <w:t>（2）由于负有投保义务的一方当事人未按合同约定办理某项保险，导致受益人未能得到保险人的赔偿，原应从该项保险得到的保险金应由负有投保义务的一方当事人支付。</w:t>
      </w:r>
    </w:p>
    <w:p w14:paraId="058FC9B8">
      <w:pPr>
        <w:spacing w:line="380" w:lineRule="exact"/>
        <w:ind w:firstLine="420" w:firstLineChars="200"/>
        <w:rPr>
          <w:rFonts w:hint="eastAsia" w:ascii="黑体" w:eastAsia="黑体"/>
          <w:highlight w:val="none"/>
        </w:rPr>
      </w:pPr>
      <w:r>
        <w:rPr>
          <w:rFonts w:hint="eastAsia"/>
          <w:highlight w:val="none"/>
        </w:rPr>
        <w:t xml:space="preserve">20.6.6 </w:t>
      </w:r>
      <w:r>
        <w:rPr>
          <w:rFonts w:hint="eastAsia" w:ascii="黑体" w:eastAsia="黑体"/>
          <w:highlight w:val="none"/>
        </w:rPr>
        <w:t>报告义务</w:t>
      </w:r>
    </w:p>
    <w:p w14:paraId="121BB9C1">
      <w:pPr>
        <w:spacing w:line="400" w:lineRule="exact"/>
        <w:ind w:firstLine="420" w:firstLineChars="200"/>
        <w:rPr>
          <w:rFonts w:hint="eastAsia"/>
          <w:highlight w:val="none"/>
        </w:rPr>
      </w:pPr>
      <w:r>
        <w:rPr>
          <w:rFonts w:hint="eastAsia"/>
          <w:highlight w:val="none"/>
        </w:rPr>
        <w:t>当保险事故发生时，投保人应按照保险单规定的条件和期限及时向保险人报告。</w:t>
      </w:r>
    </w:p>
    <w:p w14:paraId="70C843AF">
      <w:pPr>
        <w:pStyle w:val="46"/>
        <w:rPr>
          <w:rFonts w:hint="eastAsia"/>
          <w:highlight w:val="none"/>
        </w:rPr>
      </w:pPr>
      <w:bookmarkStart w:id="894" w:name="_Toc152042528"/>
      <w:bookmarkStart w:id="895" w:name="_Toc152045749"/>
      <w:bookmarkStart w:id="896" w:name="_Toc144974720"/>
      <w:bookmarkStart w:id="897" w:name="_Toc17757"/>
      <w:r>
        <w:rPr>
          <w:rFonts w:hint="eastAsia"/>
          <w:highlight w:val="none"/>
        </w:rPr>
        <w:t>21. 不可抗力</w:t>
      </w:r>
      <w:bookmarkEnd w:id="894"/>
      <w:bookmarkEnd w:id="895"/>
      <w:bookmarkEnd w:id="896"/>
      <w:bookmarkEnd w:id="897"/>
    </w:p>
    <w:p w14:paraId="6E3D06F0">
      <w:pPr>
        <w:pStyle w:val="45"/>
        <w:rPr>
          <w:rFonts w:hint="eastAsia"/>
          <w:highlight w:val="none"/>
        </w:rPr>
      </w:pPr>
      <w:bookmarkStart w:id="898" w:name="_Toc152042529"/>
      <w:bookmarkStart w:id="899" w:name="_Toc152045750"/>
      <w:bookmarkStart w:id="900" w:name="_Toc144974721"/>
      <w:bookmarkStart w:id="901" w:name="_Toc29604"/>
      <w:r>
        <w:rPr>
          <w:rFonts w:hint="eastAsia"/>
          <w:highlight w:val="none"/>
        </w:rPr>
        <w:t>21.1 不可抗力的确认</w:t>
      </w:r>
      <w:bookmarkEnd w:id="898"/>
      <w:bookmarkEnd w:id="899"/>
      <w:bookmarkEnd w:id="900"/>
      <w:bookmarkEnd w:id="901"/>
    </w:p>
    <w:p w14:paraId="428DCFD4">
      <w:pPr>
        <w:spacing w:line="400" w:lineRule="exact"/>
        <w:ind w:firstLine="420" w:firstLineChars="200"/>
        <w:rPr>
          <w:rFonts w:hint="eastAsia"/>
          <w:highlight w:val="none"/>
        </w:rPr>
      </w:pPr>
      <w:r>
        <w:rPr>
          <w:rFonts w:hint="eastAsia"/>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FF2E2F7">
      <w:pPr>
        <w:spacing w:line="400" w:lineRule="exact"/>
        <w:ind w:firstLine="420" w:firstLineChars="200"/>
        <w:rPr>
          <w:rFonts w:hint="eastAsia"/>
          <w:highlight w:val="none"/>
        </w:rPr>
      </w:pPr>
      <w:r>
        <w:rPr>
          <w:rFonts w:hint="eastAsia"/>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9BDDCA7">
      <w:pPr>
        <w:pStyle w:val="45"/>
        <w:rPr>
          <w:rFonts w:hint="eastAsia"/>
          <w:highlight w:val="none"/>
        </w:rPr>
      </w:pPr>
      <w:bookmarkStart w:id="902" w:name="_Toc152042530"/>
      <w:bookmarkStart w:id="903" w:name="_Toc152045751"/>
      <w:bookmarkStart w:id="904" w:name="_Toc144974722"/>
      <w:bookmarkStart w:id="905" w:name="_Toc2008"/>
      <w:r>
        <w:rPr>
          <w:rFonts w:hint="eastAsia"/>
          <w:highlight w:val="none"/>
        </w:rPr>
        <w:t>21.2 不可抗力的通知</w:t>
      </w:r>
      <w:bookmarkEnd w:id="902"/>
      <w:bookmarkEnd w:id="903"/>
      <w:bookmarkEnd w:id="904"/>
      <w:bookmarkEnd w:id="905"/>
    </w:p>
    <w:p w14:paraId="5467C08F">
      <w:pPr>
        <w:spacing w:line="400" w:lineRule="exact"/>
        <w:ind w:firstLine="420" w:firstLineChars="200"/>
        <w:rPr>
          <w:rFonts w:hint="eastAsia"/>
          <w:highlight w:val="none"/>
        </w:rPr>
      </w:pPr>
      <w:r>
        <w:rPr>
          <w:rFonts w:hint="eastAsia"/>
          <w:highlight w:val="none"/>
        </w:rPr>
        <w:t>21.2.1 合同一方当事人遇到不可抗力事件，使其履行合同义务受到阻碍时，应立即通知合同另一方当事人和监理人，书面说明不可抗力和受阻碍的详细情况，并提供必要的证明。</w:t>
      </w:r>
    </w:p>
    <w:p w14:paraId="19561A99">
      <w:pPr>
        <w:spacing w:line="400" w:lineRule="exact"/>
        <w:ind w:firstLine="420" w:firstLineChars="200"/>
        <w:rPr>
          <w:rFonts w:hint="eastAsia"/>
          <w:highlight w:val="none"/>
        </w:rPr>
      </w:pPr>
      <w:r>
        <w:rPr>
          <w:rFonts w:hint="eastAsia"/>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45C893C3">
      <w:pPr>
        <w:pStyle w:val="45"/>
        <w:rPr>
          <w:rFonts w:hint="eastAsia"/>
          <w:highlight w:val="none"/>
        </w:rPr>
      </w:pPr>
      <w:bookmarkStart w:id="906" w:name="_Toc23698"/>
      <w:bookmarkStart w:id="907" w:name="_Toc152045752"/>
      <w:bookmarkStart w:id="908" w:name="_Toc144974723"/>
      <w:bookmarkStart w:id="909" w:name="_Toc152042531"/>
      <w:r>
        <w:rPr>
          <w:rFonts w:hint="eastAsia"/>
          <w:highlight w:val="none"/>
        </w:rPr>
        <w:t>21.3 不可抗力后果及其处理</w:t>
      </w:r>
      <w:bookmarkEnd w:id="906"/>
      <w:bookmarkEnd w:id="907"/>
      <w:bookmarkEnd w:id="908"/>
      <w:bookmarkEnd w:id="909"/>
    </w:p>
    <w:p w14:paraId="691A2BB6">
      <w:pPr>
        <w:spacing w:line="380" w:lineRule="exact"/>
        <w:ind w:firstLine="420" w:firstLineChars="200"/>
        <w:rPr>
          <w:rFonts w:hint="eastAsia"/>
          <w:highlight w:val="none"/>
        </w:rPr>
      </w:pPr>
      <w:r>
        <w:rPr>
          <w:rFonts w:hint="eastAsia"/>
          <w:highlight w:val="none"/>
        </w:rPr>
        <w:t xml:space="preserve">21.3.1 </w:t>
      </w:r>
      <w:r>
        <w:rPr>
          <w:rFonts w:hint="eastAsia" w:ascii="黑体" w:eastAsia="黑体"/>
          <w:highlight w:val="none"/>
        </w:rPr>
        <w:t>不可抗力造成损害的责任</w:t>
      </w:r>
    </w:p>
    <w:p w14:paraId="7F927519">
      <w:pPr>
        <w:spacing w:line="400" w:lineRule="exact"/>
        <w:ind w:firstLine="420" w:firstLineChars="200"/>
        <w:rPr>
          <w:rFonts w:hint="eastAsia"/>
          <w:highlight w:val="none"/>
        </w:rPr>
      </w:pPr>
      <w:r>
        <w:rPr>
          <w:rFonts w:hint="eastAsia"/>
          <w:highlight w:val="none"/>
        </w:rPr>
        <w:t>除专用合同条款另有约定外，不可抗力导致的人员伤亡、财产损失、费用增加和（或）工期延误等后果，由合同双方按以下原则承担：</w:t>
      </w:r>
    </w:p>
    <w:p w14:paraId="49022AA8">
      <w:pPr>
        <w:spacing w:line="400" w:lineRule="exact"/>
        <w:ind w:firstLine="718" w:firstLineChars="342"/>
        <w:rPr>
          <w:rFonts w:hint="eastAsia"/>
          <w:highlight w:val="none"/>
        </w:rPr>
      </w:pPr>
      <w:r>
        <w:rPr>
          <w:rFonts w:hint="eastAsia"/>
          <w:highlight w:val="none"/>
        </w:rPr>
        <w:t>（1）永久工程，包括已运至施工场地的材料和工程设备的损害，以及因工程损害造成的第三者人员伤亡和财产损失由发包人承担；</w:t>
      </w:r>
    </w:p>
    <w:p w14:paraId="077BF8BA">
      <w:pPr>
        <w:spacing w:line="400" w:lineRule="exact"/>
        <w:ind w:firstLine="718" w:firstLineChars="342"/>
        <w:rPr>
          <w:rFonts w:hint="eastAsia"/>
          <w:highlight w:val="none"/>
        </w:rPr>
      </w:pPr>
      <w:r>
        <w:rPr>
          <w:rFonts w:hint="eastAsia"/>
          <w:highlight w:val="none"/>
        </w:rPr>
        <w:t>（2）承包人设备的损坏由承包人承担；</w:t>
      </w:r>
    </w:p>
    <w:p w14:paraId="4849EA77">
      <w:pPr>
        <w:spacing w:line="400" w:lineRule="exact"/>
        <w:ind w:firstLine="718" w:firstLineChars="342"/>
        <w:rPr>
          <w:rFonts w:hint="eastAsia"/>
          <w:highlight w:val="none"/>
        </w:rPr>
      </w:pPr>
      <w:r>
        <w:rPr>
          <w:rFonts w:hint="eastAsia"/>
          <w:highlight w:val="none"/>
        </w:rPr>
        <w:t>（3）发包人和承包人各自承担其人员伤亡和其他财产损失及其相关费用；</w:t>
      </w:r>
    </w:p>
    <w:p w14:paraId="02C28F6C">
      <w:pPr>
        <w:spacing w:line="400" w:lineRule="exact"/>
        <w:ind w:firstLine="718" w:firstLineChars="342"/>
        <w:rPr>
          <w:rFonts w:hint="eastAsia"/>
          <w:highlight w:val="none"/>
        </w:rPr>
      </w:pPr>
      <w:r>
        <w:rPr>
          <w:rFonts w:hint="eastAsia"/>
          <w:highlight w:val="none"/>
        </w:rPr>
        <w:t>（4）承包人的停工损失由承包人承担，但停工期间应监理人要求照管工程和清理、修复工程的金额由发包人承担；</w:t>
      </w:r>
    </w:p>
    <w:p w14:paraId="5A4E0FFA">
      <w:pPr>
        <w:spacing w:line="400" w:lineRule="exact"/>
        <w:ind w:firstLine="718" w:firstLineChars="342"/>
        <w:rPr>
          <w:rFonts w:hint="eastAsia"/>
          <w:highlight w:val="none"/>
        </w:rPr>
      </w:pPr>
      <w:r>
        <w:rPr>
          <w:rFonts w:hint="eastAsia"/>
          <w:highlight w:val="none"/>
        </w:rPr>
        <w:t>（5）不能按期竣工的，应合理延长工期，承包人不需支付逾期竣工违约金。发包人要求赶工的，承包人应采取赶工措施，赶工费用由发包人承担。</w:t>
      </w:r>
    </w:p>
    <w:p w14:paraId="7CF02486">
      <w:pPr>
        <w:spacing w:line="400" w:lineRule="exact"/>
        <w:ind w:firstLine="420" w:firstLineChars="200"/>
        <w:rPr>
          <w:rFonts w:hint="eastAsia"/>
          <w:highlight w:val="none"/>
        </w:rPr>
      </w:pPr>
      <w:r>
        <w:rPr>
          <w:rFonts w:hint="eastAsia"/>
          <w:highlight w:val="none"/>
        </w:rPr>
        <w:t xml:space="preserve">21.3.2 </w:t>
      </w:r>
      <w:r>
        <w:rPr>
          <w:rFonts w:hint="eastAsia" w:ascii="黑体" w:eastAsia="黑体"/>
          <w:highlight w:val="none"/>
        </w:rPr>
        <w:t>延迟履行期间发生的不可抗力</w:t>
      </w:r>
    </w:p>
    <w:p w14:paraId="50EEA1BC">
      <w:pPr>
        <w:spacing w:line="400" w:lineRule="exact"/>
        <w:ind w:firstLine="420" w:firstLineChars="200"/>
        <w:rPr>
          <w:rFonts w:hint="eastAsia"/>
          <w:highlight w:val="none"/>
        </w:rPr>
      </w:pPr>
      <w:r>
        <w:rPr>
          <w:rFonts w:hint="eastAsia"/>
          <w:highlight w:val="none"/>
        </w:rPr>
        <w:t>合同一方当事人延迟履行，在延迟履行期间发生不可抗力的，不免除其责任。</w:t>
      </w:r>
    </w:p>
    <w:p w14:paraId="2EE41D42">
      <w:pPr>
        <w:spacing w:line="400" w:lineRule="exact"/>
        <w:ind w:firstLine="420" w:firstLineChars="200"/>
        <w:rPr>
          <w:rFonts w:hint="eastAsia"/>
          <w:highlight w:val="none"/>
        </w:rPr>
      </w:pPr>
      <w:r>
        <w:rPr>
          <w:rFonts w:hint="eastAsia"/>
          <w:highlight w:val="none"/>
        </w:rPr>
        <w:t xml:space="preserve">21.3.3 </w:t>
      </w:r>
      <w:r>
        <w:rPr>
          <w:rFonts w:hint="eastAsia" w:ascii="黑体" w:eastAsia="黑体"/>
          <w:highlight w:val="none"/>
        </w:rPr>
        <w:t>避免和减少不可抗力损失</w:t>
      </w:r>
    </w:p>
    <w:p w14:paraId="7971D0CB">
      <w:pPr>
        <w:spacing w:line="400" w:lineRule="exact"/>
        <w:ind w:firstLine="420" w:firstLineChars="200"/>
        <w:rPr>
          <w:rFonts w:hint="eastAsia"/>
          <w:highlight w:val="none"/>
        </w:rPr>
      </w:pPr>
      <w:r>
        <w:rPr>
          <w:rFonts w:hint="eastAsia"/>
          <w:highlight w:val="none"/>
        </w:rPr>
        <w:t>不可抗力发生后，发包人和承包人均应采取措施尽量避免和减少损失的扩大，任何一方没有采取有效措施导致损失扩大的，应对扩大的损失承担责任。</w:t>
      </w:r>
    </w:p>
    <w:p w14:paraId="44A64286">
      <w:pPr>
        <w:spacing w:line="400" w:lineRule="exact"/>
        <w:ind w:firstLine="420" w:firstLineChars="200"/>
        <w:rPr>
          <w:rFonts w:hint="eastAsia"/>
          <w:highlight w:val="none"/>
        </w:rPr>
      </w:pPr>
      <w:r>
        <w:rPr>
          <w:rFonts w:hint="eastAsia"/>
          <w:highlight w:val="none"/>
        </w:rPr>
        <w:t xml:space="preserve">21.3.4 </w:t>
      </w:r>
      <w:r>
        <w:rPr>
          <w:rFonts w:hint="eastAsia" w:ascii="黑体" w:eastAsia="黑体"/>
          <w:highlight w:val="none"/>
        </w:rPr>
        <w:t>因不可抗力解除合同</w:t>
      </w:r>
    </w:p>
    <w:p w14:paraId="610B094C">
      <w:pPr>
        <w:spacing w:line="400" w:lineRule="exact"/>
        <w:ind w:firstLine="420" w:firstLineChars="200"/>
        <w:rPr>
          <w:rFonts w:hint="eastAsia"/>
          <w:highlight w:val="none"/>
        </w:rPr>
      </w:pPr>
      <w:r>
        <w:rPr>
          <w:rFonts w:hint="eastAsia"/>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3583CF3D">
      <w:pPr>
        <w:pStyle w:val="46"/>
        <w:rPr>
          <w:rFonts w:hint="eastAsia"/>
          <w:highlight w:val="none"/>
        </w:rPr>
      </w:pPr>
      <w:bookmarkStart w:id="910" w:name="_Toc7954"/>
      <w:bookmarkStart w:id="911" w:name="_Toc152042532"/>
      <w:bookmarkStart w:id="912" w:name="_Toc144974724"/>
      <w:bookmarkStart w:id="913" w:name="_Toc152045753"/>
      <w:r>
        <w:rPr>
          <w:rFonts w:hint="eastAsia"/>
          <w:highlight w:val="none"/>
        </w:rPr>
        <w:t>22. 违约</w:t>
      </w:r>
      <w:bookmarkEnd w:id="910"/>
      <w:bookmarkEnd w:id="911"/>
      <w:bookmarkEnd w:id="912"/>
      <w:bookmarkEnd w:id="913"/>
    </w:p>
    <w:p w14:paraId="43D5E726">
      <w:pPr>
        <w:pStyle w:val="45"/>
        <w:rPr>
          <w:rFonts w:hint="eastAsia"/>
          <w:highlight w:val="none"/>
        </w:rPr>
      </w:pPr>
      <w:bookmarkStart w:id="914" w:name="_Toc30579"/>
      <w:bookmarkStart w:id="915" w:name="_Toc144974725"/>
      <w:bookmarkStart w:id="916" w:name="_Toc152045754"/>
      <w:bookmarkStart w:id="917" w:name="_Toc152042533"/>
      <w:r>
        <w:rPr>
          <w:rFonts w:hint="eastAsia"/>
          <w:highlight w:val="none"/>
        </w:rPr>
        <w:t>22.1 承包人违约</w:t>
      </w:r>
      <w:bookmarkEnd w:id="914"/>
      <w:bookmarkEnd w:id="915"/>
      <w:bookmarkEnd w:id="916"/>
      <w:bookmarkEnd w:id="917"/>
    </w:p>
    <w:p w14:paraId="51556707">
      <w:pPr>
        <w:spacing w:line="400" w:lineRule="exact"/>
        <w:ind w:firstLine="420" w:firstLineChars="200"/>
        <w:rPr>
          <w:rFonts w:hint="eastAsia"/>
          <w:highlight w:val="none"/>
        </w:rPr>
      </w:pPr>
      <w:r>
        <w:rPr>
          <w:rFonts w:hint="eastAsia"/>
          <w:highlight w:val="none"/>
        </w:rPr>
        <w:t>22.1.1</w:t>
      </w:r>
      <w:r>
        <w:rPr>
          <w:rFonts w:hint="eastAsia" w:ascii="黑体" w:eastAsia="黑体"/>
          <w:highlight w:val="none"/>
        </w:rPr>
        <w:t xml:space="preserve"> 承包人违约的情形</w:t>
      </w:r>
    </w:p>
    <w:p w14:paraId="4533D6E5">
      <w:pPr>
        <w:spacing w:line="400" w:lineRule="exact"/>
        <w:ind w:firstLine="420" w:firstLineChars="200"/>
        <w:rPr>
          <w:rFonts w:hint="eastAsia"/>
          <w:highlight w:val="none"/>
        </w:rPr>
      </w:pPr>
      <w:r>
        <w:rPr>
          <w:rFonts w:hint="eastAsia"/>
          <w:highlight w:val="none"/>
        </w:rPr>
        <w:t>在履行合同过程中发生的下列情况属承包人违约：</w:t>
      </w:r>
    </w:p>
    <w:p w14:paraId="27483891">
      <w:pPr>
        <w:spacing w:line="400" w:lineRule="exact"/>
        <w:ind w:firstLine="718" w:firstLineChars="342"/>
        <w:rPr>
          <w:rFonts w:hint="eastAsia"/>
          <w:highlight w:val="none"/>
        </w:rPr>
      </w:pPr>
      <w:r>
        <w:rPr>
          <w:rFonts w:hint="eastAsia"/>
          <w:highlight w:val="none"/>
        </w:rPr>
        <w:t>（1）承包人违反第1.8款或第4.3款的约定，私自将合同的全部或部分权利转让给其他人，或私自将合同的全部或部分义务转移给其他人；</w:t>
      </w:r>
    </w:p>
    <w:p w14:paraId="2BC4CFFB">
      <w:pPr>
        <w:spacing w:line="400" w:lineRule="exact"/>
        <w:ind w:firstLine="718" w:firstLineChars="342"/>
        <w:rPr>
          <w:rFonts w:hint="eastAsia"/>
          <w:highlight w:val="none"/>
        </w:rPr>
      </w:pPr>
      <w:r>
        <w:rPr>
          <w:rFonts w:hint="eastAsia"/>
          <w:highlight w:val="none"/>
        </w:rPr>
        <w:t>（2）承包人违反第5.3款或第6.4款的约定，未经监理人批准，私自将已按合同约定进入施工场地的施工设备、临时设施或材料撤离施工场地；</w:t>
      </w:r>
    </w:p>
    <w:p w14:paraId="5B9F1A86">
      <w:pPr>
        <w:spacing w:line="400" w:lineRule="exact"/>
        <w:ind w:firstLine="718" w:firstLineChars="342"/>
        <w:rPr>
          <w:rFonts w:hint="eastAsia"/>
          <w:highlight w:val="none"/>
        </w:rPr>
      </w:pPr>
      <w:r>
        <w:rPr>
          <w:rFonts w:hint="eastAsia"/>
          <w:highlight w:val="none"/>
        </w:rPr>
        <w:t>（3）承包人违反第5.4款的约定使用了不合格材料或工程设备，工程质量达不到标准要求，又拒绝清除不合格工程；</w:t>
      </w:r>
    </w:p>
    <w:p w14:paraId="3A61AD7A">
      <w:pPr>
        <w:spacing w:line="400" w:lineRule="exact"/>
        <w:ind w:firstLine="718" w:firstLineChars="342"/>
        <w:rPr>
          <w:rFonts w:hint="eastAsia"/>
          <w:highlight w:val="none"/>
        </w:rPr>
      </w:pPr>
      <w:r>
        <w:rPr>
          <w:rFonts w:hint="eastAsia"/>
          <w:highlight w:val="none"/>
        </w:rPr>
        <w:t>（4）承包人未能按合同进度计划及时完成合同约定的工作，已造成或预期造成工期延误；</w:t>
      </w:r>
    </w:p>
    <w:p w14:paraId="1EC147E8">
      <w:pPr>
        <w:spacing w:line="400" w:lineRule="exact"/>
        <w:ind w:firstLine="718" w:firstLineChars="342"/>
        <w:rPr>
          <w:rFonts w:hint="eastAsia"/>
          <w:highlight w:val="none"/>
        </w:rPr>
      </w:pPr>
      <w:r>
        <w:rPr>
          <w:rFonts w:hint="eastAsia"/>
          <w:highlight w:val="none"/>
        </w:rPr>
        <w:t>（5）承包人在缺陷责任期内，未能对工程接收证书所列的缺陷清单的内容或缺陷责任期内发生的缺陷进行修复，而又拒绝按监理人指示再进行修补；</w:t>
      </w:r>
    </w:p>
    <w:p w14:paraId="4A8876AE">
      <w:pPr>
        <w:spacing w:line="400" w:lineRule="exact"/>
        <w:ind w:firstLine="718" w:firstLineChars="342"/>
        <w:rPr>
          <w:rFonts w:hint="eastAsia"/>
          <w:highlight w:val="none"/>
        </w:rPr>
      </w:pPr>
      <w:r>
        <w:rPr>
          <w:rFonts w:hint="eastAsia"/>
          <w:highlight w:val="none"/>
        </w:rPr>
        <w:t>（6）承包人无法继续履行或明确表示不履行或实质上已停止履行合同；</w:t>
      </w:r>
    </w:p>
    <w:p w14:paraId="2D53337B">
      <w:pPr>
        <w:spacing w:line="400" w:lineRule="exact"/>
        <w:ind w:firstLine="718" w:firstLineChars="342"/>
        <w:rPr>
          <w:rFonts w:hint="eastAsia"/>
          <w:highlight w:val="none"/>
        </w:rPr>
      </w:pPr>
      <w:r>
        <w:rPr>
          <w:rFonts w:hint="eastAsia"/>
          <w:highlight w:val="none"/>
        </w:rPr>
        <w:t>（7）承包人不按合同约定履行义务的其他情况。</w:t>
      </w:r>
    </w:p>
    <w:p w14:paraId="6B800624">
      <w:pPr>
        <w:spacing w:line="400" w:lineRule="exact"/>
        <w:ind w:firstLine="420" w:firstLineChars="200"/>
        <w:rPr>
          <w:rFonts w:hint="eastAsia" w:ascii="黑体" w:eastAsia="黑体"/>
          <w:highlight w:val="none"/>
        </w:rPr>
      </w:pPr>
      <w:r>
        <w:rPr>
          <w:rFonts w:hint="eastAsia"/>
          <w:highlight w:val="none"/>
        </w:rPr>
        <w:t>22.1.2</w:t>
      </w:r>
      <w:r>
        <w:rPr>
          <w:rFonts w:hint="eastAsia" w:ascii="黑体" w:eastAsia="黑体"/>
          <w:highlight w:val="none"/>
        </w:rPr>
        <w:t xml:space="preserve"> 对承包人违约的处理</w:t>
      </w:r>
    </w:p>
    <w:p w14:paraId="64911E30">
      <w:pPr>
        <w:spacing w:line="400" w:lineRule="exact"/>
        <w:ind w:firstLine="718" w:firstLineChars="342"/>
        <w:rPr>
          <w:rFonts w:hint="eastAsia"/>
          <w:highlight w:val="none"/>
        </w:rPr>
      </w:pPr>
      <w:r>
        <w:rPr>
          <w:rFonts w:hint="eastAsia"/>
          <w:highlight w:val="none"/>
        </w:rPr>
        <w:t>（1）承包人发生第22.1.1（6）目约定的违约情况时，发包人可通知承包人立即解除合同，并按有关法律处理。</w:t>
      </w:r>
    </w:p>
    <w:p w14:paraId="5C7E4C60">
      <w:pPr>
        <w:spacing w:line="400" w:lineRule="exact"/>
        <w:ind w:firstLine="718" w:firstLineChars="342"/>
        <w:rPr>
          <w:rFonts w:hint="eastAsia"/>
          <w:highlight w:val="none"/>
        </w:rPr>
      </w:pPr>
      <w:r>
        <w:rPr>
          <w:rFonts w:hint="eastAsia"/>
          <w:highlight w:val="none"/>
        </w:rPr>
        <w:t>（2）承包人发生除第22.1.1（6）目约定以外的其他违约情况时，监理人可向承包人发出整改通知，要求其在指定的期限内改正。承包人应承担其违约所引起的费用增加和（或）工期延误。</w:t>
      </w:r>
    </w:p>
    <w:p w14:paraId="3E717C31">
      <w:pPr>
        <w:spacing w:line="400" w:lineRule="exact"/>
        <w:ind w:firstLine="718" w:firstLineChars="342"/>
        <w:rPr>
          <w:rFonts w:hint="eastAsia"/>
          <w:highlight w:val="none"/>
        </w:rPr>
      </w:pPr>
      <w:r>
        <w:rPr>
          <w:rFonts w:hint="eastAsia"/>
          <w:highlight w:val="none"/>
        </w:rPr>
        <w:t>（3）经检查证明承包人已采取了有效措施纠正违约行为，具备复工条件的，可由监理人签发复工通知复工。</w:t>
      </w:r>
    </w:p>
    <w:p w14:paraId="2EDD7879">
      <w:pPr>
        <w:spacing w:line="400" w:lineRule="exact"/>
        <w:ind w:firstLine="420" w:firstLineChars="200"/>
        <w:rPr>
          <w:rFonts w:hint="eastAsia" w:ascii="黑体" w:eastAsia="黑体"/>
          <w:highlight w:val="none"/>
        </w:rPr>
      </w:pPr>
      <w:r>
        <w:rPr>
          <w:rFonts w:hint="eastAsia"/>
          <w:highlight w:val="none"/>
        </w:rPr>
        <w:t>22.1.3</w:t>
      </w:r>
      <w:r>
        <w:rPr>
          <w:rFonts w:hint="eastAsia" w:ascii="黑体" w:eastAsia="黑体"/>
          <w:highlight w:val="none"/>
        </w:rPr>
        <w:t xml:space="preserve"> 承包人违约解除合同</w:t>
      </w:r>
    </w:p>
    <w:p w14:paraId="1245BC8F">
      <w:pPr>
        <w:spacing w:line="400" w:lineRule="exact"/>
        <w:ind w:firstLine="420" w:firstLineChars="200"/>
        <w:rPr>
          <w:rFonts w:hint="eastAsia"/>
          <w:highlight w:val="none"/>
        </w:rPr>
      </w:pPr>
      <w:r>
        <w:rPr>
          <w:rFonts w:hint="eastAsia"/>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4E11E71">
      <w:pPr>
        <w:spacing w:line="400" w:lineRule="exact"/>
        <w:ind w:firstLine="420" w:firstLineChars="200"/>
        <w:rPr>
          <w:rFonts w:hint="eastAsia" w:ascii="黑体" w:eastAsia="黑体"/>
          <w:highlight w:val="none"/>
        </w:rPr>
      </w:pPr>
      <w:r>
        <w:rPr>
          <w:rFonts w:hint="eastAsia"/>
          <w:highlight w:val="none"/>
        </w:rPr>
        <w:t>22.1.4</w:t>
      </w:r>
      <w:r>
        <w:rPr>
          <w:rFonts w:hint="eastAsia" w:ascii="黑体" w:eastAsia="黑体"/>
          <w:highlight w:val="none"/>
        </w:rPr>
        <w:t xml:space="preserve"> 合同解除后的估价、付款和结清</w:t>
      </w:r>
    </w:p>
    <w:p w14:paraId="273D9609">
      <w:pPr>
        <w:spacing w:line="400" w:lineRule="exact"/>
        <w:ind w:firstLine="718" w:firstLineChars="342"/>
        <w:rPr>
          <w:rFonts w:hint="eastAsia"/>
          <w:highlight w:val="none"/>
        </w:rPr>
      </w:pPr>
      <w:r>
        <w:rPr>
          <w:rFonts w:hint="eastAsia"/>
          <w:highlight w:val="none"/>
        </w:rPr>
        <w:t xml:space="preserve">（1）合同解除后，监理人按第3.5款商定或确定承包人实际完成工作的价值，以及承包人已提供的材料、施工设备、工程设备和临时工程等的价值。 </w:t>
      </w:r>
    </w:p>
    <w:p w14:paraId="6F311699">
      <w:pPr>
        <w:spacing w:line="400" w:lineRule="exact"/>
        <w:ind w:firstLine="718" w:firstLineChars="342"/>
        <w:rPr>
          <w:rFonts w:hint="eastAsia"/>
          <w:highlight w:val="none"/>
        </w:rPr>
      </w:pPr>
      <w:r>
        <w:rPr>
          <w:rFonts w:hint="eastAsia"/>
          <w:highlight w:val="none"/>
        </w:rPr>
        <w:t xml:space="preserve">（2）合同解除后，发包人应暂停对承包人的一切付款，查清各项付款和已扣款金额，包括承包人应支付的违约金。 </w:t>
      </w:r>
    </w:p>
    <w:p w14:paraId="79D62716">
      <w:pPr>
        <w:spacing w:line="400" w:lineRule="exact"/>
        <w:ind w:firstLine="718" w:firstLineChars="342"/>
        <w:rPr>
          <w:rFonts w:hint="eastAsia"/>
          <w:highlight w:val="none"/>
        </w:rPr>
      </w:pPr>
      <w:r>
        <w:rPr>
          <w:rFonts w:hint="eastAsia"/>
          <w:highlight w:val="none"/>
        </w:rPr>
        <w:t>（3）合同解除后，发包人应按第23.4款的约定向承包人索赔由于解除合同给发包人造成的损失。</w:t>
      </w:r>
    </w:p>
    <w:p w14:paraId="6D3BD5F2">
      <w:pPr>
        <w:spacing w:line="400" w:lineRule="exact"/>
        <w:ind w:firstLine="718" w:firstLineChars="342"/>
        <w:rPr>
          <w:rFonts w:hint="eastAsia"/>
          <w:highlight w:val="none"/>
        </w:rPr>
      </w:pPr>
      <w:r>
        <w:rPr>
          <w:rFonts w:hint="eastAsia"/>
          <w:highlight w:val="none"/>
        </w:rPr>
        <w:t>（4）合同双方确认上述往来款项后，出具最终结清付款证书，结清全部合同款项。</w:t>
      </w:r>
    </w:p>
    <w:p w14:paraId="1FF52120">
      <w:pPr>
        <w:spacing w:line="400" w:lineRule="exact"/>
        <w:ind w:firstLine="718" w:firstLineChars="342"/>
        <w:rPr>
          <w:rFonts w:hint="eastAsia"/>
          <w:highlight w:val="none"/>
        </w:rPr>
      </w:pPr>
      <w:r>
        <w:rPr>
          <w:rFonts w:hint="eastAsia"/>
          <w:highlight w:val="none"/>
        </w:rPr>
        <w:t>（5）发包人和承包人未能就解除合同后的结清达成一致而形成争议的，按第24条的约定办理。</w:t>
      </w:r>
    </w:p>
    <w:p w14:paraId="2E6A27A9">
      <w:pPr>
        <w:spacing w:line="400" w:lineRule="exact"/>
        <w:ind w:firstLine="420" w:firstLineChars="200"/>
        <w:rPr>
          <w:rFonts w:hint="eastAsia" w:ascii="黑体" w:eastAsia="黑体"/>
          <w:highlight w:val="none"/>
        </w:rPr>
      </w:pPr>
      <w:r>
        <w:rPr>
          <w:rFonts w:hint="eastAsia"/>
          <w:highlight w:val="none"/>
        </w:rPr>
        <w:t>22.1.5</w:t>
      </w:r>
      <w:r>
        <w:rPr>
          <w:rFonts w:hint="eastAsia" w:ascii="黑体" w:eastAsia="黑体"/>
          <w:highlight w:val="none"/>
        </w:rPr>
        <w:t xml:space="preserve"> 协议利益的转让</w:t>
      </w:r>
    </w:p>
    <w:p w14:paraId="12A86C45">
      <w:pPr>
        <w:spacing w:line="400" w:lineRule="exact"/>
        <w:ind w:firstLine="420" w:firstLineChars="200"/>
        <w:rPr>
          <w:rFonts w:hint="eastAsia"/>
          <w:highlight w:val="none"/>
        </w:rPr>
      </w:pPr>
      <w:r>
        <w:rPr>
          <w:rFonts w:hint="eastAsia"/>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16114640">
      <w:pPr>
        <w:spacing w:line="400" w:lineRule="exact"/>
        <w:ind w:firstLine="420" w:firstLineChars="200"/>
        <w:rPr>
          <w:rFonts w:hint="eastAsia" w:ascii="黑体" w:eastAsia="黑体"/>
          <w:highlight w:val="none"/>
        </w:rPr>
      </w:pPr>
      <w:r>
        <w:rPr>
          <w:rFonts w:hint="eastAsia"/>
          <w:highlight w:val="none"/>
        </w:rPr>
        <w:t>22.1.6</w:t>
      </w:r>
      <w:r>
        <w:rPr>
          <w:rFonts w:hint="eastAsia" w:ascii="黑体" w:eastAsia="黑体"/>
          <w:highlight w:val="none"/>
        </w:rPr>
        <w:t xml:space="preserve"> 紧急情况下无能力或不愿进行抢救</w:t>
      </w:r>
    </w:p>
    <w:p w14:paraId="330768A2">
      <w:pPr>
        <w:spacing w:line="400" w:lineRule="exact"/>
        <w:ind w:firstLine="420" w:firstLineChars="200"/>
        <w:rPr>
          <w:rFonts w:hint="eastAsia"/>
          <w:highlight w:val="none"/>
        </w:rPr>
      </w:pPr>
      <w:r>
        <w:rPr>
          <w:rFonts w:hint="eastAsia"/>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0C5CBC2">
      <w:pPr>
        <w:pStyle w:val="45"/>
        <w:rPr>
          <w:rFonts w:hint="eastAsia"/>
          <w:highlight w:val="none"/>
        </w:rPr>
      </w:pPr>
      <w:bookmarkStart w:id="918" w:name="_Toc10463"/>
      <w:bookmarkStart w:id="919" w:name="_Toc152045755"/>
      <w:bookmarkStart w:id="920" w:name="_Toc144974726"/>
      <w:bookmarkStart w:id="921" w:name="_Toc152042534"/>
      <w:r>
        <w:rPr>
          <w:rFonts w:hint="eastAsia"/>
          <w:highlight w:val="none"/>
        </w:rPr>
        <w:t>22.2 发包人违约</w:t>
      </w:r>
      <w:bookmarkEnd w:id="918"/>
      <w:bookmarkEnd w:id="919"/>
      <w:bookmarkEnd w:id="920"/>
      <w:bookmarkEnd w:id="921"/>
    </w:p>
    <w:p w14:paraId="36C87F8D">
      <w:pPr>
        <w:spacing w:line="400" w:lineRule="exact"/>
        <w:ind w:firstLine="420" w:firstLineChars="200"/>
        <w:rPr>
          <w:rFonts w:hint="eastAsia" w:ascii="黑体" w:eastAsia="黑体"/>
          <w:highlight w:val="none"/>
        </w:rPr>
      </w:pPr>
      <w:r>
        <w:rPr>
          <w:rFonts w:hint="eastAsia"/>
          <w:highlight w:val="none"/>
        </w:rPr>
        <w:t xml:space="preserve">22.2.1 </w:t>
      </w:r>
      <w:r>
        <w:rPr>
          <w:rFonts w:hint="eastAsia" w:ascii="黑体" w:eastAsia="黑体"/>
          <w:highlight w:val="none"/>
        </w:rPr>
        <w:t>发包人违约的情形</w:t>
      </w:r>
    </w:p>
    <w:p w14:paraId="76D36636">
      <w:pPr>
        <w:spacing w:line="400" w:lineRule="exact"/>
        <w:ind w:firstLine="420" w:firstLineChars="200"/>
        <w:rPr>
          <w:rFonts w:hint="eastAsia"/>
          <w:highlight w:val="none"/>
        </w:rPr>
      </w:pPr>
      <w:r>
        <w:rPr>
          <w:rFonts w:hint="eastAsia"/>
          <w:highlight w:val="none"/>
        </w:rPr>
        <w:t>在履行合同过程中发生的下列情形，属发包人违约：</w:t>
      </w:r>
    </w:p>
    <w:p w14:paraId="30BE7743">
      <w:pPr>
        <w:spacing w:line="400" w:lineRule="exact"/>
        <w:ind w:firstLine="718" w:firstLineChars="342"/>
        <w:rPr>
          <w:rFonts w:hint="eastAsia"/>
          <w:highlight w:val="none"/>
        </w:rPr>
      </w:pPr>
      <w:r>
        <w:rPr>
          <w:rFonts w:hint="eastAsia"/>
          <w:highlight w:val="none"/>
        </w:rPr>
        <w:t>（1）发包人未能按合同约定支付预付款或合同价款，或拖延、拒绝批准付款申请和支付凭证，导致付款延误的；</w:t>
      </w:r>
    </w:p>
    <w:p w14:paraId="48720E18">
      <w:pPr>
        <w:spacing w:line="400" w:lineRule="exact"/>
        <w:ind w:firstLine="718" w:firstLineChars="342"/>
        <w:rPr>
          <w:rFonts w:hint="eastAsia"/>
          <w:highlight w:val="none"/>
        </w:rPr>
      </w:pPr>
      <w:r>
        <w:rPr>
          <w:rFonts w:hint="eastAsia"/>
          <w:highlight w:val="none"/>
        </w:rPr>
        <w:t>（2）发包人原因造成停工的；</w:t>
      </w:r>
    </w:p>
    <w:p w14:paraId="20C551AC">
      <w:pPr>
        <w:spacing w:line="400" w:lineRule="exact"/>
        <w:ind w:firstLine="718" w:firstLineChars="342"/>
        <w:rPr>
          <w:rFonts w:hint="eastAsia"/>
          <w:highlight w:val="none"/>
        </w:rPr>
      </w:pPr>
      <w:r>
        <w:rPr>
          <w:rFonts w:hint="eastAsia"/>
          <w:highlight w:val="none"/>
        </w:rPr>
        <w:t>（3）监理人无正当理由没有在约定期限内发出复工指示，导致承包人无法复工的；</w:t>
      </w:r>
    </w:p>
    <w:p w14:paraId="7ACAE1FF">
      <w:pPr>
        <w:spacing w:line="400" w:lineRule="exact"/>
        <w:ind w:firstLine="718" w:firstLineChars="342"/>
        <w:rPr>
          <w:rFonts w:hint="eastAsia"/>
          <w:highlight w:val="none"/>
        </w:rPr>
      </w:pPr>
      <w:r>
        <w:rPr>
          <w:rFonts w:hint="eastAsia"/>
          <w:highlight w:val="none"/>
        </w:rPr>
        <w:t>（4）发包人无法继续履行或明确表示不履行或实质上已停止履行合同的；</w:t>
      </w:r>
    </w:p>
    <w:p w14:paraId="1A857F88">
      <w:pPr>
        <w:spacing w:line="400" w:lineRule="exact"/>
        <w:ind w:firstLine="718" w:firstLineChars="342"/>
        <w:rPr>
          <w:rFonts w:hint="eastAsia"/>
          <w:highlight w:val="none"/>
        </w:rPr>
      </w:pPr>
      <w:r>
        <w:rPr>
          <w:rFonts w:hint="eastAsia"/>
          <w:highlight w:val="none"/>
        </w:rPr>
        <w:t>（5）发包人不履行合同约定其他义务的。</w:t>
      </w:r>
    </w:p>
    <w:p w14:paraId="3730F6FC">
      <w:pPr>
        <w:spacing w:line="400" w:lineRule="exact"/>
        <w:ind w:firstLine="420" w:firstLineChars="200"/>
        <w:rPr>
          <w:rFonts w:hint="eastAsia"/>
          <w:highlight w:val="none"/>
        </w:rPr>
      </w:pPr>
      <w:r>
        <w:rPr>
          <w:rFonts w:hint="eastAsia"/>
          <w:highlight w:val="none"/>
        </w:rPr>
        <w:t>22.2.2</w:t>
      </w:r>
      <w:r>
        <w:rPr>
          <w:rFonts w:hint="eastAsia" w:ascii="黑体" w:eastAsia="黑体"/>
          <w:highlight w:val="none"/>
        </w:rPr>
        <w:t xml:space="preserve"> 承包人有权暂停施工</w:t>
      </w:r>
    </w:p>
    <w:p w14:paraId="2041DF34">
      <w:pPr>
        <w:spacing w:line="400" w:lineRule="exact"/>
        <w:ind w:firstLine="420" w:firstLineChars="200"/>
        <w:rPr>
          <w:rFonts w:hint="eastAsia"/>
          <w:highlight w:val="none"/>
        </w:rPr>
      </w:pPr>
      <w:r>
        <w:rPr>
          <w:rFonts w:hint="eastAsia"/>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B00477B">
      <w:pPr>
        <w:spacing w:line="400" w:lineRule="exact"/>
        <w:ind w:firstLine="420" w:firstLineChars="200"/>
        <w:rPr>
          <w:rFonts w:hint="eastAsia"/>
          <w:highlight w:val="none"/>
        </w:rPr>
      </w:pPr>
      <w:r>
        <w:rPr>
          <w:rFonts w:hint="eastAsia"/>
          <w:highlight w:val="none"/>
        </w:rPr>
        <w:t>22.2.3</w:t>
      </w:r>
      <w:r>
        <w:rPr>
          <w:rFonts w:hint="eastAsia" w:ascii="黑体" w:eastAsia="黑体"/>
          <w:highlight w:val="none"/>
        </w:rPr>
        <w:t xml:space="preserve"> 发包人违约解除合同</w:t>
      </w:r>
      <w:r>
        <w:rPr>
          <w:rFonts w:hint="eastAsia"/>
          <w:highlight w:val="none"/>
        </w:rPr>
        <w:t xml:space="preserve"> </w:t>
      </w:r>
    </w:p>
    <w:p w14:paraId="5C70E9B6">
      <w:pPr>
        <w:spacing w:line="400" w:lineRule="exact"/>
        <w:ind w:firstLine="718" w:firstLineChars="342"/>
        <w:rPr>
          <w:rFonts w:hint="eastAsia"/>
          <w:highlight w:val="none"/>
        </w:rPr>
      </w:pPr>
      <w:r>
        <w:rPr>
          <w:rFonts w:hint="eastAsia"/>
          <w:highlight w:val="none"/>
        </w:rPr>
        <w:t xml:space="preserve">（1）发生第22.2.1（4）目的违约情况时，承包人可书面通知发包人解除合同。   </w:t>
      </w:r>
    </w:p>
    <w:p w14:paraId="4567812E">
      <w:pPr>
        <w:spacing w:line="400" w:lineRule="exact"/>
        <w:ind w:firstLine="718" w:firstLineChars="342"/>
        <w:rPr>
          <w:rFonts w:hint="eastAsia"/>
          <w:highlight w:val="none"/>
        </w:rPr>
      </w:pPr>
      <w:r>
        <w:rPr>
          <w:rFonts w:hint="eastAsia"/>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57DADC57">
      <w:pPr>
        <w:spacing w:line="400" w:lineRule="exact"/>
        <w:ind w:firstLine="420" w:firstLineChars="200"/>
        <w:rPr>
          <w:rFonts w:hint="eastAsia" w:ascii="黑体" w:eastAsia="黑体"/>
          <w:highlight w:val="none"/>
        </w:rPr>
      </w:pPr>
      <w:r>
        <w:rPr>
          <w:rFonts w:hint="eastAsia"/>
          <w:highlight w:val="none"/>
        </w:rPr>
        <w:t>22.2.4</w:t>
      </w:r>
      <w:r>
        <w:rPr>
          <w:rFonts w:hint="eastAsia" w:ascii="黑体" w:eastAsia="黑体"/>
          <w:highlight w:val="none"/>
        </w:rPr>
        <w:t xml:space="preserve"> 解除合同后的付款</w:t>
      </w:r>
    </w:p>
    <w:p w14:paraId="1C43C5EE">
      <w:pPr>
        <w:spacing w:line="400" w:lineRule="exact"/>
        <w:ind w:firstLine="420" w:firstLineChars="200"/>
        <w:rPr>
          <w:rFonts w:hint="eastAsia"/>
          <w:highlight w:val="none"/>
        </w:rPr>
      </w:pPr>
      <w:r>
        <w:rPr>
          <w:rFonts w:hint="eastAsia"/>
          <w:highlight w:val="none"/>
        </w:rPr>
        <w:t>因发包人违约解除合同的，发包人应在解除合同后28天内向承包人支付下列金额，承包人应在此期限内及时向发包人提交要求支付下列金额的有关资料和凭证：</w:t>
      </w:r>
    </w:p>
    <w:p w14:paraId="067AE563">
      <w:pPr>
        <w:spacing w:line="400" w:lineRule="exact"/>
        <w:ind w:firstLine="718" w:firstLineChars="342"/>
        <w:rPr>
          <w:rFonts w:hint="eastAsia"/>
          <w:highlight w:val="none"/>
        </w:rPr>
      </w:pPr>
      <w:r>
        <w:rPr>
          <w:rFonts w:hint="eastAsia"/>
          <w:highlight w:val="none"/>
        </w:rPr>
        <w:t>（1）合同解除日以前所完成工作的价款；</w:t>
      </w:r>
    </w:p>
    <w:p w14:paraId="1C835974">
      <w:pPr>
        <w:spacing w:line="400" w:lineRule="exact"/>
        <w:ind w:firstLine="718" w:firstLineChars="342"/>
        <w:rPr>
          <w:rFonts w:hint="eastAsia"/>
          <w:highlight w:val="none"/>
        </w:rPr>
      </w:pPr>
      <w:r>
        <w:rPr>
          <w:rFonts w:hint="eastAsia"/>
          <w:highlight w:val="none"/>
        </w:rPr>
        <w:t>（2）承包人为该工程施工订购并已付款的材料、工程设备和其他物品的金额。发包人付还后，该材料、工程设备和其他物品归发包人所有；</w:t>
      </w:r>
    </w:p>
    <w:p w14:paraId="6D01A53A">
      <w:pPr>
        <w:spacing w:line="400" w:lineRule="exact"/>
        <w:ind w:firstLine="718" w:firstLineChars="342"/>
        <w:rPr>
          <w:rFonts w:hint="eastAsia"/>
          <w:highlight w:val="none"/>
        </w:rPr>
      </w:pPr>
      <w:r>
        <w:rPr>
          <w:rFonts w:hint="eastAsia"/>
          <w:highlight w:val="none"/>
        </w:rPr>
        <w:t>（3）承包人为完成工程所发生的，而发包人未支付的金额；</w:t>
      </w:r>
    </w:p>
    <w:p w14:paraId="21FC8751">
      <w:pPr>
        <w:spacing w:line="400" w:lineRule="exact"/>
        <w:ind w:firstLine="718" w:firstLineChars="342"/>
        <w:rPr>
          <w:rFonts w:hint="eastAsia"/>
          <w:highlight w:val="none"/>
        </w:rPr>
      </w:pPr>
      <w:r>
        <w:rPr>
          <w:rFonts w:hint="eastAsia"/>
          <w:highlight w:val="none"/>
        </w:rPr>
        <w:t>（4）承包人撤离施工场地以及遣散承包人人员的金额；</w:t>
      </w:r>
    </w:p>
    <w:p w14:paraId="5F7CECF3">
      <w:pPr>
        <w:spacing w:line="400" w:lineRule="exact"/>
        <w:ind w:firstLine="718" w:firstLineChars="342"/>
        <w:rPr>
          <w:rFonts w:hint="eastAsia"/>
          <w:highlight w:val="none"/>
        </w:rPr>
      </w:pPr>
      <w:r>
        <w:rPr>
          <w:rFonts w:hint="eastAsia"/>
          <w:highlight w:val="none"/>
        </w:rPr>
        <w:t>（5）由于解除合同应赔偿的承包人损失；</w:t>
      </w:r>
    </w:p>
    <w:p w14:paraId="73BDF976">
      <w:pPr>
        <w:spacing w:line="400" w:lineRule="exact"/>
        <w:ind w:firstLine="718" w:firstLineChars="342"/>
        <w:rPr>
          <w:rFonts w:hint="eastAsia"/>
          <w:highlight w:val="none"/>
        </w:rPr>
      </w:pPr>
      <w:r>
        <w:rPr>
          <w:rFonts w:hint="eastAsia"/>
          <w:highlight w:val="none"/>
        </w:rPr>
        <w:t>（6）按合同约定在合同解除日前应支付给承包人的其他金额。</w:t>
      </w:r>
    </w:p>
    <w:p w14:paraId="3E9171C0">
      <w:pPr>
        <w:spacing w:line="400" w:lineRule="exact"/>
        <w:ind w:firstLine="420" w:firstLineChars="200"/>
        <w:rPr>
          <w:rFonts w:hint="eastAsia"/>
          <w:highlight w:val="none"/>
        </w:rPr>
      </w:pPr>
      <w:r>
        <w:rPr>
          <w:rFonts w:hint="eastAsia"/>
          <w:highlight w:val="none"/>
        </w:rPr>
        <w:t>发包人应按本项约定支付上述金额并退还质量保证金和履约担保，但有权要求承包人支付应偿还给发包人的各项金额。</w:t>
      </w:r>
    </w:p>
    <w:p w14:paraId="0E884A03">
      <w:pPr>
        <w:spacing w:line="400" w:lineRule="exact"/>
        <w:ind w:firstLine="420" w:firstLineChars="200"/>
        <w:rPr>
          <w:rFonts w:hint="eastAsia" w:ascii="黑体" w:eastAsia="黑体"/>
          <w:highlight w:val="none"/>
        </w:rPr>
      </w:pPr>
      <w:r>
        <w:rPr>
          <w:rFonts w:hint="eastAsia"/>
          <w:highlight w:val="none"/>
        </w:rPr>
        <w:t>22.2.5</w:t>
      </w:r>
      <w:r>
        <w:rPr>
          <w:rFonts w:hint="eastAsia" w:ascii="黑体" w:eastAsia="黑体"/>
          <w:highlight w:val="none"/>
        </w:rPr>
        <w:t xml:space="preserve"> 解除合同后的承包人撤离</w:t>
      </w:r>
    </w:p>
    <w:p w14:paraId="6F1DDD08">
      <w:pPr>
        <w:spacing w:line="400" w:lineRule="exact"/>
        <w:ind w:firstLine="420" w:firstLineChars="200"/>
        <w:rPr>
          <w:rFonts w:hint="eastAsia"/>
          <w:highlight w:val="none"/>
        </w:rPr>
      </w:pPr>
      <w:r>
        <w:rPr>
          <w:rFonts w:hint="eastAsia"/>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57E210D2">
      <w:pPr>
        <w:pStyle w:val="45"/>
        <w:rPr>
          <w:rFonts w:hint="eastAsia"/>
          <w:highlight w:val="none"/>
        </w:rPr>
      </w:pPr>
      <w:bookmarkStart w:id="922" w:name="_Toc152042535"/>
      <w:bookmarkStart w:id="923" w:name="_Toc29744"/>
      <w:bookmarkStart w:id="924" w:name="_Toc152045756"/>
      <w:r>
        <w:rPr>
          <w:rFonts w:hint="eastAsia"/>
          <w:highlight w:val="none"/>
        </w:rPr>
        <w:t>22.3 第三人造成的违约</w:t>
      </w:r>
      <w:bookmarkEnd w:id="922"/>
      <w:bookmarkEnd w:id="923"/>
      <w:bookmarkEnd w:id="924"/>
    </w:p>
    <w:p w14:paraId="4D007F08">
      <w:pPr>
        <w:spacing w:line="400" w:lineRule="exact"/>
        <w:ind w:firstLine="420" w:firstLineChars="200"/>
        <w:rPr>
          <w:rFonts w:hint="eastAsia"/>
          <w:highlight w:val="none"/>
        </w:rPr>
      </w:pPr>
      <w:r>
        <w:rPr>
          <w:rFonts w:hint="eastAsia"/>
          <w:highlight w:val="none"/>
        </w:rPr>
        <w:t>在履行合同过程中，一方当事人因第三人的原因造成违约的，应当向对方当事人承担违约责任。一方当事人和第三人之间的纠纷，依照法律规定或者按照约定解决。</w:t>
      </w:r>
    </w:p>
    <w:p w14:paraId="4C3E06AC">
      <w:pPr>
        <w:pStyle w:val="46"/>
        <w:rPr>
          <w:rFonts w:hint="eastAsia"/>
          <w:highlight w:val="none"/>
        </w:rPr>
      </w:pPr>
      <w:bookmarkStart w:id="925" w:name="_Toc152042536"/>
      <w:bookmarkStart w:id="926" w:name="_Toc9386"/>
      <w:bookmarkStart w:id="927" w:name="_Toc152045757"/>
      <w:bookmarkStart w:id="928" w:name="_Toc144974727"/>
      <w:r>
        <w:rPr>
          <w:rFonts w:hint="eastAsia"/>
          <w:highlight w:val="none"/>
        </w:rPr>
        <w:t>23. 索赔</w:t>
      </w:r>
      <w:bookmarkEnd w:id="925"/>
      <w:bookmarkEnd w:id="926"/>
      <w:bookmarkEnd w:id="927"/>
      <w:bookmarkEnd w:id="928"/>
    </w:p>
    <w:p w14:paraId="2AB373F7">
      <w:pPr>
        <w:pStyle w:val="45"/>
        <w:rPr>
          <w:rFonts w:hint="eastAsia"/>
          <w:highlight w:val="none"/>
        </w:rPr>
      </w:pPr>
      <w:bookmarkStart w:id="929" w:name="_Toc16076"/>
      <w:bookmarkStart w:id="930" w:name="_Toc152042537"/>
      <w:bookmarkStart w:id="931" w:name="_Toc144974728"/>
      <w:bookmarkStart w:id="932" w:name="_Toc152045758"/>
      <w:r>
        <w:rPr>
          <w:rFonts w:hint="eastAsia"/>
          <w:highlight w:val="none"/>
        </w:rPr>
        <w:t>23.1 承包人索赔的提出</w:t>
      </w:r>
      <w:bookmarkEnd w:id="929"/>
      <w:bookmarkEnd w:id="930"/>
      <w:bookmarkEnd w:id="931"/>
      <w:bookmarkEnd w:id="932"/>
    </w:p>
    <w:p w14:paraId="5A8636A8">
      <w:pPr>
        <w:spacing w:line="400" w:lineRule="exact"/>
        <w:ind w:firstLine="420" w:firstLineChars="200"/>
        <w:rPr>
          <w:rFonts w:hint="eastAsia"/>
          <w:highlight w:val="none"/>
        </w:rPr>
      </w:pPr>
      <w:r>
        <w:rPr>
          <w:rFonts w:hint="eastAsia"/>
          <w:highlight w:val="none"/>
        </w:rPr>
        <w:t>根据合同约定，承包人认为有权得到追加付款和（或）延长工期的，应按以下程序向发包人提出索赔：</w:t>
      </w:r>
    </w:p>
    <w:p w14:paraId="3D2E29AF">
      <w:pPr>
        <w:spacing w:line="400" w:lineRule="exact"/>
        <w:ind w:firstLine="359" w:firstLineChars="171"/>
        <w:rPr>
          <w:rFonts w:hint="eastAsia"/>
          <w:highlight w:val="none"/>
        </w:rPr>
      </w:pPr>
      <w:r>
        <w:rPr>
          <w:rFonts w:hint="eastAsia"/>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03939EC">
      <w:pPr>
        <w:spacing w:line="400" w:lineRule="exact"/>
        <w:ind w:firstLine="359" w:firstLineChars="171"/>
        <w:rPr>
          <w:rFonts w:hint="eastAsia"/>
          <w:highlight w:val="none"/>
        </w:rPr>
      </w:pPr>
      <w:r>
        <w:rPr>
          <w:rFonts w:hint="eastAsia"/>
          <w:highlight w:val="none"/>
        </w:rPr>
        <w:t>（2）承包人应在发出索赔意向通知书后28天内，向监理人正式递交索赔通知书。索赔通知书应详细说明索赔理由以及要求追加的付款金额和（或）延长的工期，并附必要的记录和证明材料；</w:t>
      </w:r>
    </w:p>
    <w:p w14:paraId="3CE17789">
      <w:pPr>
        <w:spacing w:line="400" w:lineRule="exact"/>
        <w:ind w:firstLine="359" w:firstLineChars="171"/>
        <w:rPr>
          <w:rFonts w:hint="eastAsia"/>
          <w:highlight w:val="none"/>
        </w:rPr>
      </w:pPr>
      <w:r>
        <w:rPr>
          <w:rFonts w:hint="eastAsia"/>
          <w:highlight w:val="none"/>
        </w:rPr>
        <w:t>（3）索赔事件具有连续影响的，承包人应按合理时间间隔继续递交延续索赔通知，说明连续影响的实际情况和记录，列出累计的追加付款金额和（或）工期延长天数；</w:t>
      </w:r>
    </w:p>
    <w:p w14:paraId="3BA351AD">
      <w:pPr>
        <w:spacing w:line="400" w:lineRule="exact"/>
        <w:ind w:firstLine="359" w:firstLineChars="171"/>
        <w:rPr>
          <w:rFonts w:hint="eastAsia"/>
          <w:highlight w:val="none"/>
        </w:rPr>
      </w:pPr>
      <w:r>
        <w:rPr>
          <w:rFonts w:hint="eastAsia"/>
          <w:highlight w:val="none"/>
        </w:rPr>
        <w:t>（4）在索赔事件影响结束后的28天内，承包人应向监理人递交最终索赔通知书，说明最终要求索赔的追加付款金额和延长的工期，并附必要的记录和证明材料。</w:t>
      </w:r>
    </w:p>
    <w:p w14:paraId="3F123472">
      <w:pPr>
        <w:pStyle w:val="45"/>
        <w:rPr>
          <w:rFonts w:hint="eastAsia"/>
          <w:highlight w:val="none"/>
        </w:rPr>
      </w:pPr>
      <w:bookmarkStart w:id="933" w:name="_Toc144974729"/>
      <w:bookmarkStart w:id="934" w:name="_Toc21035"/>
      <w:bookmarkStart w:id="935" w:name="_Toc152045759"/>
      <w:bookmarkStart w:id="936" w:name="_Toc152042538"/>
      <w:r>
        <w:rPr>
          <w:rFonts w:hint="eastAsia"/>
          <w:highlight w:val="none"/>
        </w:rPr>
        <w:t>23.2 承包人索赔处理程序</w:t>
      </w:r>
      <w:bookmarkEnd w:id="933"/>
      <w:bookmarkEnd w:id="934"/>
      <w:bookmarkEnd w:id="935"/>
      <w:bookmarkEnd w:id="936"/>
    </w:p>
    <w:p w14:paraId="66D77F97">
      <w:pPr>
        <w:spacing w:line="400" w:lineRule="exact"/>
        <w:ind w:firstLine="359" w:firstLineChars="171"/>
        <w:rPr>
          <w:rFonts w:hint="eastAsia"/>
          <w:highlight w:val="none"/>
        </w:rPr>
      </w:pPr>
      <w:r>
        <w:rPr>
          <w:rFonts w:hint="eastAsia"/>
          <w:highlight w:val="none"/>
        </w:rPr>
        <w:t>（1）监理人收到承包人提交的索赔通知书后，应及时审查索赔通知书的内容、查验承包人的记录和证明材料，必要时监理人可要求承包人提交全部原始记录副本。</w:t>
      </w:r>
    </w:p>
    <w:p w14:paraId="25FF03BF">
      <w:pPr>
        <w:spacing w:line="400" w:lineRule="exact"/>
        <w:ind w:firstLine="359" w:firstLineChars="171"/>
        <w:rPr>
          <w:rFonts w:hint="eastAsia"/>
          <w:highlight w:val="none"/>
        </w:rPr>
      </w:pPr>
      <w:r>
        <w:rPr>
          <w:rFonts w:hint="eastAsia"/>
          <w:highlight w:val="none"/>
        </w:rPr>
        <w:t>（2）监理人应按第3.5款商定或确定追加的付款和（或）延长的工期，并在收到上述索赔通知书或有关索赔的进一步证明材料后的42天内，将索赔处理结果答复承包人。</w:t>
      </w:r>
    </w:p>
    <w:p w14:paraId="2D19CC5C">
      <w:pPr>
        <w:spacing w:line="400" w:lineRule="exact"/>
        <w:ind w:firstLine="359" w:firstLineChars="171"/>
        <w:rPr>
          <w:rFonts w:hint="eastAsia"/>
          <w:highlight w:val="none"/>
        </w:rPr>
      </w:pPr>
      <w:r>
        <w:rPr>
          <w:rFonts w:hint="eastAsia"/>
          <w:highlight w:val="none"/>
        </w:rPr>
        <w:t>（3）承包人接受索赔处理结果的，发包人应在作出索赔处理结果答复后28天内完成赔付。承包人不接受索赔处理结果的，按第24条的约定办理。</w:t>
      </w:r>
    </w:p>
    <w:p w14:paraId="010B9561">
      <w:pPr>
        <w:pStyle w:val="45"/>
        <w:rPr>
          <w:rFonts w:hint="eastAsia"/>
          <w:highlight w:val="none"/>
        </w:rPr>
      </w:pPr>
      <w:bookmarkStart w:id="937" w:name="_Toc152045760"/>
      <w:bookmarkStart w:id="938" w:name="_Toc144974730"/>
      <w:bookmarkStart w:id="939" w:name="_Toc152042539"/>
      <w:bookmarkStart w:id="940" w:name="_Toc1391"/>
      <w:r>
        <w:rPr>
          <w:rFonts w:hint="eastAsia"/>
          <w:highlight w:val="none"/>
        </w:rPr>
        <w:t>23.3 承包人提出索赔的期限</w:t>
      </w:r>
      <w:bookmarkEnd w:id="937"/>
      <w:bookmarkEnd w:id="938"/>
      <w:bookmarkEnd w:id="939"/>
      <w:bookmarkEnd w:id="940"/>
    </w:p>
    <w:p w14:paraId="295F0A53">
      <w:pPr>
        <w:spacing w:line="400" w:lineRule="exact"/>
        <w:ind w:firstLine="420" w:firstLineChars="200"/>
        <w:rPr>
          <w:rFonts w:hint="eastAsia"/>
          <w:highlight w:val="none"/>
        </w:rPr>
      </w:pPr>
      <w:r>
        <w:rPr>
          <w:rFonts w:hint="eastAsia"/>
          <w:highlight w:val="none"/>
        </w:rPr>
        <w:t>23.3.1 承包人按第17.5款的约定接受了竣工付款证书后，应被认为已无权再提出在合同工程接收证书颁发前所发生的任何索赔。</w:t>
      </w:r>
    </w:p>
    <w:p w14:paraId="49997AA6">
      <w:pPr>
        <w:spacing w:line="400" w:lineRule="exact"/>
        <w:ind w:firstLine="420" w:firstLineChars="200"/>
        <w:rPr>
          <w:rFonts w:hint="eastAsia"/>
          <w:highlight w:val="none"/>
          <w:shd w:val="pct10" w:color="auto" w:fill="FFFFFF"/>
        </w:rPr>
      </w:pPr>
      <w:r>
        <w:rPr>
          <w:rFonts w:hint="eastAsia"/>
          <w:highlight w:val="none"/>
        </w:rPr>
        <w:t xml:space="preserve">23.3.2 承包人按第17.6款的约定提交的最终结清申请单中，只限于提出工程接收证书颁发后发生的索赔。提出索赔的期限自接受最终结清证书时终止。 </w:t>
      </w:r>
    </w:p>
    <w:p w14:paraId="3E300871">
      <w:pPr>
        <w:pStyle w:val="45"/>
        <w:rPr>
          <w:rFonts w:hint="eastAsia"/>
          <w:highlight w:val="none"/>
        </w:rPr>
      </w:pPr>
      <w:bookmarkStart w:id="941" w:name="_Toc152045761"/>
      <w:bookmarkStart w:id="942" w:name="_Toc152042540"/>
      <w:bookmarkStart w:id="943" w:name="_Toc11119"/>
      <w:bookmarkStart w:id="944" w:name="_Toc144974731"/>
      <w:r>
        <w:rPr>
          <w:rFonts w:hint="eastAsia"/>
          <w:highlight w:val="none"/>
        </w:rPr>
        <w:t>23.4 发包人的索赔</w:t>
      </w:r>
      <w:bookmarkEnd w:id="941"/>
      <w:bookmarkEnd w:id="942"/>
      <w:bookmarkEnd w:id="943"/>
      <w:bookmarkEnd w:id="944"/>
    </w:p>
    <w:p w14:paraId="2BC6546D">
      <w:pPr>
        <w:spacing w:line="400" w:lineRule="exact"/>
        <w:ind w:firstLine="420" w:firstLineChars="200"/>
        <w:rPr>
          <w:rFonts w:hint="eastAsia"/>
          <w:highlight w:val="none"/>
        </w:rPr>
      </w:pPr>
      <w:r>
        <w:rPr>
          <w:rFonts w:hint="eastAsia"/>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8340FC9">
      <w:pPr>
        <w:spacing w:line="400" w:lineRule="exact"/>
        <w:ind w:firstLine="420" w:firstLineChars="200"/>
        <w:rPr>
          <w:rFonts w:hint="eastAsia"/>
          <w:highlight w:val="none"/>
        </w:rPr>
      </w:pPr>
      <w:r>
        <w:rPr>
          <w:rFonts w:hint="eastAsia"/>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3D3720B4">
      <w:pPr>
        <w:pStyle w:val="46"/>
        <w:rPr>
          <w:rFonts w:hint="eastAsia"/>
          <w:highlight w:val="none"/>
        </w:rPr>
      </w:pPr>
      <w:bookmarkStart w:id="945" w:name="_Toc144974732"/>
      <w:bookmarkStart w:id="946" w:name="_Toc152045762"/>
      <w:bookmarkStart w:id="947" w:name="_Toc8762"/>
      <w:bookmarkStart w:id="948" w:name="_Toc152042541"/>
      <w:r>
        <w:rPr>
          <w:rFonts w:hint="eastAsia"/>
          <w:highlight w:val="none"/>
        </w:rPr>
        <w:t>24. 争议的解决</w:t>
      </w:r>
      <w:bookmarkEnd w:id="945"/>
      <w:bookmarkEnd w:id="946"/>
      <w:bookmarkEnd w:id="947"/>
      <w:bookmarkEnd w:id="948"/>
    </w:p>
    <w:p w14:paraId="04F3259F">
      <w:pPr>
        <w:pStyle w:val="45"/>
        <w:rPr>
          <w:rFonts w:hint="eastAsia"/>
          <w:highlight w:val="none"/>
        </w:rPr>
      </w:pPr>
      <w:bookmarkStart w:id="949" w:name="_Toc152045763"/>
      <w:bookmarkStart w:id="950" w:name="_Toc19176"/>
      <w:bookmarkStart w:id="951" w:name="_Toc144974733"/>
      <w:bookmarkStart w:id="952" w:name="_Toc152042542"/>
      <w:r>
        <w:rPr>
          <w:rFonts w:hint="eastAsia"/>
          <w:highlight w:val="none"/>
        </w:rPr>
        <w:t>24.1 争议的解决方式</w:t>
      </w:r>
      <w:bookmarkEnd w:id="949"/>
      <w:bookmarkEnd w:id="950"/>
      <w:bookmarkEnd w:id="951"/>
      <w:bookmarkEnd w:id="952"/>
    </w:p>
    <w:p w14:paraId="6456058A">
      <w:pPr>
        <w:spacing w:line="400" w:lineRule="exact"/>
        <w:ind w:firstLine="420" w:firstLineChars="200"/>
        <w:rPr>
          <w:rFonts w:hint="eastAsia"/>
          <w:highlight w:val="none"/>
        </w:rPr>
      </w:pPr>
      <w:r>
        <w:rPr>
          <w:rFonts w:hint="eastAsia"/>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0799556">
      <w:pPr>
        <w:spacing w:line="400" w:lineRule="exact"/>
        <w:ind w:firstLine="420" w:firstLineChars="200"/>
        <w:rPr>
          <w:rFonts w:hint="eastAsia"/>
          <w:highlight w:val="none"/>
        </w:rPr>
      </w:pPr>
      <w:r>
        <w:rPr>
          <w:rFonts w:hint="eastAsia"/>
          <w:highlight w:val="none"/>
        </w:rPr>
        <w:t>（1）向约定的仲裁委员会申请仲裁；</w:t>
      </w:r>
    </w:p>
    <w:p w14:paraId="5CDE8FC7">
      <w:pPr>
        <w:spacing w:line="400" w:lineRule="exact"/>
        <w:ind w:firstLine="420" w:firstLineChars="200"/>
        <w:rPr>
          <w:rFonts w:hint="eastAsia"/>
          <w:highlight w:val="none"/>
        </w:rPr>
      </w:pPr>
      <w:r>
        <w:rPr>
          <w:rFonts w:hint="eastAsia"/>
          <w:highlight w:val="none"/>
        </w:rPr>
        <w:t>（2）向有管辖权的人民法院提起诉讼。</w:t>
      </w:r>
    </w:p>
    <w:p w14:paraId="1974E2C9">
      <w:pPr>
        <w:pStyle w:val="45"/>
        <w:rPr>
          <w:rFonts w:hint="eastAsia"/>
          <w:highlight w:val="none"/>
        </w:rPr>
      </w:pPr>
      <w:bookmarkStart w:id="953" w:name="_Toc144974734"/>
      <w:bookmarkStart w:id="954" w:name="_Toc4961"/>
      <w:bookmarkStart w:id="955" w:name="_Toc152042543"/>
      <w:bookmarkStart w:id="956" w:name="_Toc152045764"/>
      <w:r>
        <w:rPr>
          <w:rFonts w:hint="eastAsia"/>
          <w:highlight w:val="none"/>
        </w:rPr>
        <w:t>24.2 友好解决</w:t>
      </w:r>
      <w:bookmarkEnd w:id="953"/>
      <w:bookmarkEnd w:id="954"/>
      <w:bookmarkEnd w:id="955"/>
      <w:bookmarkEnd w:id="956"/>
    </w:p>
    <w:p w14:paraId="5AAD1B2F">
      <w:pPr>
        <w:spacing w:line="400" w:lineRule="exact"/>
        <w:ind w:firstLine="420" w:firstLineChars="200"/>
        <w:rPr>
          <w:rFonts w:hint="eastAsia"/>
          <w:highlight w:val="none"/>
        </w:rPr>
      </w:pPr>
      <w:r>
        <w:rPr>
          <w:rFonts w:hint="eastAsia"/>
          <w:highlight w:val="none"/>
        </w:rPr>
        <w:t>在提请争议评审、仲裁或者诉讼前，以及在争议评审、仲裁或诉讼过程中，发包人和承包人均可共同努力友好协商解决争议。</w:t>
      </w:r>
    </w:p>
    <w:p w14:paraId="6C959DA1">
      <w:pPr>
        <w:pStyle w:val="45"/>
        <w:rPr>
          <w:rFonts w:hint="eastAsia"/>
          <w:highlight w:val="none"/>
        </w:rPr>
      </w:pPr>
      <w:bookmarkStart w:id="957" w:name="_Toc144974735"/>
      <w:bookmarkStart w:id="958" w:name="_Toc152045765"/>
      <w:bookmarkStart w:id="959" w:name="_Toc30043"/>
      <w:bookmarkStart w:id="960" w:name="_Toc152042544"/>
      <w:r>
        <w:rPr>
          <w:rFonts w:hint="eastAsia"/>
          <w:highlight w:val="none"/>
        </w:rPr>
        <w:t>24.3 争议评审</w:t>
      </w:r>
      <w:bookmarkEnd w:id="957"/>
      <w:bookmarkEnd w:id="958"/>
      <w:bookmarkEnd w:id="959"/>
      <w:bookmarkEnd w:id="960"/>
    </w:p>
    <w:p w14:paraId="641F38B2">
      <w:pPr>
        <w:spacing w:line="400" w:lineRule="exact"/>
        <w:ind w:firstLine="420" w:firstLineChars="200"/>
        <w:rPr>
          <w:rFonts w:hint="eastAsia"/>
          <w:highlight w:val="none"/>
        </w:rPr>
      </w:pPr>
      <w:r>
        <w:rPr>
          <w:rFonts w:hint="eastAsia"/>
          <w:highlight w:val="none"/>
        </w:rPr>
        <w:t>24.3.1 采用争议评审的，发包人和承包人应在开工日后的28天内或在争议发生后，协商成立争议评审组。争议评审组由有合同管理和工程实践经验的专家组成。</w:t>
      </w:r>
    </w:p>
    <w:p w14:paraId="288CD66E">
      <w:pPr>
        <w:spacing w:line="400" w:lineRule="exact"/>
        <w:ind w:firstLine="420" w:firstLineChars="200"/>
        <w:rPr>
          <w:rFonts w:hint="eastAsia"/>
          <w:highlight w:val="none"/>
        </w:rPr>
      </w:pPr>
      <w:r>
        <w:rPr>
          <w:rFonts w:hint="eastAsia"/>
          <w:highlight w:val="none"/>
        </w:rPr>
        <w:t>24.3.2 合同双方的争议，应首先由申请人向争议评审组提交一份详细的评审申请报告，并附必要的文件、图纸和证明材料，申请人还应将上述报告的副本同时提交给被申请人和监理人。</w:t>
      </w:r>
    </w:p>
    <w:p w14:paraId="67F14CB3">
      <w:pPr>
        <w:spacing w:line="400" w:lineRule="exact"/>
        <w:ind w:firstLine="420" w:firstLineChars="200"/>
        <w:rPr>
          <w:rFonts w:hint="eastAsia"/>
          <w:highlight w:val="none"/>
        </w:rPr>
      </w:pPr>
      <w:r>
        <w:rPr>
          <w:rFonts w:hint="eastAsia"/>
          <w:highlight w:val="none"/>
        </w:rPr>
        <w:t>24.3.3 被申请人在收到申请人评审申请报告副本后的28天内，向争议评审组提交一份答辩报告，并附证明材料。被申请人应将答辩报告的副本同时提交给申请人和监理人。</w:t>
      </w:r>
    </w:p>
    <w:p w14:paraId="22424B2B">
      <w:pPr>
        <w:spacing w:line="400" w:lineRule="exact"/>
        <w:ind w:firstLine="420" w:firstLineChars="200"/>
        <w:rPr>
          <w:rFonts w:hint="eastAsia"/>
          <w:highlight w:val="none"/>
        </w:rPr>
      </w:pPr>
      <w:r>
        <w:rPr>
          <w:rFonts w:hint="eastAsia"/>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561944F7">
      <w:pPr>
        <w:spacing w:line="400" w:lineRule="exact"/>
        <w:ind w:firstLine="420" w:firstLineChars="200"/>
        <w:rPr>
          <w:rFonts w:hint="eastAsia"/>
          <w:highlight w:val="none"/>
        </w:rPr>
      </w:pPr>
      <w:r>
        <w:rPr>
          <w:rFonts w:hint="eastAsia"/>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4119F85">
      <w:pPr>
        <w:spacing w:line="400" w:lineRule="exact"/>
        <w:ind w:firstLine="420" w:firstLineChars="200"/>
        <w:rPr>
          <w:rFonts w:hint="eastAsia"/>
          <w:highlight w:val="none"/>
        </w:rPr>
      </w:pPr>
      <w:r>
        <w:rPr>
          <w:rFonts w:hint="eastAsia"/>
          <w:highlight w:val="none"/>
        </w:rPr>
        <w:t>24.3.6 发包人和承包人接受评审意见的，由监理人根据评审意见拟定执行协议，经争议双方签字后作为合同的补充文件，并遵照执行。</w:t>
      </w:r>
    </w:p>
    <w:p w14:paraId="6386020E">
      <w:pPr>
        <w:spacing w:line="400" w:lineRule="exact"/>
        <w:ind w:firstLine="420" w:firstLineChars="200"/>
        <w:rPr>
          <w:rFonts w:hint="eastAsia"/>
          <w:highlight w:val="none"/>
        </w:rPr>
      </w:pPr>
      <w:r>
        <w:rPr>
          <w:rFonts w:hint="eastAsia"/>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D5B1F96">
      <w:pPr>
        <w:pStyle w:val="46"/>
        <w:jc w:val="center"/>
        <w:rPr>
          <w:rFonts w:hint="eastAsia"/>
          <w:highlight w:val="none"/>
        </w:rPr>
      </w:pPr>
      <w:r>
        <w:rPr>
          <w:highlight w:val="none"/>
        </w:rPr>
        <w:br w:type="page"/>
      </w:r>
      <w:bookmarkStart w:id="961" w:name="_Toc152042545"/>
      <w:bookmarkStart w:id="962" w:name="_Toc144974736"/>
      <w:bookmarkStart w:id="963" w:name="_Toc152045766"/>
      <w:bookmarkStart w:id="964" w:name="_Toc21616"/>
      <w:r>
        <w:rPr>
          <w:rFonts w:hint="eastAsia"/>
          <w:highlight w:val="none"/>
        </w:rPr>
        <w:t>第二节  专用合同条款</w:t>
      </w:r>
      <w:bookmarkEnd w:id="961"/>
      <w:bookmarkEnd w:id="962"/>
      <w:bookmarkEnd w:id="963"/>
      <w:bookmarkEnd w:id="964"/>
    </w:p>
    <w:p w14:paraId="15B2E26D">
      <w:pPr>
        <w:spacing w:line="400" w:lineRule="exact"/>
        <w:rPr>
          <w:rFonts w:hint="eastAsia"/>
          <w:highlight w:val="none"/>
        </w:rPr>
      </w:pPr>
    </w:p>
    <w:p w14:paraId="47C4DB8C">
      <w:pPr>
        <w:pStyle w:val="55"/>
        <w:spacing w:line="360" w:lineRule="auto"/>
        <w:ind w:firstLine="640"/>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1. 一般约定</w:t>
      </w:r>
    </w:p>
    <w:p w14:paraId="1B1614E8">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1.4 标准和规范</w:t>
      </w:r>
    </w:p>
    <w:p w14:paraId="27769742">
      <w:pPr>
        <w:pStyle w:val="57"/>
        <w:spacing w:line="360" w:lineRule="auto"/>
        <w:ind w:firstLine="630" w:firstLineChars="3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1.4.1适用于工程的标准规范包括：</w:t>
      </w:r>
      <w:r>
        <w:rPr>
          <w:rStyle w:val="56"/>
          <w:rFonts w:hint="default" w:ascii="Times New Roman" w:hAnsi="Times New Roman" w:cs="Times New Roman"/>
          <w:color w:val="000000"/>
          <w:kern w:val="2"/>
          <w:sz w:val="21"/>
          <w:szCs w:val="21"/>
          <w:highlight w:val="none"/>
          <w:u w:val="single"/>
        </w:rPr>
        <w:t xml:space="preserve"> 国家及行业现行的技术标准、规范、工程质量检验标准</w:t>
      </w:r>
      <w:r>
        <w:rPr>
          <w:rStyle w:val="56"/>
          <w:rFonts w:hint="default" w:ascii="Times New Roman" w:hAnsi="Times New Roman" w:cs="Times New Roman"/>
          <w:color w:val="000000"/>
          <w:kern w:val="2"/>
          <w:sz w:val="21"/>
          <w:szCs w:val="21"/>
          <w:highlight w:val="none"/>
        </w:rPr>
        <w:t>。</w:t>
      </w:r>
    </w:p>
    <w:p w14:paraId="7F1266EF">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1.5 合同文件的优先顺序</w:t>
      </w:r>
    </w:p>
    <w:p w14:paraId="22AA3221">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合同文件组成及优先顺序为：</w:t>
      </w:r>
      <w:r>
        <w:rPr>
          <w:rStyle w:val="56"/>
          <w:rFonts w:hint="default" w:ascii="Times New Roman" w:hAnsi="Times New Roman" w:cs="Times New Roman"/>
          <w:color w:val="000000"/>
          <w:kern w:val="2"/>
          <w:sz w:val="21"/>
          <w:szCs w:val="21"/>
          <w:highlight w:val="none"/>
          <w:u w:val="single"/>
        </w:rPr>
        <w:t>按《通用条款》约定排序</w:t>
      </w:r>
      <w:r>
        <w:rPr>
          <w:rStyle w:val="56"/>
          <w:rFonts w:hint="default" w:ascii="Times New Roman" w:hAnsi="Times New Roman" w:cs="Times New Roman"/>
          <w:color w:val="000000"/>
          <w:kern w:val="2"/>
          <w:sz w:val="21"/>
          <w:szCs w:val="21"/>
          <w:highlight w:val="none"/>
        </w:rPr>
        <w:t xml:space="preserve">。 </w:t>
      </w:r>
    </w:p>
    <w:p w14:paraId="08CF55B3">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1.6 图纸和承包人文件</w:t>
      </w:r>
      <w:r>
        <w:rPr>
          <w:rStyle w:val="56"/>
          <w:rFonts w:hint="default" w:ascii="Times New Roman" w:hAnsi="Times New Roman" w:cs="Times New Roman"/>
          <w:color w:val="000000"/>
          <w:kern w:val="2"/>
          <w:sz w:val="21"/>
          <w:szCs w:val="21"/>
          <w:highlight w:val="none"/>
        </w:rPr>
        <w:tab/>
      </w:r>
    </w:p>
    <w:p w14:paraId="71CA15E3">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1.6.1 图纸的提供</w:t>
      </w:r>
    </w:p>
    <w:p w14:paraId="520D6A2D">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发包人向承包人提供图纸的期限：</w:t>
      </w:r>
      <w:r>
        <w:rPr>
          <w:rStyle w:val="56"/>
          <w:rFonts w:hint="default" w:ascii="Times New Roman" w:hAnsi="Times New Roman" w:cs="Times New Roman"/>
          <w:color w:val="000000"/>
          <w:kern w:val="2"/>
          <w:sz w:val="21"/>
          <w:szCs w:val="21"/>
          <w:highlight w:val="none"/>
          <w:u w:val="single"/>
        </w:rPr>
        <w:t>开工前7日</w:t>
      </w:r>
      <w:r>
        <w:rPr>
          <w:rStyle w:val="56"/>
          <w:rFonts w:hint="default" w:ascii="Times New Roman" w:hAnsi="Times New Roman" w:cs="Times New Roman"/>
          <w:color w:val="000000"/>
          <w:kern w:val="2"/>
          <w:sz w:val="21"/>
          <w:szCs w:val="21"/>
          <w:highlight w:val="none"/>
        </w:rPr>
        <w:t>；</w:t>
      </w:r>
    </w:p>
    <w:p w14:paraId="396DF828">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发包人向承包人提供图纸的数量：</w:t>
      </w:r>
      <w:r>
        <w:rPr>
          <w:rStyle w:val="56"/>
          <w:rFonts w:hint="default" w:ascii="Times New Roman" w:hAnsi="Times New Roman" w:cs="Times New Roman"/>
          <w:color w:val="000000"/>
          <w:kern w:val="2"/>
          <w:sz w:val="21"/>
          <w:szCs w:val="21"/>
          <w:highlight w:val="none"/>
          <w:u w:val="single"/>
        </w:rPr>
        <w:t>按招标人要求</w:t>
      </w:r>
      <w:r>
        <w:rPr>
          <w:rStyle w:val="56"/>
          <w:rFonts w:hint="default" w:ascii="Times New Roman" w:hAnsi="Times New Roman" w:cs="Times New Roman"/>
          <w:color w:val="000000"/>
          <w:kern w:val="2"/>
          <w:sz w:val="21"/>
          <w:szCs w:val="21"/>
          <w:highlight w:val="none"/>
        </w:rPr>
        <w:t>；</w:t>
      </w:r>
    </w:p>
    <w:p w14:paraId="41CB2FA6">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发包人向承包人提供图纸的内容：</w:t>
      </w:r>
      <w:r>
        <w:rPr>
          <w:rStyle w:val="56"/>
          <w:rFonts w:hint="default" w:ascii="Times New Roman" w:hAnsi="Times New Roman" w:cs="Times New Roman"/>
          <w:color w:val="000000"/>
          <w:kern w:val="2"/>
          <w:sz w:val="21"/>
          <w:szCs w:val="21"/>
          <w:highlight w:val="none"/>
          <w:u w:val="single"/>
        </w:rPr>
        <w:t>施工图</w:t>
      </w:r>
      <w:r>
        <w:rPr>
          <w:rStyle w:val="56"/>
          <w:rFonts w:hint="default" w:ascii="Times New Roman" w:hAnsi="Times New Roman" w:cs="Times New Roman"/>
          <w:color w:val="000000"/>
          <w:kern w:val="2"/>
          <w:sz w:val="21"/>
          <w:szCs w:val="21"/>
          <w:highlight w:val="none"/>
        </w:rPr>
        <w:t>。</w:t>
      </w:r>
    </w:p>
    <w:p w14:paraId="5CCD02E8">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1.6.4 承包人文件</w:t>
      </w:r>
    </w:p>
    <w:p w14:paraId="5AEC1786">
      <w:pPr>
        <w:pStyle w:val="57"/>
        <w:spacing w:line="360" w:lineRule="auto"/>
        <w:ind w:left="596"/>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需要由承包人提供的文件，包括：</w:t>
      </w:r>
      <w:r>
        <w:rPr>
          <w:rStyle w:val="56"/>
          <w:rFonts w:hint="default" w:ascii="Times New Roman" w:hAnsi="Times New Roman" w:cs="Times New Roman"/>
          <w:color w:val="000000"/>
          <w:kern w:val="2"/>
          <w:sz w:val="21"/>
          <w:szCs w:val="21"/>
          <w:highlight w:val="none"/>
          <w:u w:val="single"/>
        </w:rPr>
        <w:t>按招标人要求</w:t>
      </w:r>
      <w:r>
        <w:rPr>
          <w:rStyle w:val="56"/>
          <w:rFonts w:hint="default" w:ascii="Times New Roman" w:hAnsi="Times New Roman" w:cs="Times New Roman"/>
          <w:color w:val="000000"/>
          <w:kern w:val="2"/>
          <w:sz w:val="21"/>
          <w:szCs w:val="21"/>
          <w:highlight w:val="none"/>
        </w:rPr>
        <w:t>；</w:t>
      </w:r>
    </w:p>
    <w:p w14:paraId="6D353BF1">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承包人提供的文件的期限为：</w:t>
      </w:r>
      <w:r>
        <w:rPr>
          <w:rStyle w:val="56"/>
          <w:rFonts w:hint="default" w:ascii="Times New Roman" w:hAnsi="Times New Roman" w:cs="Times New Roman"/>
          <w:color w:val="000000"/>
          <w:kern w:val="2"/>
          <w:sz w:val="21"/>
          <w:szCs w:val="21"/>
          <w:highlight w:val="none"/>
          <w:u w:val="single"/>
        </w:rPr>
        <w:t>按招标人要求</w:t>
      </w:r>
      <w:r>
        <w:rPr>
          <w:rStyle w:val="56"/>
          <w:rFonts w:hint="default" w:ascii="Times New Roman" w:hAnsi="Times New Roman" w:cs="Times New Roman"/>
          <w:color w:val="000000"/>
          <w:kern w:val="2"/>
          <w:sz w:val="21"/>
          <w:szCs w:val="21"/>
          <w:highlight w:val="none"/>
        </w:rPr>
        <w:t>；</w:t>
      </w:r>
    </w:p>
    <w:p w14:paraId="25FABD49">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承包人提供的文件的数量为：</w:t>
      </w:r>
      <w:r>
        <w:rPr>
          <w:rStyle w:val="56"/>
          <w:rFonts w:hint="default" w:ascii="Times New Roman" w:hAnsi="Times New Roman" w:cs="Times New Roman"/>
          <w:color w:val="000000"/>
          <w:kern w:val="2"/>
          <w:sz w:val="21"/>
          <w:szCs w:val="21"/>
          <w:highlight w:val="none"/>
          <w:u w:val="single"/>
        </w:rPr>
        <w:t>按招标人要求</w:t>
      </w:r>
      <w:r>
        <w:rPr>
          <w:rStyle w:val="56"/>
          <w:rFonts w:hint="default" w:ascii="Times New Roman" w:hAnsi="Times New Roman" w:cs="Times New Roman"/>
          <w:color w:val="000000"/>
          <w:kern w:val="2"/>
          <w:sz w:val="21"/>
          <w:szCs w:val="21"/>
          <w:highlight w:val="none"/>
        </w:rPr>
        <w:t>；</w:t>
      </w:r>
    </w:p>
    <w:p w14:paraId="002776BA">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承包人提供的文件的形式为：</w:t>
      </w:r>
      <w:r>
        <w:rPr>
          <w:rStyle w:val="56"/>
          <w:rFonts w:hint="default" w:ascii="Times New Roman" w:hAnsi="Times New Roman" w:cs="Times New Roman"/>
          <w:color w:val="000000"/>
          <w:kern w:val="2"/>
          <w:sz w:val="21"/>
          <w:szCs w:val="21"/>
          <w:highlight w:val="none"/>
          <w:u w:val="single"/>
        </w:rPr>
        <w:t>按招标人要求</w:t>
      </w:r>
      <w:r>
        <w:rPr>
          <w:rStyle w:val="56"/>
          <w:rFonts w:hint="default" w:ascii="Times New Roman" w:hAnsi="Times New Roman" w:cs="Times New Roman"/>
          <w:color w:val="000000"/>
          <w:kern w:val="2"/>
          <w:sz w:val="21"/>
          <w:szCs w:val="21"/>
          <w:highlight w:val="none"/>
        </w:rPr>
        <w:t>；</w:t>
      </w:r>
    </w:p>
    <w:p w14:paraId="4B3D30AD">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发包人审批承包人文件的期限：</w:t>
      </w:r>
      <w:r>
        <w:rPr>
          <w:rStyle w:val="56"/>
          <w:rFonts w:hint="default" w:ascii="Times New Roman" w:hAnsi="Times New Roman" w:cs="Times New Roman"/>
          <w:color w:val="000000"/>
          <w:kern w:val="2"/>
          <w:sz w:val="21"/>
          <w:szCs w:val="21"/>
          <w:highlight w:val="none"/>
          <w:u w:val="single"/>
        </w:rPr>
        <w:t>按招标人要求</w:t>
      </w:r>
      <w:r>
        <w:rPr>
          <w:rStyle w:val="56"/>
          <w:rFonts w:hint="default" w:ascii="Times New Roman" w:hAnsi="Times New Roman" w:cs="Times New Roman"/>
          <w:color w:val="000000"/>
          <w:kern w:val="2"/>
          <w:sz w:val="21"/>
          <w:szCs w:val="21"/>
          <w:highlight w:val="none"/>
        </w:rPr>
        <w:t>。</w:t>
      </w:r>
    </w:p>
    <w:p w14:paraId="106468F9">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1.7 联络</w:t>
      </w:r>
    </w:p>
    <w:p w14:paraId="16B54BC5">
      <w:pPr>
        <w:pStyle w:val="57"/>
        <w:spacing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1.7.1发包人和承包人应当在</w:t>
      </w:r>
      <w:r>
        <w:rPr>
          <w:rStyle w:val="56"/>
          <w:rFonts w:hint="default" w:ascii="Times New Roman" w:hAnsi="Times New Roman" w:cs="Times New Roman"/>
          <w:color w:val="000000"/>
          <w:kern w:val="2"/>
          <w:sz w:val="21"/>
          <w:szCs w:val="21"/>
          <w:highlight w:val="none"/>
          <w:u w:val="single"/>
        </w:rPr>
        <w:t>7</w:t>
      </w:r>
      <w:r>
        <w:rPr>
          <w:rStyle w:val="56"/>
          <w:rFonts w:hint="default" w:ascii="Times New Roman" w:hAnsi="Times New Roman" w:cs="Times New Roman"/>
          <w:color w:val="000000"/>
          <w:sz w:val="21"/>
          <w:szCs w:val="21"/>
          <w:highlight w:val="none"/>
        </w:rPr>
        <w:t>天内将与合同有关的通知、批准、证明、证书、指示、指令、要求、请求、同意、意见、确定和决定等书面函件送达对方当事人。</w:t>
      </w:r>
    </w:p>
    <w:p w14:paraId="7092D8D4">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1.10 交通运输</w:t>
      </w:r>
    </w:p>
    <w:p w14:paraId="693D4E19">
      <w:pPr>
        <w:pStyle w:val="57"/>
        <w:spacing w:line="360" w:lineRule="auto"/>
        <w:ind w:firstLine="600"/>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1.10.1 出入现场的权利</w:t>
      </w:r>
    </w:p>
    <w:p w14:paraId="664FE75A">
      <w:pPr>
        <w:pStyle w:val="57"/>
        <w:spacing w:line="360" w:lineRule="auto"/>
        <w:ind w:left="596"/>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关于出入现场的权</w:t>
      </w:r>
      <w:r>
        <w:rPr>
          <w:rStyle w:val="56"/>
          <w:rFonts w:hint="default" w:ascii="Times New Roman" w:hAnsi="Times New Roman" w:cs="Times New Roman"/>
          <w:color w:val="auto"/>
          <w:kern w:val="2"/>
          <w:sz w:val="21"/>
          <w:szCs w:val="21"/>
          <w:highlight w:val="none"/>
        </w:rPr>
        <w:t>利的约定：</w:t>
      </w:r>
      <w:r>
        <w:rPr>
          <w:rStyle w:val="56"/>
          <w:rFonts w:hint="default" w:ascii="Times New Roman" w:hAnsi="Times New Roman" w:cs="Times New Roman"/>
          <w:color w:val="auto"/>
          <w:kern w:val="2"/>
          <w:sz w:val="21"/>
          <w:szCs w:val="21"/>
          <w:highlight w:val="none"/>
          <w:u w:val="single"/>
        </w:rPr>
        <w:t>取得道路</w:t>
      </w:r>
      <w:r>
        <w:rPr>
          <w:rStyle w:val="56"/>
          <w:rFonts w:hint="eastAsia" w:ascii="Times New Roman" w:hAnsi="Times New Roman" w:cs="Times New Roman"/>
          <w:color w:val="auto"/>
          <w:kern w:val="2"/>
          <w:sz w:val="21"/>
          <w:szCs w:val="21"/>
          <w:highlight w:val="none"/>
          <w:u w:val="single"/>
          <w:lang w:eastAsia="zh-CN"/>
        </w:rPr>
        <w:t>、</w:t>
      </w:r>
      <w:r>
        <w:rPr>
          <w:rStyle w:val="56"/>
          <w:rFonts w:hint="eastAsia" w:ascii="Times New Roman" w:hAnsi="Times New Roman" w:cs="Times New Roman"/>
          <w:color w:val="auto"/>
          <w:kern w:val="2"/>
          <w:sz w:val="21"/>
          <w:szCs w:val="21"/>
          <w:highlight w:val="none"/>
          <w:u w:val="single"/>
          <w:lang w:val="en-US" w:eastAsia="zh-CN"/>
        </w:rPr>
        <w:t>水路</w:t>
      </w:r>
      <w:r>
        <w:rPr>
          <w:rStyle w:val="56"/>
          <w:rFonts w:hint="default" w:ascii="Times New Roman" w:hAnsi="Times New Roman" w:cs="Times New Roman"/>
          <w:color w:val="auto"/>
          <w:kern w:val="2"/>
          <w:sz w:val="21"/>
          <w:szCs w:val="21"/>
          <w:highlight w:val="none"/>
          <w:u w:val="single"/>
        </w:rPr>
        <w:t>通行权，承包人承担</w:t>
      </w:r>
      <w:r>
        <w:rPr>
          <w:rStyle w:val="56"/>
          <w:rFonts w:hint="default" w:ascii="Times New Roman" w:hAnsi="Times New Roman" w:cs="Times New Roman"/>
          <w:color w:val="000000"/>
          <w:kern w:val="2"/>
          <w:sz w:val="21"/>
          <w:szCs w:val="21"/>
          <w:highlight w:val="none"/>
          <w:u w:val="single"/>
        </w:rPr>
        <w:t>相关费用</w:t>
      </w:r>
      <w:r>
        <w:rPr>
          <w:rStyle w:val="56"/>
          <w:rFonts w:hint="default" w:ascii="Times New Roman" w:hAnsi="Times New Roman" w:cs="Times New Roman"/>
          <w:kern w:val="2"/>
          <w:sz w:val="21"/>
          <w:szCs w:val="21"/>
          <w:highlight w:val="none"/>
        </w:rPr>
        <w:t>。</w:t>
      </w:r>
    </w:p>
    <w:p w14:paraId="5B91F0D1">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1.10.2超大件和超重件的运输</w:t>
      </w:r>
    </w:p>
    <w:p w14:paraId="7E76FD08">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运输超大件或超重件所需的道路和桥梁临时加固改造费用和其他有关费用由</w:t>
      </w:r>
      <w:r>
        <w:rPr>
          <w:rStyle w:val="56"/>
          <w:rFonts w:hint="default" w:ascii="Times New Roman" w:hAnsi="Times New Roman" w:cs="Times New Roman"/>
          <w:kern w:val="2"/>
          <w:sz w:val="21"/>
          <w:szCs w:val="21"/>
          <w:highlight w:val="none"/>
          <w:u w:val="single"/>
        </w:rPr>
        <w:t>承包人</w:t>
      </w:r>
      <w:r>
        <w:rPr>
          <w:rStyle w:val="56"/>
          <w:rFonts w:hint="default" w:ascii="Times New Roman" w:hAnsi="Times New Roman" w:cs="Times New Roman"/>
          <w:kern w:val="2"/>
          <w:sz w:val="21"/>
          <w:szCs w:val="21"/>
          <w:highlight w:val="none"/>
        </w:rPr>
        <w:t>承担。</w:t>
      </w:r>
    </w:p>
    <w:p w14:paraId="096AEC37">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1.11 知识产权</w:t>
      </w:r>
    </w:p>
    <w:p w14:paraId="6FEC17DB">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1.11.1关于发包人提供给承包人的图纸、发包人为实施工程自行编制或委托编制的技术规范以及反映发包人关于合同要求或其他类似性质的文件的著作权的归属：</w:t>
      </w:r>
      <w:r>
        <w:rPr>
          <w:rStyle w:val="56"/>
          <w:rFonts w:hint="default" w:ascii="Times New Roman" w:hAnsi="Times New Roman" w:cs="Times New Roman"/>
          <w:color w:val="000000"/>
          <w:kern w:val="2"/>
          <w:sz w:val="21"/>
          <w:szCs w:val="21"/>
          <w:highlight w:val="none"/>
          <w:u w:val="single"/>
        </w:rPr>
        <w:t>归招标人所有</w:t>
      </w:r>
      <w:r>
        <w:rPr>
          <w:rStyle w:val="56"/>
          <w:rFonts w:hint="default" w:ascii="Times New Roman" w:hAnsi="Times New Roman" w:cs="Times New Roman"/>
          <w:color w:val="000000"/>
          <w:kern w:val="2"/>
          <w:sz w:val="21"/>
          <w:szCs w:val="21"/>
          <w:highlight w:val="none"/>
        </w:rPr>
        <w:t>。</w:t>
      </w:r>
    </w:p>
    <w:p w14:paraId="52A895AF">
      <w:pPr>
        <w:pStyle w:val="57"/>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关于发包人提供的上述文件的使用限制的要求：</w:t>
      </w:r>
      <w:r>
        <w:rPr>
          <w:rStyle w:val="56"/>
          <w:rFonts w:hint="default" w:ascii="Times New Roman" w:hAnsi="Times New Roman" w:cs="Times New Roman"/>
          <w:color w:val="000000"/>
          <w:kern w:val="2"/>
          <w:sz w:val="21"/>
          <w:szCs w:val="21"/>
          <w:highlight w:val="none"/>
          <w:u w:val="single"/>
        </w:rPr>
        <w:t>未经发包人同意，承包人不得向任何第三方泄密，不得复制</w:t>
      </w:r>
      <w:r>
        <w:rPr>
          <w:rStyle w:val="56"/>
          <w:rFonts w:hint="default" w:ascii="Times New Roman" w:hAnsi="Times New Roman" w:cs="Times New Roman"/>
          <w:color w:val="000000"/>
          <w:kern w:val="2"/>
          <w:sz w:val="21"/>
          <w:szCs w:val="21"/>
          <w:highlight w:val="none"/>
        </w:rPr>
        <w:t>。</w:t>
      </w:r>
    </w:p>
    <w:p w14:paraId="3BF18850">
      <w:pPr>
        <w:pStyle w:val="57"/>
        <w:spacing w:line="360" w:lineRule="auto"/>
        <w:ind w:left="596"/>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1.11.2 关于承包人为实施工程所编制文件的著作权的归属</w:t>
      </w:r>
      <w:r>
        <w:rPr>
          <w:rStyle w:val="56"/>
          <w:rFonts w:hint="default" w:ascii="Times New Roman" w:hAnsi="Times New Roman" w:cs="Times New Roman"/>
          <w:color w:val="000000"/>
          <w:kern w:val="2"/>
          <w:sz w:val="21"/>
          <w:szCs w:val="21"/>
          <w:highlight w:val="none"/>
          <w:u w:val="single"/>
        </w:rPr>
        <w:t>执行通用条款</w:t>
      </w:r>
      <w:r>
        <w:rPr>
          <w:rStyle w:val="56"/>
          <w:rFonts w:hint="default" w:ascii="Times New Roman" w:hAnsi="Times New Roman" w:cs="Times New Roman"/>
          <w:color w:val="000000"/>
          <w:kern w:val="2"/>
          <w:sz w:val="21"/>
          <w:szCs w:val="21"/>
          <w:highlight w:val="none"/>
        </w:rPr>
        <w:t>。</w:t>
      </w:r>
    </w:p>
    <w:p w14:paraId="7A8A1B06">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关于承包人提供的上述文件的使用限制的要求：</w:t>
      </w:r>
      <w:r>
        <w:rPr>
          <w:rStyle w:val="56"/>
          <w:rFonts w:hint="default" w:ascii="Times New Roman" w:hAnsi="Times New Roman" w:cs="Times New Roman"/>
          <w:color w:val="000000"/>
          <w:kern w:val="2"/>
          <w:sz w:val="21"/>
          <w:szCs w:val="21"/>
          <w:highlight w:val="none"/>
          <w:u w:val="single"/>
        </w:rPr>
        <w:t>执行通用条款</w:t>
      </w:r>
      <w:r>
        <w:rPr>
          <w:rStyle w:val="56"/>
          <w:rFonts w:hint="default" w:ascii="Times New Roman" w:hAnsi="Times New Roman" w:cs="Times New Roman"/>
          <w:color w:val="000000"/>
          <w:kern w:val="2"/>
          <w:sz w:val="21"/>
          <w:szCs w:val="21"/>
          <w:highlight w:val="none"/>
        </w:rPr>
        <w:t>。</w:t>
      </w:r>
    </w:p>
    <w:p w14:paraId="16CD8E4E">
      <w:pPr>
        <w:pStyle w:val="57"/>
        <w:spacing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kern w:val="2"/>
          <w:sz w:val="21"/>
          <w:szCs w:val="21"/>
          <w:highlight w:val="none"/>
        </w:rPr>
        <w:t>1.11.4 承包人在施工过程中所采用的专利、专有技术、技术秘密的使用费的承担方式：</w:t>
      </w:r>
      <w:r>
        <w:rPr>
          <w:rStyle w:val="56"/>
          <w:rFonts w:hint="default" w:ascii="Times New Roman" w:hAnsi="Times New Roman" w:cs="Times New Roman"/>
          <w:color w:val="000000"/>
          <w:kern w:val="2"/>
          <w:sz w:val="21"/>
          <w:szCs w:val="21"/>
          <w:highlight w:val="none"/>
          <w:u w:val="single"/>
        </w:rPr>
        <w:t>由承包人自行承担</w:t>
      </w:r>
      <w:r>
        <w:rPr>
          <w:rStyle w:val="56"/>
          <w:rFonts w:hint="default" w:ascii="Times New Roman" w:hAnsi="Times New Roman" w:cs="Times New Roman"/>
          <w:color w:val="000000"/>
          <w:sz w:val="21"/>
          <w:szCs w:val="21"/>
          <w:highlight w:val="none"/>
        </w:rPr>
        <w:t>。</w:t>
      </w:r>
    </w:p>
    <w:p w14:paraId="2C6F0E32">
      <w:pPr>
        <w:pStyle w:val="57"/>
        <w:spacing w:line="360" w:lineRule="auto"/>
        <w:ind w:firstLine="600"/>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2. 发包人</w:t>
      </w:r>
    </w:p>
    <w:p w14:paraId="58683D9E">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2.4 施工现场、施工条件和基础资料的提供</w:t>
      </w:r>
    </w:p>
    <w:p w14:paraId="4BE814A1">
      <w:pPr>
        <w:pStyle w:val="57"/>
        <w:spacing w:line="360" w:lineRule="auto"/>
        <w:ind w:firstLine="600"/>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2.4.1 提供施工条件</w:t>
      </w:r>
    </w:p>
    <w:p w14:paraId="510475BB">
      <w:pPr>
        <w:pStyle w:val="58"/>
        <w:numPr>
          <w:ilvl w:val="0"/>
          <w:numId w:val="1"/>
        </w:numPr>
        <w:spacing w:line="360" w:lineRule="auto"/>
        <w:ind w:left="0" w:firstLine="54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施工场地具备施工条件的要求及完成的时间：</w:t>
      </w:r>
      <w:r>
        <w:rPr>
          <w:rStyle w:val="56"/>
          <w:rFonts w:hint="default" w:ascii="Times New Roman" w:hAnsi="Times New Roman" w:cs="Times New Roman"/>
          <w:color w:val="000000"/>
          <w:sz w:val="21"/>
          <w:szCs w:val="21"/>
          <w:highlight w:val="none"/>
          <w:u w:val="single"/>
        </w:rPr>
        <w:t xml:space="preserve">由承包人自行解决，费用自负。 </w:t>
      </w:r>
    </w:p>
    <w:p w14:paraId="461C1914">
      <w:pPr>
        <w:pStyle w:val="58"/>
        <w:spacing w:line="360" w:lineRule="auto"/>
        <w:ind w:left="1" w:firstLine="480"/>
        <w:rPr>
          <w:rStyle w:val="56"/>
          <w:rFonts w:hint="default" w:ascii="Times New Roman" w:hAnsi="Times New Roman" w:cs="Times New Roman"/>
          <w:color w:val="000000"/>
          <w:sz w:val="21"/>
          <w:szCs w:val="21"/>
          <w:highlight w:val="none"/>
          <w:u w:val="single"/>
        </w:rPr>
      </w:pPr>
      <w:r>
        <w:rPr>
          <w:rStyle w:val="56"/>
          <w:rFonts w:hint="default" w:ascii="Times New Roman" w:hAnsi="Times New Roman" w:cs="Times New Roman"/>
          <w:color w:val="000000"/>
          <w:sz w:val="21"/>
          <w:szCs w:val="21"/>
          <w:highlight w:val="none"/>
        </w:rPr>
        <w:t>（2）将施工所需的水、电、电讯线路接至施工场地的时间、地点和供应要求：</w:t>
      </w:r>
      <w:r>
        <w:rPr>
          <w:rStyle w:val="56"/>
          <w:rFonts w:hint="default" w:ascii="Times New Roman" w:hAnsi="Times New Roman" w:cs="Times New Roman"/>
          <w:color w:val="000000"/>
          <w:sz w:val="21"/>
          <w:szCs w:val="21"/>
          <w:highlight w:val="none"/>
          <w:u w:val="single"/>
        </w:rPr>
        <w:t xml:space="preserve">由承包人自行解决，以满足施工要求，并承担相关费用。 </w:t>
      </w:r>
    </w:p>
    <w:p w14:paraId="0D556A6A">
      <w:pPr>
        <w:pStyle w:val="58"/>
        <w:spacing w:line="360" w:lineRule="auto"/>
        <w:ind w:firstLine="480"/>
        <w:rPr>
          <w:rStyle w:val="56"/>
          <w:rFonts w:hint="default" w:ascii="Times New Roman" w:hAnsi="Times New Roman" w:cs="Times New Roman"/>
          <w:color w:val="000000"/>
          <w:sz w:val="21"/>
          <w:szCs w:val="21"/>
          <w:highlight w:val="none"/>
          <w:u w:val="single"/>
        </w:rPr>
      </w:pPr>
      <w:r>
        <w:rPr>
          <w:rStyle w:val="56"/>
          <w:rFonts w:hint="default" w:ascii="Times New Roman" w:hAnsi="Times New Roman" w:cs="Times New Roman"/>
          <w:color w:val="000000"/>
          <w:sz w:val="21"/>
          <w:szCs w:val="21"/>
          <w:highlight w:val="none"/>
        </w:rPr>
        <w:t>（3）施工场地与公共道路的通道开通时间和要求：</w:t>
      </w:r>
      <w:r>
        <w:rPr>
          <w:rStyle w:val="56"/>
          <w:rFonts w:hint="default" w:ascii="Times New Roman" w:hAnsi="Times New Roman" w:cs="Times New Roman"/>
          <w:color w:val="000000"/>
          <w:sz w:val="21"/>
          <w:szCs w:val="21"/>
          <w:highlight w:val="none"/>
          <w:u w:val="single"/>
        </w:rPr>
        <w:t>由承包人自行解决，以满足施工要求，并承担相关费用。</w:t>
      </w:r>
    </w:p>
    <w:p w14:paraId="1D8DF047">
      <w:pPr>
        <w:pStyle w:val="58"/>
        <w:spacing w:line="360" w:lineRule="auto"/>
        <w:ind w:firstLine="48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（4）工程地质和地下管线资料的提供时间：</w:t>
      </w:r>
      <w:r>
        <w:rPr>
          <w:rStyle w:val="56"/>
          <w:rFonts w:hint="default" w:ascii="Times New Roman" w:hAnsi="Times New Roman" w:cs="Times New Roman"/>
          <w:color w:val="000000"/>
          <w:sz w:val="21"/>
          <w:szCs w:val="21"/>
          <w:highlight w:val="none"/>
          <w:u w:val="single"/>
        </w:rPr>
        <w:t>不采用。</w:t>
      </w:r>
      <w:r>
        <w:rPr>
          <w:rStyle w:val="56"/>
          <w:rFonts w:hint="default" w:ascii="Times New Roman" w:hAnsi="Times New Roman" w:cs="Times New Roman"/>
          <w:color w:val="000000"/>
          <w:sz w:val="21"/>
          <w:szCs w:val="21"/>
          <w:highlight w:val="none"/>
        </w:rPr>
        <w:t xml:space="preserve"> </w:t>
      </w:r>
    </w:p>
    <w:p w14:paraId="588EA9F7">
      <w:pPr>
        <w:pStyle w:val="58"/>
        <w:spacing w:line="360" w:lineRule="auto"/>
        <w:ind w:firstLine="48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（5）由发包人办理所需证件、批件的名称和完成时间：</w:t>
      </w:r>
      <w:r>
        <w:rPr>
          <w:rStyle w:val="56"/>
          <w:rFonts w:hint="default" w:ascii="Times New Roman" w:hAnsi="Times New Roman" w:cs="Times New Roman"/>
          <w:sz w:val="21"/>
          <w:szCs w:val="21"/>
          <w:highlight w:val="none"/>
          <w:u w:val="single"/>
        </w:rPr>
        <w:t>由承包人</w:t>
      </w:r>
      <w:r>
        <w:rPr>
          <w:rStyle w:val="56"/>
          <w:rFonts w:hint="default" w:ascii="Times New Roman" w:hAnsi="Times New Roman" w:cs="Times New Roman"/>
          <w:color w:val="000000"/>
          <w:sz w:val="21"/>
          <w:szCs w:val="21"/>
          <w:highlight w:val="none"/>
          <w:u w:val="single"/>
        </w:rPr>
        <w:t xml:space="preserve">办理，并承担相关费用，发包人协助。  </w:t>
      </w:r>
    </w:p>
    <w:p w14:paraId="0C0CB805">
      <w:pPr>
        <w:pStyle w:val="58"/>
        <w:spacing w:line="360" w:lineRule="auto"/>
        <w:ind w:firstLine="480"/>
        <w:rPr>
          <w:rStyle w:val="56"/>
          <w:rFonts w:hint="default" w:ascii="Times New Roman" w:hAnsi="Times New Roman" w:cs="Times New Roman"/>
          <w:sz w:val="21"/>
          <w:szCs w:val="21"/>
          <w:highlight w:val="none"/>
        </w:rPr>
      </w:pPr>
      <w:r>
        <w:rPr>
          <w:rStyle w:val="56"/>
          <w:rFonts w:hint="default" w:ascii="Times New Roman" w:hAnsi="Times New Roman" w:cs="Times New Roman"/>
          <w:color w:val="000000"/>
          <w:sz w:val="21"/>
          <w:szCs w:val="21"/>
          <w:highlight w:val="none"/>
        </w:rPr>
        <w:t>（6）水准点与坐标控制点交验要求：</w:t>
      </w:r>
      <w:r>
        <w:rPr>
          <w:rStyle w:val="56"/>
          <w:rFonts w:hint="default" w:ascii="Times New Roman" w:hAnsi="Times New Roman" w:cs="Times New Roman"/>
          <w:kern w:val="2"/>
          <w:sz w:val="21"/>
          <w:szCs w:val="21"/>
          <w:highlight w:val="none"/>
          <w:u w:val="single"/>
        </w:rPr>
        <w:t>将坐标控制点、水准点以书面形式交给承包人，并进行现场交验。承包人对交验的数据应进行复核</w:t>
      </w:r>
      <w:r>
        <w:rPr>
          <w:rStyle w:val="56"/>
          <w:rFonts w:hint="default" w:ascii="Times New Roman" w:hAnsi="Times New Roman" w:cs="Times New Roman"/>
          <w:bCs/>
          <w:kern w:val="2"/>
          <w:sz w:val="21"/>
          <w:szCs w:val="21"/>
          <w:highlight w:val="none"/>
          <w:u w:val="single"/>
        </w:rPr>
        <w:t>。</w:t>
      </w:r>
      <w:r>
        <w:rPr>
          <w:rStyle w:val="56"/>
          <w:rFonts w:hint="default" w:ascii="Times New Roman" w:hAnsi="Times New Roman" w:cs="Times New Roman"/>
          <w:sz w:val="21"/>
          <w:szCs w:val="21"/>
          <w:highlight w:val="none"/>
        </w:rPr>
        <w:t xml:space="preserve"> </w:t>
      </w:r>
    </w:p>
    <w:p w14:paraId="7BAD7CB1">
      <w:pPr>
        <w:pStyle w:val="58"/>
        <w:spacing w:line="360" w:lineRule="auto"/>
        <w:ind w:firstLine="480"/>
        <w:rPr>
          <w:rStyle w:val="56"/>
          <w:rFonts w:hint="default" w:ascii="Times New Roman" w:hAnsi="Times New Roman" w:cs="Times New Roman"/>
          <w:sz w:val="21"/>
          <w:szCs w:val="21"/>
          <w:highlight w:val="none"/>
        </w:rPr>
      </w:pPr>
      <w:r>
        <w:rPr>
          <w:rStyle w:val="56"/>
          <w:rFonts w:hint="default" w:ascii="Times New Roman" w:hAnsi="Times New Roman" w:cs="Times New Roman"/>
          <w:sz w:val="21"/>
          <w:szCs w:val="21"/>
          <w:highlight w:val="none"/>
        </w:rPr>
        <w:t>（7）图纸会审和设计交底时间：</w:t>
      </w:r>
      <w:r>
        <w:rPr>
          <w:rStyle w:val="56"/>
          <w:rFonts w:hint="default" w:ascii="Times New Roman" w:hAnsi="Times New Roman" w:cs="Times New Roman"/>
          <w:sz w:val="21"/>
          <w:szCs w:val="21"/>
          <w:highlight w:val="none"/>
          <w:u w:val="single"/>
        </w:rPr>
        <w:t>承包人接到施工图一周内。</w:t>
      </w:r>
      <w:r>
        <w:rPr>
          <w:rStyle w:val="56"/>
          <w:rFonts w:hint="default" w:ascii="Times New Roman" w:hAnsi="Times New Roman" w:cs="Times New Roman"/>
          <w:sz w:val="21"/>
          <w:szCs w:val="21"/>
          <w:highlight w:val="none"/>
        </w:rPr>
        <w:t xml:space="preserve"> </w:t>
      </w:r>
    </w:p>
    <w:p w14:paraId="4E36C8E6">
      <w:pPr>
        <w:pStyle w:val="58"/>
        <w:spacing w:line="360" w:lineRule="auto"/>
        <w:ind w:firstLine="480"/>
        <w:rPr>
          <w:rStyle w:val="56"/>
          <w:rFonts w:hint="default" w:ascii="Times New Roman" w:hAnsi="Times New Roman" w:cs="Times New Roman"/>
          <w:sz w:val="21"/>
          <w:szCs w:val="21"/>
          <w:highlight w:val="none"/>
        </w:rPr>
      </w:pPr>
      <w:r>
        <w:rPr>
          <w:rStyle w:val="56"/>
          <w:rFonts w:hint="default" w:ascii="Times New Roman" w:hAnsi="Times New Roman" w:cs="Times New Roman"/>
          <w:sz w:val="21"/>
          <w:szCs w:val="21"/>
          <w:highlight w:val="none"/>
        </w:rPr>
        <w:t xml:space="preserve">（8）协调处理施工场地周围地下管线和邻近建筑物、构筑物（含文物保护建筑）、古树名木的保护工作： </w:t>
      </w:r>
      <w:r>
        <w:rPr>
          <w:rStyle w:val="56"/>
          <w:rFonts w:hint="default" w:ascii="Times New Roman" w:hAnsi="Times New Roman" w:cs="Times New Roman"/>
          <w:sz w:val="21"/>
          <w:szCs w:val="21"/>
          <w:highlight w:val="none"/>
          <w:u w:val="single"/>
        </w:rPr>
        <w:t>按国家、辽宁省及</w:t>
      </w:r>
      <w:r>
        <w:rPr>
          <w:rStyle w:val="56"/>
          <w:rFonts w:hint="eastAsia" w:ascii="Times New Roman" w:hAnsi="Times New Roman" w:cs="Times New Roman"/>
          <w:sz w:val="21"/>
          <w:szCs w:val="21"/>
          <w:highlight w:val="none"/>
          <w:u w:val="single"/>
          <w:lang w:val="en-US" w:eastAsia="zh-CN"/>
        </w:rPr>
        <w:t>营口</w:t>
      </w:r>
      <w:r>
        <w:rPr>
          <w:rStyle w:val="56"/>
          <w:rFonts w:hint="default" w:ascii="Times New Roman" w:hAnsi="Times New Roman" w:cs="Times New Roman"/>
          <w:sz w:val="21"/>
          <w:szCs w:val="21"/>
          <w:highlight w:val="none"/>
          <w:u w:val="single"/>
        </w:rPr>
        <w:t>市有关规定办理。由承包人做好有效保护工作，如果发生损毁，承包人承担由其本身原因造成的损毁责任并承担相关费用</w:t>
      </w:r>
      <w:r>
        <w:rPr>
          <w:rStyle w:val="56"/>
          <w:rFonts w:hint="default" w:ascii="Times New Roman" w:hAnsi="Times New Roman" w:cs="Times New Roman"/>
          <w:bCs/>
          <w:kern w:val="2"/>
          <w:sz w:val="21"/>
          <w:szCs w:val="21"/>
          <w:highlight w:val="none"/>
          <w:u w:val="single"/>
        </w:rPr>
        <w:t>。</w:t>
      </w:r>
    </w:p>
    <w:p w14:paraId="2C9FCBED">
      <w:pPr>
        <w:pStyle w:val="58"/>
        <w:spacing w:line="360" w:lineRule="auto"/>
        <w:ind w:firstLine="480"/>
        <w:rPr>
          <w:rStyle w:val="56"/>
          <w:rFonts w:hint="default" w:ascii="Times New Roman" w:hAnsi="Times New Roman" w:cs="Times New Roman"/>
          <w:sz w:val="21"/>
          <w:szCs w:val="21"/>
          <w:highlight w:val="none"/>
        </w:rPr>
      </w:pPr>
      <w:r>
        <w:rPr>
          <w:rStyle w:val="56"/>
          <w:rFonts w:hint="default" w:ascii="Times New Roman" w:hAnsi="Times New Roman" w:cs="Times New Roman"/>
          <w:sz w:val="21"/>
          <w:szCs w:val="21"/>
          <w:highlight w:val="none"/>
        </w:rPr>
        <w:t>（9）双方约定发包人应做的其他工作：</w:t>
      </w:r>
      <w:r>
        <w:rPr>
          <w:rStyle w:val="56"/>
          <w:rFonts w:hint="default" w:ascii="Times New Roman" w:hAnsi="Times New Roman" w:cs="Times New Roman"/>
          <w:sz w:val="21"/>
          <w:szCs w:val="21"/>
          <w:highlight w:val="none"/>
          <w:u w:val="single"/>
        </w:rPr>
        <w:t xml:space="preserve"> 不采用。</w:t>
      </w:r>
    </w:p>
    <w:p w14:paraId="62F0807C">
      <w:pPr>
        <w:pStyle w:val="58"/>
        <w:spacing w:line="360" w:lineRule="auto"/>
        <w:ind w:firstLine="480"/>
        <w:rPr>
          <w:rStyle w:val="56"/>
          <w:rFonts w:hint="default" w:ascii="Times New Roman" w:hAnsi="Times New Roman" w:cs="Times New Roman"/>
          <w:sz w:val="21"/>
          <w:szCs w:val="21"/>
          <w:highlight w:val="none"/>
          <w:u w:val="single"/>
        </w:rPr>
      </w:pPr>
      <w:r>
        <w:rPr>
          <w:rStyle w:val="56"/>
          <w:rFonts w:hint="default" w:ascii="Times New Roman" w:hAnsi="Times New Roman" w:cs="Times New Roman"/>
          <w:sz w:val="21"/>
          <w:szCs w:val="21"/>
          <w:highlight w:val="none"/>
        </w:rPr>
        <w:t xml:space="preserve">     发包人委托承包人办理工作：</w:t>
      </w:r>
      <w:r>
        <w:rPr>
          <w:rStyle w:val="56"/>
          <w:rFonts w:hint="default" w:ascii="Times New Roman" w:hAnsi="Times New Roman" w:cs="Times New Roman"/>
          <w:sz w:val="21"/>
          <w:szCs w:val="21"/>
          <w:highlight w:val="none"/>
          <w:u w:val="single"/>
        </w:rPr>
        <w:t xml:space="preserve">  </w:t>
      </w:r>
      <w:r>
        <w:rPr>
          <w:rStyle w:val="56"/>
          <w:rFonts w:hint="default" w:ascii="Times New Roman" w:hAnsi="Times New Roman" w:cs="Times New Roman"/>
          <w:bCs/>
          <w:kern w:val="2"/>
          <w:sz w:val="21"/>
          <w:szCs w:val="21"/>
          <w:highlight w:val="none"/>
          <w:u w:val="single"/>
        </w:rPr>
        <w:t>按双方约定执行。</w:t>
      </w:r>
    </w:p>
    <w:p w14:paraId="059EF66D">
      <w:pPr>
        <w:pStyle w:val="58"/>
        <w:spacing w:line="360" w:lineRule="auto"/>
        <w:ind w:firstLine="480"/>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3. 承包人</w:t>
      </w:r>
    </w:p>
    <w:p w14:paraId="3090CCEF">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3.1 承包人的一般义务</w:t>
      </w:r>
    </w:p>
    <w:p w14:paraId="2D2F1519">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sz w:val="21"/>
          <w:szCs w:val="21"/>
          <w:highlight w:val="none"/>
        </w:rPr>
        <w:t>（9）</w:t>
      </w:r>
      <w:r>
        <w:rPr>
          <w:rStyle w:val="56"/>
          <w:rFonts w:hint="default" w:ascii="Times New Roman" w:hAnsi="Times New Roman" w:cs="Times New Roman"/>
          <w:color w:val="000000"/>
          <w:kern w:val="2"/>
          <w:sz w:val="21"/>
          <w:szCs w:val="21"/>
          <w:highlight w:val="none"/>
        </w:rPr>
        <w:t>承包人提交的竣工资料的内容：</w:t>
      </w:r>
      <w:r>
        <w:rPr>
          <w:rStyle w:val="56"/>
          <w:rFonts w:hint="default" w:ascii="Times New Roman" w:hAnsi="Times New Roman" w:cs="Times New Roman"/>
          <w:color w:val="000000"/>
          <w:kern w:val="2"/>
          <w:sz w:val="21"/>
          <w:szCs w:val="21"/>
          <w:highlight w:val="none"/>
          <w:u w:val="single"/>
        </w:rPr>
        <w:t>承包人向发包人提交完整的竣工图纸及竣工图电子文档和相关规定的其他竣工材料</w:t>
      </w:r>
      <w:r>
        <w:rPr>
          <w:rStyle w:val="56"/>
          <w:rFonts w:hint="default" w:ascii="Times New Roman" w:hAnsi="Times New Roman" w:cs="Times New Roman"/>
          <w:color w:val="000000"/>
          <w:kern w:val="2"/>
          <w:sz w:val="21"/>
          <w:szCs w:val="21"/>
          <w:highlight w:val="none"/>
        </w:rPr>
        <w:t>。</w:t>
      </w:r>
    </w:p>
    <w:p w14:paraId="326364BA">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承包人需要提交的竣工资料套数：</w:t>
      </w:r>
      <w:r>
        <w:rPr>
          <w:rStyle w:val="56"/>
          <w:rFonts w:hint="default" w:ascii="Times New Roman" w:hAnsi="Times New Roman" w:cs="Times New Roman"/>
          <w:color w:val="000000"/>
          <w:kern w:val="2"/>
          <w:sz w:val="21"/>
          <w:szCs w:val="21"/>
          <w:highlight w:val="none"/>
          <w:u w:val="single"/>
        </w:rPr>
        <w:t>按招标人要求</w:t>
      </w:r>
      <w:r>
        <w:rPr>
          <w:rStyle w:val="56"/>
          <w:rFonts w:hint="default" w:ascii="Times New Roman" w:hAnsi="Times New Roman" w:cs="Times New Roman"/>
          <w:color w:val="000000"/>
          <w:kern w:val="2"/>
          <w:sz w:val="21"/>
          <w:szCs w:val="21"/>
          <w:highlight w:val="none"/>
        </w:rPr>
        <w:t>。</w:t>
      </w:r>
    </w:p>
    <w:p w14:paraId="3B32856B">
      <w:pPr>
        <w:pStyle w:val="57"/>
        <w:spacing w:line="360" w:lineRule="auto"/>
        <w:ind w:left="638"/>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承包人提交的竣工资料的费用承担：</w:t>
      </w:r>
      <w:r>
        <w:rPr>
          <w:rStyle w:val="56"/>
          <w:rFonts w:hint="default" w:ascii="Times New Roman" w:hAnsi="Times New Roman" w:cs="Times New Roman"/>
          <w:color w:val="000000"/>
          <w:kern w:val="2"/>
          <w:sz w:val="21"/>
          <w:szCs w:val="21"/>
          <w:highlight w:val="none"/>
          <w:u w:val="single"/>
        </w:rPr>
        <w:t>由承包人自行承担</w:t>
      </w:r>
      <w:r>
        <w:rPr>
          <w:rStyle w:val="56"/>
          <w:rFonts w:hint="default" w:ascii="Times New Roman" w:hAnsi="Times New Roman" w:cs="Times New Roman"/>
          <w:color w:val="000000"/>
          <w:kern w:val="2"/>
          <w:sz w:val="21"/>
          <w:szCs w:val="21"/>
          <w:highlight w:val="none"/>
        </w:rPr>
        <w:t>。</w:t>
      </w:r>
    </w:p>
    <w:p w14:paraId="6A1DCFDA">
      <w:pPr>
        <w:pStyle w:val="57"/>
        <w:spacing w:line="360" w:lineRule="auto"/>
        <w:ind w:left="638"/>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承包人提交的竣工资料移交时间：</w:t>
      </w:r>
      <w:r>
        <w:rPr>
          <w:rStyle w:val="56"/>
          <w:rFonts w:hint="default" w:ascii="Times New Roman" w:hAnsi="Times New Roman" w:cs="Times New Roman"/>
          <w:color w:val="000000"/>
          <w:kern w:val="2"/>
          <w:sz w:val="21"/>
          <w:szCs w:val="21"/>
          <w:highlight w:val="none"/>
          <w:u w:val="single"/>
        </w:rPr>
        <w:t>工程竣工验收前15日</w:t>
      </w:r>
      <w:r>
        <w:rPr>
          <w:rStyle w:val="56"/>
          <w:rFonts w:hint="default" w:ascii="Times New Roman" w:hAnsi="Times New Roman" w:cs="Times New Roman"/>
          <w:color w:val="000000"/>
          <w:kern w:val="2"/>
          <w:sz w:val="21"/>
          <w:szCs w:val="21"/>
          <w:highlight w:val="none"/>
        </w:rPr>
        <w:t>。</w:t>
      </w:r>
    </w:p>
    <w:p w14:paraId="6BC8CA79">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承包人提交的竣工资料形式要求：</w:t>
      </w:r>
      <w:r>
        <w:rPr>
          <w:rStyle w:val="56"/>
          <w:rFonts w:hint="default" w:ascii="Times New Roman" w:hAnsi="Times New Roman" w:cs="Times New Roman"/>
          <w:color w:val="000000"/>
          <w:kern w:val="2"/>
          <w:sz w:val="21"/>
          <w:szCs w:val="21"/>
          <w:highlight w:val="none"/>
          <w:u w:val="single"/>
        </w:rPr>
        <w:t>书面及电子文档</w:t>
      </w:r>
      <w:r>
        <w:rPr>
          <w:rStyle w:val="56"/>
          <w:rFonts w:hint="default" w:ascii="Times New Roman" w:hAnsi="Times New Roman" w:cs="Times New Roman"/>
          <w:color w:val="000000"/>
          <w:kern w:val="2"/>
          <w:sz w:val="21"/>
          <w:szCs w:val="21"/>
          <w:highlight w:val="none"/>
        </w:rPr>
        <w:t>。</w:t>
      </w:r>
    </w:p>
    <w:p w14:paraId="472801B0">
      <w:pPr>
        <w:pStyle w:val="57"/>
        <w:spacing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（10）承包人应履行的其他义务：</w:t>
      </w:r>
    </w:p>
    <w:p w14:paraId="19F21338">
      <w:pPr>
        <w:pStyle w:val="58"/>
        <w:spacing w:line="360" w:lineRule="auto"/>
        <w:ind w:firstLine="39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1）需由设计资质等级和业务范围允许的承包人完成的设计文件提交时间：</w:t>
      </w:r>
      <w:r>
        <w:rPr>
          <w:rStyle w:val="56"/>
          <w:rFonts w:hint="default" w:ascii="Times New Roman" w:hAnsi="Times New Roman" w:cs="Times New Roman"/>
          <w:color w:val="000000"/>
          <w:kern w:val="2"/>
          <w:sz w:val="21"/>
          <w:szCs w:val="21"/>
          <w:highlight w:val="none"/>
          <w:u w:val="single"/>
        </w:rPr>
        <w:t>根据发包人要求提供。</w:t>
      </w:r>
      <w:r>
        <w:rPr>
          <w:rStyle w:val="56"/>
          <w:rFonts w:hint="default" w:ascii="Times New Roman" w:hAnsi="Times New Roman" w:cs="Times New Roman"/>
          <w:color w:val="000000"/>
          <w:kern w:val="2"/>
          <w:sz w:val="21"/>
          <w:szCs w:val="21"/>
          <w:highlight w:val="none"/>
        </w:rPr>
        <w:t xml:space="preserve"> </w:t>
      </w:r>
    </w:p>
    <w:p w14:paraId="6C308C79">
      <w:pPr>
        <w:pStyle w:val="58"/>
        <w:spacing w:line="360" w:lineRule="auto"/>
        <w:ind w:firstLine="39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2）应提供计划、报表的名称及完成时间：</w:t>
      </w:r>
      <w:r>
        <w:rPr>
          <w:rStyle w:val="56"/>
          <w:rFonts w:hint="default" w:ascii="Times New Roman" w:hAnsi="Times New Roman" w:cs="Times New Roman"/>
          <w:color w:val="000000"/>
          <w:kern w:val="2"/>
          <w:sz w:val="21"/>
          <w:szCs w:val="21"/>
          <w:highlight w:val="none"/>
          <w:u w:val="single"/>
        </w:rPr>
        <w:t xml:space="preserve">按招标人要求及时提供工程进度和计划报表。 </w:t>
      </w:r>
    </w:p>
    <w:p w14:paraId="75DD5261">
      <w:pPr>
        <w:pStyle w:val="58"/>
        <w:spacing w:line="360" w:lineRule="auto"/>
        <w:ind w:firstLine="39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000000"/>
          <w:kern w:val="2"/>
          <w:sz w:val="21"/>
          <w:szCs w:val="21"/>
          <w:highlight w:val="none"/>
        </w:rPr>
        <w:t>3</w:t>
      </w:r>
      <w:r>
        <w:rPr>
          <w:rStyle w:val="56"/>
          <w:rFonts w:hint="default" w:ascii="Times New Roman" w:hAnsi="Times New Roman" w:cs="Times New Roman"/>
          <w:color w:val="auto"/>
          <w:kern w:val="2"/>
          <w:sz w:val="21"/>
          <w:szCs w:val="21"/>
          <w:highlight w:val="none"/>
        </w:rPr>
        <w:t>）承担施工安全保卫工作及非夜间施工照明、维护设施的责任和要求：</w:t>
      </w:r>
      <w:r>
        <w:rPr>
          <w:rStyle w:val="56"/>
          <w:rFonts w:hint="default" w:ascii="Times New Roman" w:hAnsi="Times New Roman" w:cs="Times New Roman"/>
          <w:color w:val="auto"/>
          <w:kern w:val="2"/>
          <w:sz w:val="21"/>
          <w:szCs w:val="21"/>
          <w:highlight w:val="none"/>
          <w:u w:val="single"/>
        </w:rPr>
        <w:t>由承包人承担全部责任和费用，如未履行义务造成工程财产损失和人身伤害，承担责任及所发生的费用，扣除安全生产和文明施工的措施费。</w:t>
      </w:r>
      <w:r>
        <w:rPr>
          <w:rStyle w:val="56"/>
          <w:rFonts w:hint="default" w:ascii="Times New Roman" w:hAnsi="Times New Roman" w:cs="Times New Roman"/>
          <w:color w:val="auto"/>
          <w:kern w:val="2"/>
          <w:sz w:val="21"/>
          <w:szCs w:val="21"/>
          <w:highlight w:val="none"/>
        </w:rPr>
        <w:t xml:space="preserve">  </w:t>
      </w:r>
    </w:p>
    <w:p w14:paraId="5B34549D">
      <w:pPr>
        <w:pStyle w:val="58"/>
        <w:spacing w:line="360" w:lineRule="auto"/>
        <w:ind w:firstLine="390"/>
        <w:rPr>
          <w:rStyle w:val="56"/>
          <w:rFonts w:hint="default" w:ascii="Times New Roman" w:hAnsi="Times New Roman" w:cs="Times New Roman"/>
          <w:color w:val="auto"/>
          <w:kern w:val="2"/>
          <w:sz w:val="21"/>
          <w:szCs w:val="21"/>
          <w:highlight w:val="none"/>
          <w:u w:val="single"/>
        </w:rPr>
      </w:pPr>
      <w:r>
        <w:rPr>
          <w:rStyle w:val="56"/>
          <w:rFonts w:hint="default" w:ascii="Times New Roman" w:hAnsi="Times New Roman" w:cs="Times New Roman"/>
          <w:color w:val="auto"/>
          <w:kern w:val="2"/>
          <w:sz w:val="21"/>
          <w:szCs w:val="21"/>
          <w:highlight w:val="none"/>
        </w:rPr>
        <w:t>4）向发包人</w:t>
      </w:r>
      <w:r>
        <w:rPr>
          <w:rStyle w:val="56"/>
          <w:rFonts w:hint="eastAsia" w:ascii="Times New Roman" w:hAnsi="Times New Roman" w:cs="Times New Roman"/>
          <w:color w:val="auto"/>
          <w:kern w:val="2"/>
          <w:sz w:val="21"/>
          <w:szCs w:val="21"/>
          <w:highlight w:val="none"/>
          <w:lang w:val="en-US" w:eastAsia="zh-CN"/>
        </w:rPr>
        <w:t>及监理人员</w:t>
      </w:r>
      <w:r>
        <w:rPr>
          <w:rStyle w:val="56"/>
          <w:rFonts w:hint="default" w:ascii="Times New Roman" w:hAnsi="Times New Roman" w:cs="Times New Roman"/>
          <w:color w:val="auto"/>
          <w:kern w:val="2"/>
          <w:sz w:val="21"/>
          <w:szCs w:val="21"/>
          <w:highlight w:val="none"/>
        </w:rPr>
        <w:t>提供施工场地办公和生活的房屋及设施的要求：</w:t>
      </w:r>
      <w:r>
        <w:rPr>
          <w:rStyle w:val="56"/>
          <w:rFonts w:hint="default" w:ascii="Times New Roman" w:hAnsi="Times New Roman" w:cs="Times New Roman"/>
          <w:color w:val="auto"/>
          <w:kern w:val="2"/>
          <w:sz w:val="21"/>
          <w:szCs w:val="21"/>
          <w:highlight w:val="none"/>
          <w:u w:val="single"/>
        </w:rPr>
        <w:t xml:space="preserve"> </w:t>
      </w:r>
      <w:r>
        <w:rPr>
          <w:rStyle w:val="56"/>
          <w:rFonts w:hint="eastAsia" w:ascii="Times New Roman" w:hAnsi="Times New Roman" w:cs="Times New Roman"/>
          <w:color w:val="auto"/>
          <w:kern w:val="2"/>
          <w:sz w:val="21"/>
          <w:szCs w:val="21"/>
          <w:highlight w:val="none"/>
          <w:u w:val="single"/>
          <w:lang w:val="en-US" w:eastAsia="zh-CN"/>
        </w:rPr>
        <w:t>免费提供</w:t>
      </w:r>
      <w:r>
        <w:rPr>
          <w:rStyle w:val="56"/>
          <w:rFonts w:hint="default" w:ascii="Times New Roman" w:hAnsi="Times New Roman" w:cs="Times New Roman"/>
          <w:color w:val="auto"/>
          <w:kern w:val="2"/>
          <w:sz w:val="21"/>
          <w:szCs w:val="21"/>
          <w:highlight w:val="none"/>
          <w:u w:val="single"/>
        </w:rPr>
        <w:t>。</w:t>
      </w:r>
    </w:p>
    <w:p w14:paraId="61A29397">
      <w:pPr>
        <w:pStyle w:val="58"/>
        <w:spacing w:line="360" w:lineRule="auto"/>
        <w:ind w:firstLine="39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5）需承包人办理的有关施工场地交通、环境保护、施工噪音、安全文明施工等手续：</w:t>
      </w:r>
      <w:r>
        <w:rPr>
          <w:rStyle w:val="56"/>
          <w:rFonts w:hint="default" w:ascii="Times New Roman" w:hAnsi="Times New Roman" w:cs="Times New Roman"/>
          <w:color w:val="auto"/>
          <w:kern w:val="2"/>
          <w:sz w:val="21"/>
          <w:szCs w:val="21"/>
          <w:highlight w:val="none"/>
          <w:u w:val="single"/>
        </w:rPr>
        <w:t xml:space="preserve"> 全部由承包人负责办理并承担费用。</w:t>
      </w:r>
      <w:r>
        <w:rPr>
          <w:rStyle w:val="56"/>
          <w:rFonts w:hint="default" w:ascii="Times New Roman" w:hAnsi="Times New Roman" w:cs="Times New Roman"/>
          <w:color w:val="auto"/>
          <w:kern w:val="2"/>
          <w:sz w:val="21"/>
          <w:szCs w:val="21"/>
          <w:highlight w:val="none"/>
        </w:rPr>
        <w:t xml:space="preserve"> </w:t>
      </w:r>
    </w:p>
    <w:p w14:paraId="5404A5E6">
      <w:pPr>
        <w:pStyle w:val="58"/>
        <w:spacing w:line="360" w:lineRule="auto"/>
        <w:ind w:firstLine="39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auto"/>
          <w:kern w:val="2"/>
          <w:sz w:val="21"/>
          <w:szCs w:val="21"/>
          <w:highlight w:val="none"/>
        </w:rPr>
        <w:t>6）已完工程成品保护的特殊要求及费用承担：</w:t>
      </w:r>
      <w:r>
        <w:rPr>
          <w:rStyle w:val="56"/>
          <w:rFonts w:hint="default" w:ascii="Times New Roman" w:hAnsi="Times New Roman" w:cs="Times New Roman"/>
          <w:color w:val="auto"/>
          <w:kern w:val="2"/>
          <w:sz w:val="21"/>
          <w:szCs w:val="21"/>
          <w:highlight w:val="none"/>
          <w:u w:val="single"/>
        </w:rPr>
        <w:t xml:space="preserve"> 由承包人按照要求，做好上述项目的保</w:t>
      </w:r>
      <w:r>
        <w:rPr>
          <w:rStyle w:val="56"/>
          <w:rFonts w:hint="default" w:ascii="Times New Roman" w:hAnsi="Times New Roman" w:cs="Times New Roman"/>
          <w:color w:val="000000"/>
          <w:kern w:val="2"/>
          <w:sz w:val="21"/>
          <w:szCs w:val="21"/>
          <w:highlight w:val="none"/>
          <w:u w:val="single"/>
        </w:rPr>
        <w:t xml:space="preserve">护，并承担因施工造成损坏的责任和赔偿费用。 </w:t>
      </w:r>
    </w:p>
    <w:p w14:paraId="3C036B32">
      <w:pPr>
        <w:pStyle w:val="58"/>
        <w:spacing w:line="360" w:lineRule="auto"/>
        <w:ind w:firstLine="39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7）施工场地周围地下管线和邻近建筑物、构筑物（包括文物保护建筑）、古树名木等的保护要求和费用承担：</w:t>
      </w:r>
      <w:r>
        <w:rPr>
          <w:rStyle w:val="56"/>
          <w:rFonts w:hint="default" w:ascii="Times New Roman" w:hAnsi="Times New Roman" w:cs="Times New Roman"/>
          <w:color w:val="000000"/>
          <w:kern w:val="2"/>
          <w:sz w:val="21"/>
          <w:szCs w:val="21"/>
          <w:highlight w:val="none"/>
          <w:u w:val="single"/>
        </w:rPr>
        <w:t xml:space="preserve">  由承包人做好保护并承担相关费用。  </w:t>
      </w:r>
    </w:p>
    <w:p w14:paraId="7E88A262">
      <w:pPr>
        <w:pStyle w:val="58"/>
        <w:spacing w:line="360" w:lineRule="auto"/>
        <w:ind w:firstLine="39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8）施工场地清洁卫生的要求：</w:t>
      </w:r>
      <w:r>
        <w:rPr>
          <w:rStyle w:val="56"/>
          <w:rFonts w:hint="default" w:ascii="Times New Roman" w:hAnsi="Times New Roman" w:cs="Times New Roman"/>
          <w:color w:val="000000"/>
          <w:kern w:val="2"/>
          <w:sz w:val="21"/>
          <w:szCs w:val="21"/>
          <w:highlight w:val="none"/>
          <w:u w:val="single"/>
        </w:rPr>
        <w:t xml:space="preserve"> 保证施工现场清洁符合有关规定，承担因违反有关规定造成的损失和罚款，竣工后做到“活完场清”，做好竣工后的清洁工作。 </w:t>
      </w:r>
      <w:r>
        <w:rPr>
          <w:rStyle w:val="56"/>
          <w:rFonts w:hint="default" w:ascii="Times New Roman" w:hAnsi="Times New Roman" w:cs="Times New Roman"/>
          <w:color w:val="000000"/>
          <w:kern w:val="2"/>
          <w:sz w:val="21"/>
          <w:szCs w:val="21"/>
          <w:highlight w:val="none"/>
        </w:rPr>
        <w:t xml:space="preserve"> </w:t>
      </w:r>
    </w:p>
    <w:p w14:paraId="79DCC4F8">
      <w:pPr>
        <w:pStyle w:val="58"/>
        <w:spacing w:line="360" w:lineRule="auto"/>
        <w:ind w:firstLine="39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000000"/>
          <w:kern w:val="2"/>
          <w:sz w:val="21"/>
          <w:szCs w:val="21"/>
          <w:highlight w:val="none"/>
        </w:rPr>
        <w:t>9）</w:t>
      </w:r>
      <w:r>
        <w:rPr>
          <w:rStyle w:val="56"/>
          <w:rFonts w:hint="default" w:ascii="Times New Roman" w:hAnsi="Times New Roman" w:cs="Times New Roman"/>
          <w:bCs/>
          <w:color w:val="auto"/>
          <w:kern w:val="2"/>
          <w:sz w:val="21"/>
          <w:szCs w:val="21"/>
          <w:highlight w:val="none"/>
        </w:rPr>
        <w:t>承包人必须承担办理整个工程（含土建部分）相关部门的报审、竣工验收、移交等相关手续，并承担相关费用。</w:t>
      </w:r>
    </w:p>
    <w:p w14:paraId="1487FFFF">
      <w:pPr>
        <w:pStyle w:val="58"/>
        <w:spacing w:line="360" w:lineRule="auto"/>
        <w:ind w:firstLine="39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10）约定承包人应做的其他工作及费用承担：</w:t>
      </w:r>
      <w:r>
        <w:rPr>
          <w:rStyle w:val="56"/>
          <w:rFonts w:hint="default" w:ascii="Times New Roman" w:hAnsi="Times New Roman" w:cs="Times New Roman"/>
          <w:color w:val="auto"/>
          <w:kern w:val="2"/>
          <w:sz w:val="21"/>
          <w:szCs w:val="21"/>
          <w:highlight w:val="none"/>
          <w:u w:val="single"/>
        </w:rPr>
        <w:t>另行协商。</w:t>
      </w:r>
      <w:r>
        <w:rPr>
          <w:rStyle w:val="56"/>
          <w:rFonts w:hint="default" w:ascii="Times New Roman" w:hAnsi="Times New Roman" w:cs="Times New Roman"/>
          <w:color w:val="auto"/>
          <w:kern w:val="2"/>
          <w:sz w:val="21"/>
          <w:szCs w:val="21"/>
          <w:highlight w:val="none"/>
        </w:rPr>
        <w:t xml:space="preserve"> </w:t>
      </w:r>
    </w:p>
    <w:p w14:paraId="69ED8024">
      <w:pPr>
        <w:pStyle w:val="57"/>
        <w:spacing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3.2 项目经理</w:t>
      </w:r>
    </w:p>
    <w:p w14:paraId="2DBF31AD">
      <w:pPr>
        <w:pStyle w:val="57"/>
        <w:spacing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sz w:val="21"/>
          <w:szCs w:val="21"/>
          <w:highlight w:val="none"/>
        </w:rPr>
        <w:t xml:space="preserve">3.2.1 </w:t>
      </w:r>
      <w:r>
        <w:rPr>
          <w:rStyle w:val="56"/>
          <w:rFonts w:hint="default" w:ascii="Times New Roman" w:hAnsi="Times New Roman" w:cs="Times New Roman"/>
          <w:color w:val="auto"/>
          <w:kern w:val="2"/>
          <w:sz w:val="21"/>
          <w:szCs w:val="21"/>
          <w:highlight w:val="none"/>
        </w:rPr>
        <w:t>项目经理：</w:t>
      </w:r>
    </w:p>
    <w:p w14:paraId="132AAC16">
      <w:pPr>
        <w:pStyle w:val="57"/>
        <w:spacing w:line="360" w:lineRule="auto"/>
        <w:ind w:firstLine="600"/>
        <w:jc w:val="left"/>
        <w:rPr>
          <w:rStyle w:val="56"/>
          <w:rFonts w:hint="default" w:ascii="Times New Roman" w:hAnsi="Times New Roman" w:cs="Times New Roman"/>
          <w:color w:val="auto"/>
          <w:sz w:val="21"/>
          <w:szCs w:val="21"/>
          <w:highlight w:val="none"/>
        </w:rPr>
      </w:pPr>
      <w:r>
        <w:rPr>
          <w:rStyle w:val="56"/>
          <w:rFonts w:hint="default" w:ascii="Times New Roman" w:hAnsi="Times New Roman" w:cs="Times New Roman"/>
          <w:color w:val="auto"/>
          <w:sz w:val="21"/>
          <w:szCs w:val="21"/>
          <w:highlight w:val="none"/>
        </w:rPr>
        <w:t>关于项目经理每月在施工现场的时间要求：</w:t>
      </w:r>
      <w:r>
        <w:rPr>
          <w:rStyle w:val="56"/>
          <w:rFonts w:hint="eastAsia" w:ascii="Times New Roman" w:hAnsi="Times New Roman" w:cs="Times New Roman"/>
          <w:color w:val="auto"/>
          <w:sz w:val="21"/>
          <w:szCs w:val="21"/>
          <w:highlight w:val="none"/>
          <w:u w:val="single"/>
          <w:lang w:val="en-US" w:eastAsia="zh-CN"/>
        </w:rPr>
        <w:t>未经招标人允许，不得擅自更换项目经理，项目经理</w:t>
      </w:r>
      <w:r>
        <w:rPr>
          <w:rStyle w:val="56"/>
          <w:rFonts w:hint="eastAsia" w:ascii="Times New Roman" w:hAnsi="Times New Roman" w:cs="Times New Roman"/>
          <w:color w:val="auto"/>
          <w:sz w:val="21"/>
          <w:szCs w:val="21"/>
          <w:highlight w:val="none"/>
          <w:u w:val="single"/>
          <w:lang w:val="en-US" w:eastAsia="zh-CN"/>
        </w:rPr>
        <w:t>每月在施工现场时间不少于24天</w:t>
      </w:r>
      <w:r>
        <w:rPr>
          <w:rStyle w:val="56"/>
          <w:rFonts w:hint="default" w:ascii="Times New Roman" w:hAnsi="Times New Roman" w:cs="Times New Roman"/>
          <w:color w:val="auto"/>
          <w:kern w:val="2"/>
          <w:sz w:val="21"/>
          <w:szCs w:val="21"/>
          <w:highlight w:val="none"/>
        </w:rPr>
        <w:t>。</w:t>
      </w:r>
    </w:p>
    <w:p w14:paraId="40071ABB">
      <w:pPr>
        <w:pStyle w:val="57"/>
        <w:spacing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sz w:val="21"/>
          <w:szCs w:val="21"/>
          <w:highlight w:val="none"/>
        </w:rPr>
        <w:t>项目经理未经批准，擅自离开施工现场的违约责任：</w:t>
      </w:r>
      <w:r>
        <w:rPr>
          <w:rStyle w:val="56"/>
          <w:rFonts w:hint="default" w:ascii="Times New Roman" w:hAnsi="Times New Roman" w:cs="Times New Roman"/>
          <w:color w:val="auto"/>
          <w:kern w:val="2"/>
          <w:sz w:val="21"/>
          <w:szCs w:val="21"/>
          <w:highlight w:val="none"/>
          <w:u w:val="single"/>
        </w:rPr>
        <w:t>承担违约金</w:t>
      </w:r>
      <w:r>
        <w:rPr>
          <w:rStyle w:val="56"/>
          <w:rFonts w:hint="eastAsia" w:ascii="Times New Roman" w:hAnsi="Times New Roman" w:cs="Times New Roman"/>
          <w:color w:val="auto"/>
          <w:kern w:val="2"/>
          <w:sz w:val="21"/>
          <w:szCs w:val="21"/>
          <w:highlight w:val="none"/>
          <w:u w:val="single"/>
          <w:lang w:val="en-US" w:eastAsia="zh-CN"/>
        </w:rPr>
        <w:t>10</w:t>
      </w:r>
      <w:r>
        <w:rPr>
          <w:rStyle w:val="56"/>
          <w:rFonts w:hint="default" w:ascii="Times New Roman" w:hAnsi="Times New Roman" w:cs="Times New Roman"/>
          <w:color w:val="auto"/>
          <w:kern w:val="2"/>
          <w:sz w:val="21"/>
          <w:szCs w:val="21"/>
          <w:highlight w:val="none"/>
          <w:u w:val="single"/>
        </w:rPr>
        <w:t>万元，并承担上述违约给发包人造成的一切损失</w:t>
      </w:r>
      <w:r>
        <w:rPr>
          <w:rStyle w:val="56"/>
          <w:rFonts w:hint="default" w:ascii="Times New Roman" w:hAnsi="Times New Roman" w:cs="Times New Roman"/>
          <w:color w:val="auto"/>
          <w:kern w:val="2"/>
          <w:sz w:val="21"/>
          <w:szCs w:val="21"/>
          <w:highlight w:val="none"/>
        </w:rPr>
        <w:t>。</w:t>
      </w:r>
    </w:p>
    <w:p w14:paraId="75B63A6D">
      <w:pPr>
        <w:pStyle w:val="57"/>
        <w:spacing w:line="360" w:lineRule="auto"/>
        <w:ind w:firstLine="600"/>
        <w:rPr>
          <w:rStyle w:val="56"/>
          <w:rFonts w:hint="default" w:ascii="Times New Roman" w:hAnsi="Times New Roman" w:cs="Times New Roman"/>
          <w:color w:val="auto"/>
          <w:kern w:val="2"/>
          <w:sz w:val="21"/>
          <w:szCs w:val="21"/>
          <w:highlight w:val="none"/>
          <w:u w:val="single"/>
        </w:rPr>
      </w:pPr>
      <w:r>
        <w:rPr>
          <w:rStyle w:val="56"/>
          <w:rFonts w:hint="default" w:ascii="Times New Roman" w:hAnsi="Times New Roman" w:cs="Times New Roman"/>
          <w:color w:val="auto"/>
          <w:kern w:val="2"/>
          <w:sz w:val="21"/>
          <w:szCs w:val="21"/>
          <w:highlight w:val="none"/>
        </w:rPr>
        <w:t>3.2.3 承包人擅自更换项目经理的违约责任：</w:t>
      </w:r>
      <w:r>
        <w:rPr>
          <w:rStyle w:val="56"/>
          <w:rFonts w:hint="default" w:ascii="Times New Roman" w:hAnsi="Times New Roman" w:cs="Times New Roman"/>
          <w:color w:val="auto"/>
          <w:kern w:val="2"/>
          <w:sz w:val="21"/>
          <w:szCs w:val="21"/>
          <w:highlight w:val="none"/>
          <w:u w:val="single"/>
        </w:rPr>
        <w:t>承担违约金</w:t>
      </w:r>
      <w:r>
        <w:rPr>
          <w:rStyle w:val="56"/>
          <w:rFonts w:hint="eastAsia" w:ascii="Times New Roman" w:hAnsi="Times New Roman" w:cs="Times New Roman"/>
          <w:color w:val="auto"/>
          <w:kern w:val="2"/>
          <w:sz w:val="21"/>
          <w:szCs w:val="21"/>
          <w:highlight w:val="none"/>
          <w:u w:val="single"/>
          <w:lang w:val="en-US" w:eastAsia="zh-CN"/>
        </w:rPr>
        <w:t>10</w:t>
      </w:r>
      <w:r>
        <w:rPr>
          <w:rStyle w:val="56"/>
          <w:rFonts w:hint="default" w:ascii="Times New Roman" w:hAnsi="Times New Roman" w:cs="Times New Roman"/>
          <w:color w:val="auto"/>
          <w:kern w:val="2"/>
          <w:sz w:val="21"/>
          <w:szCs w:val="21"/>
          <w:highlight w:val="none"/>
          <w:u w:val="single"/>
        </w:rPr>
        <w:t>万元，并承担上述违约给发包人造成的一切损失</w:t>
      </w:r>
      <w:r>
        <w:rPr>
          <w:rStyle w:val="56"/>
          <w:rFonts w:hint="default" w:ascii="Times New Roman" w:hAnsi="Times New Roman" w:cs="Times New Roman"/>
          <w:color w:val="auto"/>
          <w:kern w:val="2"/>
          <w:sz w:val="21"/>
          <w:szCs w:val="21"/>
          <w:highlight w:val="none"/>
        </w:rPr>
        <w:t>。</w:t>
      </w:r>
    </w:p>
    <w:p w14:paraId="25AB2AD9">
      <w:pPr>
        <w:pStyle w:val="57"/>
        <w:spacing w:line="360" w:lineRule="auto"/>
        <w:ind w:firstLine="585"/>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3.2.4 承包人无正当理由拒绝更换项目经理的</w:t>
      </w:r>
      <w:r>
        <w:rPr>
          <w:rStyle w:val="56"/>
          <w:rFonts w:hint="default" w:ascii="Times New Roman" w:hAnsi="Times New Roman" w:eastAsia="宋体" w:cs="Times New Roman"/>
          <w:color w:val="auto"/>
          <w:kern w:val="2"/>
          <w:sz w:val="21"/>
          <w:szCs w:val="21"/>
          <w:highlight w:val="none"/>
        </w:rPr>
        <w:t>违约责任：</w:t>
      </w:r>
      <w:r>
        <w:rPr>
          <w:rStyle w:val="56"/>
          <w:rFonts w:hint="default" w:ascii="Times New Roman" w:hAnsi="Times New Roman" w:cs="Times New Roman"/>
          <w:color w:val="auto"/>
          <w:kern w:val="2"/>
          <w:sz w:val="21"/>
          <w:szCs w:val="21"/>
          <w:highlight w:val="none"/>
          <w:u w:val="single"/>
        </w:rPr>
        <w:t>承担违约金</w:t>
      </w:r>
      <w:r>
        <w:rPr>
          <w:rStyle w:val="56"/>
          <w:rFonts w:hint="eastAsia" w:ascii="Times New Roman" w:hAnsi="Times New Roman" w:cs="Times New Roman"/>
          <w:color w:val="auto"/>
          <w:kern w:val="2"/>
          <w:sz w:val="21"/>
          <w:szCs w:val="21"/>
          <w:highlight w:val="none"/>
          <w:u w:val="single"/>
          <w:lang w:val="en-US" w:eastAsia="zh-CN"/>
        </w:rPr>
        <w:t>10</w:t>
      </w:r>
      <w:r>
        <w:rPr>
          <w:rStyle w:val="56"/>
          <w:rFonts w:hint="default" w:ascii="Times New Roman" w:hAnsi="Times New Roman" w:cs="Times New Roman"/>
          <w:color w:val="auto"/>
          <w:kern w:val="2"/>
          <w:sz w:val="21"/>
          <w:szCs w:val="21"/>
          <w:highlight w:val="none"/>
          <w:u w:val="single"/>
        </w:rPr>
        <w:t>万元，并承担上述违约给发包人造成的一切损失</w:t>
      </w:r>
      <w:r>
        <w:rPr>
          <w:rStyle w:val="56"/>
          <w:rFonts w:hint="default" w:ascii="Times New Roman" w:hAnsi="Times New Roman" w:cs="Times New Roman"/>
          <w:color w:val="auto"/>
          <w:kern w:val="2"/>
          <w:sz w:val="21"/>
          <w:szCs w:val="21"/>
          <w:highlight w:val="none"/>
        </w:rPr>
        <w:t>。</w:t>
      </w:r>
    </w:p>
    <w:p w14:paraId="4752BE01">
      <w:pPr>
        <w:pStyle w:val="57"/>
        <w:spacing w:line="360" w:lineRule="auto"/>
        <w:ind w:firstLine="585"/>
        <w:rPr>
          <w:rStyle w:val="56"/>
          <w:rFonts w:hint="eastAsia" w:ascii="Times New Roman" w:hAnsi="Times New Roman" w:cs="Times New Roman"/>
          <w:color w:val="auto"/>
          <w:kern w:val="2"/>
          <w:sz w:val="21"/>
          <w:szCs w:val="21"/>
          <w:highlight w:val="none"/>
          <w:lang w:val="en-US" w:eastAsia="zh-CN"/>
        </w:rPr>
      </w:pPr>
      <w:r>
        <w:rPr>
          <w:rStyle w:val="56"/>
          <w:rFonts w:hint="eastAsia" w:ascii="Times New Roman" w:hAnsi="Times New Roman" w:cs="Times New Roman"/>
          <w:color w:val="auto"/>
          <w:kern w:val="2"/>
          <w:sz w:val="21"/>
          <w:szCs w:val="21"/>
          <w:highlight w:val="none"/>
          <w:lang w:val="en-US" w:eastAsia="zh-CN"/>
        </w:rPr>
        <w:t>3.3技术负责人</w:t>
      </w:r>
    </w:p>
    <w:p w14:paraId="31C0281B">
      <w:pPr>
        <w:pStyle w:val="57"/>
        <w:spacing w:line="360" w:lineRule="auto"/>
        <w:ind w:firstLine="600"/>
        <w:jc w:val="left"/>
        <w:rPr>
          <w:rStyle w:val="56"/>
          <w:rFonts w:hint="default" w:ascii="Times New Roman" w:hAnsi="Times New Roman" w:cs="Times New Roman"/>
          <w:color w:val="auto"/>
          <w:sz w:val="21"/>
          <w:szCs w:val="21"/>
          <w:highlight w:val="none"/>
        </w:rPr>
      </w:pPr>
      <w:r>
        <w:rPr>
          <w:rStyle w:val="56"/>
          <w:rFonts w:hint="eastAsia" w:ascii="Times New Roman" w:hAnsi="Times New Roman" w:cs="Times New Roman"/>
          <w:color w:val="auto"/>
          <w:sz w:val="21"/>
          <w:szCs w:val="21"/>
          <w:highlight w:val="none"/>
          <w:lang w:val="en-US" w:eastAsia="zh-CN"/>
        </w:rPr>
        <w:t>3.3.1</w:t>
      </w:r>
      <w:r>
        <w:rPr>
          <w:rStyle w:val="56"/>
          <w:rFonts w:hint="default" w:ascii="Times New Roman" w:hAnsi="Times New Roman" w:cs="Times New Roman"/>
          <w:color w:val="auto"/>
          <w:sz w:val="21"/>
          <w:szCs w:val="21"/>
          <w:highlight w:val="none"/>
        </w:rPr>
        <w:t>关于</w:t>
      </w:r>
      <w:r>
        <w:rPr>
          <w:rStyle w:val="56"/>
          <w:rFonts w:hint="eastAsia" w:ascii="Times New Roman" w:hAnsi="Times New Roman" w:cs="Times New Roman"/>
          <w:color w:val="auto"/>
          <w:sz w:val="21"/>
          <w:szCs w:val="21"/>
          <w:highlight w:val="none"/>
          <w:lang w:eastAsia="zh-CN"/>
        </w:rPr>
        <w:t>技术负责人</w:t>
      </w:r>
      <w:r>
        <w:rPr>
          <w:rStyle w:val="56"/>
          <w:rFonts w:hint="default" w:ascii="Times New Roman" w:hAnsi="Times New Roman" w:cs="Times New Roman"/>
          <w:color w:val="auto"/>
          <w:sz w:val="21"/>
          <w:szCs w:val="21"/>
          <w:highlight w:val="none"/>
        </w:rPr>
        <w:t>每月在施工现场的时间要求：</w:t>
      </w:r>
      <w:r>
        <w:rPr>
          <w:rStyle w:val="56"/>
          <w:rFonts w:hint="eastAsia" w:ascii="Times New Roman" w:hAnsi="Times New Roman" w:cs="Times New Roman"/>
          <w:color w:val="auto"/>
          <w:sz w:val="21"/>
          <w:szCs w:val="21"/>
          <w:highlight w:val="none"/>
          <w:u w:val="single"/>
          <w:lang w:val="en-US" w:eastAsia="zh-CN"/>
        </w:rPr>
        <w:t>未经招标人允许，不得擅自更换技术负责人，技术负责人每月在施工现场时间不少于24天</w:t>
      </w:r>
      <w:r>
        <w:rPr>
          <w:rStyle w:val="56"/>
          <w:rFonts w:hint="default" w:ascii="Times New Roman" w:hAnsi="Times New Roman" w:cs="Times New Roman"/>
          <w:color w:val="auto"/>
          <w:kern w:val="2"/>
          <w:sz w:val="21"/>
          <w:szCs w:val="21"/>
          <w:highlight w:val="none"/>
        </w:rPr>
        <w:t>。</w:t>
      </w:r>
    </w:p>
    <w:p w14:paraId="0C9F5A45">
      <w:pPr>
        <w:pStyle w:val="57"/>
        <w:spacing w:line="360" w:lineRule="auto"/>
        <w:ind w:firstLine="600"/>
        <w:rPr>
          <w:rStyle w:val="56"/>
          <w:rFonts w:hint="default" w:ascii="Times New Roman" w:hAnsi="Times New Roman" w:cs="Times New Roman"/>
          <w:color w:val="auto"/>
          <w:kern w:val="2"/>
          <w:sz w:val="21"/>
          <w:szCs w:val="21"/>
          <w:highlight w:val="none"/>
        </w:rPr>
      </w:pPr>
      <w:r>
        <w:rPr>
          <w:rStyle w:val="56"/>
          <w:rFonts w:hint="eastAsia" w:ascii="Times New Roman" w:hAnsi="Times New Roman" w:cs="Times New Roman"/>
          <w:color w:val="auto"/>
          <w:sz w:val="21"/>
          <w:szCs w:val="21"/>
          <w:highlight w:val="none"/>
          <w:lang w:val="en-US" w:eastAsia="zh-CN"/>
        </w:rPr>
        <w:t>3.2.2</w:t>
      </w:r>
      <w:r>
        <w:rPr>
          <w:rStyle w:val="56"/>
          <w:rFonts w:hint="eastAsia" w:ascii="Times New Roman" w:hAnsi="Times New Roman" w:cs="Times New Roman"/>
          <w:color w:val="auto"/>
          <w:sz w:val="21"/>
          <w:szCs w:val="21"/>
          <w:highlight w:val="none"/>
          <w:lang w:eastAsia="zh-CN"/>
        </w:rPr>
        <w:t>技术负责人</w:t>
      </w:r>
      <w:r>
        <w:rPr>
          <w:rStyle w:val="56"/>
          <w:rFonts w:hint="default" w:ascii="Times New Roman" w:hAnsi="Times New Roman" w:cs="Times New Roman"/>
          <w:color w:val="auto"/>
          <w:sz w:val="21"/>
          <w:szCs w:val="21"/>
          <w:highlight w:val="none"/>
        </w:rPr>
        <w:t>未经批准，擅自离开施工现场的违约责任：</w:t>
      </w:r>
      <w:r>
        <w:rPr>
          <w:rStyle w:val="56"/>
          <w:rFonts w:hint="default" w:ascii="Times New Roman" w:hAnsi="Times New Roman" w:cs="Times New Roman"/>
          <w:color w:val="auto"/>
          <w:kern w:val="2"/>
          <w:sz w:val="21"/>
          <w:szCs w:val="21"/>
          <w:highlight w:val="none"/>
          <w:u w:val="single"/>
        </w:rPr>
        <w:t>承担违约金</w:t>
      </w:r>
      <w:r>
        <w:rPr>
          <w:rStyle w:val="56"/>
          <w:rFonts w:hint="eastAsia" w:ascii="Times New Roman" w:hAnsi="Times New Roman" w:cs="Times New Roman"/>
          <w:color w:val="auto"/>
          <w:kern w:val="2"/>
          <w:sz w:val="21"/>
          <w:szCs w:val="21"/>
          <w:highlight w:val="none"/>
          <w:u w:val="single"/>
          <w:lang w:val="en-US" w:eastAsia="zh-CN"/>
        </w:rPr>
        <w:t>10</w:t>
      </w:r>
      <w:r>
        <w:rPr>
          <w:rStyle w:val="56"/>
          <w:rFonts w:hint="default" w:ascii="Times New Roman" w:hAnsi="Times New Roman" w:cs="Times New Roman"/>
          <w:color w:val="auto"/>
          <w:kern w:val="2"/>
          <w:sz w:val="21"/>
          <w:szCs w:val="21"/>
          <w:highlight w:val="none"/>
          <w:u w:val="single"/>
        </w:rPr>
        <w:t>万元，并承担上述违约给发包人造成的一切损失</w:t>
      </w:r>
      <w:r>
        <w:rPr>
          <w:rStyle w:val="56"/>
          <w:rFonts w:hint="default" w:ascii="Times New Roman" w:hAnsi="Times New Roman" w:cs="Times New Roman"/>
          <w:color w:val="auto"/>
          <w:kern w:val="2"/>
          <w:sz w:val="21"/>
          <w:szCs w:val="21"/>
          <w:highlight w:val="none"/>
        </w:rPr>
        <w:t>。</w:t>
      </w:r>
    </w:p>
    <w:p w14:paraId="7881A866">
      <w:pPr>
        <w:pStyle w:val="57"/>
        <w:spacing w:line="360" w:lineRule="auto"/>
        <w:ind w:firstLine="600"/>
        <w:rPr>
          <w:rStyle w:val="56"/>
          <w:rFonts w:hint="default" w:ascii="Times New Roman" w:hAnsi="Times New Roman" w:cs="Times New Roman"/>
          <w:color w:val="auto"/>
          <w:kern w:val="2"/>
          <w:sz w:val="21"/>
          <w:szCs w:val="21"/>
          <w:highlight w:val="none"/>
          <w:u w:val="single"/>
        </w:rPr>
      </w:pPr>
      <w:r>
        <w:rPr>
          <w:rStyle w:val="56"/>
          <w:rFonts w:hint="default" w:ascii="Times New Roman" w:hAnsi="Times New Roman" w:cs="Times New Roman"/>
          <w:color w:val="auto"/>
          <w:kern w:val="2"/>
          <w:sz w:val="21"/>
          <w:szCs w:val="21"/>
          <w:highlight w:val="none"/>
        </w:rPr>
        <w:t>3.</w:t>
      </w:r>
      <w:r>
        <w:rPr>
          <w:rStyle w:val="56"/>
          <w:rFonts w:hint="eastAsia" w:ascii="Times New Roman" w:hAnsi="Times New Roman" w:cs="Times New Roman"/>
          <w:color w:val="auto"/>
          <w:kern w:val="2"/>
          <w:sz w:val="21"/>
          <w:szCs w:val="21"/>
          <w:highlight w:val="none"/>
          <w:lang w:val="en-US" w:eastAsia="zh-CN"/>
        </w:rPr>
        <w:t>3</w:t>
      </w:r>
      <w:r>
        <w:rPr>
          <w:rStyle w:val="56"/>
          <w:rFonts w:hint="default" w:ascii="Times New Roman" w:hAnsi="Times New Roman" w:cs="Times New Roman"/>
          <w:color w:val="auto"/>
          <w:kern w:val="2"/>
          <w:sz w:val="21"/>
          <w:szCs w:val="21"/>
          <w:highlight w:val="none"/>
        </w:rPr>
        <w:t>.3 承包人擅自更换</w:t>
      </w:r>
      <w:r>
        <w:rPr>
          <w:rStyle w:val="56"/>
          <w:rFonts w:hint="eastAsia" w:ascii="Times New Roman" w:hAnsi="Times New Roman" w:cs="Times New Roman"/>
          <w:color w:val="auto"/>
          <w:kern w:val="2"/>
          <w:sz w:val="21"/>
          <w:szCs w:val="21"/>
          <w:highlight w:val="none"/>
          <w:lang w:eastAsia="zh-CN"/>
        </w:rPr>
        <w:t>技术负责人</w:t>
      </w:r>
      <w:r>
        <w:rPr>
          <w:rStyle w:val="56"/>
          <w:rFonts w:hint="default" w:ascii="Times New Roman" w:hAnsi="Times New Roman" w:cs="Times New Roman"/>
          <w:color w:val="auto"/>
          <w:kern w:val="2"/>
          <w:sz w:val="21"/>
          <w:szCs w:val="21"/>
          <w:highlight w:val="none"/>
        </w:rPr>
        <w:t>的违约责任：</w:t>
      </w:r>
      <w:r>
        <w:rPr>
          <w:rStyle w:val="56"/>
          <w:rFonts w:hint="default" w:ascii="Times New Roman" w:hAnsi="Times New Roman" w:cs="Times New Roman"/>
          <w:color w:val="auto"/>
          <w:kern w:val="2"/>
          <w:sz w:val="21"/>
          <w:szCs w:val="21"/>
          <w:highlight w:val="none"/>
          <w:u w:val="single"/>
        </w:rPr>
        <w:t>承担违约金</w:t>
      </w:r>
      <w:r>
        <w:rPr>
          <w:rStyle w:val="56"/>
          <w:rFonts w:hint="eastAsia" w:ascii="Times New Roman" w:hAnsi="Times New Roman" w:cs="Times New Roman"/>
          <w:color w:val="auto"/>
          <w:kern w:val="2"/>
          <w:sz w:val="21"/>
          <w:szCs w:val="21"/>
          <w:highlight w:val="none"/>
          <w:u w:val="single"/>
          <w:lang w:val="en-US" w:eastAsia="zh-CN"/>
        </w:rPr>
        <w:t>10</w:t>
      </w:r>
      <w:r>
        <w:rPr>
          <w:rStyle w:val="56"/>
          <w:rFonts w:hint="default" w:ascii="Times New Roman" w:hAnsi="Times New Roman" w:cs="Times New Roman"/>
          <w:color w:val="auto"/>
          <w:kern w:val="2"/>
          <w:sz w:val="21"/>
          <w:szCs w:val="21"/>
          <w:highlight w:val="none"/>
          <w:u w:val="single"/>
        </w:rPr>
        <w:t>万元，并承担上述违约给发包人造成的一切损失</w:t>
      </w:r>
      <w:r>
        <w:rPr>
          <w:rStyle w:val="56"/>
          <w:rFonts w:hint="default" w:ascii="Times New Roman" w:hAnsi="Times New Roman" w:cs="Times New Roman"/>
          <w:color w:val="auto"/>
          <w:kern w:val="2"/>
          <w:sz w:val="21"/>
          <w:szCs w:val="21"/>
          <w:highlight w:val="none"/>
        </w:rPr>
        <w:t>。</w:t>
      </w:r>
    </w:p>
    <w:p w14:paraId="30692791">
      <w:pPr>
        <w:pStyle w:val="57"/>
        <w:spacing w:line="360" w:lineRule="auto"/>
        <w:ind w:firstLine="585"/>
        <w:rPr>
          <w:rStyle w:val="56"/>
          <w:rFonts w:hint="default" w:ascii="Times New Roman" w:hAnsi="Times New Roman" w:cs="Times New Roman"/>
          <w:color w:val="auto"/>
          <w:kern w:val="2"/>
          <w:sz w:val="21"/>
          <w:szCs w:val="21"/>
          <w:highlight w:val="none"/>
          <w:lang w:val="en-US" w:eastAsia="zh-CN"/>
        </w:rPr>
      </w:pPr>
      <w:r>
        <w:rPr>
          <w:rStyle w:val="56"/>
          <w:rFonts w:hint="default" w:ascii="Times New Roman" w:hAnsi="Times New Roman" w:cs="Times New Roman"/>
          <w:color w:val="auto"/>
          <w:kern w:val="2"/>
          <w:sz w:val="21"/>
          <w:szCs w:val="21"/>
          <w:highlight w:val="none"/>
        </w:rPr>
        <w:t>3.</w:t>
      </w:r>
      <w:r>
        <w:rPr>
          <w:rStyle w:val="56"/>
          <w:rFonts w:hint="eastAsia" w:ascii="Times New Roman" w:hAnsi="Times New Roman" w:cs="Times New Roman"/>
          <w:color w:val="auto"/>
          <w:kern w:val="2"/>
          <w:sz w:val="21"/>
          <w:szCs w:val="21"/>
          <w:highlight w:val="none"/>
          <w:lang w:val="en-US" w:eastAsia="zh-CN"/>
        </w:rPr>
        <w:t>3</w:t>
      </w:r>
      <w:r>
        <w:rPr>
          <w:rStyle w:val="56"/>
          <w:rFonts w:hint="default" w:ascii="Times New Roman" w:hAnsi="Times New Roman" w:cs="Times New Roman"/>
          <w:color w:val="auto"/>
          <w:kern w:val="2"/>
          <w:sz w:val="21"/>
          <w:szCs w:val="21"/>
          <w:highlight w:val="none"/>
        </w:rPr>
        <w:t>.4 承包人无正当理由拒绝更换</w:t>
      </w:r>
      <w:r>
        <w:rPr>
          <w:rStyle w:val="56"/>
          <w:rFonts w:hint="eastAsia" w:ascii="Times New Roman" w:hAnsi="Times New Roman" w:cs="Times New Roman"/>
          <w:color w:val="auto"/>
          <w:kern w:val="2"/>
          <w:sz w:val="21"/>
          <w:szCs w:val="21"/>
          <w:highlight w:val="none"/>
          <w:lang w:eastAsia="zh-CN"/>
        </w:rPr>
        <w:t>技术负责人</w:t>
      </w:r>
      <w:r>
        <w:rPr>
          <w:rStyle w:val="56"/>
          <w:rFonts w:hint="default" w:ascii="Times New Roman" w:hAnsi="Times New Roman" w:cs="Times New Roman"/>
          <w:color w:val="auto"/>
          <w:kern w:val="2"/>
          <w:sz w:val="21"/>
          <w:szCs w:val="21"/>
          <w:highlight w:val="none"/>
        </w:rPr>
        <w:t>的</w:t>
      </w:r>
      <w:r>
        <w:rPr>
          <w:rStyle w:val="56"/>
          <w:rFonts w:hint="default" w:ascii="Times New Roman" w:hAnsi="Times New Roman" w:eastAsia="宋体" w:cs="Times New Roman"/>
          <w:color w:val="auto"/>
          <w:kern w:val="2"/>
          <w:sz w:val="21"/>
          <w:szCs w:val="21"/>
          <w:highlight w:val="none"/>
        </w:rPr>
        <w:t>违约责任：</w:t>
      </w:r>
      <w:r>
        <w:rPr>
          <w:rStyle w:val="56"/>
          <w:rFonts w:hint="default" w:ascii="Times New Roman" w:hAnsi="Times New Roman" w:cs="Times New Roman"/>
          <w:color w:val="auto"/>
          <w:kern w:val="2"/>
          <w:sz w:val="21"/>
          <w:szCs w:val="21"/>
          <w:highlight w:val="none"/>
          <w:u w:val="single"/>
        </w:rPr>
        <w:t>承担违约金</w:t>
      </w:r>
      <w:r>
        <w:rPr>
          <w:rStyle w:val="56"/>
          <w:rFonts w:hint="eastAsia" w:ascii="Times New Roman" w:hAnsi="Times New Roman" w:cs="Times New Roman"/>
          <w:color w:val="auto"/>
          <w:kern w:val="2"/>
          <w:sz w:val="21"/>
          <w:szCs w:val="21"/>
          <w:highlight w:val="none"/>
          <w:u w:val="single"/>
          <w:lang w:val="en-US" w:eastAsia="zh-CN"/>
        </w:rPr>
        <w:t>10</w:t>
      </w:r>
      <w:r>
        <w:rPr>
          <w:rStyle w:val="56"/>
          <w:rFonts w:hint="default" w:ascii="Times New Roman" w:hAnsi="Times New Roman" w:cs="Times New Roman"/>
          <w:color w:val="auto"/>
          <w:kern w:val="2"/>
          <w:sz w:val="21"/>
          <w:szCs w:val="21"/>
          <w:highlight w:val="none"/>
          <w:u w:val="single"/>
        </w:rPr>
        <w:t>万元，并承担上述违约给发包人造成的一切损失</w:t>
      </w:r>
      <w:r>
        <w:rPr>
          <w:rStyle w:val="56"/>
          <w:rFonts w:hint="default" w:ascii="Times New Roman" w:hAnsi="Times New Roman" w:cs="Times New Roman"/>
          <w:color w:val="auto"/>
          <w:kern w:val="2"/>
          <w:sz w:val="21"/>
          <w:szCs w:val="21"/>
          <w:highlight w:val="none"/>
        </w:rPr>
        <w:t>。</w:t>
      </w:r>
    </w:p>
    <w:p w14:paraId="4A92515C">
      <w:pPr>
        <w:pStyle w:val="57"/>
        <w:spacing w:line="360" w:lineRule="auto"/>
        <w:ind w:firstLine="585"/>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3.3 承包人人员</w:t>
      </w:r>
    </w:p>
    <w:p w14:paraId="3A03BBC2">
      <w:pPr>
        <w:pStyle w:val="57"/>
        <w:spacing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3.3.1 承包人提交项目管理机构及施工现场管理人员安排报告的期限：</w:t>
      </w:r>
      <w:r>
        <w:rPr>
          <w:rStyle w:val="56"/>
          <w:rFonts w:hint="default" w:ascii="Times New Roman" w:hAnsi="Times New Roman" w:cs="Times New Roman"/>
          <w:color w:val="auto"/>
          <w:kern w:val="2"/>
          <w:sz w:val="21"/>
          <w:szCs w:val="21"/>
          <w:highlight w:val="none"/>
          <w:u w:val="single"/>
        </w:rPr>
        <w:t>开工前2日</w:t>
      </w:r>
      <w:r>
        <w:rPr>
          <w:rStyle w:val="56"/>
          <w:rFonts w:hint="default" w:ascii="Times New Roman" w:hAnsi="Times New Roman" w:cs="Times New Roman"/>
          <w:color w:val="auto"/>
          <w:kern w:val="2"/>
          <w:sz w:val="21"/>
          <w:szCs w:val="21"/>
          <w:highlight w:val="none"/>
        </w:rPr>
        <w:t>。</w:t>
      </w:r>
    </w:p>
    <w:p w14:paraId="35195368">
      <w:pPr>
        <w:pStyle w:val="57"/>
        <w:spacing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3.3.3 承包人无正当理由拒绝撤换主要施工管理人员的违约责任：</w:t>
      </w:r>
      <w:r>
        <w:rPr>
          <w:rStyle w:val="56"/>
          <w:rFonts w:hint="default" w:ascii="Times New Roman" w:hAnsi="Times New Roman" w:cs="Times New Roman"/>
          <w:color w:val="auto"/>
          <w:kern w:val="2"/>
          <w:sz w:val="21"/>
          <w:szCs w:val="21"/>
          <w:highlight w:val="none"/>
          <w:u w:val="single"/>
        </w:rPr>
        <w:t>承担违约金3万元，并承担上述违约给发包人造成的一切损失</w:t>
      </w:r>
      <w:r>
        <w:rPr>
          <w:rStyle w:val="56"/>
          <w:rFonts w:hint="default" w:ascii="Times New Roman" w:hAnsi="Times New Roman" w:cs="Times New Roman"/>
          <w:color w:val="auto"/>
          <w:kern w:val="2"/>
          <w:sz w:val="21"/>
          <w:szCs w:val="21"/>
          <w:highlight w:val="none"/>
        </w:rPr>
        <w:t>。</w:t>
      </w:r>
    </w:p>
    <w:p w14:paraId="76E0D4B0">
      <w:pPr>
        <w:pStyle w:val="57"/>
        <w:spacing w:line="360" w:lineRule="auto"/>
        <w:ind w:firstLine="600"/>
        <w:rPr>
          <w:rStyle w:val="56"/>
          <w:rFonts w:hint="default" w:ascii="Times New Roman" w:hAnsi="Times New Roman" w:cs="Times New Roman"/>
          <w:color w:val="auto"/>
          <w:kern w:val="2"/>
          <w:sz w:val="21"/>
          <w:szCs w:val="21"/>
          <w:highlight w:val="none"/>
          <w:u w:val="single"/>
        </w:rPr>
      </w:pPr>
      <w:r>
        <w:rPr>
          <w:rStyle w:val="56"/>
          <w:rFonts w:hint="default" w:ascii="Times New Roman" w:hAnsi="Times New Roman" w:cs="Times New Roman"/>
          <w:color w:val="auto"/>
          <w:kern w:val="2"/>
          <w:sz w:val="21"/>
          <w:szCs w:val="21"/>
          <w:highlight w:val="none"/>
        </w:rPr>
        <w:t xml:space="preserve">3.3.4 承包人主要施工管理人员离开施工现场的批准要求：   </w:t>
      </w:r>
    </w:p>
    <w:p w14:paraId="2AE34047">
      <w:pPr>
        <w:pStyle w:val="57"/>
        <w:spacing w:line="360" w:lineRule="auto"/>
        <w:ind w:firstLine="600"/>
        <w:rPr>
          <w:rStyle w:val="56"/>
          <w:rFonts w:hint="default" w:ascii="Times New Roman" w:hAnsi="Times New Roman" w:cs="Times New Roman"/>
          <w:color w:val="auto"/>
          <w:kern w:val="2"/>
          <w:sz w:val="21"/>
          <w:szCs w:val="21"/>
          <w:highlight w:val="none"/>
          <w:u w:val="single"/>
        </w:rPr>
      </w:pPr>
      <w:r>
        <w:rPr>
          <w:rStyle w:val="56"/>
          <w:rFonts w:hint="default" w:ascii="Times New Roman" w:hAnsi="Times New Roman" w:cs="Times New Roman"/>
          <w:color w:val="auto"/>
          <w:kern w:val="2"/>
          <w:sz w:val="21"/>
          <w:szCs w:val="21"/>
          <w:highlight w:val="none"/>
          <w:u w:val="single"/>
        </w:rPr>
        <w:t>项目负责人批准并经发包人认可后方可离开</w:t>
      </w:r>
      <w:r>
        <w:rPr>
          <w:rStyle w:val="56"/>
          <w:rFonts w:hint="default" w:ascii="Times New Roman" w:hAnsi="Times New Roman" w:cs="Times New Roman"/>
          <w:color w:val="auto"/>
          <w:kern w:val="2"/>
          <w:sz w:val="21"/>
          <w:szCs w:val="21"/>
          <w:highlight w:val="none"/>
        </w:rPr>
        <w:t>。</w:t>
      </w:r>
    </w:p>
    <w:p w14:paraId="5C133663">
      <w:pPr>
        <w:pStyle w:val="57"/>
        <w:spacing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3.3.5承包人擅自更换主要施工管理人员的违约责任：</w:t>
      </w:r>
      <w:r>
        <w:rPr>
          <w:rStyle w:val="56"/>
          <w:rFonts w:hint="default" w:ascii="Times New Roman" w:hAnsi="Times New Roman" w:cs="Times New Roman"/>
          <w:color w:val="auto"/>
          <w:kern w:val="2"/>
          <w:sz w:val="21"/>
          <w:szCs w:val="21"/>
          <w:highlight w:val="none"/>
          <w:u w:val="single"/>
        </w:rPr>
        <w:t>承担违约金3万元，并承担上述违约给发包人造成的一切损失</w:t>
      </w:r>
      <w:r>
        <w:rPr>
          <w:rStyle w:val="56"/>
          <w:rFonts w:hint="default" w:ascii="Times New Roman" w:hAnsi="Times New Roman" w:cs="Times New Roman"/>
          <w:color w:val="auto"/>
          <w:kern w:val="2"/>
          <w:sz w:val="21"/>
          <w:szCs w:val="21"/>
          <w:highlight w:val="none"/>
        </w:rPr>
        <w:t>。</w:t>
      </w:r>
    </w:p>
    <w:p w14:paraId="6484EA24">
      <w:pPr>
        <w:pStyle w:val="57"/>
        <w:spacing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承包人主要施工管理人员擅自离开施工现场的违约责任：</w:t>
      </w:r>
      <w:r>
        <w:rPr>
          <w:rStyle w:val="56"/>
          <w:rFonts w:hint="default" w:ascii="Times New Roman" w:hAnsi="Times New Roman" w:cs="Times New Roman"/>
          <w:color w:val="auto"/>
          <w:kern w:val="2"/>
          <w:sz w:val="21"/>
          <w:szCs w:val="21"/>
          <w:highlight w:val="none"/>
          <w:u w:val="single"/>
        </w:rPr>
        <w:t>承担违约金1万元，并承担上述违约给发包人造成的一切损失</w:t>
      </w:r>
      <w:r>
        <w:rPr>
          <w:rStyle w:val="56"/>
          <w:rFonts w:hint="default" w:ascii="Times New Roman" w:hAnsi="Times New Roman" w:cs="Times New Roman"/>
          <w:color w:val="auto"/>
          <w:kern w:val="2"/>
          <w:sz w:val="21"/>
          <w:szCs w:val="21"/>
          <w:highlight w:val="none"/>
        </w:rPr>
        <w:t>。</w:t>
      </w:r>
    </w:p>
    <w:p w14:paraId="0580A1B4">
      <w:pPr>
        <w:pStyle w:val="57"/>
        <w:spacing w:after="120"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3.5 分包</w:t>
      </w:r>
    </w:p>
    <w:p w14:paraId="2D3228EA">
      <w:pPr>
        <w:pStyle w:val="57"/>
        <w:spacing w:after="120"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本项目禁止违法分包。</w:t>
      </w:r>
    </w:p>
    <w:p w14:paraId="37E4FE8C">
      <w:pPr>
        <w:pStyle w:val="57"/>
        <w:spacing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auto"/>
          <w:kern w:val="2"/>
          <w:sz w:val="21"/>
          <w:szCs w:val="21"/>
          <w:highlight w:val="none"/>
        </w:rPr>
        <w:t>如果发现分包、转包或其他变相分包、转包行为的，发包人除有权单方</w:t>
      </w:r>
      <w:r>
        <w:rPr>
          <w:rStyle w:val="56"/>
          <w:rFonts w:hint="default" w:ascii="Times New Roman" w:hAnsi="Times New Roman" w:cs="Times New Roman"/>
          <w:color w:val="000000"/>
          <w:kern w:val="2"/>
          <w:sz w:val="21"/>
          <w:szCs w:val="21"/>
          <w:highlight w:val="none"/>
        </w:rPr>
        <w:t>解除合同外，还有权要求承包人按照合同总价款20%承担违约责任。承包人接到发包人单方解除合同的通知后7日内，必须撤出施工现场，否则，每迟延一日，应当按照合同总价款日</w:t>
      </w:r>
      <w:r>
        <w:rPr>
          <w:rStyle w:val="56"/>
          <w:rFonts w:hint="eastAsia" w:ascii="Times New Roman" w:hAnsi="Times New Roman" w:cs="Times New Roman"/>
          <w:color w:val="000000"/>
          <w:kern w:val="2"/>
          <w:sz w:val="21"/>
          <w:szCs w:val="21"/>
          <w:highlight w:val="none"/>
          <w:lang w:eastAsia="zh-CN"/>
        </w:rPr>
        <w:t>万分之五</w:t>
      </w:r>
      <w:r>
        <w:rPr>
          <w:rStyle w:val="56"/>
          <w:rFonts w:hint="default" w:ascii="Times New Roman" w:hAnsi="Times New Roman" w:cs="Times New Roman"/>
          <w:color w:val="000000"/>
          <w:kern w:val="2"/>
          <w:sz w:val="21"/>
          <w:szCs w:val="21"/>
          <w:highlight w:val="none"/>
        </w:rPr>
        <w:t>承担违约责任。</w:t>
      </w:r>
    </w:p>
    <w:p w14:paraId="21EFC820">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3.6 工程照管与成品、半成品保护</w:t>
      </w:r>
    </w:p>
    <w:p w14:paraId="3106B1FD">
      <w:pPr>
        <w:pStyle w:val="57"/>
        <w:spacing w:before="120" w:after="120" w:line="360" w:lineRule="auto"/>
        <w:ind w:firstLine="600"/>
        <w:rPr>
          <w:rStyle w:val="56"/>
          <w:rFonts w:hint="default" w:ascii="Times New Roman" w:hAnsi="Times New Roman" w:cs="Times New Roman"/>
          <w:color w:val="000000"/>
          <w:sz w:val="21"/>
          <w:szCs w:val="21"/>
          <w:highlight w:val="none"/>
          <w:u w:val="single"/>
        </w:rPr>
      </w:pPr>
      <w:r>
        <w:rPr>
          <w:rStyle w:val="56"/>
          <w:rFonts w:hint="default" w:ascii="Times New Roman" w:hAnsi="Times New Roman" w:cs="Times New Roman"/>
          <w:color w:val="000000"/>
          <w:sz w:val="21"/>
          <w:szCs w:val="21"/>
          <w:highlight w:val="none"/>
        </w:rPr>
        <w:t>承包人负责照管工程及工程相关的材料、工程设备的起始时间：</w:t>
      </w:r>
      <w:r>
        <w:rPr>
          <w:rStyle w:val="56"/>
          <w:rFonts w:hint="default" w:ascii="Times New Roman" w:hAnsi="Times New Roman" w:cs="Times New Roman"/>
          <w:color w:val="000000"/>
          <w:sz w:val="21"/>
          <w:szCs w:val="21"/>
          <w:highlight w:val="none"/>
          <w:u w:val="single"/>
        </w:rPr>
        <w:t>工程竣工验收合格且交付给发包人之前的成品保护由承包人负责保护并承担费用</w:t>
      </w:r>
      <w:r>
        <w:rPr>
          <w:rStyle w:val="56"/>
          <w:rFonts w:hint="default" w:ascii="Times New Roman" w:hAnsi="Times New Roman" w:cs="Times New Roman"/>
          <w:color w:val="000000"/>
          <w:sz w:val="21"/>
          <w:szCs w:val="21"/>
          <w:highlight w:val="none"/>
        </w:rPr>
        <w:t>。</w:t>
      </w:r>
    </w:p>
    <w:p w14:paraId="6606B6B9">
      <w:pPr>
        <w:pStyle w:val="57"/>
        <w:spacing w:after="120" w:line="360" w:lineRule="auto"/>
        <w:ind w:firstLine="600"/>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3.7 履约担保</w:t>
      </w:r>
    </w:p>
    <w:p w14:paraId="36EA4685">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承包人是否提供履约担保：</w:t>
      </w:r>
      <w:r>
        <w:rPr>
          <w:rStyle w:val="56"/>
          <w:rFonts w:hint="default" w:ascii="Times New Roman" w:hAnsi="Times New Roman" w:cs="Times New Roman"/>
          <w:kern w:val="2"/>
          <w:sz w:val="21"/>
          <w:szCs w:val="21"/>
          <w:highlight w:val="none"/>
          <w:u w:val="single"/>
        </w:rPr>
        <w:t>提供</w:t>
      </w:r>
      <w:r>
        <w:rPr>
          <w:rStyle w:val="56"/>
          <w:rFonts w:hint="default" w:ascii="Times New Roman" w:hAnsi="Times New Roman" w:cs="Times New Roman"/>
          <w:kern w:val="2"/>
          <w:sz w:val="21"/>
          <w:szCs w:val="21"/>
          <w:highlight w:val="none"/>
        </w:rPr>
        <w:t>。</w:t>
      </w:r>
    </w:p>
    <w:p w14:paraId="1A37DE14">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承包人提供履约担保的形式、金额及期限的：</w:t>
      </w:r>
      <w:r>
        <w:rPr>
          <w:rStyle w:val="56"/>
          <w:rFonts w:hint="default" w:ascii="Times New Roman" w:hAnsi="Times New Roman" w:cs="Times New Roman"/>
          <w:kern w:val="2"/>
          <w:sz w:val="21"/>
          <w:szCs w:val="21"/>
          <w:highlight w:val="none"/>
          <w:u w:val="single"/>
        </w:rPr>
        <w:t>承包人接到中标通知后30日内，在本合同签订前，应当向发包人交纳合同总价款</w:t>
      </w:r>
      <w:r>
        <w:rPr>
          <w:rStyle w:val="56"/>
          <w:rFonts w:hint="default" w:ascii="Times New Roman" w:hAnsi="Times New Roman" w:cs="Times New Roman"/>
          <w:kern w:val="2"/>
          <w:sz w:val="21"/>
          <w:szCs w:val="21"/>
          <w:highlight w:val="none"/>
          <w:u w:val="single"/>
          <w:lang w:val="en-US" w:eastAsia="zh-CN"/>
        </w:rPr>
        <w:t>5</w:t>
      </w:r>
      <w:r>
        <w:rPr>
          <w:rStyle w:val="56"/>
          <w:rFonts w:hint="default" w:ascii="Times New Roman" w:hAnsi="Times New Roman" w:cs="Times New Roman"/>
          <w:kern w:val="2"/>
          <w:sz w:val="21"/>
          <w:szCs w:val="21"/>
          <w:highlight w:val="none"/>
          <w:u w:val="single"/>
        </w:rPr>
        <w:t>%的履约保证金，逾期不交，视为承包人放弃中标</w:t>
      </w:r>
      <w:r>
        <w:rPr>
          <w:rStyle w:val="56"/>
          <w:rFonts w:hint="default" w:ascii="Times New Roman" w:hAnsi="Times New Roman" w:cs="Times New Roman"/>
          <w:kern w:val="2"/>
          <w:sz w:val="21"/>
          <w:szCs w:val="21"/>
          <w:highlight w:val="none"/>
        </w:rPr>
        <w:t>。</w:t>
      </w:r>
    </w:p>
    <w:p w14:paraId="70959CED">
      <w:pPr>
        <w:autoSpaceDE w:val="0"/>
        <w:autoSpaceDN w:val="0"/>
        <w:adjustRightInd w:val="0"/>
        <w:spacing w:line="360" w:lineRule="auto"/>
        <w:ind w:firstLine="560"/>
        <w:jc w:val="left"/>
        <w:rPr>
          <w:rStyle w:val="56"/>
          <w:rFonts w:hint="default" w:ascii="Times New Roman" w:hAnsi="Times New Roman" w:cs="Times New Roman"/>
          <w:color w:val="FF0000"/>
          <w:szCs w:val="21"/>
          <w:highlight w:val="none"/>
        </w:rPr>
      </w:pPr>
      <w:r>
        <w:rPr>
          <w:rStyle w:val="56"/>
          <w:rFonts w:hint="default" w:ascii="Times New Roman" w:hAnsi="Times New Roman" w:cs="Times New Roman"/>
          <w:bCs/>
          <w:highlight w:val="none"/>
        </w:rPr>
        <w:t>3.8  约定承包人应做的其他工作及费用承担：</w:t>
      </w:r>
      <w:r>
        <w:rPr>
          <w:rStyle w:val="56"/>
          <w:rFonts w:hint="default" w:ascii="Times New Roman" w:hAnsi="Times New Roman" w:cs="Times New Roman"/>
          <w:highlight w:val="none"/>
          <w:u w:val="single"/>
        </w:rPr>
        <w:t>a 承包人设置的临时设施在工程交工验收前应拆除完毕；b 承包人提出生产、生活临时设施建设管理计划，按双方协商确定的地点和面积使用，费用由承包人自负；c 发包人提供的各种技术资料、施工图和提出的规范、标准等均为施工图有效文件，承包人不得擅自修改，如有修改意见，需提前向发包人提出，由发包人会同设计部门出具变更或修改手续后，方可施工；d 负责施工期间的防汛防台工作，并承担相应费用；e 负责施工期间因施工作业可能造成对周边环境影响的保护工作及相应衍生的各种稳定安全工作并承担相应费用；f 承包人潜在责任和义务：如果任何为本工程正常使用功能和设计使用寿命所必须的或为本工程适用的任何规范、规程或标准所要求的工作既未以文字形式明确约定为属于发包人或任何其他承包人的工作，也未在本合同中以文字形式明确提及，则此类工作应理解为承包人的潜在责任和义务，承包人应负责完成并承担相应费用；g 双方约定承包人应做的其他工作：承包人对工程进度、施工质量、施工安全及现场管理及文明施工负总责, 并列入施工组织设计；h工程内容含承包人承诺的清单外工程量，全部完成后同一标准验收。</w:t>
      </w:r>
    </w:p>
    <w:p w14:paraId="5F00691F">
      <w:pPr>
        <w:pStyle w:val="57"/>
        <w:spacing w:line="360" w:lineRule="auto"/>
        <w:ind w:firstLine="600"/>
        <w:jc w:val="left"/>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5. 工程质量</w:t>
      </w:r>
    </w:p>
    <w:p w14:paraId="60F6163B">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5.1 质量要求</w:t>
      </w:r>
    </w:p>
    <w:p w14:paraId="2DD4B2A0">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5.1.1 特殊质量标准和要求：</w:t>
      </w:r>
      <w:r>
        <w:rPr>
          <w:rStyle w:val="56"/>
          <w:rFonts w:hint="default" w:ascii="Times New Roman" w:hAnsi="Times New Roman" w:cs="Times New Roman"/>
          <w:kern w:val="2"/>
          <w:sz w:val="21"/>
          <w:szCs w:val="21"/>
          <w:highlight w:val="none"/>
          <w:u w:val="single"/>
        </w:rPr>
        <w:t>另行约定</w:t>
      </w:r>
      <w:r>
        <w:rPr>
          <w:rStyle w:val="56"/>
          <w:rFonts w:hint="default" w:ascii="Times New Roman" w:hAnsi="Times New Roman" w:cs="Times New Roman"/>
          <w:kern w:val="2"/>
          <w:sz w:val="21"/>
          <w:szCs w:val="21"/>
          <w:highlight w:val="none"/>
        </w:rPr>
        <w:t>。</w:t>
      </w:r>
    </w:p>
    <w:p w14:paraId="1E53DF94">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5.3 隐蔽工程检查</w:t>
      </w:r>
    </w:p>
    <w:p w14:paraId="1B2990A8">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5.3.2承包人提前通知监理人隐蔽工程检查的期限的约定：</w:t>
      </w:r>
      <w:r>
        <w:rPr>
          <w:rStyle w:val="56"/>
          <w:rFonts w:hint="default" w:ascii="Times New Roman" w:hAnsi="Times New Roman" w:cs="Times New Roman"/>
          <w:kern w:val="2"/>
          <w:sz w:val="21"/>
          <w:szCs w:val="21"/>
          <w:highlight w:val="none"/>
          <w:u w:val="single"/>
        </w:rPr>
        <w:t>执行通用条款</w:t>
      </w:r>
      <w:r>
        <w:rPr>
          <w:rStyle w:val="56"/>
          <w:rFonts w:hint="default" w:ascii="Times New Roman" w:hAnsi="Times New Roman" w:cs="Times New Roman"/>
          <w:kern w:val="2"/>
          <w:sz w:val="21"/>
          <w:szCs w:val="21"/>
          <w:highlight w:val="none"/>
        </w:rPr>
        <w:t>。</w:t>
      </w:r>
    </w:p>
    <w:p w14:paraId="362EA9CD">
      <w:pPr>
        <w:pStyle w:val="57"/>
        <w:spacing w:line="360" w:lineRule="auto"/>
        <w:ind w:firstLine="600"/>
        <w:jc w:val="left"/>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6. 安全文明施工与环境保护</w:t>
      </w:r>
    </w:p>
    <w:p w14:paraId="43F2E536">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6.1安全文明施工</w:t>
      </w:r>
    </w:p>
    <w:p w14:paraId="1569AECA">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6.1.5 文明施工</w:t>
      </w:r>
    </w:p>
    <w:p w14:paraId="073D42D8">
      <w:pPr>
        <w:spacing w:line="360" w:lineRule="auto"/>
        <w:ind w:firstLine="525" w:firstLineChars="250"/>
        <w:rPr>
          <w:rStyle w:val="56"/>
          <w:rFonts w:hint="default" w:ascii="Times New Roman" w:hAnsi="Times New Roman" w:cs="Times New Roman"/>
          <w:szCs w:val="21"/>
          <w:highlight w:val="none"/>
          <w:u w:val="single"/>
        </w:rPr>
      </w:pPr>
      <w:r>
        <w:rPr>
          <w:rStyle w:val="56"/>
          <w:rFonts w:hint="default" w:ascii="Times New Roman" w:hAnsi="Times New Roman" w:cs="Times New Roman"/>
          <w:highlight w:val="none"/>
        </w:rPr>
        <w:t>6.1.5.1承包人安全责任的约定：</w:t>
      </w:r>
      <w:r>
        <w:rPr>
          <w:rStyle w:val="56"/>
          <w:rFonts w:hint="default" w:ascii="Times New Roman" w:hAnsi="Times New Roman" w:cs="Times New Roman"/>
          <w:highlight w:val="none"/>
          <w:u w:val="single"/>
        </w:rPr>
        <w:t>进行施工现场安全管理，按规定配备安全管理人员，认真贯彻实施施工安全检查标准，服从发包人的安全监督与管理，加强施工现场的安全管理，杜绝安全事故的发生。因承包人原因造成的安全事故，由承包人承担相应责任及发生的费用 。</w:t>
      </w:r>
    </w:p>
    <w:p w14:paraId="13305A24">
      <w:pPr>
        <w:pStyle w:val="58"/>
        <w:spacing w:line="360" w:lineRule="auto"/>
        <w:ind w:firstLine="525" w:firstLineChars="250"/>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6.1.5.2 发包人安全责任的约定：</w:t>
      </w:r>
      <w:r>
        <w:rPr>
          <w:rStyle w:val="56"/>
          <w:rFonts w:hint="default" w:ascii="Times New Roman" w:hAnsi="Times New Roman" w:cs="Times New Roman"/>
          <w:kern w:val="2"/>
          <w:sz w:val="21"/>
          <w:szCs w:val="21"/>
          <w:highlight w:val="none"/>
          <w:u w:val="single"/>
        </w:rPr>
        <w:t>发包人应遵守国家有关工程建设安全生产的各项管理规定，因发包人原因造成的安全事故，由发包人承担相应责任及发生的费用。</w:t>
      </w:r>
    </w:p>
    <w:p w14:paraId="4BE8C643">
      <w:pPr>
        <w:pStyle w:val="57"/>
        <w:spacing w:line="360" w:lineRule="auto"/>
        <w:ind w:firstLine="600"/>
        <w:jc w:val="left"/>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7. 工期和进度</w:t>
      </w:r>
    </w:p>
    <w:p w14:paraId="271374C1">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7.1 施工组织设计</w:t>
      </w:r>
    </w:p>
    <w:p w14:paraId="460CCF68">
      <w:pPr>
        <w:pStyle w:val="57"/>
        <w:autoSpaceDE w:val="0"/>
        <w:autoSpaceDN w:val="0"/>
        <w:adjustRightInd w:val="0"/>
        <w:spacing w:line="360" w:lineRule="auto"/>
        <w:ind w:firstLine="600"/>
        <w:jc w:val="left"/>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kern w:val="2"/>
          <w:sz w:val="21"/>
          <w:szCs w:val="21"/>
          <w:highlight w:val="none"/>
        </w:rPr>
        <w:t xml:space="preserve">7.1.1 </w:t>
      </w:r>
      <w:r>
        <w:rPr>
          <w:rStyle w:val="56"/>
          <w:rFonts w:hint="default" w:ascii="Times New Roman" w:hAnsi="Times New Roman" w:cs="Times New Roman"/>
          <w:color w:val="000000"/>
          <w:kern w:val="2"/>
          <w:sz w:val="21"/>
          <w:szCs w:val="21"/>
          <w:highlight w:val="none"/>
        </w:rPr>
        <w:t>合</w:t>
      </w:r>
      <w:r>
        <w:rPr>
          <w:rStyle w:val="56"/>
          <w:rFonts w:hint="default" w:ascii="Times New Roman" w:hAnsi="Times New Roman" w:cs="Times New Roman"/>
          <w:color w:val="000000"/>
          <w:sz w:val="21"/>
          <w:szCs w:val="21"/>
          <w:highlight w:val="none"/>
        </w:rPr>
        <w:t>同当事人约定的施工组织设计应包括的其他内容：</w:t>
      </w:r>
      <w:r>
        <w:rPr>
          <w:rStyle w:val="56"/>
          <w:rFonts w:hint="default" w:ascii="Times New Roman" w:hAnsi="Times New Roman" w:cs="Times New Roman"/>
          <w:kern w:val="2"/>
          <w:sz w:val="21"/>
          <w:szCs w:val="21"/>
          <w:highlight w:val="none"/>
          <w:u w:val="single"/>
        </w:rPr>
        <w:t>按招标文件执行</w:t>
      </w:r>
      <w:r>
        <w:rPr>
          <w:rStyle w:val="56"/>
          <w:rFonts w:hint="default" w:ascii="Times New Roman" w:hAnsi="Times New Roman" w:cs="Times New Roman"/>
          <w:kern w:val="2"/>
          <w:sz w:val="21"/>
          <w:szCs w:val="21"/>
          <w:highlight w:val="none"/>
        </w:rPr>
        <w:t>。</w:t>
      </w:r>
    </w:p>
    <w:p w14:paraId="7527075D">
      <w:pPr>
        <w:pStyle w:val="57"/>
        <w:autoSpaceDE w:val="0"/>
        <w:autoSpaceDN w:val="0"/>
        <w:adjustRightInd w:val="0"/>
        <w:spacing w:line="360" w:lineRule="auto"/>
        <w:ind w:firstLine="600"/>
        <w:jc w:val="left"/>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kern w:val="2"/>
          <w:sz w:val="21"/>
          <w:szCs w:val="21"/>
          <w:highlight w:val="none"/>
        </w:rPr>
        <w:t>7.1.2</w:t>
      </w:r>
      <w:r>
        <w:rPr>
          <w:rStyle w:val="56"/>
          <w:rFonts w:hint="default" w:ascii="Times New Roman" w:hAnsi="Times New Roman" w:cs="Times New Roman"/>
          <w:color w:val="000000"/>
          <w:kern w:val="2"/>
          <w:sz w:val="21"/>
          <w:szCs w:val="21"/>
          <w:highlight w:val="none"/>
        </w:rPr>
        <w:t xml:space="preserve"> </w:t>
      </w:r>
      <w:r>
        <w:rPr>
          <w:rStyle w:val="56"/>
          <w:rFonts w:hint="default" w:ascii="Times New Roman" w:hAnsi="Times New Roman" w:cs="Times New Roman"/>
          <w:color w:val="000000"/>
          <w:sz w:val="21"/>
          <w:szCs w:val="21"/>
          <w:highlight w:val="none"/>
        </w:rPr>
        <w:t>施工组织设计的提交和修改</w:t>
      </w:r>
    </w:p>
    <w:p w14:paraId="55DA5500">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color w:val="000000"/>
          <w:sz w:val="21"/>
          <w:szCs w:val="21"/>
          <w:highlight w:val="none"/>
        </w:rPr>
        <w:t>承包人提交详细施工组织设计的期限的约定：</w:t>
      </w:r>
      <w:r>
        <w:rPr>
          <w:rStyle w:val="56"/>
          <w:rFonts w:hint="default" w:ascii="Times New Roman" w:hAnsi="Times New Roman" w:cs="Times New Roman"/>
          <w:kern w:val="2"/>
          <w:sz w:val="21"/>
          <w:szCs w:val="21"/>
          <w:highlight w:val="none"/>
          <w:u w:val="single"/>
        </w:rPr>
        <w:t>开工前7日</w:t>
      </w:r>
      <w:r>
        <w:rPr>
          <w:rStyle w:val="56"/>
          <w:rFonts w:hint="default" w:ascii="Times New Roman" w:hAnsi="Times New Roman" w:cs="Times New Roman"/>
          <w:kern w:val="2"/>
          <w:sz w:val="21"/>
          <w:szCs w:val="21"/>
          <w:highlight w:val="none"/>
        </w:rPr>
        <w:t>。</w:t>
      </w:r>
    </w:p>
    <w:p w14:paraId="55CC0DE2">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7.3 开工</w:t>
      </w:r>
    </w:p>
    <w:p w14:paraId="7696351D">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7.3.1 开工准备</w:t>
      </w:r>
    </w:p>
    <w:p w14:paraId="0C0A8125">
      <w:pPr>
        <w:pStyle w:val="57"/>
        <w:spacing w:line="360" w:lineRule="auto"/>
        <w:ind w:firstLine="645"/>
        <w:jc w:val="left"/>
        <w:rPr>
          <w:rStyle w:val="56"/>
          <w:rFonts w:hint="default" w:ascii="Times New Roman" w:hAnsi="Times New Roman" w:cs="Times New Roman"/>
          <w:kern w:val="2"/>
          <w:sz w:val="21"/>
          <w:szCs w:val="21"/>
          <w:highlight w:val="none"/>
          <w:u w:val="single"/>
        </w:rPr>
      </w:pPr>
      <w:r>
        <w:rPr>
          <w:rStyle w:val="56"/>
          <w:rFonts w:hint="default" w:ascii="Times New Roman" w:hAnsi="Times New Roman" w:cs="Times New Roman"/>
          <w:color w:val="000000"/>
          <w:kern w:val="2"/>
          <w:sz w:val="21"/>
          <w:szCs w:val="21"/>
          <w:highlight w:val="none"/>
        </w:rPr>
        <w:t>关于承包人提交</w:t>
      </w:r>
      <w:r>
        <w:rPr>
          <w:rStyle w:val="56"/>
          <w:rFonts w:hint="default" w:ascii="Times New Roman" w:hAnsi="Times New Roman" w:cs="Times New Roman"/>
          <w:color w:val="000000"/>
          <w:sz w:val="21"/>
          <w:szCs w:val="21"/>
          <w:highlight w:val="none"/>
        </w:rPr>
        <w:t>工程开工报审表的期限：</w:t>
      </w:r>
      <w:r>
        <w:rPr>
          <w:rStyle w:val="56"/>
          <w:rFonts w:hint="default" w:ascii="Times New Roman" w:hAnsi="Times New Roman" w:cs="Times New Roman"/>
          <w:kern w:val="2"/>
          <w:sz w:val="21"/>
          <w:szCs w:val="21"/>
          <w:highlight w:val="none"/>
          <w:u w:val="single"/>
        </w:rPr>
        <w:t>合同签订后，开工前</w:t>
      </w:r>
      <w:r>
        <w:rPr>
          <w:rStyle w:val="56"/>
          <w:rFonts w:hint="default" w:ascii="Times New Roman" w:hAnsi="Times New Roman" w:cs="Times New Roman"/>
          <w:kern w:val="2"/>
          <w:sz w:val="21"/>
          <w:szCs w:val="21"/>
          <w:highlight w:val="none"/>
        </w:rPr>
        <w:t>。</w:t>
      </w:r>
    </w:p>
    <w:p w14:paraId="158B673C">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7.5 工期延误</w:t>
      </w:r>
    </w:p>
    <w:p w14:paraId="1E4E511C">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7.5.1双方特别约定，因为发包人原因延期开工或暂停施工，合同约定的工期相应顺延，但发包人对此不承担任何违约责任。承包人不得因此要求发包人承担违约责任和赔偿责任（包括并不仅限于因施工材料、人工费上涨造成的损失）。</w:t>
      </w:r>
    </w:p>
    <w:p w14:paraId="10AC3C9E">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7.5.2 因承包人原因导致工期延误</w:t>
      </w:r>
    </w:p>
    <w:p w14:paraId="77A14998">
      <w:pPr>
        <w:pStyle w:val="57"/>
        <w:spacing w:line="360" w:lineRule="auto"/>
        <w:ind w:firstLine="600"/>
        <w:jc w:val="left"/>
        <w:rPr>
          <w:rStyle w:val="56"/>
          <w:rFonts w:hint="default" w:ascii="Times New Roman" w:hAnsi="Times New Roman" w:eastAsia="宋体" w:cs="Times New Roman"/>
          <w:color w:val="auto"/>
          <w:kern w:val="2"/>
          <w:sz w:val="21"/>
          <w:szCs w:val="21"/>
          <w:highlight w:val="none"/>
          <w:u w:val="single"/>
          <w:lang w:val="en-US" w:eastAsia="zh-CN"/>
        </w:rPr>
      </w:pPr>
      <w:r>
        <w:rPr>
          <w:rStyle w:val="56"/>
          <w:rFonts w:hint="default" w:ascii="Times New Roman" w:hAnsi="Times New Roman" w:cs="Times New Roman"/>
          <w:kern w:val="2"/>
          <w:sz w:val="21"/>
          <w:szCs w:val="21"/>
          <w:highlight w:val="none"/>
        </w:rPr>
        <w:t>因承包人原因造</w:t>
      </w:r>
      <w:r>
        <w:rPr>
          <w:rStyle w:val="56"/>
          <w:rFonts w:hint="default" w:ascii="Times New Roman" w:hAnsi="Times New Roman" w:cs="Times New Roman"/>
          <w:color w:val="auto"/>
          <w:kern w:val="2"/>
          <w:sz w:val="21"/>
          <w:szCs w:val="21"/>
          <w:highlight w:val="none"/>
        </w:rPr>
        <w:t>成工期延误，逾期竣工违约金的计算方法为：</w:t>
      </w:r>
      <w:r>
        <w:rPr>
          <w:rStyle w:val="56"/>
          <w:rFonts w:hint="eastAsia" w:ascii="Times New Roman" w:hAnsi="Times New Roman" w:cs="Times New Roman"/>
          <w:color w:val="auto"/>
          <w:kern w:val="2"/>
          <w:sz w:val="21"/>
          <w:szCs w:val="21"/>
          <w:highlight w:val="none"/>
          <w:lang w:val="en-US" w:eastAsia="zh-CN"/>
        </w:rPr>
        <w:t>按照16.2.2条约定承担违约责任</w:t>
      </w:r>
    </w:p>
    <w:p w14:paraId="1A4D3CBA">
      <w:pPr>
        <w:pStyle w:val="57"/>
        <w:spacing w:after="120"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7.9 工程竣工</w:t>
      </w:r>
    </w:p>
    <w:p w14:paraId="46CBDDBF">
      <w:pPr>
        <w:widowControl/>
        <w:snapToGrid w:val="0"/>
        <w:spacing w:line="360" w:lineRule="auto"/>
        <w:ind w:firstLine="570"/>
        <w:jc w:val="left"/>
        <w:rPr>
          <w:rStyle w:val="56"/>
          <w:rFonts w:hint="default" w:ascii="Times New Roman" w:hAnsi="Times New Roman" w:cs="Times New Roman"/>
          <w:bCs/>
          <w:szCs w:val="21"/>
          <w:highlight w:val="none"/>
        </w:rPr>
      </w:pPr>
      <w:r>
        <w:rPr>
          <w:rStyle w:val="56"/>
          <w:rFonts w:hint="default" w:ascii="Times New Roman" w:hAnsi="Times New Roman" w:cs="Times New Roman"/>
          <w:bCs/>
          <w:color w:val="auto"/>
          <w:highlight w:val="none"/>
        </w:rPr>
        <w:t>7.9.1 承包人必须按照协议书约定的竣工日期或</w:t>
      </w:r>
      <w:r>
        <w:rPr>
          <w:rStyle w:val="56"/>
          <w:rFonts w:hint="default" w:ascii="Times New Roman" w:hAnsi="Times New Roman" w:cs="Times New Roman"/>
          <w:bCs/>
          <w:highlight w:val="none"/>
        </w:rPr>
        <w:t>工程师同意顺延的工期竣工。</w:t>
      </w:r>
    </w:p>
    <w:p w14:paraId="4C2BE5D8">
      <w:pPr>
        <w:widowControl/>
        <w:snapToGrid w:val="0"/>
        <w:spacing w:line="360" w:lineRule="auto"/>
        <w:ind w:firstLine="570"/>
        <w:jc w:val="left"/>
        <w:rPr>
          <w:rStyle w:val="56"/>
          <w:rFonts w:hint="default" w:ascii="Times New Roman" w:hAnsi="Times New Roman" w:cs="Times New Roman"/>
          <w:bCs/>
          <w:highlight w:val="none"/>
        </w:rPr>
      </w:pPr>
      <w:r>
        <w:rPr>
          <w:rStyle w:val="56"/>
          <w:rFonts w:hint="default" w:ascii="Times New Roman" w:hAnsi="Times New Roman" w:cs="Times New Roman"/>
          <w:bCs/>
          <w:highlight w:val="none"/>
        </w:rPr>
        <w:t>7.9.2 因承包人原因不能按照协议书约定的竣工日期或工程师同意顺延的工期竣工的,承包人承担违约责任。</w:t>
      </w:r>
    </w:p>
    <w:p w14:paraId="641BC11F">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 xml:space="preserve">7.9.3 </w:t>
      </w:r>
      <w:r>
        <w:rPr>
          <w:rStyle w:val="56"/>
          <w:rFonts w:hint="default" w:ascii="Times New Roman" w:hAnsi="Times New Roman" w:cs="Times New Roman"/>
          <w:bCs/>
          <w:sz w:val="21"/>
          <w:szCs w:val="21"/>
          <w:highlight w:val="none"/>
        </w:rPr>
        <w:t>施工中发包人如需提前竣工</w:t>
      </w:r>
      <w:r>
        <w:rPr>
          <w:rStyle w:val="56"/>
          <w:rFonts w:hint="eastAsia" w:ascii="Times New Roman" w:hAnsi="Times New Roman" w:cs="Times New Roman"/>
          <w:bCs/>
          <w:sz w:val="21"/>
          <w:szCs w:val="21"/>
          <w:highlight w:val="none"/>
          <w:lang w:eastAsia="zh-CN"/>
        </w:rPr>
        <w:t>，</w:t>
      </w:r>
      <w:r>
        <w:rPr>
          <w:rStyle w:val="56"/>
          <w:rFonts w:hint="default" w:ascii="Times New Roman" w:hAnsi="Times New Roman" w:cs="Times New Roman"/>
          <w:bCs/>
          <w:sz w:val="21"/>
          <w:szCs w:val="21"/>
          <w:highlight w:val="none"/>
        </w:rPr>
        <w:t>双方协商一致后应签订提前竣工协议,作为合同文件组成部分。提前竣工协议应包括承包人为保证工程质量和安全采取的措施、等内容。</w:t>
      </w:r>
      <w:r>
        <w:rPr>
          <w:rStyle w:val="56"/>
          <w:rFonts w:hint="default" w:ascii="Times New Roman" w:hAnsi="Times New Roman" w:cs="Times New Roman"/>
          <w:kern w:val="2"/>
          <w:sz w:val="21"/>
          <w:szCs w:val="21"/>
          <w:highlight w:val="none"/>
        </w:rPr>
        <w:t>发包人不为提前竣工追加合同价款。</w:t>
      </w:r>
    </w:p>
    <w:p w14:paraId="6DFF68B2">
      <w:pPr>
        <w:pStyle w:val="57"/>
        <w:spacing w:line="360" w:lineRule="auto"/>
        <w:ind w:firstLine="600"/>
        <w:jc w:val="left"/>
        <w:rPr>
          <w:rStyle w:val="56"/>
          <w:rFonts w:hint="default" w:ascii="Times New Roman" w:hAnsi="Times New Roman" w:cs="Times New Roman"/>
          <w:bCs/>
          <w:sz w:val="21"/>
          <w:szCs w:val="21"/>
          <w:highlight w:val="none"/>
        </w:rPr>
      </w:pPr>
      <w:r>
        <w:rPr>
          <w:rStyle w:val="56"/>
          <w:rFonts w:hint="default" w:ascii="Times New Roman" w:hAnsi="Times New Roman" w:cs="Times New Roman"/>
          <w:kern w:val="2"/>
          <w:sz w:val="21"/>
          <w:szCs w:val="21"/>
          <w:highlight w:val="none"/>
        </w:rPr>
        <w:t xml:space="preserve">7.9.4 </w:t>
      </w:r>
      <w:r>
        <w:rPr>
          <w:rStyle w:val="56"/>
          <w:rFonts w:hint="default" w:ascii="Times New Roman" w:hAnsi="Times New Roman" w:cs="Times New Roman"/>
          <w:bCs/>
          <w:sz w:val="21"/>
          <w:szCs w:val="21"/>
          <w:highlight w:val="none"/>
        </w:rPr>
        <w:t>承包人</w:t>
      </w:r>
      <w:r>
        <w:rPr>
          <w:rStyle w:val="56"/>
          <w:rFonts w:hint="default" w:ascii="Times New Roman" w:hAnsi="Times New Roman" w:cs="Times New Roman"/>
          <w:kern w:val="2"/>
          <w:sz w:val="21"/>
          <w:szCs w:val="21"/>
          <w:highlight w:val="none"/>
        </w:rPr>
        <w:t>提前竣工的奖励：</w:t>
      </w:r>
      <w:r>
        <w:rPr>
          <w:rStyle w:val="56"/>
          <w:rFonts w:hint="default" w:ascii="Times New Roman" w:hAnsi="Times New Roman" w:cs="Times New Roman"/>
          <w:kern w:val="2"/>
          <w:sz w:val="21"/>
          <w:szCs w:val="21"/>
          <w:highlight w:val="none"/>
          <w:u w:val="single"/>
        </w:rPr>
        <w:t>不采用</w:t>
      </w:r>
      <w:r>
        <w:rPr>
          <w:rStyle w:val="56"/>
          <w:rFonts w:hint="default" w:ascii="Times New Roman" w:hAnsi="Times New Roman" w:cs="Times New Roman"/>
          <w:kern w:val="2"/>
          <w:sz w:val="21"/>
          <w:szCs w:val="21"/>
          <w:highlight w:val="none"/>
        </w:rPr>
        <w:t>。</w:t>
      </w:r>
    </w:p>
    <w:p w14:paraId="48935083">
      <w:pPr>
        <w:pStyle w:val="57"/>
        <w:spacing w:line="360" w:lineRule="auto"/>
        <w:ind w:firstLine="600"/>
        <w:jc w:val="left"/>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8. 材料与设备</w:t>
      </w:r>
    </w:p>
    <w:p w14:paraId="6E0BB1AA">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8.4材料与工程设备的保管与使用</w:t>
      </w:r>
    </w:p>
    <w:p w14:paraId="0684FC0B">
      <w:pPr>
        <w:pStyle w:val="57"/>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8.4.1发包人供应的材料设备的保管费用的承担：</w:t>
      </w:r>
      <w:r>
        <w:rPr>
          <w:rStyle w:val="56"/>
          <w:rFonts w:hint="default" w:ascii="Times New Roman" w:hAnsi="Times New Roman" w:cs="Times New Roman"/>
          <w:kern w:val="2"/>
          <w:sz w:val="21"/>
          <w:szCs w:val="21"/>
          <w:highlight w:val="none"/>
          <w:u w:val="single"/>
        </w:rPr>
        <w:t xml:space="preserve"> 由承包人自行承担</w:t>
      </w:r>
      <w:r>
        <w:rPr>
          <w:rStyle w:val="56"/>
          <w:rFonts w:hint="default" w:ascii="Times New Roman" w:hAnsi="Times New Roman" w:cs="Times New Roman"/>
          <w:kern w:val="2"/>
          <w:sz w:val="21"/>
          <w:szCs w:val="21"/>
          <w:highlight w:val="none"/>
        </w:rPr>
        <w:t>。</w:t>
      </w:r>
    </w:p>
    <w:p w14:paraId="2C87448E">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8.6 样品</w:t>
      </w:r>
    </w:p>
    <w:p w14:paraId="2D5635D8">
      <w:pPr>
        <w:pStyle w:val="57"/>
        <w:autoSpaceDE w:val="0"/>
        <w:autoSpaceDN w:val="0"/>
        <w:adjustRightInd w:val="0"/>
        <w:spacing w:line="360" w:lineRule="auto"/>
        <w:ind w:firstLine="600"/>
        <w:jc w:val="left"/>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8.6.1</w:t>
      </w:r>
      <w:r>
        <w:rPr>
          <w:rStyle w:val="56"/>
          <w:rFonts w:hint="default" w:ascii="Times New Roman" w:hAnsi="Times New Roman" w:cs="Times New Roman"/>
          <w:color w:val="000000"/>
          <w:sz w:val="21"/>
          <w:szCs w:val="21"/>
          <w:highlight w:val="none"/>
        </w:rPr>
        <w:tab/>
      </w:r>
      <w:r>
        <w:rPr>
          <w:rStyle w:val="56"/>
          <w:rFonts w:hint="default" w:ascii="Times New Roman" w:hAnsi="Times New Roman" w:cs="Times New Roman"/>
          <w:color w:val="000000"/>
          <w:sz w:val="21"/>
          <w:szCs w:val="21"/>
          <w:highlight w:val="none"/>
        </w:rPr>
        <w:t>样品的报送与封存</w:t>
      </w:r>
    </w:p>
    <w:p w14:paraId="050D82CE">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u w:val="single"/>
        </w:rPr>
      </w:pPr>
      <w:r>
        <w:rPr>
          <w:rStyle w:val="56"/>
          <w:rFonts w:hint="default" w:ascii="Times New Roman" w:hAnsi="Times New Roman" w:cs="Times New Roman"/>
          <w:color w:val="000000"/>
          <w:sz w:val="21"/>
          <w:szCs w:val="21"/>
          <w:highlight w:val="none"/>
        </w:rPr>
        <w:t>需要承包人报送样品的材料或工程设备，样品的种类、名称、规格、数量要求：</w:t>
      </w:r>
      <w:r>
        <w:rPr>
          <w:rStyle w:val="56"/>
          <w:rFonts w:hint="default" w:ascii="Times New Roman" w:hAnsi="Times New Roman" w:cs="Times New Roman"/>
          <w:bCs/>
          <w:kern w:val="2"/>
          <w:sz w:val="21"/>
          <w:szCs w:val="21"/>
          <w:highlight w:val="none"/>
          <w:u w:val="single"/>
        </w:rPr>
        <w:t>承包人负责采购的其他材料设备，应符合设计、招标文件、有关标准及规范要求，并提供产品质量合格证明，对材料设备质量负责。承包人在材料设备到货前24小时通知发包人并经发包人及监理工程师验收合格后方可使用。</w:t>
      </w:r>
      <w:r>
        <w:rPr>
          <w:rStyle w:val="56"/>
          <w:rFonts w:hint="default" w:ascii="Times New Roman" w:hAnsi="Times New Roman" w:cs="Times New Roman"/>
          <w:kern w:val="2"/>
          <w:sz w:val="21"/>
          <w:szCs w:val="21"/>
          <w:highlight w:val="none"/>
          <w:u w:val="single"/>
        </w:rPr>
        <w:t>材料及设备需要检验的，由承包人承担相关费用。</w:t>
      </w:r>
    </w:p>
    <w:p w14:paraId="494B7558">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u w:val="single"/>
        </w:rPr>
      </w:pPr>
      <w:r>
        <w:rPr>
          <w:rStyle w:val="56"/>
          <w:rFonts w:hint="default" w:ascii="Times New Roman" w:hAnsi="Times New Roman" w:cs="Times New Roman"/>
          <w:kern w:val="2"/>
          <w:sz w:val="21"/>
          <w:szCs w:val="21"/>
          <w:highlight w:val="none"/>
          <w:u w:val="single"/>
        </w:rPr>
        <w:t>承包人在施工中所用材料如果与招标文件或本合同不符，以次充好、以假充真，在施工中发现，发包人有权单方解除合同，并按照合同总价款</w:t>
      </w:r>
      <w:r>
        <w:rPr>
          <w:rStyle w:val="56"/>
          <w:rFonts w:hint="default" w:ascii="Times New Roman" w:hAnsi="Times New Roman" w:cs="Times New Roman"/>
          <w:kern w:val="2"/>
          <w:sz w:val="21"/>
          <w:szCs w:val="21"/>
          <w:highlight w:val="none"/>
          <w:u w:val="single"/>
          <w:lang w:eastAsia="zh-CN"/>
        </w:rPr>
        <w:t>30%</w:t>
      </w:r>
      <w:r>
        <w:rPr>
          <w:rStyle w:val="56"/>
          <w:rFonts w:hint="default" w:ascii="Times New Roman" w:hAnsi="Times New Roman" w:cs="Times New Roman"/>
          <w:kern w:val="2"/>
          <w:sz w:val="21"/>
          <w:szCs w:val="21"/>
          <w:highlight w:val="none"/>
          <w:u w:val="single"/>
        </w:rPr>
        <w:t>承担违约责任。承包人接到发包人单方解除合同的通知后7日内，必须撤出施工现场，否则，每迟延一日，应当按合同总价款日</w:t>
      </w:r>
      <w:r>
        <w:rPr>
          <w:rStyle w:val="56"/>
          <w:rFonts w:hint="eastAsia" w:ascii="Times New Roman" w:hAnsi="Times New Roman" w:cs="Times New Roman"/>
          <w:kern w:val="2"/>
          <w:sz w:val="21"/>
          <w:szCs w:val="21"/>
          <w:highlight w:val="none"/>
          <w:u w:val="single"/>
          <w:lang w:val="en-US" w:eastAsia="zh-CN"/>
        </w:rPr>
        <w:t>万</w:t>
      </w:r>
      <w:r>
        <w:rPr>
          <w:rStyle w:val="56"/>
          <w:rFonts w:hint="default" w:ascii="Times New Roman" w:hAnsi="Times New Roman" w:cs="Times New Roman"/>
          <w:kern w:val="2"/>
          <w:sz w:val="21"/>
          <w:szCs w:val="21"/>
          <w:highlight w:val="none"/>
          <w:u w:val="single"/>
          <w:lang w:eastAsia="zh-CN"/>
        </w:rPr>
        <w:t>分之五</w:t>
      </w:r>
      <w:r>
        <w:rPr>
          <w:rStyle w:val="56"/>
          <w:rFonts w:hint="default" w:ascii="Times New Roman" w:hAnsi="Times New Roman" w:cs="Times New Roman"/>
          <w:kern w:val="2"/>
          <w:sz w:val="21"/>
          <w:szCs w:val="21"/>
          <w:highlight w:val="none"/>
          <w:u w:val="single"/>
        </w:rPr>
        <w:t>承担违约责任，在竣工后发现，发包人有权扣除履约保证金及承包人该单项工程全部工程款。</w:t>
      </w:r>
    </w:p>
    <w:p w14:paraId="6170B398">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u w:val="single"/>
        </w:rPr>
      </w:pPr>
      <w:r>
        <w:rPr>
          <w:rStyle w:val="56"/>
          <w:rFonts w:hint="default" w:ascii="Times New Roman" w:hAnsi="Times New Roman" w:cs="Times New Roman"/>
          <w:kern w:val="2"/>
          <w:sz w:val="21"/>
          <w:szCs w:val="21"/>
          <w:highlight w:val="none"/>
        </w:rPr>
        <w:t>8.6.2</w:t>
      </w:r>
      <w:r>
        <w:rPr>
          <w:rStyle w:val="56"/>
          <w:rFonts w:hint="default" w:ascii="Times New Roman" w:hAnsi="Times New Roman" w:cs="Times New Roman"/>
          <w:kern w:val="2"/>
          <w:sz w:val="21"/>
          <w:szCs w:val="21"/>
          <w:highlight w:val="none"/>
          <w:u w:val="single"/>
        </w:rPr>
        <w:t>发包人如果对承包人提供的施工材料或施工工程质量有异议，有权单方聘请产品质量检验部门和工程质量检验部门进行质量鉴定。所需要的检验费用由承包人承担，发包人有权在履约保证金和工程价款中直接扣除。</w:t>
      </w:r>
    </w:p>
    <w:p w14:paraId="4D7F9AE2">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8.8 施工设备和临时设施</w:t>
      </w:r>
    </w:p>
    <w:p w14:paraId="40A84A1D">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8.8.1 承包人提供的施工设备和临时设施</w:t>
      </w:r>
    </w:p>
    <w:p w14:paraId="7888E67A">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关于修建临时设施费用承担的约定：</w:t>
      </w:r>
      <w:r>
        <w:rPr>
          <w:rStyle w:val="56"/>
          <w:rFonts w:hint="default" w:ascii="Times New Roman" w:hAnsi="Times New Roman" w:cs="Times New Roman"/>
          <w:kern w:val="2"/>
          <w:sz w:val="21"/>
          <w:szCs w:val="21"/>
          <w:highlight w:val="none"/>
          <w:u w:val="single"/>
        </w:rPr>
        <w:t>由承包人自行承担</w:t>
      </w:r>
      <w:r>
        <w:rPr>
          <w:rStyle w:val="56"/>
          <w:rFonts w:hint="default" w:ascii="Times New Roman" w:hAnsi="Times New Roman" w:cs="Times New Roman"/>
          <w:kern w:val="2"/>
          <w:sz w:val="21"/>
          <w:szCs w:val="21"/>
          <w:highlight w:val="none"/>
        </w:rPr>
        <w:t>。</w:t>
      </w:r>
    </w:p>
    <w:p w14:paraId="3012E603">
      <w:pPr>
        <w:pStyle w:val="57"/>
        <w:autoSpaceDE w:val="0"/>
        <w:autoSpaceDN w:val="0"/>
        <w:adjustRightInd w:val="0"/>
        <w:spacing w:line="360" w:lineRule="auto"/>
        <w:ind w:firstLine="600"/>
        <w:jc w:val="left"/>
        <w:rPr>
          <w:rStyle w:val="56"/>
          <w:rFonts w:hint="default" w:ascii="Times New Roman" w:hAnsi="Times New Roman" w:cs="Times New Roman"/>
          <w:b/>
          <w:color w:val="auto"/>
          <w:kern w:val="2"/>
          <w:sz w:val="21"/>
          <w:szCs w:val="21"/>
          <w:highlight w:val="none"/>
        </w:rPr>
      </w:pPr>
      <w:r>
        <w:rPr>
          <w:rStyle w:val="56"/>
          <w:rFonts w:hint="default" w:ascii="Times New Roman" w:hAnsi="Times New Roman" w:cs="Times New Roman"/>
          <w:color w:val="000000"/>
          <w:kern w:val="2"/>
          <w:sz w:val="21"/>
          <w:szCs w:val="21"/>
          <w:highlight w:val="none"/>
        </w:rPr>
        <w:t>11. 价格</w:t>
      </w:r>
      <w:r>
        <w:rPr>
          <w:rStyle w:val="56"/>
          <w:rFonts w:hint="default" w:ascii="Times New Roman" w:hAnsi="Times New Roman" w:cs="Times New Roman"/>
          <w:color w:val="auto"/>
          <w:kern w:val="2"/>
          <w:sz w:val="21"/>
          <w:szCs w:val="21"/>
          <w:highlight w:val="none"/>
        </w:rPr>
        <w:t>调整</w:t>
      </w:r>
    </w:p>
    <w:p w14:paraId="70B1440D">
      <w:pPr>
        <w:pStyle w:val="57"/>
        <w:spacing w:after="120"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11.1 市场价格波动引起的调整</w:t>
      </w:r>
    </w:p>
    <w:p w14:paraId="1455CE85">
      <w:pPr>
        <w:pStyle w:val="57"/>
        <w:spacing w:line="360" w:lineRule="auto"/>
        <w:ind w:firstLine="600"/>
        <w:jc w:val="left"/>
        <w:rPr>
          <w:rStyle w:val="56"/>
          <w:rFonts w:hint="default" w:ascii="Times New Roman" w:hAnsi="Times New Roman" w:eastAsia="宋体" w:cs="Times New Roman"/>
          <w:color w:val="auto"/>
          <w:kern w:val="2"/>
          <w:sz w:val="21"/>
          <w:szCs w:val="21"/>
          <w:highlight w:val="none"/>
          <w:lang w:val="en-US" w:eastAsia="zh-CN"/>
        </w:rPr>
      </w:pPr>
      <w:r>
        <w:rPr>
          <w:rStyle w:val="56"/>
          <w:rFonts w:hint="default" w:ascii="Times New Roman" w:hAnsi="Times New Roman" w:cs="Times New Roman"/>
          <w:color w:val="auto"/>
          <w:sz w:val="21"/>
          <w:szCs w:val="21"/>
          <w:highlight w:val="none"/>
        </w:rPr>
        <w:t>市场价格波动是否调整合同价格的约定：</w:t>
      </w:r>
      <w:r>
        <w:rPr>
          <w:rStyle w:val="56"/>
          <w:rFonts w:hint="eastAsia" w:ascii="Times New Roman" w:hAnsi="Times New Roman" w:cs="Times New Roman"/>
          <w:color w:val="auto"/>
          <w:sz w:val="21"/>
          <w:szCs w:val="21"/>
          <w:highlight w:val="none"/>
          <w:u w:val="single"/>
          <w:lang w:val="en-US" w:eastAsia="zh-CN"/>
        </w:rPr>
        <w:t>按照通用条款约定</w:t>
      </w:r>
    </w:p>
    <w:p w14:paraId="388A1B01">
      <w:pPr>
        <w:pStyle w:val="57"/>
        <w:autoSpaceDE w:val="0"/>
        <w:autoSpaceDN w:val="0"/>
        <w:adjustRightInd w:val="0"/>
        <w:spacing w:line="360" w:lineRule="auto"/>
        <w:ind w:firstLine="600"/>
        <w:jc w:val="left"/>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12. 合同价格、计量与支付</w:t>
      </w:r>
    </w:p>
    <w:p w14:paraId="066E5B7C">
      <w:pPr>
        <w:pStyle w:val="57"/>
        <w:autoSpaceDE w:val="0"/>
        <w:autoSpaceDN w:val="0"/>
        <w:adjustRightInd w:val="0"/>
        <w:spacing w:line="360" w:lineRule="auto"/>
        <w:ind w:firstLine="600"/>
        <w:jc w:val="left"/>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12.1 合同价格形式</w:t>
      </w:r>
    </w:p>
    <w:p w14:paraId="4C6D51B4">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采用固定综合单价合同，合同价款中包括的风险范围：按招标文件执行。</w:t>
      </w:r>
    </w:p>
    <w:p w14:paraId="781BAAB6">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 xml:space="preserve">（1）投标人依据招标文件提供的工程量清单、设计图纸、现场踏勘、答疑等资料并自行考虑风险因素计算投标报价，一旦中标，投标报价将不会因市场变化因素而得到调整。 </w:t>
      </w:r>
    </w:p>
    <w:p w14:paraId="468C448E">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2）投标报价的综合单价中应包括工程量清单项目所发生的人工费、材料费、机械费、管理费、利润以及施工合同包含的所有风险、责任等各项应有费用。投标人漏报或不报，招标人将视为有关费用已包括在工程量清单其它项目的综合单价及合价中而不予支付。</w:t>
      </w:r>
    </w:p>
    <w:p w14:paraId="1FD2A73E">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color w:val="000000"/>
          <w:kern w:val="2"/>
          <w:sz w:val="21"/>
          <w:szCs w:val="21"/>
          <w:highlight w:val="none"/>
        </w:rPr>
        <w:t>（3）投标人应按照招标文件提供的工程量清单逐项填写单价及合价，投标人没</w:t>
      </w:r>
      <w:r>
        <w:rPr>
          <w:rStyle w:val="56"/>
          <w:rFonts w:hint="default" w:ascii="Times New Roman" w:hAnsi="Times New Roman" w:cs="Times New Roman"/>
          <w:kern w:val="2"/>
          <w:sz w:val="21"/>
          <w:szCs w:val="21"/>
          <w:highlight w:val="none"/>
        </w:rPr>
        <w:t>有填写综合单价及合价的项目，招标人将视为此项费用已包括在工程量清单其它项目的综合单价及合价中而不予支付。</w:t>
      </w:r>
    </w:p>
    <w:p w14:paraId="0A4E90A6">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（4）招标人发出的招标文件工程量清单内容和格式不许增加和修改，投标人确认工程量清单存在的缺项、漏项、计算误差或认为施工图纸存在不明确、不一致时，应至少在投标截止日之前 15天，以书面方式向招标人提出。</w:t>
      </w:r>
    </w:p>
    <w:p w14:paraId="17EE0289">
      <w:pPr>
        <w:pStyle w:val="57"/>
        <w:autoSpaceDE w:val="0"/>
        <w:autoSpaceDN w:val="0"/>
        <w:adjustRightInd w:val="0"/>
        <w:spacing w:line="360" w:lineRule="auto"/>
        <w:ind w:firstLine="600"/>
        <w:jc w:val="left"/>
        <w:rPr>
          <w:rStyle w:val="56"/>
          <w:rFonts w:hint="default" w:ascii="Times New Roman" w:hAnsi="Times New Roman" w:cs="Times New Roman"/>
          <w:kern w:val="2"/>
          <w:sz w:val="21"/>
          <w:szCs w:val="21"/>
          <w:highlight w:val="none"/>
        </w:rPr>
      </w:pPr>
      <w:r>
        <w:rPr>
          <w:rStyle w:val="56"/>
          <w:rFonts w:hint="default" w:ascii="Times New Roman" w:hAnsi="Times New Roman" w:cs="Times New Roman"/>
          <w:kern w:val="2"/>
          <w:sz w:val="21"/>
          <w:szCs w:val="21"/>
          <w:highlight w:val="none"/>
        </w:rPr>
        <w:t>投标人提出清单工程量修正意见而招标人未采纳时，投标人应自行考虑由此引起的报价风险。投标人在报价中未计算此类风险的，责任由投标人承担。</w:t>
      </w:r>
    </w:p>
    <w:p w14:paraId="26B31694">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风险费用的计算方法：</w:t>
      </w:r>
      <w:r>
        <w:rPr>
          <w:rStyle w:val="56"/>
          <w:rFonts w:hint="default" w:ascii="Times New Roman" w:hAnsi="Times New Roman" w:cs="Times New Roman"/>
          <w:kern w:val="2"/>
          <w:sz w:val="21"/>
          <w:szCs w:val="21"/>
          <w:highlight w:val="none"/>
          <w:u w:val="single"/>
        </w:rPr>
        <w:t>风险费用由承包人在清单中考虑。</w:t>
      </w:r>
    </w:p>
    <w:p w14:paraId="0904F52F">
      <w:pPr>
        <w:pStyle w:val="57"/>
        <w:spacing w:line="360" w:lineRule="auto"/>
        <w:ind w:firstLine="600"/>
        <w:jc w:val="left"/>
        <w:rPr>
          <w:rStyle w:val="56"/>
          <w:rFonts w:hint="default" w:ascii="Times New Roman" w:hAnsi="Times New Roman" w:cs="Times New Roman"/>
          <w:kern w:val="2"/>
          <w:sz w:val="21"/>
          <w:szCs w:val="21"/>
          <w:highlight w:val="none"/>
          <w:u w:val="single"/>
        </w:rPr>
      </w:pPr>
      <w:r>
        <w:rPr>
          <w:rStyle w:val="56"/>
          <w:rFonts w:hint="default" w:ascii="Times New Roman" w:hAnsi="Times New Roman" w:cs="Times New Roman"/>
          <w:color w:val="000000"/>
          <w:kern w:val="2"/>
          <w:sz w:val="21"/>
          <w:szCs w:val="21"/>
          <w:highlight w:val="none"/>
        </w:rPr>
        <w:t>风险范围以外合同价格的调整方法：</w:t>
      </w:r>
      <w:r>
        <w:rPr>
          <w:rStyle w:val="56"/>
          <w:rFonts w:hint="default" w:ascii="Times New Roman" w:hAnsi="Times New Roman" w:cs="Times New Roman"/>
          <w:kern w:val="2"/>
          <w:sz w:val="21"/>
          <w:szCs w:val="21"/>
          <w:highlight w:val="none"/>
          <w:u w:val="single"/>
        </w:rPr>
        <w:t>工程变更调整方法详见下述 “补充条款”约定，不可抗力因素调整方法详见“通用条款”约定。</w:t>
      </w:r>
    </w:p>
    <w:p w14:paraId="7BF65144">
      <w:pPr>
        <w:pStyle w:val="57"/>
        <w:autoSpaceDE w:val="0"/>
        <w:autoSpaceDN w:val="0"/>
        <w:adjustRightInd w:val="0"/>
        <w:spacing w:line="360" w:lineRule="auto"/>
        <w:ind w:firstLine="600"/>
        <w:jc w:val="left"/>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12.2合同风险</w:t>
      </w:r>
    </w:p>
    <w:p w14:paraId="64AA6F0F">
      <w:pPr>
        <w:pStyle w:val="57"/>
        <w:autoSpaceDE w:val="0"/>
        <w:autoSpaceDN w:val="0"/>
        <w:adjustRightInd w:val="0"/>
        <w:spacing w:line="360" w:lineRule="auto"/>
        <w:ind w:firstLine="600"/>
        <w:jc w:val="left"/>
        <w:rPr>
          <w:rStyle w:val="56"/>
          <w:rFonts w:hint="default" w:ascii="Times New Roman" w:hAnsi="Times New Roman" w:cs="Times New Roman"/>
          <w:color w:val="auto"/>
          <w:kern w:val="2"/>
          <w:sz w:val="21"/>
          <w:szCs w:val="21"/>
          <w:highlight w:val="none"/>
          <w:u w:val="single"/>
        </w:rPr>
      </w:pPr>
      <w:r>
        <w:rPr>
          <w:rStyle w:val="56"/>
          <w:rFonts w:hint="default" w:ascii="Times New Roman" w:hAnsi="Times New Roman" w:cs="Times New Roman"/>
          <w:color w:val="auto"/>
          <w:kern w:val="2"/>
          <w:sz w:val="21"/>
          <w:szCs w:val="21"/>
          <w:highlight w:val="none"/>
          <w:u w:val="single"/>
        </w:rPr>
        <w:t>承包人在投标及签订本合同前，已充分考虑到投标及签订本合同应当承担的风险，承包人承诺并保证，执行本合同固定</w:t>
      </w:r>
      <w:r>
        <w:rPr>
          <w:rStyle w:val="56"/>
          <w:rFonts w:hint="eastAsia" w:ascii="Times New Roman" w:hAnsi="Times New Roman" w:cs="Times New Roman"/>
          <w:color w:val="auto"/>
          <w:kern w:val="2"/>
          <w:sz w:val="21"/>
          <w:szCs w:val="21"/>
          <w:highlight w:val="none"/>
          <w:u w:val="single"/>
          <w:lang w:val="en-US" w:eastAsia="zh-CN"/>
        </w:rPr>
        <w:t>综合单价</w:t>
      </w:r>
      <w:r>
        <w:rPr>
          <w:rStyle w:val="56"/>
          <w:rFonts w:hint="default" w:ascii="Times New Roman" w:hAnsi="Times New Roman" w:cs="Times New Roman"/>
          <w:color w:val="auto"/>
          <w:kern w:val="2"/>
          <w:sz w:val="21"/>
          <w:szCs w:val="21"/>
          <w:highlight w:val="none"/>
          <w:u w:val="single"/>
        </w:rPr>
        <w:t>不变</w:t>
      </w:r>
      <w:r>
        <w:rPr>
          <w:rStyle w:val="56"/>
          <w:rFonts w:hint="eastAsia" w:ascii="Times New Roman" w:hAnsi="Times New Roman" w:cs="Times New Roman"/>
          <w:color w:val="auto"/>
          <w:kern w:val="2"/>
          <w:sz w:val="21"/>
          <w:szCs w:val="21"/>
          <w:highlight w:val="none"/>
          <w:u w:val="single"/>
          <w:lang w:eastAsia="zh-CN"/>
        </w:rPr>
        <w:t>。</w:t>
      </w:r>
    </w:p>
    <w:p w14:paraId="7D2500BD">
      <w:pPr>
        <w:pStyle w:val="57"/>
        <w:spacing w:after="120"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12.3 计量</w:t>
      </w:r>
    </w:p>
    <w:p w14:paraId="215A0CA1">
      <w:pPr>
        <w:pStyle w:val="57"/>
        <w:spacing w:line="360" w:lineRule="auto"/>
        <w:ind w:firstLine="600"/>
        <w:jc w:val="left"/>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12.3.1 计量原则</w:t>
      </w:r>
    </w:p>
    <w:p w14:paraId="5DC8FC68">
      <w:pPr>
        <w:pStyle w:val="57"/>
        <w:spacing w:line="360" w:lineRule="auto"/>
        <w:ind w:firstLine="600"/>
        <w:jc w:val="left"/>
        <w:rPr>
          <w:rStyle w:val="56"/>
          <w:rFonts w:hint="default" w:ascii="Times New Roman" w:hAnsi="Times New Roman" w:cs="Times New Roman"/>
          <w:color w:val="auto"/>
          <w:sz w:val="21"/>
          <w:szCs w:val="21"/>
          <w:highlight w:val="none"/>
        </w:rPr>
      </w:pPr>
      <w:r>
        <w:rPr>
          <w:rStyle w:val="56"/>
          <w:rFonts w:hint="default" w:ascii="Times New Roman" w:hAnsi="Times New Roman" w:cs="Times New Roman"/>
          <w:color w:val="auto"/>
          <w:kern w:val="2"/>
          <w:sz w:val="21"/>
          <w:szCs w:val="21"/>
          <w:highlight w:val="none"/>
        </w:rPr>
        <w:t>工程量计算规则</w:t>
      </w:r>
      <w:r>
        <w:rPr>
          <w:rStyle w:val="56"/>
          <w:rFonts w:hint="default" w:ascii="Times New Roman" w:hAnsi="Times New Roman" w:cs="Times New Roman"/>
          <w:color w:val="auto"/>
          <w:sz w:val="21"/>
          <w:szCs w:val="21"/>
          <w:highlight w:val="none"/>
        </w:rPr>
        <w:t>：</w:t>
      </w:r>
      <w:r>
        <w:rPr>
          <w:rStyle w:val="56"/>
          <w:rFonts w:hint="default" w:ascii="Times New Roman" w:hAnsi="Times New Roman" w:cs="Times New Roman"/>
          <w:color w:val="auto"/>
          <w:sz w:val="21"/>
          <w:szCs w:val="21"/>
          <w:highlight w:val="none"/>
          <w:u w:val="single"/>
        </w:rPr>
        <w:t>依据施工图纸</w:t>
      </w:r>
      <w:r>
        <w:rPr>
          <w:rStyle w:val="56"/>
          <w:rFonts w:hint="default" w:ascii="Times New Roman" w:hAnsi="Times New Roman" w:cs="Times New Roman"/>
          <w:color w:val="auto"/>
          <w:sz w:val="21"/>
          <w:szCs w:val="21"/>
          <w:highlight w:val="none"/>
        </w:rPr>
        <w:t>；</w:t>
      </w:r>
    </w:p>
    <w:p w14:paraId="22621BDD">
      <w:pPr>
        <w:pStyle w:val="57"/>
        <w:spacing w:after="120"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承包人向工程师提交已完成工程量报告的时间：</w:t>
      </w:r>
      <w:r>
        <w:rPr>
          <w:rStyle w:val="56"/>
          <w:rFonts w:hint="default" w:ascii="Times New Roman" w:hAnsi="Times New Roman" w:cs="Times New Roman"/>
          <w:color w:val="000000"/>
          <w:sz w:val="21"/>
          <w:szCs w:val="21"/>
          <w:highlight w:val="none"/>
          <w:u w:val="single"/>
        </w:rPr>
        <w:t>按照发包人和监理人的要求提供</w:t>
      </w:r>
      <w:r>
        <w:rPr>
          <w:rStyle w:val="56"/>
          <w:rFonts w:hint="default" w:ascii="Times New Roman" w:hAnsi="Times New Roman" w:cs="Times New Roman"/>
          <w:color w:val="000000"/>
          <w:sz w:val="21"/>
          <w:szCs w:val="21"/>
          <w:highlight w:val="none"/>
        </w:rPr>
        <w:t>。</w:t>
      </w:r>
    </w:p>
    <w:p w14:paraId="3153A248">
      <w:pPr>
        <w:pStyle w:val="57"/>
        <w:spacing w:after="120"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12.5 工程进度款支付</w:t>
      </w:r>
    </w:p>
    <w:p w14:paraId="169595E3">
      <w:pPr>
        <w:pStyle w:val="25"/>
        <w:adjustRightInd w:val="0"/>
        <w:snapToGrid w:val="0"/>
        <w:spacing w:before="0" w:beforeAutospacing="0" w:after="0" w:afterAutospacing="0" w:line="360" w:lineRule="auto"/>
        <w:ind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1）无预付款；          </w:t>
      </w:r>
    </w:p>
    <w:p w14:paraId="764E53E9">
      <w:pPr>
        <w:pStyle w:val="25"/>
        <w:adjustRightInd w:val="0"/>
        <w:snapToGrid w:val="0"/>
        <w:spacing w:before="0" w:beforeAutospacing="0" w:after="0" w:afterAutospacing="0" w:line="360" w:lineRule="auto"/>
        <w:ind w:firstLine="48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2）工程进度款：按施工进度付款，已完工程造价完成审核后，</w:t>
      </w:r>
      <w:r>
        <w:rPr>
          <w:rFonts w:hint="default" w:ascii="Times New Roman" w:hAnsi="Times New Roman" w:eastAsia="宋体" w:cs="Times New Roman"/>
          <w:color w:val="000000"/>
          <w:sz w:val="21"/>
          <w:szCs w:val="21"/>
          <w:highlight w:val="none"/>
          <w:lang w:val="en-US" w:eastAsia="zh-CN"/>
        </w:rPr>
        <w:t>支付</w:t>
      </w:r>
      <w:r>
        <w:rPr>
          <w:rFonts w:hint="eastAsia" w:ascii="Times New Roman" w:hAnsi="Times New Roman" w:eastAsia="宋体" w:cs="Times New Roman"/>
          <w:color w:val="000000"/>
          <w:sz w:val="21"/>
          <w:szCs w:val="21"/>
          <w:highlight w:val="none"/>
          <w:lang w:val="en-US" w:eastAsia="zh-CN"/>
        </w:rPr>
        <w:t>不低于</w:t>
      </w:r>
      <w:r>
        <w:rPr>
          <w:rFonts w:hint="default" w:ascii="Times New Roman" w:hAnsi="Times New Roman" w:eastAsia="宋体" w:cs="Times New Roman"/>
          <w:color w:val="000000"/>
          <w:sz w:val="21"/>
          <w:szCs w:val="21"/>
          <w:highlight w:val="none"/>
          <w:lang w:val="en-US" w:eastAsia="zh-CN"/>
        </w:rPr>
        <w:t>60%</w:t>
      </w:r>
      <w:r>
        <w:rPr>
          <w:rFonts w:hint="eastAsia" w:ascii="Times New Roman" w:hAnsi="Times New Roman" w:eastAsia="宋体" w:cs="Times New Roman"/>
          <w:color w:val="000000"/>
          <w:sz w:val="21"/>
          <w:szCs w:val="21"/>
          <w:highlight w:val="none"/>
          <w:lang w:val="en-US" w:eastAsia="zh-CN"/>
        </w:rPr>
        <w:t>（不高于85%）的</w:t>
      </w:r>
      <w:r>
        <w:rPr>
          <w:rFonts w:hint="default" w:ascii="Times New Roman" w:hAnsi="Times New Roman" w:eastAsia="宋体" w:cs="Times New Roman"/>
          <w:color w:val="000000"/>
          <w:sz w:val="21"/>
          <w:szCs w:val="21"/>
          <w:highlight w:val="none"/>
          <w:lang w:val="en-US" w:eastAsia="zh-CN"/>
        </w:rPr>
        <w:t xml:space="preserve">工程价款；           </w:t>
      </w:r>
    </w:p>
    <w:p w14:paraId="21E442FB">
      <w:pPr>
        <w:pStyle w:val="25"/>
        <w:adjustRightInd w:val="0"/>
        <w:snapToGrid w:val="0"/>
        <w:spacing w:before="0" w:beforeAutospacing="0" w:after="0" w:afterAutospacing="0" w:line="360" w:lineRule="auto"/>
        <w:ind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3）工程结算款：本工程竣工验收合格后，并最终由财政部门审定的工程结算值作为最终结算价款，招标人付款至最终结算价款的97%，其余3%作为质保金，待缺陷责任期满后无息支付质保金。  </w:t>
      </w:r>
    </w:p>
    <w:p w14:paraId="75FCE27E">
      <w:pPr>
        <w:pStyle w:val="25"/>
        <w:adjustRightInd w:val="0"/>
        <w:snapToGrid w:val="0"/>
        <w:spacing w:before="0" w:beforeAutospacing="0" w:after="0" w:afterAutospacing="0" w:line="360" w:lineRule="auto"/>
        <w:ind w:firstLine="480"/>
        <w:rPr>
          <w:rStyle w:val="56"/>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注：</w:t>
      </w:r>
      <w:bookmarkStart w:id="965" w:name="OLE_LINK28"/>
      <w:r>
        <w:rPr>
          <w:rFonts w:hint="eastAsia" w:ascii="Times New Roman" w:hAnsi="Times New Roman" w:eastAsia="宋体" w:cs="Times New Roman"/>
          <w:color w:val="auto"/>
          <w:sz w:val="21"/>
          <w:szCs w:val="21"/>
          <w:highlight w:val="none"/>
          <w:lang w:val="en-US" w:eastAsia="zh-CN"/>
        </w:rPr>
        <w:t>发包人</w:t>
      </w:r>
      <w:bookmarkEnd w:id="965"/>
      <w:r>
        <w:rPr>
          <w:rFonts w:hint="default" w:ascii="Times New Roman" w:hAnsi="Times New Roman" w:eastAsia="宋体" w:cs="Times New Roman"/>
          <w:color w:val="auto"/>
          <w:sz w:val="21"/>
          <w:szCs w:val="21"/>
          <w:highlight w:val="none"/>
          <w:lang w:val="en-US" w:eastAsia="zh-CN"/>
        </w:rPr>
        <w:t>付款前，</w:t>
      </w:r>
      <w:r>
        <w:rPr>
          <w:rFonts w:hint="eastAsia" w:ascii="Times New Roman" w:hAnsi="Times New Roman" w:eastAsia="宋体" w:cs="Times New Roman"/>
          <w:color w:val="auto"/>
          <w:sz w:val="21"/>
          <w:szCs w:val="21"/>
          <w:highlight w:val="none"/>
          <w:lang w:val="en-US" w:eastAsia="zh-CN"/>
        </w:rPr>
        <w:t>承包</w:t>
      </w:r>
      <w:r>
        <w:rPr>
          <w:rFonts w:hint="default" w:ascii="Times New Roman" w:hAnsi="Times New Roman" w:eastAsia="宋体" w:cs="Times New Roman"/>
          <w:color w:val="auto"/>
          <w:sz w:val="21"/>
          <w:szCs w:val="21"/>
          <w:highlight w:val="none"/>
          <w:lang w:val="en-US" w:eastAsia="zh-CN"/>
        </w:rPr>
        <w:t>人应为</w:t>
      </w:r>
      <w:r>
        <w:rPr>
          <w:rFonts w:hint="eastAsia" w:ascii="Times New Roman" w:hAnsi="Times New Roman" w:eastAsia="宋体" w:cs="Times New Roman"/>
          <w:color w:val="auto"/>
          <w:sz w:val="21"/>
          <w:szCs w:val="21"/>
          <w:highlight w:val="none"/>
          <w:lang w:val="en-US" w:eastAsia="zh-CN"/>
        </w:rPr>
        <w:t>发包人</w:t>
      </w:r>
      <w:r>
        <w:rPr>
          <w:rFonts w:hint="default" w:ascii="Times New Roman" w:hAnsi="Times New Roman" w:eastAsia="宋体" w:cs="Times New Roman"/>
          <w:color w:val="auto"/>
          <w:sz w:val="21"/>
          <w:szCs w:val="21"/>
          <w:highlight w:val="none"/>
          <w:lang w:val="en-US" w:eastAsia="zh-CN"/>
        </w:rPr>
        <w:t>开具合法有效的增值税专用发票，否则</w:t>
      </w:r>
      <w:r>
        <w:rPr>
          <w:rFonts w:hint="eastAsia" w:ascii="Times New Roman" w:hAnsi="Times New Roman" w:eastAsia="宋体" w:cs="Times New Roman"/>
          <w:color w:val="auto"/>
          <w:sz w:val="21"/>
          <w:szCs w:val="21"/>
          <w:highlight w:val="none"/>
          <w:lang w:val="en-US" w:eastAsia="zh-CN"/>
        </w:rPr>
        <w:t>发包人</w:t>
      </w:r>
      <w:r>
        <w:rPr>
          <w:rFonts w:hint="default" w:ascii="Times New Roman" w:hAnsi="Times New Roman" w:eastAsia="宋体" w:cs="Times New Roman"/>
          <w:color w:val="auto"/>
          <w:sz w:val="21"/>
          <w:szCs w:val="21"/>
          <w:highlight w:val="none"/>
          <w:lang w:val="en-US" w:eastAsia="zh-CN"/>
        </w:rPr>
        <w:t>有权拒绝付款，由此产生的一切后果由</w:t>
      </w:r>
      <w:r>
        <w:rPr>
          <w:rFonts w:hint="eastAsia" w:ascii="Times New Roman" w:hAnsi="Times New Roman" w:eastAsia="宋体" w:cs="Times New Roman"/>
          <w:color w:val="auto"/>
          <w:sz w:val="21"/>
          <w:szCs w:val="21"/>
          <w:highlight w:val="none"/>
          <w:lang w:val="en-US" w:eastAsia="zh-CN"/>
        </w:rPr>
        <w:t>承包人</w:t>
      </w:r>
      <w:r>
        <w:rPr>
          <w:rFonts w:hint="default" w:ascii="Times New Roman" w:hAnsi="Times New Roman" w:eastAsia="宋体" w:cs="Times New Roman"/>
          <w:color w:val="auto"/>
          <w:sz w:val="21"/>
          <w:szCs w:val="21"/>
          <w:highlight w:val="none"/>
          <w:lang w:val="en-US" w:eastAsia="zh-CN"/>
        </w:rPr>
        <w:t>负全责，造成</w:t>
      </w:r>
      <w:r>
        <w:rPr>
          <w:rFonts w:hint="eastAsia" w:ascii="Times New Roman" w:hAnsi="Times New Roman" w:eastAsia="宋体" w:cs="Times New Roman"/>
          <w:color w:val="auto"/>
          <w:sz w:val="21"/>
          <w:szCs w:val="21"/>
          <w:highlight w:val="none"/>
          <w:lang w:val="en-US" w:eastAsia="zh-CN"/>
        </w:rPr>
        <w:t>发包人</w:t>
      </w:r>
      <w:r>
        <w:rPr>
          <w:rFonts w:hint="default" w:ascii="Times New Roman" w:hAnsi="Times New Roman" w:eastAsia="宋体" w:cs="Times New Roman"/>
          <w:color w:val="auto"/>
          <w:sz w:val="21"/>
          <w:szCs w:val="21"/>
          <w:highlight w:val="none"/>
          <w:lang w:val="en-US" w:eastAsia="zh-CN"/>
        </w:rPr>
        <w:t>损失的，</w:t>
      </w:r>
      <w:r>
        <w:rPr>
          <w:rFonts w:hint="eastAsia" w:ascii="Times New Roman" w:hAnsi="Times New Roman" w:eastAsia="宋体" w:cs="Times New Roman"/>
          <w:color w:val="auto"/>
          <w:sz w:val="21"/>
          <w:szCs w:val="21"/>
          <w:highlight w:val="none"/>
          <w:lang w:val="en-US" w:eastAsia="zh-CN"/>
        </w:rPr>
        <w:t>承包人</w:t>
      </w:r>
      <w:r>
        <w:rPr>
          <w:rFonts w:hint="default" w:ascii="Times New Roman" w:hAnsi="Times New Roman" w:eastAsia="宋体" w:cs="Times New Roman"/>
          <w:color w:val="auto"/>
          <w:sz w:val="21"/>
          <w:szCs w:val="21"/>
          <w:highlight w:val="none"/>
          <w:lang w:val="en-US" w:eastAsia="zh-CN"/>
        </w:rPr>
        <w:t>应负责赔偿。</w:t>
      </w:r>
    </w:p>
    <w:p w14:paraId="70A1E774">
      <w:pPr>
        <w:pStyle w:val="57"/>
        <w:spacing w:after="120"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13. 验收和工程试车</w:t>
      </w:r>
    </w:p>
    <w:p w14:paraId="167A38DC">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13.2 竣工验收</w:t>
      </w:r>
    </w:p>
    <w:p w14:paraId="48BC6453">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13.2.1竣工验收日期</w:t>
      </w:r>
    </w:p>
    <w:p w14:paraId="7DC9C1B3">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工程验收通过，各参建方共同签署工程验收单的日期为实际完工日期。</w:t>
      </w:r>
    </w:p>
    <w:p w14:paraId="654481B2">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13.2.2竣工验收程序</w:t>
      </w:r>
    </w:p>
    <w:p w14:paraId="2589594C">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sz w:val="21"/>
          <w:szCs w:val="21"/>
          <w:highlight w:val="none"/>
        </w:rPr>
        <w:t>关于竣工验收程序的约定：</w:t>
      </w:r>
      <w:r>
        <w:rPr>
          <w:rStyle w:val="56"/>
          <w:rFonts w:hint="default" w:ascii="Times New Roman" w:hAnsi="Times New Roman" w:cs="Times New Roman"/>
          <w:color w:val="000000"/>
          <w:kern w:val="2"/>
          <w:sz w:val="21"/>
          <w:szCs w:val="21"/>
          <w:highlight w:val="none"/>
          <w:u w:val="single"/>
        </w:rPr>
        <w:t>按相关规定执行</w:t>
      </w:r>
      <w:r>
        <w:rPr>
          <w:rStyle w:val="56"/>
          <w:rFonts w:hint="default" w:ascii="Times New Roman" w:hAnsi="Times New Roman" w:cs="Times New Roman"/>
          <w:color w:val="000000"/>
          <w:kern w:val="2"/>
          <w:sz w:val="21"/>
          <w:szCs w:val="21"/>
          <w:highlight w:val="none"/>
        </w:rPr>
        <w:t>。</w:t>
      </w:r>
    </w:p>
    <w:p w14:paraId="0B077EEA">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sz w:val="21"/>
          <w:szCs w:val="21"/>
          <w:highlight w:val="none"/>
        </w:rPr>
        <w:t>发包人不按照本项约定组织竣工验收、颁发工程接收证书的违约金的计算方法：</w:t>
      </w:r>
      <w:r>
        <w:rPr>
          <w:rStyle w:val="56"/>
          <w:rFonts w:hint="default" w:ascii="Times New Roman" w:hAnsi="Times New Roman" w:cs="Times New Roman"/>
          <w:color w:val="000000"/>
          <w:kern w:val="2"/>
          <w:sz w:val="21"/>
          <w:szCs w:val="21"/>
          <w:highlight w:val="none"/>
          <w:u w:val="single"/>
        </w:rPr>
        <w:t>不采用</w:t>
      </w:r>
      <w:r>
        <w:rPr>
          <w:rStyle w:val="56"/>
          <w:rFonts w:hint="default" w:ascii="Times New Roman" w:hAnsi="Times New Roman" w:cs="Times New Roman"/>
          <w:color w:val="000000"/>
          <w:kern w:val="2"/>
          <w:sz w:val="21"/>
          <w:szCs w:val="21"/>
          <w:highlight w:val="none"/>
        </w:rPr>
        <w:t>。</w:t>
      </w:r>
    </w:p>
    <w:p w14:paraId="356A9973">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13.2.5移交、接收全部与部分工程</w:t>
      </w:r>
    </w:p>
    <w:p w14:paraId="0270C3EE">
      <w:pPr>
        <w:pStyle w:val="57"/>
        <w:spacing w:line="360" w:lineRule="auto"/>
        <w:ind w:firstLine="600"/>
        <w:jc w:val="left"/>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承包人向发包人移交工程的期限：</w:t>
      </w:r>
      <w:r>
        <w:rPr>
          <w:rStyle w:val="56"/>
          <w:rFonts w:hint="default" w:ascii="Times New Roman" w:hAnsi="Times New Roman" w:cs="Times New Roman"/>
          <w:color w:val="000000"/>
          <w:kern w:val="2"/>
          <w:sz w:val="21"/>
          <w:szCs w:val="21"/>
          <w:highlight w:val="none"/>
          <w:u w:val="single"/>
        </w:rPr>
        <w:t>通过验收后7日内</w:t>
      </w:r>
      <w:r>
        <w:rPr>
          <w:rStyle w:val="56"/>
          <w:rFonts w:hint="default" w:ascii="Times New Roman" w:hAnsi="Times New Roman" w:cs="Times New Roman"/>
          <w:color w:val="000000"/>
          <w:kern w:val="2"/>
          <w:sz w:val="21"/>
          <w:szCs w:val="21"/>
          <w:highlight w:val="none"/>
        </w:rPr>
        <w:t>。</w:t>
      </w:r>
    </w:p>
    <w:p w14:paraId="2A39C1D3">
      <w:pPr>
        <w:pStyle w:val="57"/>
        <w:spacing w:line="360" w:lineRule="auto"/>
        <w:ind w:firstLine="600"/>
        <w:jc w:val="left"/>
        <w:rPr>
          <w:rStyle w:val="56"/>
          <w:rFonts w:hint="default" w:ascii="Times New Roman" w:hAnsi="Times New Roman" w:cs="Times New Roman"/>
          <w:color w:val="000000"/>
          <w:kern w:val="2"/>
          <w:sz w:val="21"/>
          <w:szCs w:val="21"/>
          <w:highlight w:val="none"/>
          <w:u w:val="single"/>
        </w:rPr>
      </w:pPr>
      <w:r>
        <w:rPr>
          <w:rStyle w:val="56"/>
          <w:rFonts w:hint="default" w:ascii="Times New Roman" w:hAnsi="Times New Roman" w:cs="Times New Roman"/>
          <w:color w:val="000000"/>
          <w:sz w:val="21"/>
          <w:szCs w:val="21"/>
          <w:highlight w:val="none"/>
        </w:rPr>
        <w:t>发包人未按本合同约定接收全部或部分工程的，违约金的计算方法为：</w:t>
      </w:r>
      <w:r>
        <w:rPr>
          <w:rStyle w:val="56"/>
          <w:rFonts w:hint="default" w:ascii="Times New Roman" w:hAnsi="Times New Roman" w:cs="Times New Roman"/>
          <w:color w:val="000000"/>
          <w:kern w:val="2"/>
          <w:sz w:val="21"/>
          <w:szCs w:val="21"/>
          <w:highlight w:val="none"/>
          <w:u w:val="single"/>
        </w:rPr>
        <w:t>不采用</w:t>
      </w:r>
      <w:r>
        <w:rPr>
          <w:rStyle w:val="56"/>
          <w:rFonts w:hint="default" w:ascii="Times New Roman" w:hAnsi="Times New Roman" w:cs="Times New Roman"/>
          <w:color w:val="000000"/>
          <w:kern w:val="2"/>
          <w:sz w:val="21"/>
          <w:szCs w:val="21"/>
          <w:highlight w:val="none"/>
        </w:rPr>
        <w:t>。</w:t>
      </w:r>
    </w:p>
    <w:p w14:paraId="23DC4466">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承包人未按时移交工程的，违约金的计算方法为：</w:t>
      </w:r>
      <w:r>
        <w:rPr>
          <w:rStyle w:val="56"/>
          <w:rFonts w:hint="default" w:ascii="Times New Roman" w:hAnsi="Times New Roman" w:cs="Times New Roman"/>
          <w:color w:val="000000"/>
          <w:kern w:val="2"/>
          <w:sz w:val="21"/>
          <w:szCs w:val="21"/>
          <w:highlight w:val="none"/>
          <w:u w:val="single"/>
        </w:rPr>
        <w:t>每迟延一日，按照合同总价款日</w:t>
      </w:r>
      <w:r>
        <w:rPr>
          <w:rStyle w:val="56"/>
          <w:rFonts w:hint="eastAsia" w:ascii="Times New Roman" w:hAnsi="Times New Roman" w:cs="Times New Roman"/>
          <w:color w:val="000000"/>
          <w:kern w:val="2"/>
          <w:sz w:val="21"/>
          <w:szCs w:val="21"/>
          <w:highlight w:val="none"/>
          <w:u w:val="single"/>
          <w:lang w:eastAsia="zh-CN"/>
        </w:rPr>
        <w:t>万分之五</w:t>
      </w:r>
      <w:r>
        <w:rPr>
          <w:rStyle w:val="56"/>
          <w:rFonts w:hint="default" w:ascii="Times New Roman" w:hAnsi="Times New Roman" w:cs="Times New Roman"/>
          <w:color w:val="000000"/>
          <w:kern w:val="2"/>
          <w:sz w:val="21"/>
          <w:szCs w:val="21"/>
          <w:highlight w:val="none"/>
          <w:u w:val="single"/>
        </w:rPr>
        <w:t>承担违约责任且履约保证金不予返还</w:t>
      </w:r>
      <w:r>
        <w:rPr>
          <w:rStyle w:val="56"/>
          <w:rFonts w:hint="default" w:ascii="Times New Roman" w:hAnsi="Times New Roman" w:cs="Times New Roman"/>
          <w:color w:val="000000"/>
          <w:kern w:val="2"/>
          <w:sz w:val="21"/>
          <w:szCs w:val="21"/>
          <w:highlight w:val="none"/>
        </w:rPr>
        <w:t>。</w:t>
      </w:r>
    </w:p>
    <w:p w14:paraId="43C04275">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13.6 竣工退场</w:t>
      </w:r>
    </w:p>
    <w:p w14:paraId="702AF693">
      <w:pPr>
        <w:pStyle w:val="57"/>
        <w:spacing w:line="360" w:lineRule="auto"/>
        <w:ind w:firstLine="600"/>
        <w:jc w:val="left"/>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13.6.1 竣工退场</w:t>
      </w:r>
    </w:p>
    <w:p w14:paraId="032AECDB">
      <w:pPr>
        <w:pStyle w:val="57"/>
        <w:spacing w:line="360" w:lineRule="auto"/>
        <w:ind w:firstLine="600"/>
        <w:jc w:val="left"/>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承包人完成竣工退场的期限：</w:t>
      </w:r>
      <w:r>
        <w:rPr>
          <w:rStyle w:val="56"/>
          <w:rFonts w:hint="default" w:ascii="Times New Roman" w:hAnsi="Times New Roman" w:cs="Times New Roman"/>
          <w:color w:val="000000"/>
          <w:kern w:val="2"/>
          <w:sz w:val="21"/>
          <w:szCs w:val="21"/>
          <w:highlight w:val="none"/>
          <w:u w:val="single"/>
        </w:rPr>
        <w:t>通过验收后3日内</w:t>
      </w:r>
      <w:r>
        <w:rPr>
          <w:rStyle w:val="56"/>
          <w:rFonts w:hint="default" w:ascii="Times New Roman" w:hAnsi="Times New Roman" w:cs="Times New Roman"/>
          <w:color w:val="000000"/>
          <w:sz w:val="21"/>
          <w:szCs w:val="21"/>
          <w:highlight w:val="none"/>
        </w:rPr>
        <w:t>。</w:t>
      </w:r>
    </w:p>
    <w:p w14:paraId="40892C8C">
      <w:pPr>
        <w:pStyle w:val="57"/>
        <w:spacing w:line="360" w:lineRule="auto"/>
        <w:ind w:firstLine="600"/>
        <w:jc w:val="left"/>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15. 缺陷责任期与保修</w:t>
      </w:r>
    </w:p>
    <w:p w14:paraId="020B5710">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15.4保修</w:t>
      </w:r>
    </w:p>
    <w:p w14:paraId="00690F0C">
      <w:pPr>
        <w:pStyle w:val="57"/>
        <w:spacing w:line="360" w:lineRule="auto"/>
        <w:ind w:firstLine="585"/>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15.4.1 保修责任</w:t>
      </w:r>
    </w:p>
    <w:p w14:paraId="31E60C41">
      <w:pPr>
        <w:pStyle w:val="58"/>
        <w:spacing w:line="360" w:lineRule="auto"/>
        <w:ind w:firstLine="480"/>
        <w:rPr>
          <w:rStyle w:val="56"/>
          <w:rFonts w:hint="default" w:ascii="Times New Roman" w:hAnsi="Times New Roman" w:cs="Times New Roman"/>
          <w:bCs/>
          <w:color w:val="000000"/>
          <w:sz w:val="21"/>
          <w:szCs w:val="21"/>
          <w:highlight w:val="none"/>
        </w:rPr>
      </w:pPr>
      <w:r>
        <w:rPr>
          <w:rStyle w:val="56"/>
          <w:rFonts w:hint="default" w:ascii="Times New Roman" w:hAnsi="Times New Roman" w:cs="Times New Roman"/>
          <w:bCs/>
          <w:color w:val="000000"/>
          <w:sz w:val="21"/>
          <w:szCs w:val="21"/>
          <w:highlight w:val="none"/>
        </w:rPr>
        <w:t>详见《工程质量缺陷保修书》</w:t>
      </w:r>
    </w:p>
    <w:p w14:paraId="30E707F2">
      <w:pPr>
        <w:pStyle w:val="58"/>
        <w:spacing w:line="360" w:lineRule="auto"/>
        <w:ind w:firstLine="480"/>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color w:val="000000"/>
          <w:kern w:val="2"/>
          <w:sz w:val="21"/>
          <w:szCs w:val="21"/>
          <w:highlight w:val="none"/>
        </w:rPr>
        <w:t>16. 违约</w:t>
      </w:r>
    </w:p>
    <w:p w14:paraId="771B60B4">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16.2 承包人违约</w:t>
      </w:r>
    </w:p>
    <w:p w14:paraId="1F0BCAFF">
      <w:pPr>
        <w:pStyle w:val="57"/>
        <w:spacing w:line="360" w:lineRule="auto"/>
        <w:ind w:firstLine="600"/>
        <w:jc w:val="left"/>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16.2.2承包人违约的责任</w:t>
      </w:r>
    </w:p>
    <w:p w14:paraId="3CCF558F">
      <w:pPr>
        <w:pStyle w:val="57"/>
        <w:spacing w:line="360" w:lineRule="auto"/>
        <w:ind w:firstLine="600"/>
        <w:jc w:val="left"/>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承包人违约责任的承担方式和计算方法：</w:t>
      </w:r>
    </w:p>
    <w:p w14:paraId="44CAC53E">
      <w:pPr>
        <w:pStyle w:val="57"/>
        <w:spacing w:line="360" w:lineRule="auto"/>
        <w:ind w:firstLine="600"/>
        <w:jc w:val="left"/>
        <w:rPr>
          <w:rStyle w:val="56"/>
          <w:rFonts w:hint="default" w:ascii="Times New Roman" w:hAnsi="Times New Roman" w:cs="Times New Roman"/>
          <w:color w:val="auto"/>
          <w:sz w:val="21"/>
          <w:szCs w:val="21"/>
          <w:highlight w:val="none"/>
          <w:u w:val="single"/>
        </w:rPr>
      </w:pPr>
      <w:r>
        <w:rPr>
          <w:rStyle w:val="56"/>
          <w:rFonts w:hint="default" w:ascii="Times New Roman" w:hAnsi="Times New Roman" w:cs="Times New Roman"/>
          <w:color w:val="auto"/>
          <w:sz w:val="21"/>
          <w:szCs w:val="21"/>
          <w:highlight w:val="none"/>
        </w:rPr>
        <w:t>承包人未按时竣工应承担的违约责任：</w:t>
      </w:r>
      <w:r>
        <w:rPr>
          <w:rStyle w:val="56"/>
          <w:rFonts w:hint="default" w:ascii="Times New Roman" w:hAnsi="Times New Roman" w:cs="Times New Roman"/>
          <w:color w:val="auto"/>
          <w:sz w:val="21"/>
          <w:szCs w:val="21"/>
          <w:highlight w:val="none"/>
          <w:u w:val="single"/>
        </w:rPr>
        <w:t>由于承包人的原因逾期竣工，每迟延一日，应当按照合同总价款日</w:t>
      </w:r>
      <w:r>
        <w:rPr>
          <w:rStyle w:val="56"/>
          <w:rFonts w:hint="eastAsia" w:ascii="Times New Roman" w:hAnsi="Times New Roman" w:cs="Times New Roman"/>
          <w:color w:val="auto"/>
          <w:sz w:val="21"/>
          <w:szCs w:val="21"/>
          <w:highlight w:val="none"/>
          <w:u w:val="single"/>
          <w:lang w:eastAsia="zh-CN"/>
        </w:rPr>
        <w:t>万分之五</w:t>
      </w:r>
      <w:r>
        <w:rPr>
          <w:rStyle w:val="56"/>
          <w:rFonts w:hint="default" w:ascii="Times New Roman" w:hAnsi="Times New Roman" w:cs="Times New Roman"/>
          <w:color w:val="auto"/>
          <w:sz w:val="21"/>
          <w:szCs w:val="21"/>
          <w:highlight w:val="none"/>
          <w:u w:val="single"/>
        </w:rPr>
        <w:t>承担违约责任。逾期10日（含10日）以上，发包人除有权单方解除合同外，还有权要求承包人按照合同总价款</w:t>
      </w:r>
      <w:r>
        <w:rPr>
          <w:rStyle w:val="56"/>
          <w:rFonts w:hint="default" w:ascii="Times New Roman" w:hAnsi="Times New Roman" w:cs="Times New Roman"/>
          <w:color w:val="auto"/>
          <w:sz w:val="21"/>
          <w:szCs w:val="21"/>
          <w:highlight w:val="none"/>
          <w:u w:val="single"/>
          <w:lang w:eastAsia="zh-CN"/>
        </w:rPr>
        <w:t>30%</w:t>
      </w:r>
      <w:r>
        <w:rPr>
          <w:rStyle w:val="56"/>
          <w:rFonts w:hint="default" w:ascii="Times New Roman" w:hAnsi="Times New Roman" w:cs="Times New Roman"/>
          <w:color w:val="auto"/>
          <w:sz w:val="21"/>
          <w:szCs w:val="21"/>
          <w:highlight w:val="none"/>
          <w:u w:val="single"/>
        </w:rPr>
        <w:t>承担违约责任。承包人接到发包人单方解除合同的通知后7日内，必须撤出施工现场，否则，每迟延一日，还应当按照合同总价款日</w:t>
      </w:r>
      <w:r>
        <w:rPr>
          <w:rStyle w:val="56"/>
          <w:rFonts w:hint="eastAsia" w:ascii="Times New Roman" w:hAnsi="Times New Roman" w:cs="Times New Roman"/>
          <w:color w:val="auto"/>
          <w:sz w:val="21"/>
          <w:szCs w:val="21"/>
          <w:highlight w:val="none"/>
          <w:u w:val="single"/>
          <w:lang w:val="en-US" w:eastAsia="zh-CN"/>
        </w:rPr>
        <w:t>万</w:t>
      </w:r>
      <w:r>
        <w:rPr>
          <w:rStyle w:val="56"/>
          <w:rFonts w:hint="default" w:ascii="Times New Roman" w:hAnsi="Times New Roman" w:cs="Times New Roman"/>
          <w:color w:val="auto"/>
          <w:sz w:val="21"/>
          <w:szCs w:val="21"/>
          <w:highlight w:val="none"/>
          <w:u w:val="single"/>
          <w:lang w:eastAsia="zh-CN"/>
        </w:rPr>
        <w:t>分之五</w:t>
      </w:r>
      <w:r>
        <w:rPr>
          <w:rStyle w:val="56"/>
          <w:rFonts w:hint="default" w:ascii="Times New Roman" w:hAnsi="Times New Roman" w:cs="Times New Roman"/>
          <w:color w:val="auto"/>
          <w:sz w:val="21"/>
          <w:szCs w:val="21"/>
          <w:highlight w:val="none"/>
          <w:u w:val="single"/>
        </w:rPr>
        <w:t>承担违约责任。</w:t>
      </w:r>
    </w:p>
    <w:p w14:paraId="711134FF">
      <w:pPr>
        <w:pStyle w:val="58"/>
        <w:spacing w:line="360" w:lineRule="auto"/>
        <w:ind w:firstLine="600"/>
        <w:rPr>
          <w:rStyle w:val="56"/>
          <w:rFonts w:hint="default" w:ascii="Times New Roman" w:hAnsi="Times New Roman" w:cs="Times New Roman"/>
          <w:color w:val="auto"/>
          <w:sz w:val="21"/>
          <w:szCs w:val="21"/>
          <w:highlight w:val="none"/>
        </w:rPr>
      </w:pPr>
      <w:r>
        <w:rPr>
          <w:rStyle w:val="56"/>
          <w:rFonts w:hint="default" w:ascii="Times New Roman" w:hAnsi="Times New Roman" w:cs="Times New Roman"/>
          <w:color w:val="auto"/>
          <w:sz w:val="21"/>
          <w:szCs w:val="21"/>
          <w:highlight w:val="none"/>
        </w:rPr>
        <w:t>工程质量达不到合同约定的标准，承包人应承担的违约责任：</w:t>
      </w:r>
      <w:r>
        <w:rPr>
          <w:rStyle w:val="56"/>
          <w:rFonts w:hint="default" w:ascii="Times New Roman" w:hAnsi="Times New Roman" w:cs="Times New Roman"/>
          <w:color w:val="auto"/>
          <w:sz w:val="21"/>
          <w:szCs w:val="21"/>
          <w:highlight w:val="none"/>
          <w:u w:val="single"/>
        </w:rPr>
        <w:t>工程质量达不到标准，应当按照合同总价款</w:t>
      </w:r>
      <w:r>
        <w:rPr>
          <w:rStyle w:val="56"/>
          <w:rFonts w:hint="default" w:ascii="Times New Roman" w:hAnsi="Times New Roman" w:cs="Times New Roman"/>
          <w:color w:val="auto"/>
          <w:sz w:val="21"/>
          <w:szCs w:val="21"/>
          <w:highlight w:val="none"/>
          <w:u w:val="single"/>
          <w:lang w:eastAsia="zh-CN"/>
        </w:rPr>
        <w:t>30%</w:t>
      </w:r>
      <w:r>
        <w:rPr>
          <w:rStyle w:val="56"/>
          <w:rFonts w:hint="default" w:ascii="Times New Roman" w:hAnsi="Times New Roman" w:cs="Times New Roman"/>
          <w:color w:val="auto"/>
          <w:sz w:val="21"/>
          <w:szCs w:val="21"/>
          <w:highlight w:val="none"/>
          <w:u w:val="single"/>
        </w:rPr>
        <w:t>承担违约责任，因此给发包人造成损失的，还应当承担赔偿责任，同时承包人必须返工，工期不顺延，经过返工还达不到工程质量合同约定的标准，发包人除有权单方解除合同外，还有权要求承包人按照合同总价款</w:t>
      </w:r>
      <w:r>
        <w:rPr>
          <w:rStyle w:val="56"/>
          <w:rFonts w:hint="default" w:ascii="Times New Roman" w:hAnsi="Times New Roman" w:cs="Times New Roman"/>
          <w:color w:val="auto"/>
          <w:sz w:val="21"/>
          <w:szCs w:val="21"/>
          <w:highlight w:val="none"/>
          <w:u w:val="single"/>
          <w:lang w:eastAsia="zh-CN"/>
        </w:rPr>
        <w:t>30%</w:t>
      </w:r>
      <w:r>
        <w:rPr>
          <w:rStyle w:val="56"/>
          <w:rFonts w:hint="default" w:ascii="Times New Roman" w:hAnsi="Times New Roman" w:cs="Times New Roman"/>
          <w:color w:val="auto"/>
          <w:sz w:val="21"/>
          <w:szCs w:val="21"/>
          <w:highlight w:val="none"/>
          <w:u w:val="single"/>
        </w:rPr>
        <w:t>承担违约责任，如果造成损失的，还应当承担赔偿责任。承包人接到发包人单方解除合同的通知后7日内，必须撤出施工现场，否则，每迟延一日，还应当按照合同总价款日</w:t>
      </w:r>
      <w:r>
        <w:rPr>
          <w:rStyle w:val="56"/>
          <w:rFonts w:hint="eastAsia" w:ascii="Times New Roman" w:hAnsi="Times New Roman" w:cs="Times New Roman"/>
          <w:color w:val="auto"/>
          <w:sz w:val="21"/>
          <w:szCs w:val="21"/>
          <w:highlight w:val="none"/>
          <w:u w:val="single"/>
          <w:lang w:val="en-US" w:eastAsia="zh-CN"/>
        </w:rPr>
        <w:t>万</w:t>
      </w:r>
      <w:r>
        <w:rPr>
          <w:rStyle w:val="56"/>
          <w:rFonts w:hint="default" w:ascii="Times New Roman" w:hAnsi="Times New Roman" w:cs="Times New Roman"/>
          <w:color w:val="auto"/>
          <w:sz w:val="21"/>
          <w:szCs w:val="21"/>
          <w:highlight w:val="none"/>
          <w:u w:val="single"/>
          <w:lang w:eastAsia="zh-CN"/>
        </w:rPr>
        <w:t>分之五</w:t>
      </w:r>
      <w:r>
        <w:rPr>
          <w:rStyle w:val="56"/>
          <w:rFonts w:hint="default" w:ascii="Times New Roman" w:hAnsi="Times New Roman" w:cs="Times New Roman"/>
          <w:color w:val="auto"/>
          <w:sz w:val="21"/>
          <w:szCs w:val="21"/>
          <w:highlight w:val="none"/>
          <w:u w:val="single"/>
        </w:rPr>
        <w:t>承担违约责任。</w:t>
      </w:r>
      <w:r>
        <w:rPr>
          <w:rStyle w:val="56"/>
          <w:rFonts w:hint="default" w:ascii="Times New Roman" w:hAnsi="Times New Roman" w:cs="Times New Roman"/>
          <w:color w:val="auto"/>
          <w:sz w:val="21"/>
          <w:szCs w:val="21"/>
          <w:highlight w:val="none"/>
        </w:rPr>
        <w:t xml:space="preserve"> </w:t>
      </w:r>
    </w:p>
    <w:p w14:paraId="4E630828">
      <w:pPr>
        <w:pStyle w:val="58"/>
        <w:spacing w:line="360" w:lineRule="auto"/>
        <w:rPr>
          <w:rStyle w:val="56"/>
          <w:rFonts w:hint="default" w:ascii="Times New Roman" w:hAnsi="Times New Roman" w:cs="Times New Roman"/>
          <w:color w:val="000000"/>
          <w:sz w:val="21"/>
          <w:szCs w:val="21"/>
          <w:highlight w:val="none"/>
          <w:u w:val="single"/>
        </w:rPr>
      </w:pPr>
      <w:r>
        <w:rPr>
          <w:rStyle w:val="56"/>
          <w:rFonts w:hint="default" w:ascii="Times New Roman" w:hAnsi="Times New Roman" w:cs="Times New Roman"/>
          <w:color w:val="000000"/>
          <w:sz w:val="21"/>
          <w:szCs w:val="21"/>
          <w:highlight w:val="none"/>
        </w:rPr>
        <w:t xml:space="preserve">     承包人违约的其他约定：</w:t>
      </w:r>
      <w:r>
        <w:rPr>
          <w:rStyle w:val="56"/>
          <w:rFonts w:hint="default" w:ascii="Times New Roman" w:hAnsi="Times New Roman" w:cs="Times New Roman"/>
          <w:color w:val="000000"/>
          <w:sz w:val="21"/>
          <w:szCs w:val="21"/>
          <w:highlight w:val="none"/>
          <w:u w:val="single"/>
        </w:rPr>
        <w:t xml:space="preserve">发包人因承包人逾期竣工或工程质量等原因单方解除合同，承包人已完成的工作量及价款，由本合同项下工程决算审核部门出具审核报告，发包人按此报告在全部工程竣工后90日内，将工程款支付给承包人。  </w:t>
      </w:r>
    </w:p>
    <w:p w14:paraId="6682E7A3">
      <w:pPr>
        <w:pStyle w:val="58"/>
        <w:spacing w:line="360" w:lineRule="auto"/>
        <w:ind w:firstLine="600"/>
        <w:rPr>
          <w:rStyle w:val="56"/>
          <w:rFonts w:hint="default" w:ascii="Times New Roman" w:hAnsi="Times New Roman" w:cs="Times New Roman"/>
          <w:color w:val="000000"/>
          <w:sz w:val="21"/>
          <w:szCs w:val="21"/>
          <w:highlight w:val="none"/>
          <w:u w:val="single"/>
        </w:rPr>
      </w:pPr>
      <w:r>
        <w:rPr>
          <w:rStyle w:val="56"/>
          <w:rFonts w:hint="default" w:ascii="Times New Roman" w:hAnsi="Times New Roman" w:cs="Times New Roman"/>
          <w:color w:val="000000"/>
          <w:sz w:val="21"/>
          <w:szCs w:val="21"/>
          <w:highlight w:val="none"/>
        </w:rPr>
        <w:t>发包人和承包人特别约定：</w:t>
      </w:r>
      <w:r>
        <w:rPr>
          <w:rStyle w:val="56"/>
          <w:rFonts w:hint="default" w:ascii="Times New Roman" w:hAnsi="Times New Roman" w:cs="Times New Roman"/>
          <w:color w:val="000000"/>
          <w:sz w:val="21"/>
          <w:szCs w:val="21"/>
          <w:highlight w:val="none"/>
          <w:u w:val="single"/>
        </w:rPr>
        <w:t>因为承包人违约，发包人有权在履约保证金和工程价款中直接扣除承包人应承担的违约金和赔偿金。</w:t>
      </w:r>
    </w:p>
    <w:p w14:paraId="420AB070">
      <w:pPr>
        <w:pStyle w:val="58"/>
        <w:spacing w:line="360" w:lineRule="auto"/>
        <w:ind w:firstLine="600"/>
        <w:rPr>
          <w:rStyle w:val="56"/>
          <w:rFonts w:hint="default" w:ascii="Times New Roman" w:hAnsi="Times New Roman" w:cs="Times New Roman"/>
          <w:color w:val="000000"/>
          <w:sz w:val="21"/>
          <w:szCs w:val="21"/>
          <w:highlight w:val="none"/>
          <w:u w:val="single"/>
        </w:rPr>
      </w:pPr>
      <w:r>
        <w:rPr>
          <w:rStyle w:val="56"/>
          <w:rFonts w:hint="default" w:ascii="Times New Roman" w:hAnsi="Times New Roman" w:cs="Times New Roman"/>
          <w:color w:val="000000"/>
          <w:sz w:val="21"/>
          <w:szCs w:val="21"/>
          <w:highlight w:val="none"/>
          <w:u w:val="single"/>
        </w:rPr>
        <w:t>承包人同意，如果承包人的工作人员或第三人在施工现场受到伤害，责任在承包人的，而承包人拒绝赔偿，受害人或政府相关部门找到发包人的，发包人有权从承包人的履约保证金和工程价款中代承包人支付。</w:t>
      </w:r>
    </w:p>
    <w:p w14:paraId="75605FD2">
      <w:pPr>
        <w:pStyle w:val="58"/>
        <w:spacing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如发生发包人代承包人支付相关费用的情形时，则承包人应按发包人实际垫付数额的</w:t>
      </w:r>
      <w:r>
        <w:rPr>
          <w:rStyle w:val="56"/>
          <w:rFonts w:hint="default" w:ascii="Times New Roman" w:hAnsi="Times New Roman" w:cs="Times New Roman"/>
          <w:color w:val="000000"/>
          <w:sz w:val="21"/>
          <w:szCs w:val="21"/>
          <w:highlight w:val="none"/>
          <w:u w:val="single"/>
        </w:rPr>
        <w:t>120%</w:t>
      </w:r>
      <w:r>
        <w:rPr>
          <w:rStyle w:val="56"/>
          <w:rFonts w:hint="default" w:ascii="Times New Roman" w:hAnsi="Times New Roman" w:cs="Times New Roman"/>
          <w:color w:val="000000"/>
          <w:sz w:val="21"/>
          <w:szCs w:val="21"/>
          <w:highlight w:val="none"/>
        </w:rPr>
        <w:t>向发包人赔偿。</w:t>
      </w:r>
    </w:p>
    <w:p w14:paraId="2980A88A">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16.3通知与送达</w:t>
      </w:r>
    </w:p>
    <w:p w14:paraId="3146B496">
      <w:pPr>
        <w:pStyle w:val="58"/>
        <w:spacing w:line="360" w:lineRule="auto"/>
        <w:ind w:firstLine="600"/>
        <w:rPr>
          <w:rStyle w:val="56"/>
          <w:rFonts w:hint="default" w:ascii="Times New Roman" w:hAnsi="Times New Roman" w:cs="Times New Roman"/>
          <w:color w:val="000000"/>
          <w:sz w:val="21"/>
          <w:szCs w:val="21"/>
          <w:highlight w:val="none"/>
          <w:u w:val="single"/>
        </w:rPr>
      </w:pPr>
      <w:r>
        <w:rPr>
          <w:rStyle w:val="56"/>
          <w:rFonts w:hint="default" w:ascii="Times New Roman" w:hAnsi="Times New Roman" w:cs="Times New Roman"/>
          <w:color w:val="000000"/>
          <w:sz w:val="21"/>
          <w:szCs w:val="21"/>
          <w:highlight w:val="none"/>
        </w:rPr>
        <w:t>发包人、承包人双方约定，在本合同项下，发包人行使解除合同的方式为：</w:t>
      </w:r>
      <w:r>
        <w:rPr>
          <w:rStyle w:val="56"/>
          <w:rFonts w:hint="default" w:ascii="Times New Roman" w:hAnsi="Times New Roman" w:cs="Times New Roman"/>
          <w:color w:val="000000"/>
          <w:sz w:val="21"/>
          <w:szCs w:val="21"/>
          <w:highlight w:val="none"/>
          <w:u w:val="single"/>
        </w:rPr>
        <w:t>发包人将解除合同的通知，以特快专递方式送达给承包人（如果承包人拒绝接受，视为已经送达）后，本合同立即解除。</w:t>
      </w:r>
    </w:p>
    <w:p w14:paraId="217AE6CD">
      <w:pPr>
        <w:pStyle w:val="57"/>
        <w:spacing w:line="360" w:lineRule="auto"/>
        <w:ind w:firstLine="643"/>
        <w:jc w:val="left"/>
        <w:rPr>
          <w:rStyle w:val="56"/>
          <w:rFonts w:hint="default" w:ascii="Times New Roman" w:hAnsi="Times New Roman" w:cs="Times New Roman"/>
          <w:b/>
          <w:color w:val="000000"/>
          <w:kern w:val="2"/>
          <w:sz w:val="21"/>
          <w:szCs w:val="21"/>
          <w:highlight w:val="none"/>
        </w:rPr>
      </w:pPr>
      <w:r>
        <w:rPr>
          <w:rStyle w:val="56"/>
          <w:rFonts w:hint="default" w:ascii="Times New Roman" w:hAnsi="Times New Roman" w:cs="Times New Roman"/>
          <w:b/>
          <w:color w:val="000000"/>
          <w:kern w:val="2"/>
          <w:sz w:val="21"/>
          <w:szCs w:val="21"/>
          <w:highlight w:val="none"/>
        </w:rPr>
        <w:t>18. 保险</w:t>
      </w:r>
    </w:p>
    <w:p w14:paraId="0082EDED">
      <w:pPr>
        <w:pStyle w:val="57"/>
        <w:spacing w:after="120" w:line="360" w:lineRule="auto"/>
        <w:ind w:firstLine="6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18.1工程保险</w:t>
      </w:r>
    </w:p>
    <w:p w14:paraId="0CF7A553">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本工程双方约定投保内容如下：</w:t>
      </w:r>
    </w:p>
    <w:p w14:paraId="5709FED5">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18.1.1发包人投保内容：</w:t>
      </w:r>
      <w:r>
        <w:rPr>
          <w:rStyle w:val="56"/>
          <w:rFonts w:hint="default" w:ascii="Times New Roman" w:hAnsi="Times New Roman" w:cs="Times New Roman"/>
          <w:color w:val="000000"/>
          <w:kern w:val="2"/>
          <w:sz w:val="21"/>
          <w:szCs w:val="21"/>
          <w:highlight w:val="none"/>
          <w:u w:val="single"/>
        </w:rPr>
        <w:t>不采用。</w:t>
      </w:r>
    </w:p>
    <w:p w14:paraId="5C366ED4">
      <w:pPr>
        <w:pStyle w:val="57"/>
        <w:spacing w:line="360" w:lineRule="auto"/>
        <w:ind w:firstLine="600"/>
        <w:jc w:val="lef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18.1.2发包人委托承包人办理的保险事项：</w:t>
      </w:r>
      <w:r>
        <w:rPr>
          <w:rStyle w:val="56"/>
          <w:rFonts w:hint="default" w:ascii="Times New Roman" w:hAnsi="Times New Roman" w:cs="Times New Roman"/>
          <w:color w:val="000000"/>
          <w:kern w:val="2"/>
          <w:sz w:val="21"/>
          <w:szCs w:val="21"/>
          <w:highlight w:val="none"/>
          <w:u w:val="single"/>
        </w:rPr>
        <w:t>不采用。</w:t>
      </w:r>
    </w:p>
    <w:p w14:paraId="47250087">
      <w:pPr>
        <w:pStyle w:val="57"/>
        <w:spacing w:line="360" w:lineRule="auto"/>
        <w:ind w:firstLine="600"/>
        <w:jc w:val="left"/>
        <w:rPr>
          <w:rStyle w:val="56"/>
          <w:rFonts w:hint="default" w:ascii="Times New Roman" w:hAnsi="Times New Roman" w:cs="Times New Roman"/>
          <w:color w:val="auto"/>
          <w:kern w:val="2"/>
          <w:sz w:val="21"/>
          <w:szCs w:val="21"/>
          <w:highlight w:val="none"/>
          <w:u w:val="single"/>
        </w:rPr>
      </w:pPr>
      <w:r>
        <w:rPr>
          <w:rStyle w:val="56"/>
          <w:rFonts w:hint="default" w:ascii="Times New Roman" w:hAnsi="Times New Roman" w:cs="Times New Roman"/>
          <w:color w:val="000000"/>
          <w:kern w:val="2"/>
          <w:sz w:val="21"/>
          <w:szCs w:val="21"/>
          <w:highlight w:val="none"/>
        </w:rPr>
        <w:t>18.1.3承包人投保内容：</w:t>
      </w:r>
      <w:r>
        <w:rPr>
          <w:rStyle w:val="56"/>
          <w:rFonts w:hint="default" w:ascii="Times New Roman" w:hAnsi="Times New Roman" w:cs="Times New Roman"/>
          <w:color w:val="000000"/>
          <w:kern w:val="2"/>
          <w:sz w:val="21"/>
          <w:szCs w:val="21"/>
          <w:highlight w:val="none"/>
          <w:u w:val="single"/>
        </w:rPr>
        <w:t>承包人必须按规定办理保险（包括工程一切险；人员、机具设备险，第三方责任险。其中人员中含发包人及监理工程师的有关人员），费用由承包人承担</w:t>
      </w:r>
      <w:r>
        <w:rPr>
          <w:rStyle w:val="56"/>
          <w:rFonts w:hint="default" w:ascii="Times New Roman" w:hAnsi="Times New Roman" w:cs="Times New Roman"/>
          <w:color w:val="auto"/>
          <w:kern w:val="2"/>
          <w:sz w:val="21"/>
          <w:szCs w:val="21"/>
          <w:highlight w:val="none"/>
          <w:u w:val="single"/>
        </w:rPr>
        <w:t>。</w:t>
      </w:r>
    </w:p>
    <w:p w14:paraId="6E40CADD">
      <w:pPr>
        <w:pStyle w:val="57"/>
        <w:spacing w:line="360" w:lineRule="auto"/>
        <w:ind w:firstLine="643"/>
        <w:jc w:val="left"/>
        <w:rPr>
          <w:rStyle w:val="56"/>
          <w:rFonts w:hint="default" w:ascii="Times New Roman" w:hAnsi="Times New Roman" w:eastAsia="宋体" w:cs="Times New Roman"/>
          <w:b/>
          <w:color w:val="auto"/>
          <w:kern w:val="2"/>
          <w:sz w:val="21"/>
          <w:szCs w:val="21"/>
          <w:highlight w:val="none"/>
          <w:lang w:val="en-US" w:eastAsia="zh-CN"/>
        </w:rPr>
      </w:pPr>
      <w:r>
        <w:rPr>
          <w:rStyle w:val="56"/>
          <w:rFonts w:hint="eastAsia" w:ascii="Times New Roman" w:hAnsi="Times New Roman" w:eastAsia="宋体" w:cs="Times New Roman"/>
          <w:b/>
          <w:color w:val="auto"/>
          <w:kern w:val="2"/>
          <w:sz w:val="21"/>
          <w:szCs w:val="21"/>
          <w:highlight w:val="none"/>
          <w:lang w:val="en-US" w:eastAsia="zh-CN"/>
        </w:rPr>
        <w:t>19.农民工工资专用账户</w:t>
      </w:r>
    </w:p>
    <w:p w14:paraId="271575EB">
      <w:pPr>
        <w:pStyle w:val="57"/>
        <w:spacing w:line="360" w:lineRule="auto"/>
        <w:ind w:firstLine="600"/>
        <w:jc w:val="left"/>
        <w:rPr>
          <w:rStyle w:val="56"/>
          <w:rFonts w:hint="default" w:ascii="Times New Roman" w:hAnsi="Times New Roman" w:cs="Times New Roman"/>
          <w:color w:val="auto"/>
          <w:kern w:val="2"/>
          <w:sz w:val="21"/>
          <w:szCs w:val="21"/>
          <w:highlight w:val="none"/>
          <w:u w:val="none"/>
          <w:lang w:val="en-US" w:eastAsia="zh-CN"/>
        </w:rPr>
      </w:pPr>
      <w:r>
        <w:rPr>
          <w:rStyle w:val="56"/>
          <w:rFonts w:hint="eastAsia" w:ascii="Times New Roman" w:hAnsi="Times New Roman" w:cs="Times New Roman"/>
          <w:color w:val="auto"/>
          <w:kern w:val="2"/>
          <w:sz w:val="21"/>
          <w:szCs w:val="21"/>
          <w:highlight w:val="none"/>
          <w:u w:val="none"/>
          <w:lang w:val="en-US" w:eastAsia="zh-CN"/>
        </w:rPr>
        <w:t>承包人应按照国家规定的时间及比例为该项目建立农民工工资专用账户并足额缴纳农民工工资保证金。</w:t>
      </w:r>
    </w:p>
    <w:p w14:paraId="2CCB908F">
      <w:pPr>
        <w:pStyle w:val="57"/>
        <w:spacing w:line="360" w:lineRule="auto"/>
        <w:ind w:firstLine="600"/>
        <w:jc w:val="left"/>
        <w:rPr>
          <w:rStyle w:val="56"/>
          <w:rFonts w:hint="default" w:ascii="Times New Roman" w:hAnsi="Times New Roman" w:cs="Times New Roman"/>
          <w:b/>
          <w:color w:val="auto"/>
          <w:kern w:val="2"/>
          <w:sz w:val="21"/>
          <w:szCs w:val="21"/>
          <w:highlight w:val="none"/>
        </w:rPr>
      </w:pPr>
      <w:r>
        <w:rPr>
          <w:rStyle w:val="56"/>
          <w:rFonts w:hint="default" w:ascii="Times New Roman" w:hAnsi="Times New Roman" w:cs="Times New Roman"/>
          <w:color w:val="auto"/>
          <w:kern w:val="2"/>
          <w:sz w:val="21"/>
          <w:szCs w:val="21"/>
          <w:highlight w:val="none"/>
        </w:rPr>
        <w:t>20. 争议解决</w:t>
      </w:r>
    </w:p>
    <w:p w14:paraId="47B11906">
      <w:pPr>
        <w:pStyle w:val="57"/>
        <w:spacing w:after="120"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20.4仲裁或诉讼</w:t>
      </w:r>
    </w:p>
    <w:p w14:paraId="5333765A">
      <w:pPr>
        <w:pStyle w:val="57"/>
        <w:spacing w:after="120" w:line="360" w:lineRule="auto"/>
        <w:ind w:firstLine="600"/>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因合同及合同有关事项发生的争议，按下列第（2）种方式解决：</w:t>
      </w:r>
    </w:p>
    <w:p w14:paraId="72DD7203">
      <w:pPr>
        <w:pStyle w:val="57"/>
        <w:spacing w:line="360" w:lineRule="auto"/>
        <w:ind w:firstLine="600"/>
        <w:jc w:val="left"/>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（1）向</w:t>
      </w:r>
      <w:r>
        <w:rPr>
          <w:rStyle w:val="56"/>
          <w:rFonts w:hint="eastAsia" w:ascii="Times New Roman" w:hAnsi="Times New Roman" w:cs="Times New Roman"/>
          <w:color w:val="auto"/>
          <w:kern w:val="2"/>
          <w:sz w:val="21"/>
          <w:szCs w:val="21"/>
          <w:highlight w:val="none"/>
          <w:u w:val="single"/>
          <w:lang w:val="en-US" w:eastAsia="zh-CN"/>
        </w:rPr>
        <w:t xml:space="preserve">   </w:t>
      </w:r>
      <w:r>
        <w:rPr>
          <w:rStyle w:val="56"/>
          <w:rFonts w:hint="default" w:ascii="Times New Roman" w:hAnsi="Times New Roman" w:cs="Times New Roman"/>
          <w:color w:val="auto"/>
          <w:kern w:val="2"/>
          <w:sz w:val="21"/>
          <w:szCs w:val="21"/>
          <w:highlight w:val="none"/>
        </w:rPr>
        <w:t>仲裁委员会申请仲裁；</w:t>
      </w:r>
    </w:p>
    <w:p w14:paraId="47D66B7E">
      <w:pPr>
        <w:pStyle w:val="57"/>
        <w:spacing w:line="360" w:lineRule="auto"/>
        <w:ind w:firstLine="600"/>
        <w:jc w:val="left"/>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auto"/>
          <w:kern w:val="2"/>
          <w:sz w:val="21"/>
          <w:szCs w:val="21"/>
          <w:highlight w:val="none"/>
        </w:rPr>
        <w:t>（2）向</w:t>
      </w:r>
      <w:r>
        <w:rPr>
          <w:rStyle w:val="56"/>
          <w:rFonts w:hint="eastAsia" w:ascii="Times New Roman" w:hAnsi="Times New Roman" w:cs="Times New Roman"/>
          <w:color w:val="auto"/>
          <w:kern w:val="2"/>
          <w:sz w:val="21"/>
          <w:szCs w:val="21"/>
          <w:highlight w:val="none"/>
          <w:lang w:val="en-US" w:eastAsia="zh-CN"/>
        </w:rPr>
        <w:t>工程所在地</w:t>
      </w:r>
      <w:r>
        <w:rPr>
          <w:rStyle w:val="56"/>
          <w:rFonts w:hint="default" w:ascii="Times New Roman" w:hAnsi="Times New Roman" w:cs="Times New Roman"/>
          <w:color w:val="auto"/>
          <w:kern w:val="2"/>
          <w:sz w:val="21"/>
          <w:szCs w:val="21"/>
          <w:highlight w:val="none"/>
        </w:rPr>
        <w:t>人民法院提起诉讼。</w:t>
      </w:r>
    </w:p>
    <w:p w14:paraId="1C22EAD7">
      <w:pPr>
        <w:pStyle w:val="57"/>
        <w:spacing w:line="360" w:lineRule="auto"/>
        <w:ind w:firstLine="600"/>
        <w:jc w:val="left"/>
        <w:rPr>
          <w:rStyle w:val="56"/>
          <w:rFonts w:hint="default" w:ascii="Times New Roman" w:hAnsi="Times New Roman" w:cs="Times New Roman"/>
          <w:b/>
          <w:color w:val="auto"/>
          <w:kern w:val="2"/>
          <w:sz w:val="21"/>
          <w:szCs w:val="21"/>
          <w:highlight w:val="none"/>
        </w:rPr>
      </w:pPr>
      <w:r>
        <w:rPr>
          <w:rStyle w:val="56"/>
          <w:rFonts w:hint="default" w:ascii="Times New Roman" w:hAnsi="Times New Roman" w:cs="Times New Roman"/>
          <w:color w:val="auto"/>
          <w:kern w:val="2"/>
          <w:sz w:val="21"/>
          <w:szCs w:val="21"/>
          <w:highlight w:val="none"/>
        </w:rPr>
        <w:t>21 补充条款</w:t>
      </w:r>
    </w:p>
    <w:p w14:paraId="7297F63D">
      <w:pPr>
        <w:pStyle w:val="58"/>
        <w:spacing w:line="360" w:lineRule="auto"/>
        <w:ind w:firstLine="600"/>
        <w:rPr>
          <w:rStyle w:val="56"/>
          <w:rFonts w:hint="default" w:ascii="Times New Roman" w:hAnsi="Times New Roman" w:cs="Times New Roman"/>
          <w:color w:val="auto"/>
          <w:sz w:val="21"/>
          <w:szCs w:val="21"/>
          <w:highlight w:val="none"/>
        </w:rPr>
      </w:pPr>
      <w:r>
        <w:rPr>
          <w:rStyle w:val="56"/>
          <w:rFonts w:hint="default" w:ascii="Times New Roman" w:hAnsi="Times New Roman" w:cs="Times New Roman"/>
          <w:color w:val="auto"/>
          <w:sz w:val="21"/>
          <w:szCs w:val="21"/>
          <w:highlight w:val="none"/>
        </w:rPr>
        <w:t>21.1本项目工程价款最终按主管部门审定额结算。</w:t>
      </w:r>
    </w:p>
    <w:p w14:paraId="684BD829">
      <w:pPr>
        <w:pStyle w:val="58"/>
        <w:spacing w:line="360" w:lineRule="auto"/>
        <w:ind w:firstLine="600"/>
        <w:rPr>
          <w:rStyle w:val="56"/>
          <w:rFonts w:hint="eastAsia" w:ascii="Times New Roman" w:hAnsi="Times New Roman" w:cs="Times New Roman"/>
          <w:color w:val="auto"/>
          <w:sz w:val="21"/>
          <w:szCs w:val="21"/>
          <w:highlight w:val="none"/>
          <w:u w:val="single"/>
          <w:lang w:val="en-US" w:eastAsia="zh-CN"/>
        </w:rPr>
      </w:pPr>
      <w:r>
        <w:rPr>
          <w:rStyle w:val="56"/>
          <w:rFonts w:hint="default" w:ascii="Times New Roman" w:hAnsi="Times New Roman" w:cs="Times New Roman"/>
          <w:color w:val="auto"/>
          <w:sz w:val="21"/>
          <w:szCs w:val="21"/>
          <w:highlight w:val="none"/>
        </w:rPr>
        <w:t>21.2工程结算价款审定方法：</w:t>
      </w:r>
      <w:r>
        <w:rPr>
          <w:rStyle w:val="56"/>
          <w:rFonts w:hint="eastAsia" w:ascii="Times New Roman" w:hAnsi="Times New Roman" w:cs="Times New Roman"/>
          <w:color w:val="auto"/>
          <w:sz w:val="21"/>
          <w:szCs w:val="21"/>
          <w:highlight w:val="none"/>
          <w:u w:val="single"/>
          <w:lang w:val="en-US" w:eastAsia="zh-CN"/>
        </w:rPr>
        <w:t xml:space="preserve">   按相关规定执行     </w:t>
      </w:r>
    </w:p>
    <w:p w14:paraId="1F7C7E61">
      <w:pPr>
        <w:pStyle w:val="58"/>
        <w:spacing w:line="360" w:lineRule="auto"/>
        <w:ind w:firstLine="600"/>
        <w:rPr>
          <w:rStyle w:val="56"/>
          <w:rFonts w:hint="default" w:ascii="Times New Roman" w:hAnsi="Times New Roman" w:cs="Times New Roman"/>
          <w:color w:val="auto"/>
          <w:sz w:val="21"/>
          <w:szCs w:val="21"/>
          <w:highlight w:val="none"/>
        </w:rPr>
      </w:pPr>
      <w:r>
        <w:rPr>
          <w:rStyle w:val="56"/>
          <w:rFonts w:hint="default" w:ascii="Times New Roman" w:hAnsi="Times New Roman" w:cs="Times New Roman"/>
          <w:color w:val="auto"/>
          <w:sz w:val="21"/>
          <w:szCs w:val="21"/>
          <w:highlight w:val="none"/>
        </w:rPr>
        <w:t>21.</w:t>
      </w:r>
      <w:r>
        <w:rPr>
          <w:rStyle w:val="56"/>
          <w:rFonts w:hint="eastAsia" w:ascii="Times New Roman" w:hAnsi="Times New Roman" w:cs="Times New Roman"/>
          <w:color w:val="auto"/>
          <w:sz w:val="21"/>
          <w:szCs w:val="21"/>
          <w:highlight w:val="none"/>
          <w:lang w:val="en-US" w:eastAsia="zh-CN"/>
        </w:rPr>
        <w:t>3</w:t>
      </w:r>
      <w:r>
        <w:rPr>
          <w:rStyle w:val="56"/>
          <w:rFonts w:hint="default" w:ascii="Times New Roman" w:hAnsi="Times New Roman" w:cs="Times New Roman"/>
          <w:color w:val="auto"/>
          <w:sz w:val="21"/>
          <w:szCs w:val="21"/>
          <w:highlight w:val="none"/>
        </w:rPr>
        <w:t>经</w:t>
      </w:r>
      <w:r>
        <w:rPr>
          <w:rStyle w:val="56"/>
          <w:rFonts w:hint="eastAsia" w:ascii="Times New Roman" w:hAnsi="Times New Roman" w:cs="Times New Roman"/>
          <w:color w:val="auto"/>
          <w:sz w:val="21"/>
          <w:szCs w:val="21"/>
          <w:highlight w:val="none"/>
          <w:lang w:val="en-US" w:eastAsia="zh-CN"/>
        </w:rPr>
        <w:t>项目</w:t>
      </w:r>
      <w:r>
        <w:rPr>
          <w:rStyle w:val="56"/>
          <w:rFonts w:hint="default" w:ascii="Times New Roman" w:hAnsi="Times New Roman" w:cs="Times New Roman"/>
          <w:color w:val="auto"/>
          <w:sz w:val="21"/>
          <w:szCs w:val="21"/>
          <w:highlight w:val="none"/>
        </w:rPr>
        <w:t>监理认可后方可进入下道工序施工。</w:t>
      </w:r>
    </w:p>
    <w:p w14:paraId="3BE4A563">
      <w:pPr>
        <w:pStyle w:val="58"/>
        <w:spacing w:line="360" w:lineRule="auto"/>
        <w:ind w:firstLine="600"/>
        <w:rPr>
          <w:rStyle w:val="56"/>
          <w:rFonts w:hint="eastAsia" w:ascii="Times New Roman" w:hAnsi="Times New Roman" w:cs="Times New Roman"/>
          <w:color w:val="auto"/>
          <w:sz w:val="21"/>
          <w:szCs w:val="21"/>
          <w:highlight w:val="none"/>
          <w:lang w:val="en-US" w:eastAsia="zh-CN"/>
        </w:rPr>
      </w:pPr>
      <w:r>
        <w:rPr>
          <w:rStyle w:val="56"/>
          <w:rFonts w:hint="default" w:ascii="Times New Roman" w:hAnsi="Times New Roman" w:cs="Times New Roman"/>
          <w:color w:val="auto"/>
          <w:sz w:val="21"/>
          <w:szCs w:val="21"/>
          <w:highlight w:val="none"/>
        </w:rPr>
        <w:t>21.</w:t>
      </w:r>
      <w:r>
        <w:rPr>
          <w:rStyle w:val="56"/>
          <w:rFonts w:hint="eastAsia" w:ascii="Times New Roman" w:hAnsi="Times New Roman" w:cs="Times New Roman"/>
          <w:color w:val="auto"/>
          <w:sz w:val="21"/>
          <w:szCs w:val="21"/>
          <w:highlight w:val="none"/>
          <w:lang w:val="en-US" w:eastAsia="zh-CN"/>
        </w:rPr>
        <w:t>4暂定价涉及到的物料，由发包人与承包人双方共同采购。</w:t>
      </w:r>
    </w:p>
    <w:p w14:paraId="6A7BF09B">
      <w:pPr>
        <w:pStyle w:val="58"/>
        <w:spacing w:line="360" w:lineRule="auto"/>
        <w:ind w:firstLine="600"/>
        <w:rPr>
          <w:rStyle w:val="56"/>
          <w:rFonts w:hint="eastAsia" w:ascii="Times New Roman" w:hAnsi="Times New Roman" w:cs="Times New Roman"/>
          <w:color w:val="auto"/>
          <w:sz w:val="21"/>
          <w:szCs w:val="21"/>
          <w:highlight w:val="none"/>
          <w:lang w:val="en-US" w:eastAsia="zh-CN"/>
        </w:rPr>
      </w:pPr>
      <w:r>
        <w:rPr>
          <w:rStyle w:val="56"/>
          <w:rFonts w:hint="default" w:ascii="Times New Roman" w:hAnsi="Times New Roman" w:cs="Times New Roman"/>
          <w:color w:val="auto"/>
          <w:sz w:val="21"/>
          <w:szCs w:val="21"/>
          <w:highlight w:val="none"/>
        </w:rPr>
        <w:t>21.</w:t>
      </w:r>
      <w:r>
        <w:rPr>
          <w:rStyle w:val="56"/>
          <w:rFonts w:hint="eastAsia" w:ascii="Times New Roman" w:hAnsi="Times New Roman" w:cs="Times New Roman"/>
          <w:color w:val="auto"/>
          <w:sz w:val="21"/>
          <w:szCs w:val="21"/>
          <w:highlight w:val="none"/>
          <w:lang w:val="en-US" w:eastAsia="zh-CN"/>
        </w:rPr>
        <w:t>5承包人须协助发包人监测施工现场。</w:t>
      </w:r>
    </w:p>
    <w:p w14:paraId="0A62CE28">
      <w:pPr>
        <w:pStyle w:val="58"/>
        <w:spacing w:line="360" w:lineRule="auto"/>
        <w:ind w:firstLine="600"/>
        <w:rPr>
          <w:rStyle w:val="56"/>
          <w:rFonts w:hint="default" w:ascii="Times New Roman" w:hAnsi="Times New Roman" w:eastAsia="宋体" w:cs="Times New Roman"/>
          <w:color w:val="auto"/>
          <w:sz w:val="21"/>
          <w:szCs w:val="21"/>
          <w:highlight w:val="none"/>
          <w:lang w:val="en-US" w:eastAsia="zh-CN"/>
        </w:rPr>
      </w:pPr>
      <w:r>
        <w:rPr>
          <w:rStyle w:val="56"/>
          <w:rFonts w:hint="default" w:ascii="Times New Roman" w:hAnsi="Times New Roman" w:cs="Times New Roman"/>
          <w:color w:val="auto"/>
          <w:sz w:val="21"/>
          <w:szCs w:val="21"/>
          <w:highlight w:val="none"/>
        </w:rPr>
        <w:t>21.</w:t>
      </w:r>
      <w:r>
        <w:rPr>
          <w:rStyle w:val="56"/>
          <w:rFonts w:hint="eastAsia" w:ascii="Times New Roman" w:hAnsi="Times New Roman" w:cs="Times New Roman"/>
          <w:color w:val="auto"/>
          <w:sz w:val="21"/>
          <w:szCs w:val="21"/>
          <w:highlight w:val="none"/>
          <w:lang w:val="en-US" w:eastAsia="zh-CN"/>
        </w:rPr>
        <w:t>6</w:t>
      </w:r>
      <w:r>
        <w:rPr>
          <w:rStyle w:val="56"/>
          <w:rFonts w:hint="default" w:ascii="Times New Roman" w:hAnsi="Times New Roman" w:eastAsia="宋体" w:cs="Times New Roman"/>
          <w:color w:val="auto"/>
          <w:sz w:val="21"/>
          <w:szCs w:val="21"/>
          <w:highlight w:val="none"/>
          <w:lang w:val="en-US" w:eastAsia="zh-CN"/>
        </w:rPr>
        <w:t>浒苔清理应根据监测情况多方会商确定具体实施方案。</w:t>
      </w:r>
    </w:p>
    <w:p w14:paraId="256965F9">
      <w:pPr>
        <w:pStyle w:val="58"/>
        <w:spacing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auto"/>
          <w:sz w:val="21"/>
          <w:szCs w:val="21"/>
          <w:highlight w:val="none"/>
        </w:rPr>
        <w:t>21.</w:t>
      </w:r>
      <w:r>
        <w:rPr>
          <w:rStyle w:val="56"/>
          <w:rFonts w:hint="eastAsia" w:ascii="Times New Roman" w:hAnsi="Times New Roman" w:cs="Times New Roman"/>
          <w:color w:val="auto"/>
          <w:sz w:val="21"/>
          <w:szCs w:val="21"/>
          <w:highlight w:val="none"/>
          <w:lang w:val="en-US" w:eastAsia="zh-CN"/>
        </w:rPr>
        <w:t>7</w:t>
      </w:r>
      <w:r>
        <w:rPr>
          <w:rStyle w:val="56"/>
          <w:rFonts w:hint="default" w:ascii="Times New Roman" w:hAnsi="Times New Roman" w:cs="Times New Roman"/>
          <w:color w:val="auto"/>
          <w:sz w:val="21"/>
          <w:szCs w:val="21"/>
          <w:highlight w:val="none"/>
        </w:rPr>
        <w:t>承包人承诺的质量目标、文明施工、安全生产管理措施和目标如未能实</w:t>
      </w:r>
      <w:r>
        <w:rPr>
          <w:rStyle w:val="56"/>
          <w:rFonts w:hint="default" w:ascii="Times New Roman" w:hAnsi="Times New Roman" w:cs="Times New Roman"/>
          <w:color w:val="000000"/>
          <w:sz w:val="21"/>
          <w:szCs w:val="21"/>
          <w:highlight w:val="none"/>
        </w:rPr>
        <w:t>现，将酌情扣除承包人相应工程款。</w:t>
      </w:r>
    </w:p>
    <w:p w14:paraId="245760EB">
      <w:pPr>
        <w:pStyle w:val="58"/>
        <w:spacing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21.</w:t>
      </w:r>
      <w:r>
        <w:rPr>
          <w:rStyle w:val="56"/>
          <w:rFonts w:hint="eastAsia" w:ascii="Times New Roman" w:hAnsi="Times New Roman" w:cs="Times New Roman"/>
          <w:color w:val="000000"/>
          <w:sz w:val="21"/>
          <w:szCs w:val="21"/>
          <w:highlight w:val="none"/>
          <w:lang w:val="en-US" w:eastAsia="zh-CN"/>
        </w:rPr>
        <w:t>8</w:t>
      </w:r>
      <w:r>
        <w:rPr>
          <w:rStyle w:val="56"/>
          <w:rFonts w:hint="default" w:ascii="Times New Roman" w:hAnsi="Times New Roman" w:cs="Times New Roman"/>
          <w:color w:val="000000"/>
          <w:sz w:val="21"/>
          <w:szCs w:val="21"/>
          <w:highlight w:val="none"/>
        </w:rPr>
        <w:t xml:space="preserve"> 合同双方确认，本合同及组成合同文件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w:t>
      </w:r>
    </w:p>
    <w:p w14:paraId="4BFCE3F8">
      <w:pPr>
        <w:pStyle w:val="58"/>
        <w:spacing w:line="360" w:lineRule="auto"/>
        <w:ind w:firstLine="600"/>
        <w:rPr>
          <w:rStyle w:val="56"/>
          <w:rFonts w:hint="default" w:ascii="Times New Roman" w:hAnsi="Times New Roman" w:cs="Times New Roman"/>
          <w:color w:val="000000"/>
          <w:sz w:val="21"/>
          <w:szCs w:val="21"/>
          <w:highlight w:val="none"/>
        </w:rPr>
      </w:pPr>
      <w:r>
        <w:rPr>
          <w:rStyle w:val="56"/>
          <w:rFonts w:hint="default" w:ascii="Times New Roman" w:hAnsi="Times New Roman" w:cs="Times New Roman"/>
          <w:color w:val="000000"/>
          <w:sz w:val="21"/>
          <w:szCs w:val="21"/>
          <w:highlight w:val="none"/>
        </w:rPr>
        <w:t>21.</w:t>
      </w:r>
      <w:r>
        <w:rPr>
          <w:rStyle w:val="56"/>
          <w:rFonts w:hint="eastAsia" w:ascii="Times New Roman" w:hAnsi="Times New Roman" w:cs="Times New Roman"/>
          <w:color w:val="000000"/>
          <w:sz w:val="21"/>
          <w:szCs w:val="21"/>
          <w:highlight w:val="none"/>
          <w:lang w:val="en-US" w:eastAsia="zh-CN"/>
        </w:rPr>
        <w:t>9</w:t>
      </w:r>
      <w:r>
        <w:rPr>
          <w:rStyle w:val="56"/>
          <w:rFonts w:hint="default" w:ascii="Times New Roman" w:hAnsi="Times New Roman" w:cs="Times New Roman"/>
          <w:color w:val="000000"/>
          <w:sz w:val="21"/>
          <w:szCs w:val="21"/>
          <w:highlight w:val="none"/>
        </w:rPr>
        <w:t>本合同及组成合同文件之外，合同双方不存在且也不会签定任何背离本合同实质性内容的其他协议或合同。如果存在或签订背离本合同实质性内容的其他协议或合同，也不是合同双方真实意思的表示，对合同双方不构成任何合同或法律约束力。</w:t>
      </w:r>
    </w:p>
    <w:p w14:paraId="25401FA9">
      <w:pPr>
        <w:pStyle w:val="58"/>
        <w:spacing w:line="360" w:lineRule="auto"/>
        <w:ind w:firstLine="600"/>
        <w:rPr>
          <w:rStyle w:val="56"/>
          <w:rFonts w:hint="default" w:ascii="Times New Roman" w:hAnsi="Times New Roman" w:cs="Times New Roman"/>
          <w:color w:val="000000"/>
          <w:sz w:val="21"/>
          <w:szCs w:val="21"/>
          <w:highlight w:val="none"/>
        </w:rPr>
      </w:pPr>
    </w:p>
    <w:p w14:paraId="7CF3F673">
      <w:pPr>
        <w:spacing w:line="400" w:lineRule="exact"/>
        <w:rPr>
          <w:rFonts w:hint="eastAsia"/>
          <w:highlight w:val="none"/>
        </w:rPr>
      </w:pPr>
    </w:p>
    <w:p w14:paraId="29495C18">
      <w:pPr>
        <w:spacing w:line="400" w:lineRule="exact"/>
        <w:rPr>
          <w:highlight w:val="none"/>
        </w:rPr>
      </w:pPr>
    </w:p>
    <w:p w14:paraId="78528A91">
      <w:pPr>
        <w:pStyle w:val="46"/>
        <w:jc w:val="center"/>
        <w:rPr>
          <w:rFonts w:hint="eastAsia"/>
          <w:highlight w:val="none"/>
        </w:rPr>
      </w:pPr>
      <w:bookmarkStart w:id="966" w:name="_Toc17046"/>
      <w:bookmarkStart w:id="967" w:name="_Toc152042546"/>
      <w:bookmarkStart w:id="968" w:name="_Toc144974826"/>
      <w:bookmarkStart w:id="969" w:name="_Toc152045767"/>
      <w:r>
        <w:rPr>
          <w:rFonts w:hint="eastAsia"/>
          <w:highlight w:val="none"/>
        </w:rPr>
        <w:t>第三节  合同附件格式</w:t>
      </w:r>
      <w:bookmarkEnd w:id="966"/>
      <w:bookmarkEnd w:id="967"/>
      <w:bookmarkEnd w:id="968"/>
      <w:bookmarkEnd w:id="969"/>
    </w:p>
    <w:p w14:paraId="4C3E213C">
      <w:pPr>
        <w:spacing w:line="400" w:lineRule="exact"/>
        <w:rPr>
          <w:rFonts w:hint="eastAsia"/>
          <w:highlight w:val="none"/>
        </w:rPr>
      </w:pPr>
      <w:r>
        <w:rPr>
          <w:highlight w:val="none"/>
        </w:rPr>
        <w:br w:type="page"/>
      </w:r>
    </w:p>
    <w:p w14:paraId="37C7F194">
      <w:pPr>
        <w:pStyle w:val="45"/>
        <w:rPr>
          <w:rFonts w:hint="eastAsia"/>
          <w:highlight w:val="none"/>
        </w:rPr>
      </w:pPr>
      <w:bookmarkStart w:id="970" w:name="_Toc179632786"/>
      <w:bookmarkStart w:id="971" w:name="_Toc152045768"/>
      <w:bookmarkStart w:id="972" w:name="_Toc18087"/>
      <w:bookmarkStart w:id="973" w:name="_Toc144974827"/>
      <w:bookmarkStart w:id="974" w:name="_Toc152042547"/>
      <w:r>
        <w:rPr>
          <w:rFonts w:hint="eastAsia"/>
          <w:highlight w:val="none"/>
        </w:rPr>
        <w:t>附件一：合同协议书</w:t>
      </w:r>
      <w:bookmarkEnd w:id="970"/>
      <w:bookmarkEnd w:id="971"/>
      <w:bookmarkEnd w:id="972"/>
      <w:bookmarkEnd w:id="973"/>
      <w:bookmarkEnd w:id="974"/>
    </w:p>
    <w:p w14:paraId="2FCF9C77">
      <w:pPr>
        <w:spacing w:line="400" w:lineRule="exact"/>
        <w:rPr>
          <w:highlight w:val="none"/>
        </w:rPr>
      </w:pPr>
    </w:p>
    <w:p w14:paraId="7B9436EC">
      <w:pPr>
        <w:spacing w:line="440" w:lineRule="exact"/>
        <w:jc w:val="center"/>
        <w:rPr>
          <w:rFonts w:hint="eastAsia" w:ascii="黑体" w:eastAsia="黑体"/>
          <w:sz w:val="28"/>
          <w:szCs w:val="28"/>
          <w:highlight w:val="none"/>
        </w:rPr>
      </w:pPr>
      <w:r>
        <w:rPr>
          <w:rFonts w:hint="eastAsia" w:ascii="黑体" w:eastAsia="黑体"/>
          <w:sz w:val="28"/>
          <w:szCs w:val="28"/>
          <w:highlight w:val="none"/>
        </w:rPr>
        <w:t>合同协议书</w:t>
      </w:r>
    </w:p>
    <w:p w14:paraId="353E37A5">
      <w:pPr>
        <w:spacing w:line="440" w:lineRule="exact"/>
        <w:rPr>
          <w:szCs w:val="21"/>
          <w:highlight w:val="none"/>
        </w:rPr>
      </w:pPr>
    </w:p>
    <w:p w14:paraId="4809C2B5">
      <w:pPr>
        <w:spacing w:line="440" w:lineRule="exact"/>
        <w:ind w:firstLine="420" w:firstLineChars="200"/>
        <w:rPr>
          <w:szCs w:val="21"/>
          <w:highlight w:val="none"/>
        </w:rPr>
      </w:pPr>
      <w:r>
        <w:rPr>
          <w:rFonts w:hint="eastAsia"/>
          <w:szCs w:val="21"/>
          <w:highlight w:val="none"/>
          <w:u w:val="single"/>
        </w:rPr>
        <w:t>营口市海洋与渔业局</w:t>
      </w:r>
      <w:r>
        <w:rPr>
          <w:szCs w:val="21"/>
          <w:highlight w:val="none"/>
        </w:rPr>
        <w:t>（发包人名称，以下简称“发包人”）为实施</w:t>
      </w:r>
      <w:r>
        <w:rPr>
          <w:rFonts w:hint="eastAsia"/>
          <w:szCs w:val="21"/>
          <w:highlight w:val="none"/>
          <w:u w:val="single"/>
        </w:rPr>
        <w:t>辽宁省营口市海洋生态保护修复工程项目工程</w:t>
      </w:r>
      <w:r>
        <w:rPr>
          <w:szCs w:val="21"/>
          <w:highlight w:val="none"/>
        </w:rPr>
        <w:t>（项目名称），已接受</w:t>
      </w:r>
      <w:r>
        <w:rPr>
          <w:szCs w:val="21"/>
          <w:highlight w:val="none"/>
          <w:u w:val="single"/>
        </w:rPr>
        <w:t xml:space="preserve">        </w:t>
      </w:r>
      <w:r>
        <w:rPr>
          <w:szCs w:val="21"/>
          <w:highlight w:val="none"/>
        </w:rPr>
        <w:t>（承包人名称，以下简称“承包人”）对该项目</w:t>
      </w:r>
      <w:r>
        <w:rPr>
          <w:szCs w:val="21"/>
          <w:highlight w:val="none"/>
          <w:u w:val="single"/>
        </w:rPr>
        <w:t xml:space="preserve">     </w:t>
      </w:r>
      <w:r>
        <w:rPr>
          <w:szCs w:val="21"/>
          <w:highlight w:val="none"/>
        </w:rPr>
        <w:t>标段施工</w:t>
      </w:r>
      <w:r>
        <w:rPr>
          <w:rFonts w:hint="eastAsia"/>
          <w:szCs w:val="21"/>
          <w:highlight w:val="none"/>
        </w:rPr>
        <w:t>的</w:t>
      </w:r>
      <w:r>
        <w:rPr>
          <w:szCs w:val="21"/>
          <w:highlight w:val="none"/>
        </w:rPr>
        <w:t>投标。发包人和承包人共同达成如下协议。</w:t>
      </w:r>
    </w:p>
    <w:p w14:paraId="349A7DA6">
      <w:pPr>
        <w:spacing w:line="440" w:lineRule="exact"/>
        <w:ind w:firstLine="359" w:firstLineChars="171"/>
        <w:rPr>
          <w:szCs w:val="21"/>
          <w:highlight w:val="none"/>
        </w:rPr>
      </w:pPr>
      <w:bookmarkStart w:id="975" w:name="_Toc144974828"/>
      <w:bookmarkStart w:id="976" w:name="_Toc152042548"/>
      <w:r>
        <w:rPr>
          <w:szCs w:val="21"/>
          <w:highlight w:val="none"/>
        </w:rPr>
        <w:t>1. 本协议书与下列文件一起构成合同文件：</w:t>
      </w:r>
      <w:bookmarkEnd w:id="975"/>
      <w:bookmarkEnd w:id="976"/>
    </w:p>
    <w:p w14:paraId="76C52518">
      <w:pPr>
        <w:spacing w:line="440" w:lineRule="exact"/>
        <w:ind w:firstLine="718" w:firstLineChars="342"/>
        <w:rPr>
          <w:szCs w:val="21"/>
          <w:highlight w:val="none"/>
        </w:rPr>
      </w:pPr>
      <w:r>
        <w:rPr>
          <w:szCs w:val="21"/>
          <w:highlight w:val="none"/>
        </w:rPr>
        <w:t>（1）中标通知书；</w:t>
      </w:r>
    </w:p>
    <w:p w14:paraId="31F6D53B">
      <w:pPr>
        <w:spacing w:line="440" w:lineRule="exact"/>
        <w:ind w:firstLine="718" w:firstLineChars="342"/>
        <w:rPr>
          <w:szCs w:val="21"/>
          <w:highlight w:val="none"/>
        </w:rPr>
      </w:pPr>
      <w:r>
        <w:rPr>
          <w:szCs w:val="21"/>
          <w:highlight w:val="none"/>
        </w:rPr>
        <w:t>（2）投标函及投标函附录；</w:t>
      </w:r>
    </w:p>
    <w:p w14:paraId="18EA3C3C">
      <w:pPr>
        <w:spacing w:line="440" w:lineRule="exact"/>
        <w:ind w:firstLine="718" w:firstLineChars="342"/>
        <w:rPr>
          <w:szCs w:val="21"/>
          <w:highlight w:val="none"/>
        </w:rPr>
      </w:pPr>
      <w:r>
        <w:rPr>
          <w:szCs w:val="21"/>
          <w:highlight w:val="none"/>
        </w:rPr>
        <w:t>（3）专用合同条款；</w:t>
      </w:r>
    </w:p>
    <w:p w14:paraId="2CA6ADE2">
      <w:pPr>
        <w:spacing w:line="440" w:lineRule="exact"/>
        <w:ind w:firstLine="718" w:firstLineChars="342"/>
        <w:rPr>
          <w:szCs w:val="21"/>
          <w:highlight w:val="none"/>
        </w:rPr>
      </w:pPr>
      <w:r>
        <w:rPr>
          <w:szCs w:val="21"/>
          <w:highlight w:val="none"/>
        </w:rPr>
        <w:t>（4）通用合同条款；</w:t>
      </w:r>
    </w:p>
    <w:p w14:paraId="64A5BE84">
      <w:pPr>
        <w:spacing w:line="440" w:lineRule="exact"/>
        <w:ind w:firstLine="718" w:firstLineChars="342"/>
        <w:rPr>
          <w:szCs w:val="21"/>
          <w:highlight w:val="none"/>
        </w:rPr>
      </w:pPr>
      <w:r>
        <w:rPr>
          <w:szCs w:val="21"/>
          <w:highlight w:val="none"/>
        </w:rPr>
        <w:t>（5）技术标准和要求；</w:t>
      </w:r>
    </w:p>
    <w:p w14:paraId="5C926DDD">
      <w:pPr>
        <w:spacing w:line="440" w:lineRule="exact"/>
        <w:ind w:firstLine="718" w:firstLineChars="342"/>
        <w:rPr>
          <w:szCs w:val="21"/>
          <w:highlight w:val="none"/>
        </w:rPr>
      </w:pPr>
      <w:r>
        <w:rPr>
          <w:szCs w:val="21"/>
          <w:highlight w:val="none"/>
        </w:rPr>
        <w:t>（6）图纸；</w:t>
      </w:r>
    </w:p>
    <w:p w14:paraId="428F1B26">
      <w:pPr>
        <w:spacing w:line="440" w:lineRule="exact"/>
        <w:ind w:firstLine="718" w:firstLineChars="342"/>
        <w:rPr>
          <w:szCs w:val="21"/>
          <w:highlight w:val="none"/>
        </w:rPr>
      </w:pPr>
      <w:r>
        <w:rPr>
          <w:szCs w:val="21"/>
          <w:highlight w:val="none"/>
        </w:rPr>
        <w:t>（7）已标价工程量清单；</w:t>
      </w:r>
    </w:p>
    <w:p w14:paraId="08FECD10">
      <w:pPr>
        <w:spacing w:line="440" w:lineRule="exact"/>
        <w:ind w:firstLine="718" w:firstLineChars="342"/>
        <w:rPr>
          <w:rFonts w:hint="eastAsia"/>
          <w:szCs w:val="21"/>
          <w:highlight w:val="none"/>
        </w:rPr>
      </w:pPr>
      <w:r>
        <w:rPr>
          <w:szCs w:val="21"/>
          <w:highlight w:val="none"/>
        </w:rPr>
        <w:t>（8）其他合同文件。</w:t>
      </w:r>
    </w:p>
    <w:p w14:paraId="3493EA8C">
      <w:pPr>
        <w:spacing w:line="440" w:lineRule="exact"/>
        <w:ind w:firstLine="359" w:firstLineChars="171"/>
        <w:rPr>
          <w:szCs w:val="21"/>
          <w:highlight w:val="none"/>
        </w:rPr>
      </w:pPr>
      <w:bookmarkStart w:id="977" w:name="_Toc152042549"/>
      <w:bookmarkStart w:id="978" w:name="_Toc144974829"/>
      <w:r>
        <w:rPr>
          <w:szCs w:val="21"/>
          <w:highlight w:val="none"/>
        </w:rPr>
        <w:t>2. 上述文件互相补充和解释，如有不明确或不一致之处，以合同约定次序在先者为准。</w:t>
      </w:r>
      <w:bookmarkEnd w:id="977"/>
      <w:bookmarkEnd w:id="978"/>
    </w:p>
    <w:p w14:paraId="2571EE25">
      <w:pPr>
        <w:spacing w:line="440" w:lineRule="exact"/>
        <w:ind w:firstLine="359" w:firstLineChars="171"/>
        <w:rPr>
          <w:szCs w:val="21"/>
          <w:highlight w:val="none"/>
        </w:rPr>
      </w:pPr>
      <w:r>
        <w:rPr>
          <w:szCs w:val="21"/>
          <w:highlight w:val="none"/>
        </w:rPr>
        <w:t>3. 签约合同价：人民币（大写）</w:t>
      </w:r>
      <w:r>
        <w:rPr>
          <w:szCs w:val="21"/>
          <w:highlight w:val="none"/>
          <w:u w:val="single"/>
        </w:rPr>
        <w:t xml:space="preserve">          </w:t>
      </w:r>
      <w:r>
        <w:rPr>
          <w:szCs w:val="21"/>
          <w:highlight w:val="none"/>
        </w:rPr>
        <w:t>元（¥</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p>
    <w:p w14:paraId="514CCA55">
      <w:pPr>
        <w:spacing w:line="440" w:lineRule="exact"/>
        <w:ind w:firstLine="359" w:firstLineChars="171"/>
        <w:rPr>
          <w:szCs w:val="21"/>
          <w:highlight w:val="none"/>
          <w:u w:val="single"/>
        </w:rPr>
      </w:pPr>
      <w:r>
        <w:rPr>
          <w:szCs w:val="21"/>
          <w:highlight w:val="none"/>
        </w:rPr>
        <w:t xml:space="preserve">4. </w:t>
      </w:r>
      <w:r>
        <w:rPr>
          <w:rFonts w:hint="eastAsia"/>
          <w:szCs w:val="21"/>
          <w:highlight w:val="none"/>
        </w:rPr>
        <w:t>承包人</w:t>
      </w:r>
      <w:r>
        <w:rPr>
          <w:szCs w:val="21"/>
          <w:highlight w:val="none"/>
        </w:rPr>
        <w:t>项目经理：</w:t>
      </w:r>
      <w:r>
        <w:rPr>
          <w:szCs w:val="21"/>
          <w:highlight w:val="none"/>
          <w:u w:val="single"/>
        </w:rPr>
        <w:t xml:space="preserve">                </w:t>
      </w:r>
      <w:r>
        <w:rPr>
          <w:szCs w:val="21"/>
          <w:highlight w:val="none"/>
        </w:rPr>
        <w:t>。</w:t>
      </w:r>
    </w:p>
    <w:p w14:paraId="51FDC4E4">
      <w:pPr>
        <w:spacing w:line="440" w:lineRule="exact"/>
        <w:ind w:firstLine="359" w:firstLineChars="171"/>
        <w:rPr>
          <w:szCs w:val="21"/>
          <w:highlight w:val="none"/>
        </w:rPr>
      </w:pPr>
      <w:r>
        <w:rPr>
          <w:szCs w:val="21"/>
          <w:highlight w:val="none"/>
        </w:rPr>
        <w:t>5. 工程质量符合</w:t>
      </w:r>
      <w:r>
        <w:rPr>
          <w:szCs w:val="21"/>
          <w:highlight w:val="none"/>
          <w:u w:val="single"/>
        </w:rPr>
        <w:t xml:space="preserve">             </w:t>
      </w:r>
      <w:r>
        <w:rPr>
          <w:szCs w:val="21"/>
          <w:highlight w:val="none"/>
        </w:rPr>
        <w:t>标准。</w:t>
      </w:r>
    </w:p>
    <w:p w14:paraId="761A15EB">
      <w:pPr>
        <w:spacing w:line="440" w:lineRule="exact"/>
        <w:ind w:firstLine="359" w:firstLineChars="171"/>
        <w:rPr>
          <w:szCs w:val="21"/>
          <w:highlight w:val="none"/>
        </w:rPr>
      </w:pPr>
      <w:r>
        <w:rPr>
          <w:szCs w:val="21"/>
          <w:highlight w:val="none"/>
        </w:rPr>
        <w:t>6. 承包人承诺按合同约定承担工程的实施、完成及缺陷修复。</w:t>
      </w:r>
    </w:p>
    <w:p w14:paraId="2E6F719E">
      <w:pPr>
        <w:spacing w:line="440" w:lineRule="exact"/>
        <w:ind w:firstLine="359" w:firstLineChars="171"/>
        <w:rPr>
          <w:szCs w:val="21"/>
          <w:highlight w:val="none"/>
        </w:rPr>
      </w:pPr>
      <w:r>
        <w:rPr>
          <w:szCs w:val="21"/>
          <w:highlight w:val="none"/>
        </w:rPr>
        <w:t>7. 发包人承诺按合同约定的条件、时间和方式向承包人支付合同价款。</w:t>
      </w:r>
    </w:p>
    <w:p w14:paraId="699B2CA5">
      <w:pPr>
        <w:spacing w:line="440" w:lineRule="exact"/>
        <w:ind w:firstLine="359" w:firstLineChars="171"/>
        <w:rPr>
          <w:szCs w:val="21"/>
          <w:highlight w:val="none"/>
        </w:rPr>
      </w:pPr>
      <w:r>
        <w:rPr>
          <w:szCs w:val="21"/>
          <w:highlight w:val="none"/>
        </w:rPr>
        <w:t>8. 承包人应按照监理人指示开工，工期为</w:t>
      </w:r>
      <w:r>
        <w:rPr>
          <w:szCs w:val="21"/>
          <w:highlight w:val="none"/>
          <w:u w:val="single"/>
        </w:rPr>
        <w:t xml:space="preserve">    </w:t>
      </w:r>
      <w:r>
        <w:rPr>
          <w:rFonts w:hint="eastAsia"/>
          <w:szCs w:val="21"/>
          <w:highlight w:val="none"/>
        </w:rPr>
        <w:t>日历天</w:t>
      </w:r>
      <w:r>
        <w:rPr>
          <w:szCs w:val="21"/>
          <w:highlight w:val="none"/>
        </w:rPr>
        <w:t>。</w:t>
      </w:r>
    </w:p>
    <w:p w14:paraId="7F0A3FA0">
      <w:pPr>
        <w:spacing w:line="440" w:lineRule="exact"/>
        <w:ind w:firstLine="359" w:firstLineChars="171"/>
        <w:rPr>
          <w:szCs w:val="21"/>
          <w:highlight w:val="none"/>
        </w:rPr>
      </w:pPr>
      <w:r>
        <w:rPr>
          <w:szCs w:val="21"/>
          <w:highlight w:val="none"/>
        </w:rPr>
        <w:t>9. 本协议书一式</w:t>
      </w:r>
      <w:r>
        <w:rPr>
          <w:szCs w:val="21"/>
          <w:highlight w:val="none"/>
          <w:u w:val="single"/>
        </w:rPr>
        <w:t xml:space="preserve">     </w:t>
      </w:r>
      <w:r>
        <w:rPr>
          <w:szCs w:val="21"/>
          <w:highlight w:val="none"/>
        </w:rPr>
        <w:t>份，合同双方各执一份。</w:t>
      </w:r>
    </w:p>
    <w:p w14:paraId="49B3959C">
      <w:pPr>
        <w:spacing w:line="440" w:lineRule="exact"/>
        <w:ind w:firstLine="359" w:firstLineChars="171"/>
        <w:rPr>
          <w:szCs w:val="21"/>
          <w:highlight w:val="none"/>
        </w:rPr>
      </w:pPr>
      <w:bookmarkStart w:id="979" w:name="_Toc144974830"/>
      <w:bookmarkStart w:id="980" w:name="_Toc152042550"/>
      <w:r>
        <w:rPr>
          <w:szCs w:val="21"/>
          <w:highlight w:val="none"/>
        </w:rPr>
        <w:t>10. 合同未尽事宜，双方另行签订补充协议。补充协议是合同的组成部分。</w:t>
      </w:r>
      <w:bookmarkEnd w:id="979"/>
      <w:bookmarkEnd w:id="980"/>
    </w:p>
    <w:p w14:paraId="7310F373">
      <w:pPr>
        <w:spacing w:line="440" w:lineRule="exact"/>
        <w:ind w:firstLine="359" w:firstLineChars="171"/>
        <w:rPr>
          <w:szCs w:val="21"/>
          <w:highlight w:val="none"/>
        </w:rPr>
      </w:pPr>
    </w:p>
    <w:p w14:paraId="596FC9D4">
      <w:pPr>
        <w:spacing w:line="440" w:lineRule="exact"/>
        <w:rPr>
          <w:szCs w:val="21"/>
          <w:highlight w:val="none"/>
        </w:rPr>
      </w:pPr>
      <w:r>
        <w:rPr>
          <w:szCs w:val="21"/>
          <w:highlight w:val="none"/>
        </w:rPr>
        <w:t>发包人：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w:t>
      </w:r>
      <w:r>
        <w:rPr>
          <w:rFonts w:hint="eastAsia"/>
          <w:szCs w:val="21"/>
          <w:highlight w:val="none"/>
        </w:rPr>
        <w:t xml:space="preserve">     </w:t>
      </w:r>
      <w:r>
        <w:rPr>
          <w:szCs w:val="21"/>
          <w:highlight w:val="none"/>
        </w:rPr>
        <w:t>承包人：</w:t>
      </w:r>
      <w:r>
        <w:rPr>
          <w:szCs w:val="21"/>
          <w:highlight w:val="none"/>
          <w:u w:val="single"/>
        </w:rPr>
        <w:t xml:space="preserve">  </w:t>
      </w:r>
      <w:r>
        <w:rPr>
          <w:rFonts w:hint="eastAsia"/>
          <w:szCs w:val="21"/>
          <w:highlight w:val="none"/>
          <w:u w:val="single"/>
        </w:rPr>
        <w:t xml:space="preserve">                 </w:t>
      </w:r>
      <w:r>
        <w:rPr>
          <w:szCs w:val="21"/>
          <w:highlight w:val="none"/>
        </w:rPr>
        <w:t>（盖单位章）</w:t>
      </w:r>
    </w:p>
    <w:p w14:paraId="34862C94">
      <w:pPr>
        <w:spacing w:line="440" w:lineRule="exact"/>
        <w:rPr>
          <w:szCs w:val="21"/>
          <w:highlight w:val="none"/>
        </w:rPr>
      </w:pPr>
      <w:r>
        <w:rPr>
          <w:szCs w:val="21"/>
          <w:highlight w:val="none"/>
        </w:rPr>
        <w:t>法定代表人或其委托代理人：</w:t>
      </w:r>
      <w:r>
        <w:rPr>
          <w:szCs w:val="21"/>
          <w:highlight w:val="none"/>
          <w:u w:val="single"/>
        </w:rPr>
        <w:t xml:space="preserve">    </w:t>
      </w:r>
      <w:r>
        <w:rPr>
          <w:szCs w:val="21"/>
          <w:highlight w:val="none"/>
        </w:rPr>
        <w:t>（签字）</w:t>
      </w:r>
      <w:r>
        <w:rPr>
          <w:rFonts w:hint="eastAsia"/>
          <w:szCs w:val="21"/>
          <w:highlight w:val="none"/>
        </w:rPr>
        <w:t xml:space="preserve">    </w:t>
      </w:r>
      <w:r>
        <w:rPr>
          <w:szCs w:val="21"/>
          <w:highlight w:val="none"/>
        </w:rPr>
        <w:t>法定代表人或其委托代理人：</w:t>
      </w:r>
      <w:r>
        <w:rPr>
          <w:szCs w:val="21"/>
          <w:highlight w:val="none"/>
          <w:u w:val="single"/>
        </w:rPr>
        <w:t xml:space="preserve">      </w:t>
      </w:r>
      <w:r>
        <w:rPr>
          <w:szCs w:val="21"/>
          <w:highlight w:val="none"/>
        </w:rPr>
        <w:t>（签字）</w:t>
      </w:r>
    </w:p>
    <w:p w14:paraId="04AE8523">
      <w:pPr>
        <w:spacing w:line="440" w:lineRule="exact"/>
        <w:rPr>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月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日</w:t>
      </w:r>
      <w:r>
        <w:rPr>
          <w:rFonts w:hint="eastAsia"/>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月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日</w:t>
      </w:r>
    </w:p>
    <w:p w14:paraId="53E53D34">
      <w:pPr>
        <w:spacing w:line="440" w:lineRule="exact"/>
        <w:rPr>
          <w:rFonts w:hint="eastAsia"/>
          <w:szCs w:val="21"/>
          <w:highlight w:val="none"/>
        </w:rPr>
      </w:pPr>
    </w:p>
    <w:p w14:paraId="0D6C5D49">
      <w:pPr>
        <w:spacing w:line="440" w:lineRule="exact"/>
        <w:rPr>
          <w:rFonts w:hint="eastAsia"/>
          <w:szCs w:val="21"/>
          <w:highlight w:val="none"/>
        </w:rPr>
      </w:pPr>
      <w:bookmarkStart w:id="981" w:name="_Toc144974831"/>
    </w:p>
    <w:p w14:paraId="2FADC957">
      <w:pPr>
        <w:pStyle w:val="45"/>
        <w:rPr>
          <w:rFonts w:hint="eastAsia"/>
          <w:highlight w:val="none"/>
        </w:rPr>
      </w:pPr>
      <w:bookmarkStart w:id="982" w:name="OLE_LINK29"/>
      <w:bookmarkStart w:id="983" w:name="_Toc179632787"/>
      <w:bookmarkStart w:id="984" w:name="_Toc15580"/>
      <w:bookmarkStart w:id="985" w:name="_Toc152042551"/>
      <w:bookmarkStart w:id="986" w:name="_Toc152045769"/>
      <w:r>
        <w:rPr>
          <w:rFonts w:hint="eastAsia"/>
          <w:highlight w:val="none"/>
        </w:rPr>
        <w:t>附件二：</w:t>
      </w:r>
      <w:bookmarkEnd w:id="982"/>
      <w:r>
        <w:rPr>
          <w:rFonts w:hint="eastAsia"/>
          <w:highlight w:val="none"/>
        </w:rPr>
        <w:t>履约担保格式</w:t>
      </w:r>
      <w:bookmarkEnd w:id="981"/>
      <w:bookmarkEnd w:id="983"/>
      <w:bookmarkEnd w:id="984"/>
      <w:bookmarkEnd w:id="985"/>
      <w:bookmarkEnd w:id="986"/>
    </w:p>
    <w:p w14:paraId="21CA2F42">
      <w:pPr>
        <w:spacing w:line="400" w:lineRule="exact"/>
        <w:rPr>
          <w:highlight w:val="none"/>
        </w:rPr>
      </w:pPr>
    </w:p>
    <w:p w14:paraId="42144ADB">
      <w:pPr>
        <w:spacing w:line="440" w:lineRule="exact"/>
        <w:jc w:val="center"/>
        <w:rPr>
          <w:rFonts w:eastAsia="黑体"/>
          <w:sz w:val="28"/>
          <w:szCs w:val="28"/>
          <w:highlight w:val="none"/>
        </w:rPr>
      </w:pPr>
      <w:r>
        <w:rPr>
          <w:rFonts w:eastAsia="黑体"/>
          <w:sz w:val="28"/>
          <w:szCs w:val="28"/>
          <w:highlight w:val="none"/>
        </w:rPr>
        <w:t>履约担保</w:t>
      </w:r>
    </w:p>
    <w:p w14:paraId="5D328574">
      <w:pPr>
        <w:spacing w:line="440" w:lineRule="exact"/>
        <w:rPr>
          <w:rFonts w:eastAsia="黑体"/>
          <w:sz w:val="20"/>
          <w:szCs w:val="20"/>
          <w:highlight w:val="none"/>
        </w:rPr>
      </w:pPr>
    </w:p>
    <w:p w14:paraId="2F18FA04">
      <w:pPr>
        <w:spacing w:line="440" w:lineRule="exact"/>
        <w:rPr>
          <w:szCs w:val="21"/>
          <w:highlight w:val="none"/>
        </w:rPr>
      </w:pPr>
      <w:r>
        <w:rPr>
          <w:szCs w:val="21"/>
          <w:highlight w:val="none"/>
          <w:u w:val="single"/>
        </w:rPr>
        <w:t xml:space="preserve">             </w:t>
      </w:r>
      <w:r>
        <w:rPr>
          <w:szCs w:val="21"/>
          <w:highlight w:val="none"/>
          <w:u w:val="single"/>
        </w:rPr>
        <w:tab/>
      </w:r>
      <w:r>
        <w:rPr>
          <w:szCs w:val="21"/>
          <w:highlight w:val="none"/>
          <w:u w:val="single"/>
        </w:rPr>
        <w:tab/>
      </w:r>
      <w:r>
        <w:rPr>
          <w:szCs w:val="21"/>
          <w:highlight w:val="none"/>
          <w:u w:val="single"/>
        </w:rPr>
        <w:t xml:space="preserve"> </w:t>
      </w:r>
      <w:r>
        <w:rPr>
          <w:szCs w:val="21"/>
          <w:highlight w:val="none"/>
        </w:rPr>
        <w:t xml:space="preserve"> （发包人名称）：</w:t>
      </w:r>
    </w:p>
    <w:p w14:paraId="4FED02C8">
      <w:pPr>
        <w:spacing w:line="440" w:lineRule="exact"/>
        <w:rPr>
          <w:szCs w:val="21"/>
          <w:highlight w:val="none"/>
        </w:rPr>
      </w:pPr>
    </w:p>
    <w:p w14:paraId="019DC3A1">
      <w:pPr>
        <w:spacing w:line="440" w:lineRule="exact"/>
        <w:ind w:firstLine="420" w:firstLineChars="200"/>
        <w:rPr>
          <w:szCs w:val="21"/>
          <w:highlight w:val="none"/>
        </w:rPr>
      </w:pPr>
      <w:r>
        <w:rPr>
          <w:szCs w:val="21"/>
          <w:highlight w:val="none"/>
        </w:rPr>
        <w:t>鉴于</w:t>
      </w:r>
      <w:r>
        <w:rPr>
          <w:szCs w:val="21"/>
          <w:highlight w:val="none"/>
          <w:u w:val="single"/>
        </w:rPr>
        <w:t xml:space="preserve">                </w:t>
      </w:r>
      <w:r>
        <w:rPr>
          <w:szCs w:val="21"/>
          <w:highlight w:val="none"/>
        </w:rPr>
        <w:t xml:space="preserve">（发包人名称，以下简称“发包人”）接受 </w:t>
      </w:r>
      <w:r>
        <w:rPr>
          <w:szCs w:val="21"/>
          <w:highlight w:val="none"/>
          <w:u w:val="single"/>
        </w:rPr>
        <w:t xml:space="preserve">      </w:t>
      </w:r>
      <w:r>
        <w:rPr>
          <w:szCs w:val="21"/>
          <w:highlight w:val="none"/>
        </w:rPr>
        <w:t>（承包人名称）（以下称“承包人”）于</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日参加</w:t>
      </w:r>
      <w:r>
        <w:rPr>
          <w:szCs w:val="21"/>
          <w:highlight w:val="none"/>
          <w:u w:val="single"/>
        </w:rPr>
        <w:t xml:space="preserve">         </w:t>
      </w:r>
      <w:r>
        <w:rPr>
          <w:szCs w:val="21"/>
          <w:highlight w:val="none"/>
        </w:rPr>
        <w:t>（项目名称）</w:t>
      </w:r>
      <w:r>
        <w:rPr>
          <w:szCs w:val="21"/>
          <w:highlight w:val="none"/>
          <w:u w:val="single"/>
        </w:rPr>
        <w:t xml:space="preserve">          </w:t>
      </w:r>
      <w:r>
        <w:rPr>
          <w:szCs w:val="21"/>
          <w:highlight w:val="none"/>
        </w:rPr>
        <w:t>标段</w:t>
      </w:r>
      <w:r>
        <w:rPr>
          <w:rFonts w:hint="eastAsia"/>
          <w:szCs w:val="21"/>
          <w:highlight w:val="none"/>
        </w:rPr>
        <w:t>施工</w:t>
      </w:r>
      <w:r>
        <w:rPr>
          <w:szCs w:val="21"/>
          <w:highlight w:val="none"/>
        </w:rPr>
        <w:t xml:space="preserve">的投标。我方愿意无条件地、不可撤销地就承包人履行与你方订立的合同，向你方提供担保。 </w:t>
      </w:r>
    </w:p>
    <w:p w14:paraId="43039CA4">
      <w:pPr>
        <w:spacing w:line="440" w:lineRule="exact"/>
        <w:ind w:firstLine="420" w:firstLineChars="200"/>
        <w:rPr>
          <w:szCs w:val="21"/>
          <w:highlight w:val="none"/>
        </w:rPr>
      </w:pPr>
      <w:r>
        <w:rPr>
          <w:szCs w:val="21"/>
          <w:highlight w:val="none"/>
        </w:rPr>
        <w:t>1. 担保金额人民币（大写）</w:t>
      </w:r>
      <w:r>
        <w:rPr>
          <w:szCs w:val="21"/>
          <w:highlight w:val="none"/>
          <w:u w:val="single"/>
        </w:rPr>
        <w:t xml:space="preserve">                 </w:t>
      </w:r>
      <w:r>
        <w:rPr>
          <w:szCs w:val="21"/>
          <w:highlight w:val="none"/>
        </w:rPr>
        <w:t>元（¥</w:t>
      </w:r>
      <w:r>
        <w:rPr>
          <w:szCs w:val="21"/>
          <w:highlight w:val="none"/>
          <w:u w:val="single"/>
        </w:rPr>
        <w:t xml:space="preserve">             </w:t>
      </w:r>
      <w:r>
        <w:rPr>
          <w:szCs w:val="21"/>
          <w:highlight w:val="none"/>
        </w:rPr>
        <w:t>）。</w:t>
      </w:r>
    </w:p>
    <w:p w14:paraId="7F78D707">
      <w:pPr>
        <w:spacing w:line="440" w:lineRule="exact"/>
        <w:ind w:firstLine="420" w:firstLineChars="200"/>
        <w:rPr>
          <w:szCs w:val="21"/>
          <w:highlight w:val="none"/>
        </w:rPr>
      </w:pPr>
      <w:r>
        <w:rPr>
          <w:szCs w:val="21"/>
          <w:highlight w:val="none"/>
        </w:rPr>
        <w:t>2. 担保有效期自发包人与承包人签订的合同生效之日起至发包人签发工程接收证书</w:t>
      </w:r>
      <w:r>
        <w:rPr>
          <w:rFonts w:hint="eastAsia"/>
          <w:szCs w:val="21"/>
          <w:highlight w:val="none"/>
        </w:rPr>
        <w:t>之日</w:t>
      </w:r>
      <w:r>
        <w:rPr>
          <w:szCs w:val="21"/>
          <w:highlight w:val="none"/>
        </w:rPr>
        <w:t>止。</w:t>
      </w:r>
    </w:p>
    <w:p w14:paraId="3F737E22">
      <w:pPr>
        <w:spacing w:line="440" w:lineRule="exact"/>
        <w:ind w:firstLine="420" w:firstLineChars="200"/>
        <w:rPr>
          <w:szCs w:val="21"/>
          <w:highlight w:val="none"/>
        </w:rPr>
      </w:pPr>
      <w:r>
        <w:rPr>
          <w:szCs w:val="21"/>
          <w:highlight w:val="none"/>
        </w:rPr>
        <w:t>3. 在本担保有效期内，因承包人违反合同约定的义务给你方造成经济损失时，我方在收到你方以书面形式提出的在担保金额内的赔偿要求后，在7天内无条件支付。</w:t>
      </w:r>
    </w:p>
    <w:p w14:paraId="5A5B7ED1">
      <w:pPr>
        <w:spacing w:line="440" w:lineRule="exact"/>
        <w:ind w:firstLine="420" w:firstLineChars="200"/>
        <w:rPr>
          <w:szCs w:val="21"/>
          <w:highlight w:val="none"/>
        </w:rPr>
      </w:pPr>
      <w:r>
        <w:rPr>
          <w:szCs w:val="21"/>
          <w:highlight w:val="none"/>
        </w:rPr>
        <w:t>4. 发包人和承包人按《通用合同条款》第15条变更合同时，我</w:t>
      </w:r>
      <w:r>
        <w:rPr>
          <w:rFonts w:hint="eastAsia"/>
          <w:szCs w:val="21"/>
          <w:highlight w:val="none"/>
        </w:rPr>
        <w:t>方</w:t>
      </w:r>
      <w:r>
        <w:rPr>
          <w:szCs w:val="21"/>
          <w:highlight w:val="none"/>
        </w:rPr>
        <w:t>承担本</w:t>
      </w:r>
      <w:r>
        <w:rPr>
          <w:rFonts w:hint="eastAsia"/>
          <w:szCs w:val="21"/>
          <w:highlight w:val="none"/>
        </w:rPr>
        <w:t>担保</w:t>
      </w:r>
      <w:r>
        <w:rPr>
          <w:szCs w:val="21"/>
          <w:highlight w:val="none"/>
        </w:rPr>
        <w:t>规定的义务不变。</w:t>
      </w:r>
    </w:p>
    <w:p w14:paraId="11596CB5">
      <w:pPr>
        <w:spacing w:line="440" w:lineRule="exact"/>
        <w:rPr>
          <w:szCs w:val="21"/>
          <w:highlight w:val="none"/>
        </w:rPr>
      </w:pPr>
    </w:p>
    <w:p w14:paraId="3D81B674">
      <w:pPr>
        <w:spacing w:line="600" w:lineRule="exact"/>
        <w:ind w:firstLine="3418" w:firstLineChars="1628"/>
        <w:rPr>
          <w:szCs w:val="21"/>
          <w:highlight w:val="none"/>
        </w:rPr>
      </w:pPr>
      <w:r>
        <w:rPr>
          <w:rFonts w:hint="eastAsia"/>
          <w:szCs w:val="21"/>
          <w:highlight w:val="none"/>
        </w:rPr>
        <w:t>担 保</w:t>
      </w:r>
      <w:r>
        <w:rPr>
          <w:szCs w:val="21"/>
          <w:highlight w:val="none"/>
        </w:rPr>
        <w:t xml:space="preserve"> 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w:t>
      </w:r>
    </w:p>
    <w:p w14:paraId="78F14337">
      <w:pPr>
        <w:spacing w:line="600" w:lineRule="exact"/>
        <w:ind w:firstLine="3418" w:firstLineChars="1628"/>
        <w:rPr>
          <w:szCs w:val="21"/>
          <w:highlight w:val="none"/>
        </w:rPr>
      </w:pPr>
      <w:r>
        <w:rPr>
          <w:szCs w:val="21"/>
          <w:highlight w:val="none"/>
        </w:rPr>
        <w:t>法定代表人或其委托代理人：</w:t>
      </w:r>
      <w:r>
        <w:rPr>
          <w:szCs w:val="21"/>
          <w:highlight w:val="none"/>
          <w:u w:val="single"/>
        </w:rPr>
        <w:t xml:space="preserve">            </w:t>
      </w:r>
      <w:r>
        <w:rPr>
          <w:szCs w:val="21"/>
          <w:highlight w:val="none"/>
        </w:rPr>
        <w:t>（签字）</w:t>
      </w:r>
    </w:p>
    <w:p w14:paraId="1EAB95E5">
      <w:pPr>
        <w:spacing w:line="600" w:lineRule="exact"/>
        <w:ind w:firstLine="3418" w:firstLineChars="1628"/>
        <w:rPr>
          <w:szCs w:val="21"/>
          <w:highlight w:val="none"/>
        </w:rPr>
      </w:pPr>
      <w:r>
        <w:rPr>
          <w:szCs w:val="21"/>
          <w:highlight w:val="none"/>
        </w:rPr>
        <w:t>地    址：</w:t>
      </w:r>
      <w:r>
        <w:rPr>
          <w:szCs w:val="21"/>
          <w:highlight w:val="none"/>
          <w:u w:val="single"/>
        </w:rPr>
        <w:t xml:space="preserve">                                    </w:t>
      </w:r>
    </w:p>
    <w:p w14:paraId="562E35BD">
      <w:pPr>
        <w:spacing w:line="600" w:lineRule="exact"/>
        <w:ind w:firstLine="3418" w:firstLineChars="1628"/>
        <w:rPr>
          <w:rFonts w:hint="eastAsia"/>
          <w:szCs w:val="21"/>
          <w:highlight w:val="none"/>
        </w:rPr>
      </w:pPr>
      <w:r>
        <w:rPr>
          <w:szCs w:val="21"/>
          <w:highlight w:val="none"/>
        </w:rPr>
        <w:t>邮政编码：</w:t>
      </w:r>
      <w:r>
        <w:rPr>
          <w:szCs w:val="21"/>
          <w:highlight w:val="none"/>
          <w:u w:val="single"/>
        </w:rPr>
        <w:tab/>
      </w:r>
      <w:r>
        <w:rPr>
          <w:szCs w:val="21"/>
          <w:highlight w:val="none"/>
          <w:u w:val="single"/>
        </w:rPr>
        <w:tab/>
      </w:r>
      <w:r>
        <w:rPr>
          <w:szCs w:val="21"/>
          <w:highlight w:val="none"/>
          <w:u w:val="single"/>
        </w:rPr>
        <w:tab/>
      </w:r>
      <w:r>
        <w:rPr>
          <w:szCs w:val="21"/>
          <w:highlight w:val="none"/>
          <w:u w:val="single"/>
        </w:rPr>
        <w:tab/>
      </w:r>
      <w:r>
        <w:rPr>
          <w:szCs w:val="21"/>
          <w:highlight w:val="none"/>
          <w:u w:val="single"/>
        </w:rPr>
        <w:tab/>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u w:val="single"/>
        </w:rPr>
        <w:tab/>
      </w:r>
      <w:r>
        <w:rPr>
          <w:szCs w:val="21"/>
          <w:highlight w:val="none"/>
          <w:u w:val="single"/>
        </w:rPr>
        <w:tab/>
      </w:r>
      <w:r>
        <w:rPr>
          <w:rFonts w:hint="eastAsia"/>
          <w:szCs w:val="21"/>
          <w:highlight w:val="none"/>
          <w:u w:val="single"/>
        </w:rPr>
        <w:t xml:space="preserve">  </w:t>
      </w:r>
    </w:p>
    <w:p w14:paraId="4274EF05">
      <w:pPr>
        <w:spacing w:line="600" w:lineRule="exact"/>
        <w:ind w:firstLine="3418" w:firstLineChars="1628"/>
        <w:rPr>
          <w:rFonts w:hint="eastAsia"/>
          <w:szCs w:val="21"/>
          <w:highlight w:val="none"/>
          <w:u w:val="single"/>
        </w:rPr>
      </w:pPr>
      <w:r>
        <w:rPr>
          <w:szCs w:val="21"/>
          <w:highlight w:val="none"/>
        </w:rPr>
        <w:t>电    话：</w:t>
      </w:r>
      <w:r>
        <w:rPr>
          <w:szCs w:val="21"/>
          <w:highlight w:val="none"/>
          <w:u w:val="single"/>
        </w:rPr>
        <w:t xml:space="preserve">                                  </w:t>
      </w:r>
      <w:r>
        <w:rPr>
          <w:rFonts w:hint="eastAsia"/>
          <w:szCs w:val="21"/>
          <w:highlight w:val="none"/>
          <w:u w:val="single"/>
        </w:rPr>
        <w:t xml:space="preserve"> </w:t>
      </w:r>
    </w:p>
    <w:p w14:paraId="28C1FEEE">
      <w:pPr>
        <w:spacing w:line="600" w:lineRule="exact"/>
        <w:ind w:firstLine="3418" w:firstLineChars="1628"/>
        <w:rPr>
          <w:rFonts w:hint="eastAsia"/>
          <w:szCs w:val="21"/>
          <w:highlight w:val="none"/>
        </w:rPr>
      </w:pPr>
      <w:r>
        <w:rPr>
          <w:rFonts w:hint="eastAsia"/>
          <w:szCs w:val="21"/>
          <w:highlight w:val="none"/>
        </w:rPr>
        <w:t>传    真：</w:t>
      </w:r>
      <w:r>
        <w:rPr>
          <w:szCs w:val="21"/>
          <w:highlight w:val="none"/>
          <w:u w:val="single"/>
        </w:rPr>
        <w:t xml:space="preserve">                                  </w:t>
      </w:r>
      <w:r>
        <w:rPr>
          <w:rFonts w:hint="eastAsia"/>
          <w:szCs w:val="21"/>
          <w:highlight w:val="none"/>
          <w:u w:val="single"/>
        </w:rPr>
        <w:t xml:space="preserve"> </w:t>
      </w:r>
    </w:p>
    <w:p w14:paraId="0D5B446B">
      <w:pPr>
        <w:pStyle w:val="59"/>
        <w:spacing w:line="440" w:lineRule="exact"/>
        <w:jc w:val="right"/>
        <w:rPr>
          <w:szCs w:val="21"/>
          <w:highlight w:val="none"/>
        </w:rPr>
      </w:pPr>
      <w:r>
        <w:rPr>
          <w:szCs w:val="21"/>
          <w:highlight w:val="none"/>
        </w:rPr>
        <w:t xml:space="preserve"> </w:t>
      </w:r>
    </w:p>
    <w:p w14:paraId="66449F3D">
      <w:pPr>
        <w:pStyle w:val="59"/>
        <w:spacing w:line="440" w:lineRule="exact"/>
        <w:jc w:val="right"/>
        <w:rPr>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4581BFD7">
      <w:pPr>
        <w:pStyle w:val="59"/>
        <w:spacing w:line="440" w:lineRule="exact"/>
        <w:jc w:val="both"/>
        <w:rPr>
          <w:rFonts w:hint="default" w:ascii="Times New Roman" w:hAnsi="Times New Roman" w:eastAsia="宋体" w:cs="Times New Roman"/>
          <w:b/>
          <w:bCs/>
          <w:highlight w:val="none"/>
        </w:rPr>
      </w:pPr>
      <w:r>
        <w:rPr>
          <w:szCs w:val="21"/>
          <w:highlight w:val="none"/>
        </w:rPr>
        <w:br w:type="page"/>
      </w:r>
      <w:r>
        <w:rPr>
          <w:rFonts w:hint="eastAsia" w:ascii="Times New Roman" w:hAnsi="Times New Roman" w:eastAsia="黑体" w:cs="宋体"/>
          <w:b w:val="0"/>
          <w:bCs w:val="0"/>
          <w:kern w:val="2"/>
          <w:sz w:val="24"/>
          <w:szCs w:val="20"/>
          <w:highlight w:val="none"/>
          <w:lang w:val="en-US" w:eastAsia="zh-CN" w:bidi="ar-SA"/>
        </w:rPr>
        <w:t>附件三：</w:t>
      </w:r>
      <w:r>
        <w:rPr>
          <w:rFonts w:hint="default" w:ascii="Times New Roman" w:hAnsi="Times New Roman" w:eastAsia="黑体" w:cs="宋体"/>
          <w:b w:val="0"/>
          <w:bCs w:val="0"/>
          <w:kern w:val="2"/>
          <w:sz w:val="24"/>
          <w:szCs w:val="20"/>
          <w:highlight w:val="none"/>
          <w:lang w:val="en-US" w:eastAsia="zh-CN" w:bidi="ar-SA"/>
        </w:rPr>
        <w:t>工程质量保修书</w:t>
      </w:r>
    </w:p>
    <w:p w14:paraId="215570E3">
      <w:pPr>
        <w:spacing w:line="440" w:lineRule="exact"/>
        <w:jc w:val="center"/>
        <w:rPr>
          <w:rFonts w:ascii="Times New Roman" w:hAnsi="Times New Roman" w:eastAsia="黑体" w:cs="Times New Roman"/>
          <w:sz w:val="28"/>
          <w:szCs w:val="28"/>
          <w:highlight w:val="none"/>
        </w:rPr>
      </w:pPr>
    </w:p>
    <w:p w14:paraId="561146E4">
      <w:pPr>
        <w:spacing w:line="44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工程质量保修书</w:t>
      </w:r>
    </w:p>
    <w:p w14:paraId="183A3159">
      <w:pPr>
        <w:pStyle w:val="59"/>
        <w:spacing w:line="440" w:lineRule="exact"/>
        <w:ind w:firstLine="210" w:firstLineChars="1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发包人（全称）：</w:t>
      </w:r>
      <w:r>
        <w:rPr>
          <w:rStyle w:val="56"/>
          <w:rFonts w:hint="default" w:ascii="Times New Roman" w:hAnsi="Times New Roman" w:cs="Times New Roman"/>
          <w:color w:val="000000"/>
          <w:kern w:val="2"/>
          <w:sz w:val="21"/>
          <w:szCs w:val="21"/>
          <w:highlight w:val="none"/>
          <w:u w:val="single"/>
        </w:rPr>
        <w:t xml:space="preserve">  营口市海洋与渔业局               </w:t>
      </w:r>
      <w:r>
        <w:rPr>
          <w:rStyle w:val="56"/>
          <w:rFonts w:hint="default" w:ascii="Times New Roman" w:hAnsi="Times New Roman" w:cs="Times New Roman"/>
          <w:color w:val="000000"/>
          <w:kern w:val="2"/>
          <w:sz w:val="21"/>
          <w:szCs w:val="21"/>
          <w:highlight w:val="none"/>
        </w:rPr>
        <w:t xml:space="preserve"> </w:t>
      </w:r>
    </w:p>
    <w:p w14:paraId="2328951E">
      <w:pPr>
        <w:pStyle w:val="59"/>
        <w:spacing w:line="440" w:lineRule="exact"/>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承包人（全称）：</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w:t>
      </w:r>
    </w:p>
    <w:p w14:paraId="58F552A0">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发包人和承包人根据《中华人民共和国建筑法》和《建设工程质量管理条例》，经协商一致就</w:t>
      </w:r>
      <w:r>
        <w:rPr>
          <w:rStyle w:val="56"/>
          <w:rFonts w:hint="default" w:ascii="Times New Roman" w:hAnsi="Times New Roman" w:cs="Times New Roman"/>
          <w:color w:val="000000"/>
          <w:kern w:val="2"/>
          <w:sz w:val="21"/>
          <w:szCs w:val="21"/>
          <w:highlight w:val="none"/>
          <w:u w:val="single"/>
        </w:rPr>
        <w:t>辽宁省营口市海洋生态保护修复工程项目工程</w:t>
      </w:r>
      <w:r>
        <w:rPr>
          <w:rStyle w:val="56"/>
          <w:rFonts w:hint="default" w:ascii="Times New Roman" w:hAnsi="Times New Roman" w:cs="Times New Roman"/>
          <w:bCs/>
          <w:color w:val="000000"/>
          <w:kern w:val="2"/>
          <w:sz w:val="21"/>
          <w:szCs w:val="21"/>
          <w:highlight w:val="none"/>
          <w:u w:val="single"/>
          <w:lang w:eastAsia="zh-CN"/>
        </w:rPr>
        <w:t>施工</w:t>
      </w:r>
      <w:r>
        <w:rPr>
          <w:rStyle w:val="56"/>
          <w:rFonts w:hint="default" w:ascii="Times New Roman" w:hAnsi="Times New Roman" w:cs="Times New Roman"/>
          <w:color w:val="000000"/>
          <w:kern w:val="2"/>
          <w:sz w:val="21"/>
          <w:szCs w:val="21"/>
          <w:highlight w:val="none"/>
        </w:rPr>
        <w:t>（工程全称）签订工程质量保修书。</w:t>
      </w:r>
    </w:p>
    <w:p w14:paraId="470E7172">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一、工程质量保修范围和内容</w:t>
      </w:r>
    </w:p>
    <w:p w14:paraId="0A5CCA51">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承包人在质量保修期内，按照有关法律规定和合同约定，承担工程质量保修责任。</w:t>
      </w:r>
    </w:p>
    <w:p w14:paraId="0557461C">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Style w:val="56"/>
          <w:rFonts w:hint="eastAsia" w:ascii="Times New Roman" w:hAnsi="Times New Roman" w:cs="Times New Roman"/>
          <w:color w:val="000000"/>
          <w:kern w:val="2"/>
          <w:sz w:val="21"/>
          <w:szCs w:val="21"/>
          <w:highlight w:val="none"/>
          <w:u w:val="single"/>
          <w:lang w:val="en-US" w:eastAsia="zh-CN"/>
        </w:rPr>
        <w:t xml:space="preserve">               </w:t>
      </w:r>
      <w:r>
        <w:rPr>
          <w:rStyle w:val="56"/>
          <w:rFonts w:hint="default" w:ascii="Times New Roman" w:hAnsi="Times New Roman" w:cs="Times New Roman"/>
          <w:color w:val="000000"/>
          <w:kern w:val="2"/>
          <w:sz w:val="21"/>
          <w:szCs w:val="21"/>
          <w:highlight w:val="none"/>
        </w:rPr>
        <w:t>。</w:t>
      </w:r>
    </w:p>
    <w:p w14:paraId="278DCF78">
      <w:pPr>
        <w:pStyle w:val="59"/>
        <w:spacing w:line="360" w:lineRule="auto"/>
        <w:rPr>
          <w:rStyle w:val="56"/>
          <w:rFonts w:hint="default" w:ascii="Times New Roman" w:hAnsi="Times New Roman" w:cs="Times New Roman"/>
          <w:kern w:val="2"/>
          <w:sz w:val="21"/>
          <w:szCs w:val="21"/>
          <w:highlight w:val="none"/>
        </w:rPr>
      </w:pPr>
      <w:r>
        <w:rPr>
          <w:rStyle w:val="56"/>
          <w:rFonts w:hint="default" w:ascii="Times New Roman" w:hAnsi="Times New Roman" w:cs="Times New Roman"/>
          <w:color w:val="000000"/>
          <w:kern w:val="2"/>
          <w:sz w:val="21"/>
          <w:szCs w:val="21"/>
          <w:highlight w:val="none"/>
        </w:rPr>
        <w:t xml:space="preserve"> </w:t>
      </w:r>
      <w:r>
        <w:rPr>
          <w:rStyle w:val="56"/>
          <w:rFonts w:hint="eastAsia" w:ascii="Times New Roman" w:hAnsi="Times New Roman" w:cs="Times New Roman"/>
          <w:color w:val="000000"/>
          <w:kern w:val="2"/>
          <w:sz w:val="21"/>
          <w:szCs w:val="21"/>
          <w:highlight w:val="none"/>
          <w:lang w:val="en-US" w:eastAsia="zh-CN"/>
        </w:rPr>
        <w:t xml:space="preserve">  </w:t>
      </w:r>
      <w:r>
        <w:rPr>
          <w:rStyle w:val="56"/>
          <w:rFonts w:hint="default" w:ascii="Times New Roman" w:hAnsi="Times New Roman" w:cs="Times New Roman"/>
          <w:color w:val="000000"/>
          <w:kern w:val="2"/>
          <w:sz w:val="21"/>
          <w:szCs w:val="21"/>
          <w:highlight w:val="none"/>
        </w:rPr>
        <w:t xml:space="preserve"> </w:t>
      </w:r>
      <w:r>
        <w:rPr>
          <w:rStyle w:val="56"/>
          <w:rFonts w:hint="default" w:ascii="Times New Roman" w:hAnsi="Times New Roman" w:cs="Times New Roman"/>
          <w:kern w:val="2"/>
          <w:sz w:val="21"/>
          <w:szCs w:val="21"/>
          <w:highlight w:val="none"/>
        </w:rPr>
        <w:t>二、质量保修期</w:t>
      </w:r>
    </w:p>
    <w:p w14:paraId="021DE5F8">
      <w:pPr>
        <w:spacing w:line="360" w:lineRule="auto"/>
        <w:ind w:right="-13" w:rightChars="-6" w:firstLine="420" w:firstLineChars="200"/>
        <w:rPr>
          <w:rStyle w:val="56"/>
          <w:rFonts w:hint="default" w:ascii="Times New Roman" w:hAnsi="Times New Roman" w:eastAsia="宋体" w:cs="Times New Roman"/>
          <w:color w:val="000000"/>
          <w:kern w:val="2"/>
          <w:sz w:val="21"/>
          <w:szCs w:val="21"/>
          <w:highlight w:val="none"/>
          <w:lang w:val="en-US" w:eastAsia="zh-CN" w:bidi="ar-SA"/>
        </w:rPr>
      </w:pPr>
      <w:r>
        <w:rPr>
          <w:rStyle w:val="56"/>
          <w:rFonts w:hint="default" w:ascii="Times New Roman" w:hAnsi="Times New Roman" w:eastAsia="宋体" w:cs="Times New Roman"/>
          <w:color w:val="000000"/>
          <w:kern w:val="2"/>
          <w:sz w:val="21"/>
          <w:szCs w:val="21"/>
          <w:highlight w:val="none"/>
          <w:lang w:val="en-US" w:eastAsia="zh-CN" w:bidi="ar-SA"/>
        </w:rPr>
        <w:t>1.水工部分：承包范围内工程验收合格之日起二年。</w:t>
      </w:r>
    </w:p>
    <w:p w14:paraId="2F3FEBBB">
      <w:pPr>
        <w:spacing w:line="360" w:lineRule="auto"/>
        <w:ind w:right="-13" w:rightChars="-6" w:firstLine="420" w:firstLineChars="200"/>
        <w:rPr>
          <w:rStyle w:val="56"/>
          <w:rFonts w:hint="default" w:ascii="Times New Roman" w:hAnsi="Times New Roman" w:eastAsia="宋体" w:cs="Times New Roman"/>
          <w:color w:val="auto"/>
          <w:kern w:val="2"/>
          <w:sz w:val="21"/>
          <w:szCs w:val="21"/>
          <w:highlight w:val="none"/>
          <w:lang w:val="en-US" w:eastAsia="zh-CN" w:bidi="ar-SA"/>
        </w:rPr>
      </w:pPr>
      <w:r>
        <w:rPr>
          <w:rStyle w:val="56"/>
          <w:rFonts w:hint="eastAsia" w:ascii="Times New Roman" w:hAnsi="Times New Roman" w:eastAsia="宋体" w:cs="Times New Roman"/>
          <w:color w:val="auto"/>
          <w:kern w:val="2"/>
          <w:sz w:val="21"/>
          <w:szCs w:val="21"/>
          <w:highlight w:val="none"/>
          <w:lang w:val="en-US" w:eastAsia="zh-CN" w:bidi="ar-SA"/>
        </w:rPr>
        <w:t>2.绿化工程：绿化工程自工程验收合格之日起三年。</w:t>
      </w:r>
    </w:p>
    <w:p w14:paraId="48DBD784">
      <w:pPr>
        <w:spacing w:line="360" w:lineRule="auto"/>
        <w:ind w:right="-13" w:rightChars="-6" w:firstLine="420" w:firstLineChars="200"/>
        <w:rPr>
          <w:rStyle w:val="56"/>
          <w:rFonts w:hint="eastAsia" w:ascii="Times New Roman" w:hAnsi="Times New Roman" w:eastAsia="宋体" w:cs="Times New Roman"/>
          <w:color w:val="auto"/>
          <w:kern w:val="2"/>
          <w:sz w:val="21"/>
          <w:szCs w:val="21"/>
          <w:highlight w:val="none"/>
          <w:lang w:val="en-US" w:eastAsia="zh-CN" w:bidi="ar-SA"/>
        </w:rPr>
      </w:pPr>
      <w:r>
        <w:rPr>
          <w:rStyle w:val="56"/>
          <w:rFonts w:hint="eastAsia" w:ascii="Times New Roman" w:hAnsi="Times New Roman" w:eastAsia="宋体" w:cs="Times New Roman"/>
          <w:color w:val="auto"/>
          <w:kern w:val="2"/>
          <w:sz w:val="21"/>
          <w:szCs w:val="21"/>
          <w:highlight w:val="none"/>
          <w:lang w:val="en-US" w:eastAsia="zh-CN" w:bidi="ar-SA"/>
        </w:rPr>
        <w:t>3</w:t>
      </w:r>
      <w:r>
        <w:rPr>
          <w:rStyle w:val="56"/>
          <w:rFonts w:hint="default" w:ascii="Times New Roman" w:hAnsi="Times New Roman" w:eastAsia="宋体" w:cs="Times New Roman"/>
          <w:color w:val="auto"/>
          <w:kern w:val="2"/>
          <w:sz w:val="21"/>
          <w:szCs w:val="21"/>
          <w:highlight w:val="none"/>
          <w:lang w:val="en-US" w:eastAsia="zh-CN" w:bidi="ar-SA"/>
        </w:rPr>
        <w:t>.</w:t>
      </w:r>
      <w:r>
        <w:rPr>
          <w:rStyle w:val="56"/>
          <w:rFonts w:hint="eastAsia" w:ascii="Times New Roman" w:hAnsi="Times New Roman" w:eastAsia="宋体" w:cs="Times New Roman"/>
          <w:color w:val="auto"/>
          <w:kern w:val="2"/>
          <w:sz w:val="21"/>
          <w:szCs w:val="21"/>
          <w:highlight w:val="none"/>
          <w:lang w:val="en-US" w:eastAsia="zh-CN" w:bidi="ar-SA"/>
        </w:rPr>
        <w:t>其他工程</w:t>
      </w:r>
      <w:r>
        <w:rPr>
          <w:rStyle w:val="56"/>
          <w:rFonts w:hint="default" w:ascii="Times New Roman" w:hAnsi="Times New Roman" w:eastAsia="宋体" w:cs="Times New Roman"/>
          <w:color w:val="auto"/>
          <w:kern w:val="2"/>
          <w:sz w:val="21"/>
          <w:szCs w:val="21"/>
          <w:highlight w:val="none"/>
          <w:lang w:val="en-US" w:eastAsia="zh-CN" w:bidi="ar-SA"/>
        </w:rPr>
        <w:t>质量保修期</w:t>
      </w:r>
      <w:r>
        <w:rPr>
          <w:rStyle w:val="56"/>
          <w:rFonts w:hint="eastAsia" w:ascii="Times New Roman" w:hAnsi="Times New Roman" w:eastAsia="宋体" w:cs="Times New Roman"/>
          <w:color w:val="auto"/>
          <w:kern w:val="2"/>
          <w:sz w:val="21"/>
          <w:szCs w:val="21"/>
          <w:highlight w:val="none"/>
          <w:lang w:val="en-US" w:eastAsia="zh-CN" w:bidi="ar-SA"/>
        </w:rPr>
        <w:t>按照国家质保相关规定执行。</w:t>
      </w:r>
    </w:p>
    <w:p w14:paraId="028B69A1">
      <w:pPr>
        <w:spacing w:line="360" w:lineRule="auto"/>
        <w:ind w:right="-13" w:rightChars="-6" w:firstLine="420" w:firstLineChars="200"/>
        <w:rPr>
          <w:rStyle w:val="56"/>
          <w:rFonts w:hint="default" w:ascii="Times New Roman" w:hAnsi="Times New Roman" w:eastAsia="宋体" w:cs="Times New Roman"/>
          <w:color w:val="auto"/>
          <w:kern w:val="2"/>
          <w:sz w:val="21"/>
          <w:szCs w:val="21"/>
          <w:highlight w:val="none"/>
          <w:lang w:val="en-US" w:eastAsia="zh-CN" w:bidi="ar-SA"/>
        </w:rPr>
      </w:pPr>
      <w:r>
        <w:rPr>
          <w:rStyle w:val="56"/>
          <w:rFonts w:hint="eastAsia" w:ascii="Times New Roman" w:hAnsi="Times New Roman" w:eastAsia="宋体" w:cs="Times New Roman"/>
          <w:color w:val="auto"/>
          <w:kern w:val="2"/>
          <w:sz w:val="21"/>
          <w:szCs w:val="21"/>
          <w:highlight w:val="none"/>
          <w:lang w:val="en-US" w:eastAsia="zh-CN" w:bidi="ar-SA"/>
        </w:rPr>
        <w:t>4.工程质量保修期</w:t>
      </w:r>
      <w:r>
        <w:rPr>
          <w:rStyle w:val="56"/>
          <w:rFonts w:hint="default" w:ascii="Times New Roman" w:hAnsi="Times New Roman" w:eastAsia="宋体" w:cs="Times New Roman"/>
          <w:color w:val="auto"/>
          <w:kern w:val="2"/>
          <w:sz w:val="21"/>
          <w:szCs w:val="21"/>
          <w:highlight w:val="none"/>
          <w:lang w:val="en-US" w:eastAsia="zh-CN" w:bidi="ar-SA"/>
        </w:rPr>
        <w:t xml:space="preserve">自工程竣工验收合格之日起计算。  </w:t>
      </w:r>
    </w:p>
    <w:p w14:paraId="47FCA04C">
      <w:pPr>
        <w:pStyle w:val="59"/>
        <w:spacing w:line="360" w:lineRule="auto"/>
        <w:ind w:firstLine="420" w:firstLineChars="2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三、缺陷责任期</w:t>
      </w:r>
    </w:p>
    <w:p w14:paraId="77673230">
      <w:pPr>
        <w:pStyle w:val="59"/>
        <w:spacing w:line="360" w:lineRule="auto"/>
        <w:ind w:firstLine="420" w:firstLineChars="2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工程缺陷责任期为</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eastAsia="宋体" w:cs="Times New Roman"/>
          <w:bCs/>
          <w:color w:val="000000"/>
          <w:kern w:val="2"/>
          <w:sz w:val="21"/>
          <w:szCs w:val="21"/>
          <w:highlight w:val="none"/>
          <w:u w:val="single"/>
          <w:lang w:val="en-US" w:eastAsia="zh-CN"/>
        </w:rPr>
        <w:t>12</w:t>
      </w:r>
      <w:r>
        <w:rPr>
          <w:rStyle w:val="56"/>
          <w:rFonts w:hint="default" w:ascii="Times New Roman" w:hAnsi="Times New Roman" w:cs="Times New Roman"/>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个月，缺陷责任期自工程实际竣工之日起计算。单位工程先于全部工程进行验收，单位工程缺陷责任期自单位工程验收合格之日起算。</w:t>
      </w:r>
    </w:p>
    <w:p w14:paraId="198A45B8">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四、质量保修责任</w:t>
      </w:r>
    </w:p>
    <w:p w14:paraId="15E1E623">
      <w:pPr>
        <w:pStyle w:val="57"/>
        <w:spacing w:line="360" w:lineRule="auto"/>
        <w:ind w:left="105" w:firstLine="615"/>
        <w:rPr>
          <w:rStyle w:val="56"/>
          <w:rFonts w:hint="default" w:ascii="Times New Roman" w:hAnsi="Times New Roman" w:cs="Times New Roman"/>
          <w:color w:val="auto"/>
          <w:kern w:val="2"/>
          <w:sz w:val="21"/>
          <w:szCs w:val="21"/>
          <w:highlight w:val="none"/>
        </w:rPr>
      </w:pPr>
      <w:r>
        <w:rPr>
          <w:rStyle w:val="56"/>
          <w:rFonts w:hint="default" w:ascii="Times New Roman" w:hAnsi="Times New Roman" w:cs="Times New Roman"/>
          <w:color w:val="000000"/>
          <w:kern w:val="2"/>
          <w:sz w:val="21"/>
          <w:szCs w:val="21"/>
          <w:highlight w:val="none"/>
        </w:rPr>
        <w:t>1</w:t>
      </w:r>
      <w:r>
        <w:rPr>
          <w:rStyle w:val="56"/>
          <w:rFonts w:hint="default" w:ascii="Times New Roman" w:hAnsi="Times New Roman" w:cs="Times New Roman"/>
          <w:kern w:val="2"/>
          <w:sz w:val="21"/>
          <w:szCs w:val="21"/>
          <w:highlight w:val="none"/>
        </w:rPr>
        <w:t>．</w:t>
      </w:r>
      <w:r>
        <w:rPr>
          <w:rStyle w:val="56"/>
          <w:rFonts w:hint="default" w:ascii="Times New Roman" w:hAnsi="Times New Roman" w:cs="Times New Roman"/>
          <w:color w:val="000000"/>
          <w:kern w:val="2"/>
          <w:sz w:val="21"/>
          <w:szCs w:val="21"/>
          <w:highlight w:val="none"/>
        </w:rPr>
        <w:t>属于保修范围、内容的项目，承包人应当在接到保修通知之日起7天内派人保修。承包人不在约定期限内派人保修的，发包人可以</w:t>
      </w:r>
      <w:r>
        <w:rPr>
          <w:rStyle w:val="56"/>
          <w:rFonts w:hint="default" w:ascii="Times New Roman" w:hAnsi="Times New Roman" w:cs="Times New Roman"/>
          <w:color w:val="auto"/>
          <w:kern w:val="2"/>
          <w:sz w:val="21"/>
          <w:szCs w:val="21"/>
          <w:highlight w:val="none"/>
        </w:rPr>
        <w:t>委托他人修理</w:t>
      </w:r>
      <w:r>
        <w:rPr>
          <w:rStyle w:val="56"/>
          <w:rFonts w:hint="eastAsia" w:ascii="Times New Roman" w:hAnsi="Times New Roman" w:cs="Times New Roman"/>
          <w:color w:val="auto"/>
          <w:kern w:val="2"/>
          <w:sz w:val="21"/>
          <w:szCs w:val="21"/>
          <w:highlight w:val="none"/>
          <w:lang w:eastAsia="zh-CN"/>
        </w:rPr>
        <w:t>，</w:t>
      </w:r>
      <w:r>
        <w:rPr>
          <w:rStyle w:val="56"/>
          <w:rFonts w:hint="eastAsia" w:ascii="Times New Roman" w:hAnsi="Times New Roman" w:cs="Times New Roman"/>
          <w:color w:val="auto"/>
          <w:kern w:val="2"/>
          <w:sz w:val="21"/>
          <w:szCs w:val="21"/>
          <w:highlight w:val="none"/>
          <w:lang w:val="en-US" w:eastAsia="zh-CN"/>
        </w:rPr>
        <w:t>费用由承包人承担</w:t>
      </w:r>
      <w:r>
        <w:rPr>
          <w:rStyle w:val="56"/>
          <w:rFonts w:hint="default" w:ascii="Times New Roman" w:hAnsi="Times New Roman" w:cs="Times New Roman"/>
          <w:color w:val="auto"/>
          <w:kern w:val="2"/>
          <w:sz w:val="21"/>
          <w:szCs w:val="21"/>
          <w:highlight w:val="none"/>
        </w:rPr>
        <w:t>。承包人不在约定期限内派人保修的，每迟延1日，承担违约金1000</w:t>
      </w:r>
      <w:r>
        <w:rPr>
          <w:rStyle w:val="56"/>
          <w:rFonts w:hint="eastAsia" w:ascii="Times New Roman" w:hAnsi="Times New Roman" w:cs="Times New Roman"/>
          <w:color w:val="auto"/>
          <w:kern w:val="2"/>
          <w:sz w:val="21"/>
          <w:szCs w:val="21"/>
          <w:highlight w:val="none"/>
          <w:lang w:val="en-US" w:eastAsia="zh-CN"/>
        </w:rPr>
        <w:t>0</w:t>
      </w:r>
      <w:r>
        <w:rPr>
          <w:rStyle w:val="56"/>
          <w:rFonts w:hint="default" w:ascii="Times New Roman" w:hAnsi="Times New Roman" w:cs="Times New Roman"/>
          <w:color w:val="auto"/>
          <w:kern w:val="2"/>
          <w:sz w:val="21"/>
          <w:szCs w:val="21"/>
          <w:highlight w:val="none"/>
        </w:rPr>
        <w:t>元。以上费用，发包人有权在质保金中直接扣除。</w:t>
      </w:r>
    </w:p>
    <w:p w14:paraId="7832F9DC">
      <w:pPr>
        <w:pStyle w:val="57"/>
        <w:spacing w:line="360" w:lineRule="auto"/>
        <w:ind w:left="105" w:firstLine="615"/>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2</w:t>
      </w:r>
      <w:r>
        <w:rPr>
          <w:rStyle w:val="56"/>
          <w:rFonts w:hint="default" w:ascii="Times New Roman" w:hAnsi="Times New Roman" w:cs="Times New Roman"/>
          <w:kern w:val="2"/>
          <w:sz w:val="21"/>
          <w:szCs w:val="21"/>
          <w:highlight w:val="none"/>
        </w:rPr>
        <w:t>．</w:t>
      </w:r>
      <w:r>
        <w:rPr>
          <w:rStyle w:val="56"/>
          <w:rFonts w:hint="default" w:ascii="Times New Roman" w:hAnsi="Times New Roman" w:cs="Times New Roman"/>
          <w:color w:val="000000"/>
          <w:kern w:val="2"/>
          <w:sz w:val="21"/>
          <w:szCs w:val="21"/>
          <w:highlight w:val="none"/>
        </w:rPr>
        <w:t>发生紧急事故需抢修的，承包人在接到事故通知后，应当2小时内必须到达事故现场抢修，否则，发包人有权委托第三人维修，所需费用除由承包人承担外，承包人还应当按照质保金总额</w:t>
      </w:r>
      <w:r>
        <w:rPr>
          <w:rStyle w:val="56"/>
          <w:rFonts w:hint="default" w:ascii="Times New Roman" w:hAnsi="Times New Roman" w:cs="Times New Roman"/>
          <w:color w:val="000000"/>
          <w:kern w:val="2"/>
          <w:sz w:val="21"/>
          <w:szCs w:val="21"/>
          <w:highlight w:val="none"/>
          <w:lang w:eastAsia="zh-CN"/>
        </w:rPr>
        <w:t>30%</w:t>
      </w:r>
      <w:r>
        <w:rPr>
          <w:rStyle w:val="56"/>
          <w:rFonts w:hint="default" w:ascii="Times New Roman" w:hAnsi="Times New Roman" w:cs="Times New Roman"/>
          <w:color w:val="000000"/>
          <w:kern w:val="2"/>
          <w:sz w:val="21"/>
          <w:szCs w:val="21"/>
          <w:highlight w:val="none"/>
        </w:rPr>
        <w:t>承担违约责任。以上费用，发包人有权在质保金中直接扣除。</w:t>
      </w:r>
    </w:p>
    <w:p w14:paraId="7A5653C4">
      <w:pPr>
        <w:pStyle w:val="59"/>
        <w:spacing w:line="360" w:lineRule="auto"/>
        <w:rPr>
          <w:rStyle w:val="56"/>
          <w:rFonts w:hint="default" w:ascii="Times New Roman" w:hAnsi="Times New Roman" w:eastAsia="宋体" w:cs="Times New Roman"/>
          <w:color w:val="000000"/>
          <w:kern w:val="2"/>
          <w:sz w:val="21"/>
          <w:szCs w:val="21"/>
          <w:highlight w:val="none"/>
          <w:u w:val="single"/>
          <w:lang w:val="en-US" w:eastAsia="zh-CN"/>
        </w:rPr>
      </w:pPr>
      <w:r>
        <w:rPr>
          <w:rStyle w:val="56"/>
          <w:rFonts w:hint="eastAsia" w:ascii="Times New Roman" w:hAnsi="Times New Roman" w:cs="Times New Roman"/>
          <w:color w:val="000000"/>
          <w:kern w:val="2"/>
          <w:sz w:val="21"/>
          <w:szCs w:val="21"/>
          <w:highlight w:val="none"/>
          <w:u w:val="single"/>
          <w:lang w:val="en-US" w:eastAsia="zh-CN"/>
        </w:rPr>
        <w:t xml:space="preserve">                                                        </w:t>
      </w:r>
    </w:p>
    <w:p w14:paraId="36752E78">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五、保修费用</w:t>
      </w:r>
    </w:p>
    <w:p w14:paraId="7B7D783D">
      <w:pPr>
        <w:spacing w:line="360" w:lineRule="auto"/>
        <w:ind w:right="-13" w:rightChars="-6" w:firstLine="420" w:firstLineChars="200"/>
        <w:rPr>
          <w:rStyle w:val="56"/>
          <w:rFonts w:hint="default" w:ascii="Times New Roman" w:hAnsi="Times New Roman" w:cs="Times New Roman"/>
          <w:szCs w:val="21"/>
          <w:highlight w:val="none"/>
        </w:rPr>
      </w:pPr>
      <w:r>
        <w:rPr>
          <w:rStyle w:val="56"/>
          <w:rFonts w:hint="default" w:ascii="Times New Roman" w:hAnsi="Times New Roman" w:cs="Times New Roman"/>
          <w:color w:val="000000"/>
          <w:highlight w:val="none"/>
        </w:rPr>
        <w:t xml:space="preserve"> </w:t>
      </w:r>
      <w:r>
        <w:rPr>
          <w:rStyle w:val="56"/>
          <w:rFonts w:hint="default" w:ascii="Times New Roman" w:hAnsi="Times New Roman" w:cs="Times New Roman"/>
          <w:highlight w:val="none"/>
        </w:rPr>
        <w:t xml:space="preserve"> 工程质量缺陷保修费用及相关的损害赔偿责任由造成质量缺陷的责任方承担。</w:t>
      </w:r>
    </w:p>
    <w:p w14:paraId="7DB98C1B">
      <w:pPr>
        <w:pStyle w:val="59"/>
        <w:spacing w:line="360" w:lineRule="auto"/>
        <w:ind w:firstLine="422" w:firstLineChars="200"/>
        <w:rPr>
          <w:rStyle w:val="56"/>
          <w:rFonts w:hint="default" w:ascii="Times New Roman" w:hAnsi="Times New Roman" w:cs="Times New Roman"/>
          <w:kern w:val="2"/>
          <w:sz w:val="21"/>
          <w:szCs w:val="21"/>
          <w:highlight w:val="none"/>
        </w:rPr>
      </w:pPr>
      <w:r>
        <w:rPr>
          <w:rStyle w:val="56"/>
          <w:rFonts w:hint="default" w:ascii="Times New Roman" w:hAnsi="Times New Roman" w:cs="Times New Roman"/>
          <w:b/>
          <w:kern w:val="2"/>
          <w:sz w:val="21"/>
          <w:szCs w:val="21"/>
          <w:highlight w:val="none"/>
        </w:rPr>
        <w:t>六</w:t>
      </w:r>
      <w:r>
        <w:rPr>
          <w:rStyle w:val="56"/>
          <w:rFonts w:hint="default" w:ascii="Times New Roman" w:hAnsi="Times New Roman" w:cs="Times New Roman"/>
          <w:kern w:val="2"/>
          <w:sz w:val="21"/>
          <w:szCs w:val="21"/>
          <w:highlight w:val="none"/>
        </w:rPr>
        <w:t>、双方约定的其他工程质量保修事项：</w:t>
      </w:r>
      <w:r>
        <w:rPr>
          <w:rStyle w:val="56"/>
          <w:rFonts w:hint="default" w:ascii="Times New Roman" w:hAnsi="Times New Roman" w:cs="Times New Roman"/>
          <w:kern w:val="2"/>
          <w:sz w:val="21"/>
          <w:szCs w:val="21"/>
          <w:highlight w:val="none"/>
          <w:u w:val="single"/>
        </w:rPr>
        <w:t xml:space="preserve">  </w:t>
      </w:r>
      <w:r>
        <w:rPr>
          <w:rStyle w:val="56"/>
          <w:rFonts w:hint="default" w:ascii="Times New Roman" w:hAnsi="Times New Roman" w:cs="Times New Roman"/>
          <w:color w:val="auto"/>
          <w:kern w:val="2"/>
          <w:sz w:val="21"/>
          <w:szCs w:val="21"/>
          <w:highlight w:val="none"/>
          <w:u w:val="single"/>
        </w:rPr>
        <w:t xml:space="preserve">   质量保修金在</w:t>
      </w:r>
      <w:r>
        <w:rPr>
          <w:rStyle w:val="56"/>
          <w:rFonts w:hint="eastAsia" w:ascii="Times New Roman" w:hAnsi="Times New Roman" w:cs="Times New Roman"/>
          <w:color w:val="auto"/>
          <w:kern w:val="2"/>
          <w:sz w:val="21"/>
          <w:szCs w:val="21"/>
          <w:highlight w:val="none"/>
          <w:u w:val="single"/>
          <w:lang w:val="en-US" w:eastAsia="zh-CN"/>
        </w:rPr>
        <w:t>质保期满</w:t>
      </w:r>
      <w:r>
        <w:rPr>
          <w:rStyle w:val="56"/>
          <w:rFonts w:hint="default" w:ascii="Times New Roman" w:hAnsi="Times New Roman" w:cs="Times New Roman"/>
          <w:color w:val="auto"/>
          <w:kern w:val="2"/>
          <w:sz w:val="21"/>
          <w:szCs w:val="21"/>
          <w:highlight w:val="none"/>
          <w:u w:val="single"/>
        </w:rPr>
        <w:t>后14天</w:t>
      </w:r>
      <w:r>
        <w:rPr>
          <w:rStyle w:val="56"/>
          <w:rFonts w:hint="default" w:ascii="Times New Roman" w:hAnsi="Times New Roman" w:cs="Times New Roman"/>
          <w:kern w:val="2"/>
          <w:sz w:val="21"/>
          <w:szCs w:val="21"/>
          <w:highlight w:val="none"/>
          <w:u w:val="single"/>
        </w:rPr>
        <w:t>内无息返还，保修责任按照国家相关规定执行</w:t>
      </w:r>
      <w:r>
        <w:rPr>
          <w:rStyle w:val="56"/>
          <w:rFonts w:hint="default" w:ascii="Times New Roman" w:hAnsi="Times New Roman" w:cs="Times New Roman"/>
          <w:kern w:val="2"/>
          <w:sz w:val="21"/>
          <w:szCs w:val="21"/>
          <w:highlight w:val="none"/>
        </w:rPr>
        <w:t>。</w:t>
      </w:r>
    </w:p>
    <w:p w14:paraId="500A8390">
      <w:pPr>
        <w:pStyle w:val="59"/>
        <w:spacing w:line="360" w:lineRule="auto"/>
        <w:ind w:firstLine="420" w:firstLineChars="20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kern w:val="2"/>
          <w:sz w:val="21"/>
          <w:szCs w:val="21"/>
          <w:highlight w:val="none"/>
        </w:rPr>
        <w:t>七、工程质量保修书由发包人、承包人在工程竣工验收前共同签署，作为</w:t>
      </w:r>
      <w:r>
        <w:rPr>
          <w:rStyle w:val="56"/>
          <w:rFonts w:hint="default" w:ascii="Times New Roman" w:hAnsi="Times New Roman" w:cs="Times New Roman"/>
          <w:color w:val="000000"/>
          <w:kern w:val="2"/>
          <w:sz w:val="21"/>
          <w:szCs w:val="21"/>
          <w:highlight w:val="none"/>
        </w:rPr>
        <w:t>施工合同附件，其有效期限至保修期满。</w:t>
      </w:r>
    </w:p>
    <w:p w14:paraId="5E9A8364">
      <w:pPr>
        <w:pStyle w:val="59"/>
        <w:spacing w:line="360" w:lineRule="auto"/>
        <w:ind w:firstLine="420"/>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 xml:space="preserve"> </w:t>
      </w:r>
    </w:p>
    <w:p w14:paraId="42B87B31">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发包人(公章)：</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承包人(公章)：</w:t>
      </w:r>
      <w:r>
        <w:rPr>
          <w:rStyle w:val="56"/>
          <w:rFonts w:hint="default" w:ascii="Times New Roman" w:hAnsi="Times New Roman" w:cs="Times New Roman"/>
          <w:color w:val="000000"/>
          <w:kern w:val="2"/>
          <w:sz w:val="21"/>
          <w:szCs w:val="21"/>
          <w:highlight w:val="none"/>
          <w:u w:val="single"/>
        </w:rPr>
        <w:t xml:space="preserve">               </w:t>
      </w:r>
    </w:p>
    <w:p w14:paraId="5980A251">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地  址：</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地  址：</w:t>
      </w:r>
      <w:r>
        <w:rPr>
          <w:rStyle w:val="56"/>
          <w:rFonts w:hint="default" w:ascii="Times New Roman" w:hAnsi="Times New Roman" w:cs="Times New Roman"/>
          <w:color w:val="000000"/>
          <w:kern w:val="2"/>
          <w:sz w:val="21"/>
          <w:szCs w:val="21"/>
          <w:highlight w:val="none"/>
          <w:u w:val="single"/>
        </w:rPr>
        <w:t xml:space="preserve">                     </w:t>
      </w:r>
    </w:p>
    <w:p w14:paraId="1A07E382">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法定代表人(签字)：</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法定代表人(签字)：</w:t>
      </w:r>
      <w:r>
        <w:rPr>
          <w:rStyle w:val="56"/>
          <w:rFonts w:hint="default" w:ascii="Times New Roman" w:hAnsi="Times New Roman" w:cs="Times New Roman"/>
          <w:color w:val="000000"/>
          <w:kern w:val="2"/>
          <w:sz w:val="21"/>
          <w:szCs w:val="21"/>
          <w:highlight w:val="none"/>
          <w:u w:val="single"/>
        </w:rPr>
        <w:t xml:space="preserve">           </w:t>
      </w:r>
    </w:p>
    <w:p w14:paraId="384F76BE">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委托代理人(签字)：</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委托代理人(签字)：</w:t>
      </w:r>
      <w:r>
        <w:rPr>
          <w:rStyle w:val="56"/>
          <w:rFonts w:hint="default" w:ascii="Times New Roman" w:hAnsi="Times New Roman" w:cs="Times New Roman"/>
          <w:color w:val="000000"/>
          <w:kern w:val="2"/>
          <w:sz w:val="21"/>
          <w:szCs w:val="21"/>
          <w:highlight w:val="none"/>
          <w:u w:val="single"/>
        </w:rPr>
        <w:t xml:space="preserve">           </w:t>
      </w:r>
    </w:p>
    <w:p w14:paraId="4433415F">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电  话：</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电  话：</w:t>
      </w:r>
      <w:r>
        <w:rPr>
          <w:rStyle w:val="56"/>
          <w:rFonts w:hint="default" w:ascii="Times New Roman" w:hAnsi="Times New Roman" w:cs="Times New Roman"/>
          <w:color w:val="000000"/>
          <w:kern w:val="2"/>
          <w:sz w:val="21"/>
          <w:szCs w:val="21"/>
          <w:highlight w:val="none"/>
          <w:u w:val="single"/>
        </w:rPr>
        <w:t xml:space="preserve">                     </w:t>
      </w:r>
    </w:p>
    <w:p w14:paraId="5D35BFF4">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传  真：</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传  真：</w:t>
      </w:r>
      <w:r>
        <w:rPr>
          <w:rStyle w:val="56"/>
          <w:rFonts w:hint="default" w:ascii="Times New Roman" w:hAnsi="Times New Roman" w:cs="Times New Roman"/>
          <w:color w:val="000000"/>
          <w:kern w:val="2"/>
          <w:sz w:val="21"/>
          <w:szCs w:val="21"/>
          <w:highlight w:val="none"/>
          <w:u w:val="single"/>
        </w:rPr>
        <w:t xml:space="preserve">                     </w:t>
      </w:r>
    </w:p>
    <w:p w14:paraId="5F183621">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开户银行：</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开户银行：</w:t>
      </w:r>
      <w:r>
        <w:rPr>
          <w:rStyle w:val="56"/>
          <w:rFonts w:hint="default" w:ascii="Times New Roman" w:hAnsi="Times New Roman" w:cs="Times New Roman"/>
          <w:color w:val="000000"/>
          <w:kern w:val="2"/>
          <w:sz w:val="21"/>
          <w:szCs w:val="21"/>
          <w:highlight w:val="none"/>
          <w:u w:val="single"/>
        </w:rPr>
        <w:t xml:space="preserve">                   </w:t>
      </w:r>
    </w:p>
    <w:p w14:paraId="4311ED09">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账  号：</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账  号：</w:t>
      </w:r>
      <w:r>
        <w:rPr>
          <w:rStyle w:val="56"/>
          <w:rFonts w:hint="default" w:ascii="Times New Roman" w:hAnsi="Times New Roman" w:cs="Times New Roman"/>
          <w:color w:val="000000"/>
          <w:kern w:val="2"/>
          <w:sz w:val="21"/>
          <w:szCs w:val="21"/>
          <w:highlight w:val="none"/>
          <w:u w:val="single"/>
        </w:rPr>
        <w:t xml:space="preserve">                     </w:t>
      </w:r>
    </w:p>
    <w:p w14:paraId="5BD5A9F8">
      <w:pPr>
        <w:pStyle w:val="59"/>
        <w:spacing w:line="360" w:lineRule="auto"/>
        <w:rPr>
          <w:rStyle w:val="56"/>
          <w:rFonts w:hint="default" w:ascii="Times New Roman" w:hAnsi="Times New Roman" w:cs="Times New Roman"/>
          <w:color w:val="000000"/>
          <w:kern w:val="2"/>
          <w:sz w:val="21"/>
          <w:szCs w:val="21"/>
          <w:highlight w:val="none"/>
        </w:rPr>
      </w:pPr>
      <w:r>
        <w:rPr>
          <w:rStyle w:val="56"/>
          <w:rFonts w:hint="default" w:ascii="Times New Roman" w:hAnsi="Times New Roman" w:cs="Times New Roman"/>
          <w:color w:val="000000"/>
          <w:kern w:val="2"/>
          <w:sz w:val="21"/>
          <w:szCs w:val="21"/>
          <w:highlight w:val="none"/>
        </w:rPr>
        <w:t>邮政编码：</w:t>
      </w:r>
      <w:r>
        <w:rPr>
          <w:rStyle w:val="56"/>
          <w:rFonts w:hint="default" w:ascii="Times New Roman" w:hAnsi="Times New Roman" w:cs="Times New Roman"/>
          <w:color w:val="000000"/>
          <w:kern w:val="2"/>
          <w:sz w:val="21"/>
          <w:szCs w:val="21"/>
          <w:highlight w:val="none"/>
          <w:u w:val="single"/>
        </w:rPr>
        <w:t xml:space="preserve">                 </w:t>
      </w:r>
      <w:r>
        <w:rPr>
          <w:rStyle w:val="56"/>
          <w:rFonts w:hint="default" w:ascii="Times New Roman" w:hAnsi="Times New Roman" w:cs="Times New Roman"/>
          <w:color w:val="000000"/>
          <w:kern w:val="2"/>
          <w:sz w:val="21"/>
          <w:szCs w:val="21"/>
          <w:highlight w:val="none"/>
        </w:rPr>
        <w:t xml:space="preserve"> 邮政编码：</w:t>
      </w:r>
      <w:r>
        <w:rPr>
          <w:rStyle w:val="56"/>
          <w:rFonts w:hint="default" w:ascii="Times New Roman" w:hAnsi="Times New Roman" w:cs="Times New Roman"/>
          <w:color w:val="000000"/>
          <w:kern w:val="2"/>
          <w:sz w:val="21"/>
          <w:szCs w:val="21"/>
          <w:highlight w:val="none"/>
          <w:u w:val="single"/>
        </w:rPr>
        <w:t xml:space="preserve">                   </w:t>
      </w:r>
    </w:p>
    <w:p w14:paraId="34221E28">
      <w:pPr>
        <w:spacing w:line="600" w:lineRule="exact"/>
        <w:rPr>
          <w:rFonts w:hint="default" w:ascii="Times New Roman" w:hAnsi="Times New Roman" w:cs="Times New Roman"/>
          <w:b/>
          <w:color w:val="000000"/>
          <w:kern w:val="2"/>
          <w:sz w:val="21"/>
          <w:szCs w:val="21"/>
          <w:highlight w:val="none"/>
        </w:rPr>
      </w:pPr>
    </w:p>
    <w:p w14:paraId="3197E978">
      <w:pPr>
        <w:spacing w:line="600" w:lineRule="exact"/>
        <w:rPr>
          <w:rFonts w:hint="default" w:ascii="Times New Roman" w:hAnsi="Times New Roman" w:cs="Times New Roman"/>
          <w:b/>
          <w:color w:val="000000"/>
          <w:kern w:val="2"/>
          <w:sz w:val="21"/>
          <w:szCs w:val="21"/>
          <w:highlight w:val="none"/>
        </w:rPr>
      </w:pPr>
    </w:p>
    <w:p w14:paraId="397E8308">
      <w:pPr>
        <w:spacing w:line="600" w:lineRule="exact"/>
        <w:rPr>
          <w:rFonts w:hint="default" w:ascii="Times New Roman" w:hAnsi="Times New Roman" w:cs="Times New Roman"/>
          <w:b/>
          <w:color w:val="000000"/>
          <w:kern w:val="2"/>
          <w:sz w:val="21"/>
          <w:szCs w:val="21"/>
          <w:highlight w:val="none"/>
        </w:rPr>
      </w:pPr>
    </w:p>
    <w:p w14:paraId="2DF04C0E">
      <w:pPr>
        <w:spacing w:line="600" w:lineRule="exact"/>
        <w:rPr>
          <w:rFonts w:hint="default" w:ascii="Times New Roman" w:hAnsi="Times New Roman" w:cs="Times New Roman"/>
          <w:b/>
          <w:color w:val="000000"/>
          <w:kern w:val="2"/>
          <w:sz w:val="21"/>
          <w:szCs w:val="21"/>
          <w:highlight w:val="none"/>
        </w:rPr>
      </w:pPr>
    </w:p>
    <w:p w14:paraId="7A2B4E32">
      <w:pPr>
        <w:spacing w:line="600" w:lineRule="exact"/>
        <w:rPr>
          <w:rFonts w:hint="default" w:ascii="Times New Roman" w:hAnsi="Times New Roman" w:cs="Times New Roman"/>
          <w:b/>
          <w:color w:val="000000"/>
          <w:kern w:val="2"/>
          <w:sz w:val="21"/>
          <w:szCs w:val="21"/>
          <w:highlight w:val="none"/>
        </w:rPr>
      </w:pPr>
    </w:p>
    <w:p w14:paraId="653BE966">
      <w:pPr>
        <w:spacing w:line="600" w:lineRule="exact"/>
        <w:rPr>
          <w:rFonts w:hint="default" w:ascii="Times New Roman" w:hAnsi="Times New Roman" w:cs="Times New Roman"/>
          <w:b/>
          <w:color w:val="000000"/>
          <w:kern w:val="2"/>
          <w:sz w:val="21"/>
          <w:szCs w:val="21"/>
          <w:highlight w:val="none"/>
        </w:rPr>
      </w:pPr>
    </w:p>
    <w:p w14:paraId="5D899C00">
      <w:pPr>
        <w:spacing w:line="600" w:lineRule="exact"/>
        <w:rPr>
          <w:rFonts w:hint="default" w:ascii="Times New Roman" w:hAnsi="Times New Roman" w:cs="Times New Roman"/>
          <w:b/>
          <w:color w:val="000000"/>
          <w:kern w:val="2"/>
          <w:sz w:val="21"/>
          <w:szCs w:val="21"/>
          <w:highlight w:val="none"/>
        </w:rPr>
      </w:pPr>
    </w:p>
    <w:p w14:paraId="10E33025">
      <w:pPr>
        <w:spacing w:line="600" w:lineRule="exact"/>
        <w:rPr>
          <w:rFonts w:hint="default" w:ascii="Times New Roman" w:hAnsi="Times New Roman" w:cs="Times New Roman"/>
          <w:b/>
          <w:color w:val="000000"/>
          <w:kern w:val="2"/>
          <w:sz w:val="21"/>
          <w:szCs w:val="21"/>
          <w:highlight w:val="none"/>
        </w:rPr>
      </w:pPr>
    </w:p>
    <w:p w14:paraId="5CED7857">
      <w:pPr>
        <w:spacing w:line="600" w:lineRule="exact"/>
        <w:rPr>
          <w:rFonts w:hint="default" w:ascii="Times New Roman" w:hAnsi="Times New Roman" w:cs="Times New Roman"/>
          <w:b/>
          <w:color w:val="000000"/>
          <w:kern w:val="2"/>
          <w:sz w:val="21"/>
          <w:szCs w:val="21"/>
          <w:highlight w:val="none"/>
        </w:rPr>
      </w:pPr>
    </w:p>
    <w:p w14:paraId="09CEC8D4">
      <w:pPr>
        <w:spacing w:line="600" w:lineRule="exact"/>
        <w:rPr>
          <w:rFonts w:hint="default" w:ascii="Times New Roman" w:hAnsi="Times New Roman" w:cs="Times New Roman"/>
          <w:b/>
          <w:color w:val="000000"/>
          <w:kern w:val="2"/>
          <w:sz w:val="21"/>
          <w:szCs w:val="21"/>
          <w:highlight w:val="none"/>
        </w:rPr>
      </w:pPr>
    </w:p>
    <w:p w14:paraId="78460EC8">
      <w:pPr>
        <w:spacing w:line="600" w:lineRule="exact"/>
        <w:rPr>
          <w:rFonts w:hint="default" w:ascii="Times New Roman" w:hAnsi="Times New Roman" w:cs="Times New Roman"/>
          <w:b/>
          <w:color w:val="000000"/>
          <w:kern w:val="2"/>
          <w:sz w:val="21"/>
          <w:szCs w:val="21"/>
          <w:highlight w:val="none"/>
        </w:rPr>
      </w:pPr>
    </w:p>
    <w:p w14:paraId="24916961">
      <w:pPr>
        <w:spacing w:line="600" w:lineRule="exact"/>
        <w:rPr>
          <w:rFonts w:hint="default" w:ascii="Times New Roman" w:hAnsi="Times New Roman" w:cs="Times New Roman"/>
          <w:b/>
          <w:color w:val="000000"/>
          <w:kern w:val="2"/>
          <w:sz w:val="21"/>
          <w:szCs w:val="21"/>
          <w:highlight w:val="none"/>
        </w:rPr>
      </w:pPr>
    </w:p>
    <w:p w14:paraId="3E377E56">
      <w:pPr>
        <w:spacing w:line="600" w:lineRule="exact"/>
        <w:rPr>
          <w:rFonts w:hint="default" w:ascii="Times New Roman" w:hAnsi="Times New Roman" w:cs="Times New Roman"/>
          <w:b/>
          <w:color w:val="000000"/>
          <w:kern w:val="2"/>
          <w:sz w:val="21"/>
          <w:szCs w:val="21"/>
          <w:highlight w:val="none"/>
        </w:rPr>
      </w:pPr>
    </w:p>
    <w:p w14:paraId="1F3BB26D">
      <w:pPr>
        <w:spacing w:line="600" w:lineRule="exact"/>
        <w:rPr>
          <w:rFonts w:hint="default" w:ascii="Times New Roman" w:hAnsi="Times New Roman" w:cs="Times New Roman"/>
          <w:b/>
          <w:color w:val="000000"/>
          <w:kern w:val="2"/>
          <w:sz w:val="21"/>
          <w:szCs w:val="21"/>
          <w:highlight w:val="none"/>
        </w:rPr>
      </w:pPr>
      <w:r>
        <w:rPr>
          <w:rFonts w:hint="eastAsia" w:ascii="Times New Roman" w:hAnsi="Times New Roman" w:eastAsia="黑体" w:cs="宋体"/>
          <w:b w:val="0"/>
          <w:bCs w:val="0"/>
          <w:kern w:val="2"/>
          <w:sz w:val="24"/>
          <w:szCs w:val="20"/>
          <w:highlight w:val="none"/>
          <w:lang w:val="en-US" w:eastAsia="zh-CN" w:bidi="ar-SA"/>
        </w:rPr>
        <w:t>附件四：绩效目标</w:t>
      </w:r>
    </w:p>
    <w:p w14:paraId="1E67DFF5">
      <w:pPr>
        <w:spacing w:before="181" w:line="217" w:lineRule="auto"/>
        <w:ind w:left="571"/>
        <w:rPr>
          <w:rFonts w:ascii="黑体" w:hAnsi="黑体" w:eastAsia="黑体" w:cs="黑体"/>
          <w:sz w:val="24"/>
          <w:szCs w:val="24"/>
          <w:highlight w:val="none"/>
        </w:rPr>
      </w:pPr>
      <w:r>
        <w:rPr>
          <w:rFonts w:ascii="黑体" w:hAnsi="黑体" w:eastAsia="黑体" w:cs="黑体"/>
          <w:b/>
          <w:bCs/>
          <w:spacing w:val="-2"/>
          <w:sz w:val="24"/>
          <w:szCs w:val="24"/>
          <w:highlight w:val="none"/>
        </w:rPr>
        <w:t>辽宁省营口市海洋生态保护修复工程项目初设绩效目</w:t>
      </w:r>
      <w:r>
        <w:rPr>
          <w:rFonts w:ascii="黑体" w:hAnsi="黑体" w:eastAsia="黑体" w:cs="黑体"/>
          <w:b/>
          <w:bCs/>
          <w:spacing w:val="-3"/>
          <w:sz w:val="24"/>
          <w:szCs w:val="24"/>
          <w:highlight w:val="none"/>
        </w:rPr>
        <w:t>标总表（2025-2026</w:t>
      </w:r>
      <w:r>
        <w:rPr>
          <w:rFonts w:ascii="黑体" w:hAnsi="黑体" w:eastAsia="黑体" w:cs="黑体"/>
          <w:spacing w:val="-45"/>
          <w:sz w:val="24"/>
          <w:szCs w:val="24"/>
          <w:highlight w:val="none"/>
        </w:rPr>
        <w:t xml:space="preserve"> </w:t>
      </w:r>
      <w:r>
        <w:rPr>
          <w:rFonts w:ascii="黑体" w:hAnsi="黑体" w:eastAsia="黑体" w:cs="黑体"/>
          <w:b/>
          <w:bCs/>
          <w:spacing w:val="-3"/>
          <w:sz w:val="24"/>
          <w:szCs w:val="24"/>
          <w:highlight w:val="none"/>
        </w:rPr>
        <w:t>年）</w:t>
      </w:r>
    </w:p>
    <w:tbl>
      <w:tblPr>
        <w:tblStyle w:val="66"/>
        <w:tblW w:w="9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143"/>
        <w:gridCol w:w="233"/>
        <w:gridCol w:w="1528"/>
        <w:gridCol w:w="2334"/>
        <w:gridCol w:w="1326"/>
        <w:gridCol w:w="1769"/>
      </w:tblGrid>
      <w:tr w14:paraId="41E7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2058" w:type="dxa"/>
            <w:gridSpan w:val="2"/>
            <w:noWrap w:val="0"/>
            <w:vAlign w:val="top"/>
          </w:tcPr>
          <w:p w14:paraId="52C898C5">
            <w:pPr>
              <w:pStyle w:val="65"/>
              <w:spacing w:before="83" w:line="220" w:lineRule="auto"/>
              <w:ind w:left="119"/>
              <w:rPr>
                <w:highlight w:val="none"/>
              </w:rPr>
            </w:pPr>
            <w:r>
              <w:rPr>
                <w:spacing w:val="-3"/>
                <w:highlight w:val="none"/>
              </w:rPr>
              <w:t>项目名称</w:t>
            </w:r>
          </w:p>
        </w:tc>
        <w:tc>
          <w:tcPr>
            <w:tcW w:w="7190" w:type="dxa"/>
            <w:gridSpan w:val="5"/>
            <w:noWrap w:val="0"/>
            <w:vAlign w:val="top"/>
          </w:tcPr>
          <w:p w14:paraId="214B0DA6">
            <w:pPr>
              <w:pStyle w:val="65"/>
              <w:spacing w:before="82" w:line="220" w:lineRule="auto"/>
              <w:ind w:left="1714"/>
              <w:rPr>
                <w:highlight w:val="none"/>
              </w:rPr>
            </w:pPr>
            <w:r>
              <w:rPr>
                <w:spacing w:val="-1"/>
                <w:highlight w:val="none"/>
              </w:rPr>
              <w:t>辽宁省营口市海洋生态保护修复工程项目</w:t>
            </w:r>
          </w:p>
        </w:tc>
      </w:tr>
      <w:tr w14:paraId="04FF4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058" w:type="dxa"/>
            <w:gridSpan w:val="2"/>
            <w:noWrap w:val="0"/>
            <w:vAlign w:val="top"/>
          </w:tcPr>
          <w:p w14:paraId="2B7C28B0">
            <w:pPr>
              <w:pStyle w:val="65"/>
              <w:spacing w:before="78" w:line="220" w:lineRule="auto"/>
              <w:ind w:left="115"/>
              <w:rPr>
                <w:highlight w:val="none"/>
              </w:rPr>
            </w:pPr>
            <w:r>
              <w:rPr>
                <w:spacing w:val="-2"/>
                <w:highlight w:val="none"/>
              </w:rPr>
              <w:t>所属专项</w:t>
            </w:r>
          </w:p>
        </w:tc>
        <w:tc>
          <w:tcPr>
            <w:tcW w:w="7190" w:type="dxa"/>
            <w:gridSpan w:val="5"/>
            <w:noWrap w:val="0"/>
            <w:vAlign w:val="top"/>
          </w:tcPr>
          <w:p w14:paraId="505BE627">
            <w:pPr>
              <w:pStyle w:val="65"/>
              <w:spacing w:before="77" w:line="220" w:lineRule="auto"/>
              <w:ind w:left="2548"/>
              <w:rPr>
                <w:highlight w:val="none"/>
              </w:rPr>
            </w:pPr>
            <w:r>
              <w:rPr>
                <w:spacing w:val="-1"/>
                <w:highlight w:val="none"/>
              </w:rPr>
              <w:t>海洋生态保护修复资金</w:t>
            </w:r>
          </w:p>
        </w:tc>
      </w:tr>
      <w:tr w14:paraId="04FD4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058" w:type="dxa"/>
            <w:gridSpan w:val="2"/>
            <w:noWrap w:val="0"/>
            <w:vAlign w:val="top"/>
          </w:tcPr>
          <w:p w14:paraId="68668DC3">
            <w:pPr>
              <w:pStyle w:val="65"/>
              <w:spacing w:before="77" w:line="220" w:lineRule="auto"/>
              <w:ind w:left="135"/>
              <w:rPr>
                <w:highlight w:val="none"/>
              </w:rPr>
            </w:pPr>
            <w:r>
              <w:rPr>
                <w:spacing w:val="-4"/>
                <w:highlight w:val="none"/>
              </w:rPr>
              <w:t>中央主管部门</w:t>
            </w:r>
          </w:p>
        </w:tc>
        <w:tc>
          <w:tcPr>
            <w:tcW w:w="1761" w:type="dxa"/>
            <w:gridSpan w:val="2"/>
            <w:noWrap w:val="0"/>
            <w:vAlign w:val="top"/>
          </w:tcPr>
          <w:p w14:paraId="584394C6">
            <w:pPr>
              <w:pStyle w:val="65"/>
              <w:spacing w:before="77" w:line="220" w:lineRule="auto"/>
              <w:ind w:left="394"/>
              <w:rPr>
                <w:highlight w:val="none"/>
              </w:rPr>
            </w:pPr>
            <w:r>
              <w:rPr>
                <w:spacing w:val="-7"/>
                <w:highlight w:val="none"/>
              </w:rPr>
              <w:t>自然资源部</w:t>
            </w:r>
          </w:p>
        </w:tc>
        <w:tc>
          <w:tcPr>
            <w:tcW w:w="2334" w:type="dxa"/>
            <w:noWrap w:val="0"/>
            <w:vAlign w:val="top"/>
          </w:tcPr>
          <w:p w14:paraId="62736E84">
            <w:pPr>
              <w:pStyle w:val="65"/>
              <w:spacing w:before="77" w:line="220" w:lineRule="auto"/>
              <w:ind w:left="545"/>
              <w:rPr>
                <w:highlight w:val="none"/>
              </w:rPr>
            </w:pPr>
            <w:r>
              <w:rPr>
                <w:spacing w:val="-2"/>
                <w:highlight w:val="none"/>
              </w:rPr>
              <w:t>省级财政部门</w:t>
            </w:r>
          </w:p>
        </w:tc>
        <w:tc>
          <w:tcPr>
            <w:tcW w:w="3095" w:type="dxa"/>
            <w:gridSpan w:val="2"/>
            <w:noWrap w:val="0"/>
            <w:vAlign w:val="top"/>
          </w:tcPr>
          <w:p w14:paraId="30F6D3A4">
            <w:pPr>
              <w:pStyle w:val="65"/>
              <w:spacing w:before="77" w:line="220" w:lineRule="auto"/>
              <w:ind w:left="928"/>
              <w:rPr>
                <w:highlight w:val="none"/>
              </w:rPr>
            </w:pPr>
            <w:r>
              <w:rPr>
                <w:spacing w:val="-2"/>
                <w:highlight w:val="none"/>
              </w:rPr>
              <w:t>辽宁省财政厅</w:t>
            </w:r>
          </w:p>
        </w:tc>
      </w:tr>
      <w:tr w14:paraId="11B51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58" w:type="dxa"/>
            <w:gridSpan w:val="2"/>
            <w:noWrap w:val="0"/>
            <w:vAlign w:val="top"/>
          </w:tcPr>
          <w:p w14:paraId="17D608B7">
            <w:pPr>
              <w:pStyle w:val="65"/>
              <w:spacing w:before="214" w:line="220" w:lineRule="auto"/>
              <w:ind w:left="119"/>
              <w:rPr>
                <w:highlight w:val="none"/>
              </w:rPr>
            </w:pPr>
            <w:r>
              <w:rPr>
                <w:spacing w:val="-2"/>
                <w:highlight w:val="none"/>
              </w:rPr>
              <w:t>省级主管部门</w:t>
            </w:r>
          </w:p>
        </w:tc>
        <w:tc>
          <w:tcPr>
            <w:tcW w:w="1761" w:type="dxa"/>
            <w:gridSpan w:val="2"/>
            <w:noWrap w:val="0"/>
            <w:vAlign w:val="top"/>
          </w:tcPr>
          <w:p w14:paraId="761BA657">
            <w:pPr>
              <w:pStyle w:val="65"/>
              <w:spacing w:before="79" w:line="231" w:lineRule="auto"/>
              <w:ind w:left="782" w:right="144" w:hanging="628"/>
              <w:rPr>
                <w:highlight w:val="none"/>
              </w:rPr>
            </w:pPr>
            <w:r>
              <w:rPr>
                <w:spacing w:val="-2"/>
                <w:highlight w:val="none"/>
              </w:rPr>
              <w:t>辽宁省自然资源</w:t>
            </w:r>
            <w:r>
              <w:rPr>
                <w:highlight w:val="none"/>
              </w:rPr>
              <w:t xml:space="preserve"> 厅</w:t>
            </w:r>
          </w:p>
        </w:tc>
        <w:tc>
          <w:tcPr>
            <w:tcW w:w="2334" w:type="dxa"/>
            <w:noWrap w:val="0"/>
            <w:vAlign w:val="top"/>
          </w:tcPr>
          <w:p w14:paraId="6C6F6AED">
            <w:pPr>
              <w:pStyle w:val="65"/>
              <w:spacing w:before="215" w:line="220" w:lineRule="auto"/>
              <w:ind w:left="546"/>
              <w:rPr>
                <w:highlight w:val="none"/>
              </w:rPr>
            </w:pPr>
            <w:r>
              <w:rPr>
                <w:spacing w:val="-2"/>
                <w:highlight w:val="none"/>
              </w:rPr>
              <w:t>具体实施单位</w:t>
            </w:r>
          </w:p>
        </w:tc>
        <w:tc>
          <w:tcPr>
            <w:tcW w:w="3095" w:type="dxa"/>
            <w:gridSpan w:val="2"/>
            <w:noWrap w:val="0"/>
            <w:vAlign w:val="top"/>
          </w:tcPr>
          <w:p w14:paraId="38D4EF08">
            <w:pPr>
              <w:pStyle w:val="65"/>
              <w:spacing w:before="214" w:line="219" w:lineRule="auto"/>
              <w:ind w:left="823"/>
              <w:rPr>
                <w:highlight w:val="none"/>
              </w:rPr>
            </w:pPr>
            <w:r>
              <w:rPr>
                <w:spacing w:val="-2"/>
                <w:highlight w:val="none"/>
              </w:rPr>
              <w:t>营口市人民政府</w:t>
            </w:r>
          </w:p>
        </w:tc>
      </w:tr>
      <w:tr w14:paraId="78872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058" w:type="dxa"/>
            <w:gridSpan w:val="2"/>
            <w:vMerge w:val="restart"/>
            <w:tcBorders>
              <w:bottom w:val="nil"/>
            </w:tcBorders>
            <w:noWrap w:val="0"/>
            <w:vAlign w:val="top"/>
          </w:tcPr>
          <w:p w14:paraId="727C60FD">
            <w:pPr>
              <w:spacing w:line="362" w:lineRule="auto"/>
              <w:rPr>
                <w:rFonts w:ascii="Arial"/>
                <w:sz w:val="21"/>
                <w:highlight w:val="none"/>
              </w:rPr>
            </w:pPr>
          </w:p>
          <w:p w14:paraId="0B55A724">
            <w:pPr>
              <w:pStyle w:val="65"/>
              <w:spacing w:before="69" w:line="269" w:lineRule="auto"/>
              <w:ind w:left="620" w:right="606" w:firstLine="3"/>
              <w:rPr>
                <w:highlight w:val="none"/>
              </w:rPr>
            </w:pPr>
            <w:r>
              <w:rPr>
                <w:spacing w:val="-5"/>
                <w:highlight w:val="none"/>
              </w:rPr>
              <w:t>资金情况</w:t>
            </w:r>
            <w:r>
              <w:rPr>
                <w:spacing w:val="1"/>
                <w:highlight w:val="none"/>
              </w:rPr>
              <w:t xml:space="preserve"> </w:t>
            </w:r>
            <w:r>
              <w:rPr>
                <w:spacing w:val="-6"/>
                <w:highlight w:val="none"/>
              </w:rPr>
              <w:t>（万元）</w:t>
            </w:r>
          </w:p>
        </w:tc>
        <w:tc>
          <w:tcPr>
            <w:tcW w:w="1761" w:type="dxa"/>
            <w:gridSpan w:val="2"/>
            <w:noWrap w:val="0"/>
            <w:vAlign w:val="top"/>
          </w:tcPr>
          <w:p w14:paraId="22DFBD5B">
            <w:pPr>
              <w:pStyle w:val="65"/>
              <w:spacing w:before="80" w:line="220" w:lineRule="auto"/>
              <w:ind w:left="115"/>
              <w:rPr>
                <w:highlight w:val="none"/>
              </w:rPr>
            </w:pPr>
            <w:r>
              <w:rPr>
                <w:spacing w:val="-2"/>
                <w:highlight w:val="none"/>
              </w:rPr>
              <w:t>项目总投资</w:t>
            </w:r>
          </w:p>
        </w:tc>
        <w:tc>
          <w:tcPr>
            <w:tcW w:w="5429" w:type="dxa"/>
            <w:gridSpan w:val="3"/>
            <w:noWrap w:val="0"/>
            <w:vAlign w:val="top"/>
          </w:tcPr>
          <w:p w14:paraId="5E9D80DD">
            <w:pPr>
              <w:pStyle w:val="65"/>
              <w:spacing w:before="112" w:line="184" w:lineRule="auto"/>
              <w:ind w:left="2302"/>
              <w:rPr>
                <w:highlight w:val="none"/>
              </w:rPr>
            </w:pPr>
            <w:r>
              <w:rPr>
                <w:spacing w:val="-2"/>
                <w:highlight w:val="none"/>
              </w:rPr>
              <w:t>50176.00</w:t>
            </w:r>
          </w:p>
        </w:tc>
      </w:tr>
      <w:tr w14:paraId="7EFBB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58" w:type="dxa"/>
            <w:gridSpan w:val="2"/>
            <w:vMerge w:val="continue"/>
            <w:tcBorders>
              <w:top w:val="nil"/>
              <w:bottom w:val="nil"/>
            </w:tcBorders>
            <w:noWrap w:val="0"/>
            <w:vAlign w:val="top"/>
          </w:tcPr>
          <w:p w14:paraId="0FD00C1B">
            <w:pPr>
              <w:rPr>
                <w:rFonts w:ascii="Arial"/>
                <w:sz w:val="21"/>
                <w:highlight w:val="none"/>
              </w:rPr>
            </w:pPr>
          </w:p>
        </w:tc>
        <w:tc>
          <w:tcPr>
            <w:tcW w:w="1761" w:type="dxa"/>
            <w:gridSpan w:val="2"/>
            <w:noWrap w:val="0"/>
            <w:vAlign w:val="top"/>
          </w:tcPr>
          <w:p w14:paraId="3C63AD86">
            <w:pPr>
              <w:pStyle w:val="65"/>
              <w:spacing w:before="79" w:line="230" w:lineRule="auto"/>
              <w:ind w:left="121" w:right="104" w:hanging="8"/>
              <w:rPr>
                <w:highlight w:val="none"/>
              </w:rPr>
            </w:pPr>
            <w:r>
              <w:rPr>
                <w:spacing w:val="1"/>
                <w:highlight w:val="none"/>
              </w:rPr>
              <w:t>其中：</w:t>
            </w:r>
            <w:r>
              <w:rPr>
                <w:spacing w:val="-46"/>
                <w:highlight w:val="none"/>
              </w:rPr>
              <w:t xml:space="preserve"> </w:t>
            </w:r>
            <w:r>
              <w:rPr>
                <w:spacing w:val="1"/>
                <w:highlight w:val="none"/>
              </w:rPr>
              <w:t>中央财政</w:t>
            </w:r>
            <w:r>
              <w:rPr>
                <w:highlight w:val="none"/>
              </w:rPr>
              <w:t xml:space="preserve"> </w:t>
            </w:r>
            <w:r>
              <w:rPr>
                <w:spacing w:val="-5"/>
                <w:highlight w:val="none"/>
              </w:rPr>
              <w:t>资金</w:t>
            </w:r>
          </w:p>
        </w:tc>
        <w:tc>
          <w:tcPr>
            <w:tcW w:w="5429" w:type="dxa"/>
            <w:gridSpan w:val="3"/>
            <w:noWrap w:val="0"/>
            <w:vAlign w:val="top"/>
          </w:tcPr>
          <w:p w14:paraId="0747E553">
            <w:pPr>
              <w:pStyle w:val="65"/>
              <w:spacing w:before="247" w:line="183" w:lineRule="auto"/>
              <w:ind w:left="2302"/>
              <w:rPr>
                <w:highlight w:val="none"/>
              </w:rPr>
            </w:pPr>
            <w:r>
              <w:rPr>
                <w:spacing w:val="-2"/>
                <w:highlight w:val="none"/>
              </w:rPr>
              <w:t>30000.00</w:t>
            </w:r>
          </w:p>
        </w:tc>
      </w:tr>
      <w:tr w14:paraId="31D7E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058" w:type="dxa"/>
            <w:gridSpan w:val="2"/>
            <w:vMerge w:val="continue"/>
            <w:tcBorders>
              <w:top w:val="nil"/>
            </w:tcBorders>
            <w:noWrap w:val="0"/>
            <w:vAlign w:val="top"/>
          </w:tcPr>
          <w:p w14:paraId="7A9FDF9F">
            <w:pPr>
              <w:rPr>
                <w:rFonts w:ascii="Arial"/>
                <w:sz w:val="21"/>
                <w:highlight w:val="none"/>
              </w:rPr>
            </w:pPr>
          </w:p>
        </w:tc>
        <w:tc>
          <w:tcPr>
            <w:tcW w:w="1761" w:type="dxa"/>
            <w:gridSpan w:val="2"/>
            <w:noWrap w:val="0"/>
            <w:vAlign w:val="top"/>
          </w:tcPr>
          <w:p w14:paraId="6BF6B018">
            <w:pPr>
              <w:pStyle w:val="65"/>
              <w:spacing w:before="79" w:line="221" w:lineRule="auto"/>
              <w:ind w:left="112"/>
              <w:rPr>
                <w:highlight w:val="none"/>
              </w:rPr>
            </w:pPr>
            <w:r>
              <w:rPr>
                <w:spacing w:val="-2"/>
                <w:highlight w:val="none"/>
              </w:rPr>
              <w:t>地方资金</w:t>
            </w:r>
          </w:p>
        </w:tc>
        <w:tc>
          <w:tcPr>
            <w:tcW w:w="5429" w:type="dxa"/>
            <w:gridSpan w:val="3"/>
            <w:noWrap w:val="0"/>
            <w:vAlign w:val="top"/>
          </w:tcPr>
          <w:p w14:paraId="59F317B6">
            <w:pPr>
              <w:pStyle w:val="65"/>
              <w:spacing w:before="111" w:line="184" w:lineRule="auto"/>
              <w:ind w:left="2300"/>
              <w:rPr>
                <w:highlight w:val="none"/>
              </w:rPr>
            </w:pPr>
            <w:r>
              <w:rPr>
                <w:spacing w:val="-2"/>
                <w:highlight w:val="none"/>
              </w:rPr>
              <w:t>20176.00</w:t>
            </w:r>
          </w:p>
        </w:tc>
      </w:tr>
      <w:tr w14:paraId="662CE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8" w:hRule="atLeast"/>
        </w:trPr>
        <w:tc>
          <w:tcPr>
            <w:tcW w:w="915" w:type="dxa"/>
            <w:noWrap w:val="0"/>
            <w:vAlign w:val="top"/>
          </w:tcPr>
          <w:p w14:paraId="6B15242F">
            <w:pPr>
              <w:spacing w:line="285" w:lineRule="auto"/>
              <w:rPr>
                <w:rFonts w:ascii="Arial"/>
                <w:sz w:val="21"/>
                <w:highlight w:val="none"/>
              </w:rPr>
            </w:pPr>
          </w:p>
          <w:p w14:paraId="6E5FA915">
            <w:pPr>
              <w:spacing w:line="285" w:lineRule="auto"/>
              <w:rPr>
                <w:rFonts w:ascii="Arial"/>
                <w:sz w:val="21"/>
                <w:highlight w:val="none"/>
              </w:rPr>
            </w:pPr>
          </w:p>
          <w:p w14:paraId="4F2E1C48">
            <w:pPr>
              <w:spacing w:line="285" w:lineRule="auto"/>
              <w:rPr>
                <w:rFonts w:ascii="Arial"/>
                <w:sz w:val="21"/>
                <w:highlight w:val="none"/>
              </w:rPr>
            </w:pPr>
          </w:p>
          <w:p w14:paraId="62F736D4">
            <w:pPr>
              <w:spacing w:line="286" w:lineRule="auto"/>
              <w:rPr>
                <w:rFonts w:ascii="Arial"/>
                <w:sz w:val="21"/>
                <w:highlight w:val="none"/>
              </w:rPr>
            </w:pPr>
          </w:p>
          <w:p w14:paraId="31D809C1">
            <w:pPr>
              <w:pStyle w:val="65"/>
              <w:spacing w:before="68" w:line="230" w:lineRule="auto"/>
              <w:ind w:left="359" w:right="139" w:hanging="205"/>
              <w:rPr>
                <w:highlight w:val="none"/>
              </w:rPr>
            </w:pPr>
            <w:r>
              <w:rPr>
                <w:spacing w:val="-5"/>
                <w:highlight w:val="none"/>
              </w:rPr>
              <w:t>总体目</w:t>
            </w:r>
            <w:r>
              <w:rPr>
                <w:highlight w:val="none"/>
              </w:rPr>
              <w:t xml:space="preserve"> 标</w:t>
            </w:r>
          </w:p>
        </w:tc>
        <w:tc>
          <w:tcPr>
            <w:tcW w:w="8333" w:type="dxa"/>
            <w:gridSpan w:val="6"/>
            <w:noWrap w:val="0"/>
            <w:vAlign w:val="top"/>
          </w:tcPr>
          <w:p w14:paraId="05DF4943">
            <w:pPr>
              <w:pStyle w:val="65"/>
              <w:spacing w:before="82" w:line="272" w:lineRule="auto"/>
              <w:ind w:left="110" w:right="33" w:firstLine="480"/>
              <w:jc w:val="both"/>
              <w:rPr>
                <w:highlight w:val="none"/>
              </w:rPr>
            </w:pPr>
            <w:r>
              <w:rPr>
                <w:spacing w:val="2"/>
                <w:highlight w:val="none"/>
              </w:rPr>
              <w:t>修复区位于营口市海岸带区域，辽宁省营口市海洋生态保护修复工程</w:t>
            </w:r>
            <w:r>
              <w:rPr>
                <w:spacing w:val="1"/>
                <w:highlight w:val="none"/>
              </w:rPr>
              <w:t>项目完成修复</w:t>
            </w:r>
            <w:r>
              <w:rPr>
                <w:highlight w:val="none"/>
              </w:rPr>
              <w:t xml:space="preserve"> </w:t>
            </w:r>
            <w:r>
              <w:rPr>
                <w:spacing w:val="-2"/>
                <w:highlight w:val="none"/>
              </w:rPr>
              <w:t>总面积</w:t>
            </w:r>
            <w:r>
              <w:rPr>
                <w:spacing w:val="-29"/>
                <w:highlight w:val="none"/>
              </w:rPr>
              <w:t xml:space="preserve"> </w:t>
            </w:r>
            <w:r>
              <w:rPr>
                <w:spacing w:val="-2"/>
                <w:highlight w:val="none"/>
              </w:rPr>
              <w:t>1655.91ha,其中整治修复岸线长度</w:t>
            </w:r>
            <w:r>
              <w:rPr>
                <w:spacing w:val="-41"/>
                <w:highlight w:val="none"/>
              </w:rPr>
              <w:t xml:space="preserve"> </w:t>
            </w:r>
            <w:r>
              <w:rPr>
                <w:spacing w:val="-2"/>
                <w:highlight w:val="none"/>
              </w:rPr>
              <w:t>2960.90m，滨海湿地整</w:t>
            </w:r>
            <w:r>
              <w:rPr>
                <w:spacing w:val="-3"/>
                <w:highlight w:val="none"/>
              </w:rPr>
              <w:t>治修复面积</w:t>
            </w:r>
            <w:r>
              <w:rPr>
                <w:spacing w:val="-29"/>
                <w:highlight w:val="none"/>
              </w:rPr>
              <w:t xml:space="preserve"> </w:t>
            </w:r>
            <w:r>
              <w:rPr>
                <w:spacing w:val="-3"/>
                <w:highlight w:val="none"/>
              </w:rPr>
              <w:t>1580.79ha。</w:t>
            </w:r>
            <w:r>
              <w:rPr>
                <w:highlight w:val="none"/>
              </w:rPr>
              <w:t xml:space="preserve"> </w:t>
            </w:r>
            <w:r>
              <w:rPr>
                <w:spacing w:val="-2"/>
                <w:highlight w:val="none"/>
              </w:rPr>
              <w:t>通过保育修复芦苇/碱蓬面积 143.75ha、新种植芦苇/碱蓬面积 139.14ha、修复底栖生物</w:t>
            </w:r>
            <w:r>
              <w:rPr>
                <w:spacing w:val="16"/>
                <w:highlight w:val="none"/>
              </w:rPr>
              <w:t xml:space="preserve"> </w:t>
            </w:r>
            <w:r>
              <w:rPr>
                <w:spacing w:val="-7"/>
                <w:highlight w:val="none"/>
              </w:rPr>
              <w:t>面积</w:t>
            </w:r>
            <w:r>
              <w:rPr>
                <w:spacing w:val="-38"/>
                <w:highlight w:val="none"/>
              </w:rPr>
              <w:t xml:space="preserve"> </w:t>
            </w:r>
            <w:r>
              <w:rPr>
                <w:spacing w:val="-7"/>
                <w:highlight w:val="none"/>
              </w:rPr>
              <w:t>260.91ha、浒苔防治面积</w:t>
            </w:r>
            <w:r>
              <w:rPr>
                <w:spacing w:val="-28"/>
                <w:highlight w:val="none"/>
              </w:rPr>
              <w:t xml:space="preserve"> </w:t>
            </w:r>
            <w:r>
              <w:rPr>
                <w:spacing w:val="-7"/>
                <w:highlight w:val="none"/>
              </w:rPr>
              <w:t>1006.83ha、潮沟疏通面积</w:t>
            </w:r>
            <w:r>
              <w:rPr>
                <w:spacing w:val="-42"/>
                <w:highlight w:val="none"/>
              </w:rPr>
              <w:t xml:space="preserve"> </w:t>
            </w:r>
            <w:r>
              <w:rPr>
                <w:spacing w:val="-7"/>
                <w:highlight w:val="none"/>
              </w:rPr>
              <w:t>25.63ha，底泥清理面积</w:t>
            </w:r>
            <w:r>
              <w:rPr>
                <w:spacing w:val="-40"/>
                <w:highlight w:val="none"/>
              </w:rPr>
              <w:t xml:space="preserve"> </w:t>
            </w:r>
            <w:r>
              <w:rPr>
                <w:spacing w:val="-7"/>
                <w:highlight w:val="none"/>
              </w:rPr>
              <w:t>53.21ha，</w:t>
            </w:r>
            <w:r>
              <w:rPr>
                <w:highlight w:val="none"/>
              </w:rPr>
              <w:t xml:space="preserve"> </w:t>
            </w:r>
            <w:r>
              <w:rPr>
                <w:spacing w:val="-4"/>
                <w:highlight w:val="none"/>
              </w:rPr>
              <w:t>修复海岸湿地面积</w:t>
            </w:r>
            <w:r>
              <w:rPr>
                <w:spacing w:val="-42"/>
                <w:highlight w:val="none"/>
              </w:rPr>
              <w:t xml:space="preserve"> </w:t>
            </w:r>
            <w:r>
              <w:rPr>
                <w:spacing w:val="-4"/>
                <w:highlight w:val="none"/>
              </w:rPr>
              <w:t>69.87ha，以及砂质岸</w:t>
            </w:r>
            <w:r>
              <w:rPr>
                <w:spacing w:val="-5"/>
                <w:highlight w:val="none"/>
              </w:rPr>
              <w:t>线整治修复长度</w:t>
            </w:r>
            <w:r>
              <w:rPr>
                <w:spacing w:val="-28"/>
                <w:highlight w:val="none"/>
              </w:rPr>
              <w:t xml:space="preserve"> </w:t>
            </w:r>
            <w:r>
              <w:rPr>
                <w:spacing w:val="-5"/>
                <w:highlight w:val="none"/>
              </w:rPr>
              <w:t>1296m、生态护岸长度</w:t>
            </w:r>
            <w:r>
              <w:rPr>
                <w:spacing w:val="-29"/>
                <w:highlight w:val="none"/>
              </w:rPr>
              <w:t xml:space="preserve"> </w:t>
            </w:r>
            <w:r>
              <w:rPr>
                <w:spacing w:val="-5"/>
                <w:highlight w:val="none"/>
              </w:rPr>
              <w:t>1664.90m，</w:t>
            </w:r>
            <w:r>
              <w:rPr>
                <w:highlight w:val="none"/>
              </w:rPr>
              <w:t xml:space="preserve"> </w:t>
            </w:r>
            <w:r>
              <w:rPr>
                <w:spacing w:val="-2"/>
                <w:highlight w:val="none"/>
              </w:rPr>
              <w:t>解决该区域内滨海湿地生境破碎化、浒苔灾害频发、陆海生态连通性受阻、砂质海</w:t>
            </w:r>
            <w:r>
              <w:rPr>
                <w:spacing w:val="-3"/>
                <w:highlight w:val="none"/>
              </w:rPr>
              <w:t>岸侵蚀</w:t>
            </w:r>
            <w:r>
              <w:rPr>
                <w:highlight w:val="none"/>
              </w:rPr>
              <w:t xml:space="preserve"> </w:t>
            </w:r>
            <w:r>
              <w:rPr>
                <w:spacing w:val="-5"/>
                <w:highlight w:val="none"/>
              </w:rPr>
              <w:t>严重、海岸带防灾减灾能力不足等主要生态问题， 使区域生态系统结构进一步优化，生态</w:t>
            </w:r>
            <w:r>
              <w:rPr>
                <w:spacing w:val="14"/>
                <w:highlight w:val="none"/>
              </w:rPr>
              <w:t xml:space="preserve"> </w:t>
            </w:r>
            <w:r>
              <w:rPr>
                <w:spacing w:val="-2"/>
                <w:highlight w:val="none"/>
              </w:rPr>
              <w:t>系统稳定性明显加强，生态系统质量有效改善，生态系统功能显著提升，生物多样</w:t>
            </w:r>
            <w:r>
              <w:rPr>
                <w:spacing w:val="-3"/>
                <w:highlight w:val="none"/>
              </w:rPr>
              <w:t>性明显</w:t>
            </w:r>
            <w:r>
              <w:rPr>
                <w:highlight w:val="none"/>
              </w:rPr>
              <w:t xml:space="preserve"> </w:t>
            </w:r>
            <w:r>
              <w:rPr>
                <w:spacing w:val="-2"/>
                <w:highlight w:val="none"/>
              </w:rPr>
              <w:t>增加，增强防御自然灾害能力，促进区域生态与减灾协同增效。</w:t>
            </w:r>
          </w:p>
        </w:tc>
      </w:tr>
      <w:tr w14:paraId="0BA1D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5" w:type="dxa"/>
            <w:vMerge w:val="restart"/>
            <w:tcBorders>
              <w:bottom w:val="nil"/>
            </w:tcBorders>
            <w:noWrap w:val="0"/>
            <w:vAlign w:val="top"/>
          </w:tcPr>
          <w:p w14:paraId="1ABAA6C9">
            <w:pPr>
              <w:spacing w:line="245" w:lineRule="auto"/>
              <w:rPr>
                <w:rFonts w:ascii="Arial"/>
                <w:sz w:val="21"/>
                <w:highlight w:val="none"/>
              </w:rPr>
            </w:pPr>
          </w:p>
          <w:p w14:paraId="1CBDB3E1">
            <w:pPr>
              <w:spacing w:line="245" w:lineRule="auto"/>
              <w:rPr>
                <w:rFonts w:ascii="Arial"/>
                <w:sz w:val="21"/>
                <w:highlight w:val="none"/>
              </w:rPr>
            </w:pPr>
          </w:p>
          <w:p w14:paraId="04A3061A">
            <w:pPr>
              <w:spacing w:line="245" w:lineRule="auto"/>
              <w:rPr>
                <w:rFonts w:ascii="Arial"/>
                <w:sz w:val="21"/>
                <w:highlight w:val="none"/>
              </w:rPr>
            </w:pPr>
          </w:p>
          <w:p w14:paraId="1A2B1C1B">
            <w:pPr>
              <w:spacing w:line="245" w:lineRule="auto"/>
              <w:rPr>
                <w:rFonts w:ascii="Arial"/>
                <w:sz w:val="21"/>
                <w:highlight w:val="none"/>
              </w:rPr>
            </w:pPr>
          </w:p>
          <w:p w14:paraId="56397253">
            <w:pPr>
              <w:spacing w:line="245" w:lineRule="auto"/>
              <w:rPr>
                <w:rFonts w:ascii="Arial"/>
                <w:sz w:val="21"/>
                <w:highlight w:val="none"/>
              </w:rPr>
            </w:pPr>
          </w:p>
          <w:p w14:paraId="76602ED9">
            <w:pPr>
              <w:spacing w:line="245" w:lineRule="auto"/>
              <w:rPr>
                <w:rFonts w:ascii="Arial"/>
                <w:sz w:val="21"/>
                <w:highlight w:val="none"/>
              </w:rPr>
            </w:pPr>
          </w:p>
          <w:p w14:paraId="2964ED59">
            <w:pPr>
              <w:spacing w:line="245" w:lineRule="auto"/>
              <w:rPr>
                <w:rFonts w:ascii="Arial"/>
                <w:sz w:val="21"/>
                <w:highlight w:val="none"/>
              </w:rPr>
            </w:pPr>
          </w:p>
          <w:p w14:paraId="72EAAE10">
            <w:pPr>
              <w:spacing w:line="245" w:lineRule="auto"/>
              <w:rPr>
                <w:rFonts w:ascii="Arial"/>
                <w:sz w:val="21"/>
                <w:highlight w:val="none"/>
              </w:rPr>
            </w:pPr>
          </w:p>
          <w:p w14:paraId="61A68447">
            <w:pPr>
              <w:spacing w:line="245" w:lineRule="auto"/>
              <w:rPr>
                <w:rFonts w:ascii="Arial"/>
                <w:sz w:val="21"/>
                <w:highlight w:val="none"/>
              </w:rPr>
            </w:pPr>
          </w:p>
          <w:p w14:paraId="6CD48CB9">
            <w:pPr>
              <w:spacing w:line="246" w:lineRule="auto"/>
              <w:rPr>
                <w:rFonts w:ascii="Arial"/>
                <w:sz w:val="21"/>
                <w:highlight w:val="none"/>
              </w:rPr>
            </w:pPr>
          </w:p>
          <w:p w14:paraId="6B1E5EED">
            <w:pPr>
              <w:spacing w:line="246" w:lineRule="auto"/>
              <w:rPr>
                <w:rFonts w:ascii="Arial"/>
                <w:sz w:val="21"/>
                <w:highlight w:val="none"/>
              </w:rPr>
            </w:pPr>
          </w:p>
          <w:p w14:paraId="2484A378">
            <w:pPr>
              <w:pStyle w:val="65"/>
              <w:spacing w:before="69" w:line="230" w:lineRule="auto"/>
              <w:ind w:left="358" w:right="139" w:hanging="207"/>
              <w:rPr>
                <w:highlight w:val="none"/>
              </w:rPr>
            </w:pPr>
            <w:r>
              <w:rPr>
                <w:spacing w:val="-4"/>
                <w:highlight w:val="none"/>
              </w:rPr>
              <w:t>绩效指</w:t>
            </w:r>
            <w:r>
              <w:rPr>
                <w:highlight w:val="none"/>
              </w:rPr>
              <w:t xml:space="preserve"> 标</w:t>
            </w:r>
          </w:p>
        </w:tc>
        <w:tc>
          <w:tcPr>
            <w:tcW w:w="1376" w:type="dxa"/>
            <w:gridSpan w:val="2"/>
            <w:noWrap w:val="0"/>
            <w:vAlign w:val="top"/>
          </w:tcPr>
          <w:p w14:paraId="4C683F3B">
            <w:pPr>
              <w:pStyle w:val="65"/>
              <w:spacing w:before="82" w:line="220" w:lineRule="auto"/>
              <w:ind w:left="274"/>
              <w:rPr>
                <w:highlight w:val="none"/>
              </w:rPr>
            </w:pPr>
            <w:r>
              <w:rPr>
                <w:spacing w:val="-3"/>
                <w:highlight w:val="none"/>
              </w:rPr>
              <w:t>一级指标</w:t>
            </w:r>
          </w:p>
        </w:tc>
        <w:tc>
          <w:tcPr>
            <w:tcW w:w="1528" w:type="dxa"/>
            <w:noWrap w:val="0"/>
            <w:vAlign w:val="top"/>
          </w:tcPr>
          <w:p w14:paraId="1C61F7F9">
            <w:pPr>
              <w:pStyle w:val="65"/>
              <w:spacing w:before="82" w:line="220" w:lineRule="auto"/>
              <w:ind w:left="351"/>
              <w:rPr>
                <w:highlight w:val="none"/>
              </w:rPr>
            </w:pPr>
            <w:r>
              <w:rPr>
                <w:spacing w:val="-3"/>
                <w:highlight w:val="none"/>
              </w:rPr>
              <w:t>二级指标</w:t>
            </w:r>
          </w:p>
        </w:tc>
        <w:tc>
          <w:tcPr>
            <w:tcW w:w="3660" w:type="dxa"/>
            <w:gridSpan w:val="2"/>
            <w:noWrap w:val="0"/>
            <w:vAlign w:val="top"/>
          </w:tcPr>
          <w:p w14:paraId="7ACB890F">
            <w:pPr>
              <w:pStyle w:val="65"/>
              <w:spacing w:before="82" w:line="220" w:lineRule="auto"/>
              <w:ind w:left="1416"/>
              <w:rPr>
                <w:highlight w:val="none"/>
              </w:rPr>
            </w:pPr>
            <w:r>
              <w:rPr>
                <w:spacing w:val="-2"/>
                <w:highlight w:val="none"/>
              </w:rPr>
              <w:t>三级指标</w:t>
            </w:r>
          </w:p>
        </w:tc>
        <w:tc>
          <w:tcPr>
            <w:tcW w:w="1769" w:type="dxa"/>
            <w:noWrap w:val="0"/>
            <w:vAlign w:val="top"/>
          </w:tcPr>
          <w:p w14:paraId="5AD46906">
            <w:pPr>
              <w:pStyle w:val="65"/>
              <w:spacing w:before="81" w:line="220" w:lineRule="auto"/>
              <w:ind w:left="577"/>
              <w:rPr>
                <w:highlight w:val="none"/>
              </w:rPr>
            </w:pPr>
            <w:r>
              <w:rPr>
                <w:spacing w:val="-3"/>
                <w:highlight w:val="none"/>
              </w:rPr>
              <w:t>指标值</w:t>
            </w:r>
          </w:p>
        </w:tc>
      </w:tr>
      <w:tr w14:paraId="756BE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007C13FF">
            <w:pPr>
              <w:rPr>
                <w:rFonts w:ascii="Arial"/>
                <w:sz w:val="21"/>
                <w:highlight w:val="none"/>
              </w:rPr>
            </w:pPr>
          </w:p>
        </w:tc>
        <w:tc>
          <w:tcPr>
            <w:tcW w:w="1376" w:type="dxa"/>
            <w:gridSpan w:val="2"/>
            <w:vMerge w:val="restart"/>
            <w:tcBorders>
              <w:bottom w:val="nil"/>
            </w:tcBorders>
            <w:noWrap w:val="0"/>
            <w:vAlign w:val="top"/>
          </w:tcPr>
          <w:p w14:paraId="54DAFC42">
            <w:pPr>
              <w:rPr>
                <w:rFonts w:ascii="Arial"/>
                <w:sz w:val="21"/>
                <w:highlight w:val="none"/>
              </w:rPr>
            </w:pPr>
          </w:p>
          <w:p w14:paraId="44193E1F">
            <w:pPr>
              <w:rPr>
                <w:rFonts w:ascii="Arial"/>
                <w:sz w:val="21"/>
                <w:highlight w:val="none"/>
              </w:rPr>
            </w:pPr>
          </w:p>
          <w:p w14:paraId="5ECAC652">
            <w:pPr>
              <w:rPr>
                <w:rFonts w:ascii="Arial"/>
                <w:sz w:val="21"/>
                <w:highlight w:val="none"/>
              </w:rPr>
            </w:pPr>
          </w:p>
          <w:p w14:paraId="7235DD1C">
            <w:pPr>
              <w:rPr>
                <w:rFonts w:ascii="Arial"/>
                <w:sz w:val="21"/>
                <w:highlight w:val="none"/>
              </w:rPr>
            </w:pPr>
          </w:p>
          <w:p w14:paraId="18C4287E">
            <w:pPr>
              <w:rPr>
                <w:rFonts w:ascii="Arial"/>
                <w:sz w:val="21"/>
                <w:highlight w:val="none"/>
              </w:rPr>
            </w:pPr>
          </w:p>
          <w:p w14:paraId="63A83F11">
            <w:pPr>
              <w:rPr>
                <w:rFonts w:ascii="Arial"/>
                <w:sz w:val="21"/>
                <w:highlight w:val="none"/>
              </w:rPr>
            </w:pPr>
          </w:p>
          <w:p w14:paraId="3F89D933">
            <w:pPr>
              <w:rPr>
                <w:rFonts w:ascii="Arial"/>
                <w:sz w:val="21"/>
                <w:highlight w:val="none"/>
              </w:rPr>
            </w:pPr>
          </w:p>
          <w:p w14:paraId="1CD8919B">
            <w:pPr>
              <w:spacing w:line="241" w:lineRule="auto"/>
              <w:rPr>
                <w:rFonts w:ascii="Arial"/>
                <w:sz w:val="21"/>
                <w:highlight w:val="none"/>
              </w:rPr>
            </w:pPr>
          </w:p>
          <w:p w14:paraId="2A02D3EC">
            <w:pPr>
              <w:spacing w:line="241" w:lineRule="auto"/>
              <w:rPr>
                <w:rFonts w:ascii="Arial"/>
                <w:sz w:val="21"/>
                <w:highlight w:val="none"/>
              </w:rPr>
            </w:pPr>
          </w:p>
          <w:p w14:paraId="5038FF9C">
            <w:pPr>
              <w:spacing w:line="241" w:lineRule="auto"/>
              <w:rPr>
                <w:rFonts w:ascii="Arial"/>
                <w:sz w:val="21"/>
                <w:highlight w:val="none"/>
              </w:rPr>
            </w:pPr>
          </w:p>
          <w:p w14:paraId="456134C0">
            <w:pPr>
              <w:spacing w:line="241" w:lineRule="auto"/>
              <w:rPr>
                <w:rFonts w:ascii="Arial"/>
                <w:sz w:val="21"/>
                <w:highlight w:val="none"/>
              </w:rPr>
            </w:pPr>
          </w:p>
          <w:p w14:paraId="4C6FB0C1">
            <w:pPr>
              <w:pStyle w:val="65"/>
              <w:spacing w:before="68" w:line="220" w:lineRule="auto"/>
              <w:ind w:left="271"/>
              <w:rPr>
                <w:highlight w:val="none"/>
              </w:rPr>
            </w:pPr>
            <w:r>
              <w:rPr>
                <w:spacing w:val="-2"/>
                <w:highlight w:val="none"/>
              </w:rPr>
              <w:t>产出指标</w:t>
            </w:r>
          </w:p>
        </w:tc>
        <w:tc>
          <w:tcPr>
            <w:tcW w:w="1528" w:type="dxa"/>
            <w:vMerge w:val="restart"/>
            <w:tcBorders>
              <w:bottom w:val="nil"/>
            </w:tcBorders>
            <w:noWrap w:val="0"/>
            <w:vAlign w:val="top"/>
          </w:tcPr>
          <w:p w14:paraId="2D94AD1D">
            <w:pPr>
              <w:spacing w:line="260" w:lineRule="auto"/>
              <w:rPr>
                <w:rFonts w:ascii="Arial"/>
                <w:sz w:val="21"/>
                <w:highlight w:val="none"/>
              </w:rPr>
            </w:pPr>
          </w:p>
          <w:p w14:paraId="3C7AA9DF">
            <w:pPr>
              <w:spacing w:line="260" w:lineRule="auto"/>
              <w:rPr>
                <w:rFonts w:ascii="Arial"/>
                <w:sz w:val="21"/>
                <w:highlight w:val="none"/>
              </w:rPr>
            </w:pPr>
          </w:p>
          <w:p w14:paraId="70E1F9B7">
            <w:pPr>
              <w:spacing w:line="260" w:lineRule="auto"/>
              <w:rPr>
                <w:rFonts w:ascii="Arial"/>
                <w:sz w:val="21"/>
                <w:highlight w:val="none"/>
              </w:rPr>
            </w:pPr>
          </w:p>
          <w:p w14:paraId="3F670B6D">
            <w:pPr>
              <w:spacing w:line="260" w:lineRule="auto"/>
              <w:rPr>
                <w:rFonts w:ascii="Arial"/>
                <w:sz w:val="21"/>
                <w:highlight w:val="none"/>
              </w:rPr>
            </w:pPr>
          </w:p>
          <w:p w14:paraId="17705014">
            <w:pPr>
              <w:spacing w:line="260" w:lineRule="auto"/>
              <w:rPr>
                <w:rFonts w:ascii="Arial"/>
                <w:sz w:val="21"/>
                <w:highlight w:val="none"/>
              </w:rPr>
            </w:pPr>
          </w:p>
          <w:p w14:paraId="76FCD35B">
            <w:pPr>
              <w:spacing w:line="260" w:lineRule="auto"/>
              <w:rPr>
                <w:rFonts w:ascii="Arial"/>
                <w:sz w:val="21"/>
                <w:highlight w:val="none"/>
              </w:rPr>
            </w:pPr>
          </w:p>
          <w:p w14:paraId="337DE616">
            <w:pPr>
              <w:spacing w:line="260" w:lineRule="auto"/>
              <w:rPr>
                <w:rFonts w:ascii="Arial"/>
                <w:sz w:val="21"/>
                <w:highlight w:val="none"/>
              </w:rPr>
            </w:pPr>
          </w:p>
          <w:p w14:paraId="05F06933">
            <w:pPr>
              <w:spacing w:line="260" w:lineRule="auto"/>
              <w:rPr>
                <w:rFonts w:ascii="Arial"/>
                <w:sz w:val="21"/>
                <w:highlight w:val="none"/>
              </w:rPr>
            </w:pPr>
          </w:p>
          <w:p w14:paraId="0CE3688F">
            <w:pPr>
              <w:pStyle w:val="65"/>
              <w:spacing w:before="68" w:line="220" w:lineRule="auto"/>
              <w:ind w:left="350"/>
              <w:rPr>
                <w:highlight w:val="none"/>
              </w:rPr>
            </w:pPr>
            <w:r>
              <w:rPr>
                <w:spacing w:val="-2"/>
                <w:highlight w:val="none"/>
              </w:rPr>
              <w:t>数量指标</w:t>
            </w:r>
          </w:p>
        </w:tc>
        <w:tc>
          <w:tcPr>
            <w:tcW w:w="3660" w:type="dxa"/>
            <w:gridSpan w:val="2"/>
            <w:noWrap w:val="0"/>
            <w:vAlign w:val="top"/>
          </w:tcPr>
          <w:p w14:paraId="4A7D1701">
            <w:pPr>
              <w:pStyle w:val="65"/>
              <w:spacing w:before="80" w:line="220" w:lineRule="auto"/>
              <w:ind w:left="114"/>
              <w:rPr>
                <w:highlight w:val="none"/>
              </w:rPr>
            </w:pPr>
            <w:r>
              <w:rPr>
                <w:b/>
                <w:bCs/>
                <w:spacing w:val="-3"/>
                <w:highlight w:val="none"/>
              </w:rPr>
              <w:t>完成生态修复总面积</w:t>
            </w:r>
          </w:p>
        </w:tc>
        <w:tc>
          <w:tcPr>
            <w:tcW w:w="1769" w:type="dxa"/>
            <w:noWrap w:val="0"/>
            <w:vAlign w:val="top"/>
          </w:tcPr>
          <w:p w14:paraId="0ED59AED">
            <w:pPr>
              <w:pStyle w:val="65"/>
              <w:spacing w:before="80" w:line="239" w:lineRule="auto"/>
              <w:ind w:left="433"/>
              <w:rPr>
                <w:highlight w:val="none"/>
              </w:rPr>
            </w:pPr>
            <w:r>
              <w:rPr>
                <w:spacing w:val="-3"/>
                <w:highlight w:val="none"/>
              </w:rPr>
              <w:t>1655.91ha</w:t>
            </w:r>
          </w:p>
        </w:tc>
      </w:tr>
      <w:tr w14:paraId="44E44FEF">
        <w:tblPrEx>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6B10DDD8">
            <w:pPr>
              <w:rPr>
                <w:rFonts w:ascii="Arial"/>
                <w:sz w:val="21"/>
                <w:highlight w:val="none"/>
              </w:rPr>
            </w:pPr>
          </w:p>
        </w:tc>
        <w:tc>
          <w:tcPr>
            <w:tcW w:w="1376" w:type="dxa"/>
            <w:gridSpan w:val="2"/>
            <w:vMerge w:val="continue"/>
            <w:tcBorders>
              <w:top w:val="nil"/>
              <w:bottom w:val="nil"/>
            </w:tcBorders>
            <w:noWrap w:val="0"/>
            <w:vAlign w:val="top"/>
          </w:tcPr>
          <w:p w14:paraId="1B12EF3D">
            <w:pPr>
              <w:rPr>
                <w:rFonts w:ascii="Arial"/>
                <w:sz w:val="21"/>
                <w:highlight w:val="none"/>
              </w:rPr>
            </w:pPr>
          </w:p>
        </w:tc>
        <w:tc>
          <w:tcPr>
            <w:tcW w:w="1528" w:type="dxa"/>
            <w:vMerge w:val="continue"/>
            <w:tcBorders>
              <w:top w:val="nil"/>
              <w:bottom w:val="nil"/>
            </w:tcBorders>
            <w:noWrap w:val="0"/>
            <w:vAlign w:val="top"/>
          </w:tcPr>
          <w:p w14:paraId="11016C8D">
            <w:pPr>
              <w:rPr>
                <w:rFonts w:ascii="Arial"/>
                <w:sz w:val="21"/>
                <w:highlight w:val="none"/>
              </w:rPr>
            </w:pPr>
          </w:p>
        </w:tc>
        <w:tc>
          <w:tcPr>
            <w:tcW w:w="3660" w:type="dxa"/>
            <w:gridSpan w:val="2"/>
            <w:noWrap w:val="0"/>
            <w:vAlign w:val="top"/>
          </w:tcPr>
          <w:p w14:paraId="40C4A00A">
            <w:pPr>
              <w:pStyle w:val="65"/>
              <w:spacing w:before="80" w:line="220" w:lineRule="auto"/>
              <w:ind w:left="112"/>
              <w:rPr>
                <w:highlight w:val="none"/>
              </w:rPr>
            </w:pPr>
            <w:r>
              <w:rPr>
                <w:b/>
                <w:bCs/>
                <w:spacing w:val="-3"/>
                <w:highlight w:val="none"/>
              </w:rPr>
              <w:t>岸线整治修复长度</w:t>
            </w:r>
          </w:p>
        </w:tc>
        <w:tc>
          <w:tcPr>
            <w:tcW w:w="1769" w:type="dxa"/>
            <w:noWrap w:val="0"/>
            <w:vAlign w:val="top"/>
          </w:tcPr>
          <w:p w14:paraId="522CF676">
            <w:pPr>
              <w:pStyle w:val="65"/>
              <w:spacing w:before="114" w:line="183" w:lineRule="auto"/>
              <w:ind w:left="473"/>
              <w:rPr>
                <w:highlight w:val="none"/>
              </w:rPr>
            </w:pPr>
            <w:r>
              <w:rPr>
                <w:spacing w:val="-2"/>
                <w:highlight w:val="none"/>
              </w:rPr>
              <w:t>2960.90m</w:t>
            </w:r>
          </w:p>
        </w:tc>
      </w:tr>
      <w:tr w14:paraId="353AE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5" w:type="dxa"/>
            <w:vMerge w:val="continue"/>
            <w:tcBorders>
              <w:top w:val="nil"/>
              <w:bottom w:val="nil"/>
            </w:tcBorders>
            <w:noWrap w:val="0"/>
            <w:vAlign w:val="top"/>
          </w:tcPr>
          <w:p w14:paraId="304BD9B7">
            <w:pPr>
              <w:rPr>
                <w:rFonts w:ascii="Arial"/>
                <w:sz w:val="21"/>
                <w:highlight w:val="none"/>
              </w:rPr>
            </w:pPr>
          </w:p>
        </w:tc>
        <w:tc>
          <w:tcPr>
            <w:tcW w:w="1376" w:type="dxa"/>
            <w:gridSpan w:val="2"/>
            <w:vMerge w:val="continue"/>
            <w:tcBorders>
              <w:top w:val="nil"/>
              <w:bottom w:val="nil"/>
            </w:tcBorders>
            <w:noWrap w:val="0"/>
            <w:vAlign w:val="top"/>
          </w:tcPr>
          <w:p w14:paraId="6687F6C2">
            <w:pPr>
              <w:rPr>
                <w:rFonts w:ascii="Arial"/>
                <w:sz w:val="21"/>
                <w:highlight w:val="none"/>
              </w:rPr>
            </w:pPr>
          </w:p>
        </w:tc>
        <w:tc>
          <w:tcPr>
            <w:tcW w:w="1528" w:type="dxa"/>
            <w:vMerge w:val="continue"/>
            <w:tcBorders>
              <w:top w:val="nil"/>
              <w:bottom w:val="nil"/>
            </w:tcBorders>
            <w:noWrap w:val="0"/>
            <w:vAlign w:val="top"/>
          </w:tcPr>
          <w:p w14:paraId="53E11DF1">
            <w:pPr>
              <w:rPr>
                <w:rFonts w:ascii="Arial"/>
                <w:sz w:val="21"/>
                <w:highlight w:val="none"/>
              </w:rPr>
            </w:pPr>
          </w:p>
        </w:tc>
        <w:tc>
          <w:tcPr>
            <w:tcW w:w="3660" w:type="dxa"/>
            <w:gridSpan w:val="2"/>
            <w:noWrap w:val="0"/>
            <w:vAlign w:val="top"/>
          </w:tcPr>
          <w:p w14:paraId="4C2DEB50">
            <w:pPr>
              <w:pStyle w:val="65"/>
              <w:spacing w:before="81" w:line="220" w:lineRule="auto"/>
              <w:ind w:left="112"/>
              <w:rPr>
                <w:highlight w:val="none"/>
              </w:rPr>
            </w:pPr>
            <w:r>
              <w:rPr>
                <w:spacing w:val="-1"/>
                <w:highlight w:val="none"/>
              </w:rPr>
              <w:t>砂质岸线整治修复长度</w:t>
            </w:r>
          </w:p>
        </w:tc>
        <w:tc>
          <w:tcPr>
            <w:tcW w:w="1769" w:type="dxa"/>
            <w:noWrap w:val="0"/>
            <w:vAlign w:val="top"/>
          </w:tcPr>
          <w:p w14:paraId="0EBC2EDF">
            <w:pPr>
              <w:pStyle w:val="65"/>
              <w:spacing w:before="114" w:line="184" w:lineRule="auto"/>
              <w:ind w:left="642"/>
              <w:rPr>
                <w:highlight w:val="none"/>
              </w:rPr>
            </w:pPr>
            <w:r>
              <w:rPr>
                <w:spacing w:val="-4"/>
                <w:highlight w:val="none"/>
              </w:rPr>
              <w:t>1296m</w:t>
            </w:r>
          </w:p>
        </w:tc>
      </w:tr>
      <w:tr w14:paraId="2A1ED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39E01DAD">
            <w:pPr>
              <w:rPr>
                <w:rFonts w:ascii="Arial"/>
                <w:sz w:val="21"/>
                <w:highlight w:val="none"/>
              </w:rPr>
            </w:pPr>
          </w:p>
        </w:tc>
        <w:tc>
          <w:tcPr>
            <w:tcW w:w="1376" w:type="dxa"/>
            <w:gridSpan w:val="2"/>
            <w:vMerge w:val="continue"/>
            <w:tcBorders>
              <w:top w:val="nil"/>
              <w:bottom w:val="nil"/>
            </w:tcBorders>
            <w:noWrap w:val="0"/>
            <w:vAlign w:val="top"/>
          </w:tcPr>
          <w:p w14:paraId="1ACB9C2E">
            <w:pPr>
              <w:rPr>
                <w:rFonts w:ascii="Arial"/>
                <w:sz w:val="21"/>
                <w:highlight w:val="none"/>
              </w:rPr>
            </w:pPr>
          </w:p>
        </w:tc>
        <w:tc>
          <w:tcPr>
            <w:tcW w:w="1528" w:type="dxa"/>
            <w:vMerge w:val="continue"/>
            <w:tcBorders>
              <w:top w:val="nil"/>
              <w:bottom w:val="nil"/>
            </w:tcBorders>
            <w:noWrap w:val="0"/>
            <w:vAlign w:val="top"/>
          </w:tcPr>
          <w:p w14:paraId="29811616">
            <w:pPr>
              <w:rPr>
                <w:rFonts w:ascii="Arial"/>
                <w:sz w:val="21"/>
                <w:highlight w:val="none"/>
              </w:rPr>
            </w:pPr>
          </w:p>
        </w:tc>
        <w:tc>
          <w:tcPr>
            <w:tcW w:w="3660" w:type="dxa"/>
            <w:gridSpan w:val="2"/>
            <w:noWrap w:val="0"/>
            <w:vAlign w:val="top"/>
          </w:tcPr>
          <w:p w14:paraId="59D02D42">
            <w:pPr>
              <w:pStyle w:val="65"/>
              <w:spacing w:before="81" w:line="220" w:lineRule="auto"/>
              <w:ind w:left="114"/>
              <w:rPr>
                <w:highlight w:val="none"/>
              </w:rPr>
            </w:pPr>
            <w:r>
              <w:rPr>
                <w:spacing w:val="-2"/>
                <w:highlight w:val="none"/>
              </w:rPr>
              <w:t>生态护岸长度</w:t>
            </w:r>
          </w:p>
        </w:tc>
        <w:tc>
          <w:tcPr>
            <w:tcW w:w="1769" w:type="dxa"/>
            <w:noWrap w:val="0"/>
            <w:vAlign w:val="top"/>
          </w:tcPr>
          <w:p w14:paraId="2380B1CB">
            <w:pPr>
              <w:pStyle w:val="65"/>
              <w:spacing w:before="113" w:line="184" w:lineRule="auto"/>
              <w:ind w:left="538"/>
              <w:rPr>
                <w:highlight w:val="none"/>
              </w:rPr>
            </w:pPr>
            <w:r>
              <w:rPr>
                <w:spacing w:val="-3"/>
                <w:highlight w:val="none"/>
              </w:rPr>
              <w:t>1664.9m</w:t>
            </w:r>
          </w:p>
        </w:tc>
      </w:tr>
      <w:tr w14:paraId="1C4D9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00CBCC7C">
            <w:pPr>
              <w:rPr>
                <w:rFonts w:ascii="Arial"/>
                <w:sz w:val="21"/>
                <w:highlight w:val="none"/>
              </w:rPr>
            </w:pPr>
          </w:p>
        </w:tc>
        <w:tc>
          <w:tcPr>
            <w:tcW w:w="1376" w:type="dxa"/>
            <w:gridSpan w:val="2"/>
            <w:vMerge w:val="continue"/>
            <w:tcBorders>
              <w:top w:val="nil"/>
              <w:bottom w:val="nil"/>
            </w:tcBorders>
            <w:noWrap w:val="0"/>
            <w:vAlign w:val="top"/>
          </w:tcPr>
          <w:p w14:paraId="3F83CE28">
            <w:pPr>
              <w:rPr>
                <w:rFonts w:ascii="Arial"/>
                <w:sz w:val="21"/>
                <w:highlight w:val="none"/>
              </w:rPr>
            </w:pPr>
          </w:p>
        </w:tc>
        <w:tc>
          <w:tcPr>
            <w:tcW w:w="1528" w:type="dxa"/>
            <w:vMerge w:val="continue"/>
            <w:tcBorders>
              <w:top w:val="nil"/>
              <w:bottom w:val="nil"/>
            </w:tcBorders>
            <w:noWrap w:val="0"/>
            <w:vAlign w:val="top"/>
          </w:tcPr>
          <w:p w14:paraId="2307B5DD">
            <w:pPr>
              <w:rPr>
                <w:rFonts w:ascii="Arial"/>
                <w:sz w:val="21"/>
                <w:highlight w:val="none"/>
              </w:rPr>
            </w:pPr>
          </w:p>
        </w:tc>
        <w:tc>
          <w:tcPr>
            <w:tcW w:w="3660" w:type="dxa"/>
            <w:gridSpan w:val="2"/>
            <w:noWrap w:val="0"/>
            <w:vAlign w:val="top"/>
          </w:tcPr>
          <w:p w14:paraId="5A9F445E">
            <w:pPr>
              <w:pStyle w:val="65"/>
              <w:spacing w:before="81" w:line="220" w:lineRule="auto"/>
              <w:ind w:left="112"/>
              <w:rPr>
                <w:highlight w:val="none"/>
              </w:rPr>
            </w:pPr>
            <w:r>
              <w:rPr>
                <w:spacing w:val="-1"/>
                <w:highlight w:val="none"/>
              </w:rPr>
              <w:t>海岸侵蚀防护长度</w:t>
            </w:r>
          </w:p>
        </w:tc>
        <w:tc>
          <w:tcPr>
            <w:tcW w:w="1769" w:type="dxa"/>
            <w:noWrap w:val="0"/>
            <w:vAlign w:val="top"/>
          </w:tcPr>
          <w:p w14:paraId="39BBA887">
            <w:pPr>
              <w:pStyle w:val="65"/>
              <w:spacing w:before="114" w:line="183" w:lineRule="auto"/>
              <w:ind w:left="525"/>
              <w:rPr>
                <w:highlight w:val="none"/>
              </w:rPr>
            </w:pPr>
            <w:r>
              <w:rPr>
                <w:spacing w:val="-1"/>
                <w:highlight w:val="none"/>
              </w:rPr>
              <w:t>2960.9m</w:t>
            </w:r>
          </w:p>
        </w:tc>
      </w:tr>
      <w:tr w14:paraId="2F281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5E5853B3">
            <w:pPr>
              <w:rPr>
                <w:rFonts w:ascii="Arial"/>
                <w:sz w:val="21"/>
                <w:highlight w:val="none"/>
              </w:rPr>
            </w:pPr>
          </w:p>
        </w:tc>
        <w:tc>
          <w:tcPr>
            <w:tcW w:w="1376" w:type="dxa"/>
            <w:gridSpan w:val="2"/>
            <w:vMerge w:val="continue"/>
            <w:tcBorders>
              <w:top w:val="nil"/>
              <w:bottom w:val="nil"/>
            </w:tcBorders>
            <w:noWrap w:val="0"/>
            <w:vAlign w:val="top"/>
          </w:tcPr>
          <w:p w14:paraId="1FBA98FB">
            <w:pPr>
              <w:rPr>
                <w:rFonts w:ascii="Arial"/>
                <w:sz w:val="21"/>
                <w:highlight w:val="none"/>
              </w:rPr>
            </w:pPr>
          </w:p>
        </w:tc>
        <w:tc>
          <w:tcPr>
            <w:tcW w:w="1528" w:type="dxa"/>
            <w:vMerge w:val="continue"/>
            <w:tcBorders>
              <w:top w:val="nil"/>
              <w:bottom w:val="nil"/>
            </w:tcBorders>
            <w:noWrap w:val="0"/>
            <w:vAlign w:val="top"/>
          </w:tcPr>
          <w:p w14:paraId="3DF5B66A">
            <w:pPr>
              <w:rPr>
                <w:rFonts w:ascii="Arial"/>
                <w:sz w:val="21"/>
                <w:highlight w:val="none"/>
              </w:rPr>
            </w:pPr>
          </w:p>
        </w:tc>
        <w:tc>
          <w:tcPr>
            <w:tcW w:w="3660" w:type="dxa"/>
            <w:gridSpan w:val="2"/>
            <w:noWrap w:val="0"/>
            <w:vAlign w:val="top"/>
          </w:tcPr>
          <w:p w14:paraId="2629673D">
            <w:pPr>
              <w:pStyle w:val="65"/>
              <w:spacing w:before="81" w:line="220" w:lineRule="auto"/>
              <w:ind w:left="112"/>
              <w:rPr>
                <w:highlight w:val="none"/>
              </w:rPr>
            </w:pPr>
            <w:r>
              <w:rPr>
                <w:b/>
                <w:bCs/>
                <w:spacing w:val="-3"/>
                <w:highlight w:val="none"/>
              </w:rPr>
              <w:t>滨海湿地整治修复面积</w:t>
            </w:r>
          </w:p>
        </w:tc>
        <w:tc>
          <w:tcPr>
            <w:tcW w:w="1769" w:type="dxa"/>
            <w:noWrap w:val="0"/>
            <w:vAlign w:val="top"/>
          </w:tcPr>
          <w:p w14:paraId="723EC3DE">
            <w:pPr>
              <w:pStyle w:val="65"/>
              <w:spacing w:before="82" w:line="239" w:lineRule="auto"/>
              <w:ind w:left="433"/>
              <w:rPr>
                <w:highlight w:val="none"/>
              </w:rPr>
            </w:pPr>
            <w:r>
              <w:rPr>
                <w:spacing w:val="-3"/>
                <w:highlight w:val="none"/>
              </w:rPr>
              <w:t>1580.79ha</w:t>
            </w:r>
          </w:p>
        </w:tc>
      </w:tr>
      <w:tr w14:paraId="07B60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5" w:type="dxa"/>
            <w:vMerge w:val="continue"/>
            <w:tcBorders>
              <w:top w:val="nil"/>
              <w:bottom w:val="nil"/>
            </w:tcBorders>
            <w:noWrap w:val="0"/>
            <w:vAlign w:val="top"/>
          </w:tcPr>
          <w:p w14:paraId="707F25D0">
            <w:pPr>
              <w:rPr>
                <w:rFonts w:ascii="Arial"/>
                <w:sz w:val="21"/>
                <w:highlight w:val="none"/>
              </w:rPr>
            </w:pPr>
          </w:p>
        </w:tc>
        <w:tc>
          <w:tcPr>
            <w:tcW w:w="1376" w:type="dxa"/>
            <w:gridSpan w:val="2"/>
            <w:vMerge w:val="continue"/>
            <w:tcBorders>
              <w:top w:val="nil"/>
              <w:bottom w:val="nil"/>
            </w:tcBorders>
            <w:noWrap w:val="0"/>
            <w:vAlign w:val="top"/>
          </w:tcPr>
          <w:p w14:paraId="36832DFD">
            <w:pPr>
              <w:rPr>
                <w:rFonts w:ascii="Arial"/>
                <w:sz w:val="21"/>
                <w:highlight w:val="none"/>
              </w:rPr>
            </w:pPr>
          </w:p>
        </w:tc>
        <w:tc>
          <w:tcPr>
            <w:tcW w:w="1528" w:type="dxa"/>
            <w:vMerge w:val="continue"/>
            <w:tcBorders>
              <w:top w:val="nil"/>
              <w:bottom w:val="nil"/>
            </w:tcBorders>
            <w:noWrap w:val="0"/>
            <w:vAlign w:val="top"/>
          </w:tcPr>
          <w:p w14:paraId="61256C12">
            <w:pPr>
              <w:rPr>
                <w:rFonts w:ascii="Arial"/>
                <w:sz w:val="21"/>
                <w:highlight w:val="none"/>
              </w:rPr>
            </w:pPr>
          </w:p>
        </w:tc>
        <w:tc>
          <w:tcPr>
            <w:tcW w:w="3660" w:type="dxa"/>
            <w:gridSpan w:val="2"/>
            <w:noWrap w:val="0"/>
            <w:vAlign w:val="top"/>
          </w:tcPr>
          <w:p w14:paraId="70998B84">
            <w:pPr>
              <w:pStyle w:val="65"/>
              <w:spacing w:before="82" w:line="219" w:lineRule="auto"/>
              <w:ind w:left="113"/>
              <w:rPr>
                <w:highlight w:val="none"/>
              </w:rPr>
            </w:pPr>
            <w:r>
              <w:rPr>
                <w:spacing w:val="-1"/>
                <w:highlight w:val="none"/>
              </w:rPr>
              <w:t>保育修复芦苇/碱蓬面积</w:t>
            </w:r>
          </w:p>
        </w:tc>
        <w:tc>
          <w:tcPr>
            <w:tcW w:w="1769" w:type="dxa"/>
            <w:noWrap w:val="0"/>
            <w:vAlign w:val="top"/>
          </w:tcPr>
          <w:p w14:paraId="4AC917BE">
            <w:pPr>
              <w:pStyle w:val="65"/>
              <w:spacing w:before="82" w:line="239" w:lineRule="auto"/>
              <w:ind w:left="485"/>
              <w:rPr>
                <w:highlight w:val="none"/>
              </w:rPr>
            </w:pPr>
            <w:r>
              <w:rPr>
                <w:spacing w:val="-3"/>
                <w:highlight w:val="none"/>
              </w:rPr>
              <w:t>143.75ha</w:t>
            </w:r>
          </w:p>
        </w:tc>
      </w:tr>
      <w:tr w14:paraId="60C89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1FED7300">
            <w:pPr>
              <w:rPr>
                <w:rFonts w:ascii="Arial"/>
                <w:sz w:val="21"/>
                <w:highlight w:val="none"/>
              </w:rPr>
            </w:pPr>
          </w:p>
        </w:tc>
        <w:tc>
          <w:tcPr>
            <w:tcW w:w="1376" w:type="dxa"/>
            <w:gridSpan w:val="2"/>
            <w:vMerge w:val="continue"/>
            <w:tcBorders>
              <w:top w:val="nil"/>
              <w:bottom w:val="nil"/>
            </w:tcBorders>
            <w:noWrap w:val="0"/>
            <w:vAlign w:val="top"/>
          </w:tcPr>
          <w:p w14:paraId="451214F2">
            <w:pPr>
              <w:rPr>
                <w:rFonts w:ascii="Arial"/>
                <w:sz w:val="21"/>
                <w:highlight w:val="none"/>
              </w:rPr>
            </w:pPr>
          </w:p>
        </w:tc>
        <w:tc>
          <w:tcPr>
            <w:tcW w:w="1528" w:type="dxa"/>
            <w:vMerge w:val="continue"/>
            <w:tcBorders>
              <w:top w:val="nil"/>
              <w:bottom w:val="nil"/>
            </w:tcBorders>
            <w:noWrap w:val="0"/>
            <w:vAlign w:val="top"/>
          </w:tcPr>
          <w:p w14:paraId="34C2CDE1">
            <w:pPr>
              <w:rPr>
                <w:rFonts w:ascii="Arial"/>
                <w:sz w:val="21"/>
                <w:highlight w:val="none"/>
              </w:rPr>
            </w:pPr>
          </w:p>
        </w:tc>
        <w:tc>
          <w:tcPr>
            <w:tcW w:w="3660" w:type="dxa"/>
            <w:gridSpan w:val="2"/>
            <w:noWrap w:val="0"/>
            <w:vAlign w:val="top"/>
          </w:tcPr>
          <w:p w14:paraId="670E4BAB">
            <w:pPr>
              <w:pStyle w:val="65"/>
              <w:spacing w:before="81" w:line="219" w:lineRule="auto"/>
              <w:ind w:left="113"/>
              <w:rPr>
                <w:highlight w:val="none"/>
              </w:rPr>
            </w:pPr>
            <w:r>
              <w:rPr>
                <w:spacing w:val="-1"/>
                <w:highlight w:val="none"/>
              </w:rPr>
              <w:t>新种植芦苇/碱蓬面积</w:t>
            </w:r>
          </w:p>
        </w:tc>
        <w:tc>
          <w:tcPr>
            <w:tcW w:w="1769" w:type="dxa"/>
            <w:noWrap w:val="0"/>
            <w:vAlign w:val="top"/>
          </w:tcPr>
          <w:p w14:paraId="66005632">
            <w:pPr>
              <w:pStyle w:val="65"/>
              <w:spacing w:before="108" w:line="188" w:lineRule="auto"/>
              <w:ind w:left="486"/>
              <w:rPr>
                <w:highlight w:val="none"/>
              </w:rPr>
            </w:pPr>
            <w:r>
              <w:rPr>
                <w:spacing w:val="-3"/>
                <w:highlight w:val="none"/>
              </w:rPr>
              <w:t>139.14ha</w:t>
            </w:r>
          </w:p>
        </w:tc>
      </w:tr>
      <w:tr w14:paraId="730E8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7EF0F743">
            <w:pPr>
              <w:rPr>
                <w:rFonts w:ascii="Arial"/>
                <w:sz w:val="21"/>
                <w:highlight w:val="none"/>
              </w:rPr>
            </w:pPr>
          </w:p>
        </w:tc>
        <w:tc>
          <w:tcPr>
            <w:tcW w:w="1376" w:type="dxa"/>
            <w:gridSpan w:val="2"/>
            <w:vMerge w:val="continue"/>
            <w:tcBorders>
              <w:top w:val="nil"/>
              <w:bottom w:val="nil"/>
            </w:tcBorders>
            <w:noWrap w:val="0"/>
            <w:vAlign w:val="top"/>
          </w:tcPr>
          <w:p w14:paraId="4BC2EE6A">
            <w:pPr>
              <w:rPr>
                <w:rFonts w:ascii="Arial"/>
                <w:sz w:val="21"/>
                <w:highlight w:val="none"/>
              </w:rPr>
            </w:pPr>
          </w:p>
        </w:tc>
        <w:tc>
          <w:tcPr>
            <w:tcW w:w="1528" w:type="dxa"/>
            <w:vMerge w:val="continue"/>
            <w:tcBorders>
              <w:top w:val="nil"/>
              <w:bottom w:val="nil"/>
            </w:tcBorders>
            <w:noWrap w:val="0"/>
            <w:vAlign w:val="top"/>
          </w:tcPr>
          <w:p w14:paraId="2BC79B91">
            <w:pPr>
              <w:rPr>
                <w:rFonts w:ascii="Arial"/>
                <w:sz w:val="21"/>
                <w:highlight w:val="none"/>
              </w:rPr>
            </w:pPr>
          </w:p>
        </w:tc>
        <w:tc>
          <w:tcPr>
            <w:tcW w:w="3660" w:type="dxa"/>
            <w:gridSpan w:val="2"/>
            <w:noWrap w:val="0"/>
            <w:vAlign w:val="top"/>
          </w:tcPr>
          <w:p w14:paraId="795A7E31">
            <w:pPr>
              <w:pStyle w:val="65"/>
              <w:spacing w:before="80" w:line="220" w:lineRule="auto"/>
              <w:ind w:left="112"/>
              <w:rPr>
                <w:highlight w:val="none"/>
              </w:rPr>
            </w:pPr>
            <w:r>
              <w:rPr>
                <w:spacing w:val="-1"/>
                <w:highlight w:val="none"/>
              </w:rPr>
              <w:t>底栖生物修复面积</w:t>
            </w:r>
          </w:p>
        </w:tc>
        <w:tc>
          <w:tcPr>
            <w:tcW w:w="1769" w:type="dxa"/>
            <w:noWrap w:val="0"/>
            <w:vAlign w:val="top"/>
          </w:tcPr>
          <w:p w14:paraId="7BB89068">
            <w:pPr>
              <w:pStyle w:val="65"/>
              <w:spacing w:before="81" w:line="239" w:lineRule="auto"/>
              <w:ind w:left="473"/>
              <w:rPr>
                <w:highlight w:val="none"/>
              </w:rPr>
            </w:pPr>
            <w:r>
              <w:rPr>
                <w:spacing w:val="-2"/>
                <w:highlight w:val="none"/>
              </w:rPr>
              <w:t>260.91ha</w:t>
            </w:r>
          </w:p>
        </w:tc>
      </w:tr>
      <w:tr w14:paraId="6086E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5" w:type="dxa"/>
            <w:vMerge w:val="continue"/>
            <w:tcBorders>
              <w:top w:val="nil"/>
              <w:bottom w:val="nil"/>
            </w:tcBorders>
            <w:noWrap w:val="0"/>
            <w:vAlign w:val="top"/>
          </w:tcPr>
          <w:p w14:paraId="78141FBC">
            <w:pPr>
              <w:rPr>
                <w:rFonts w:ascii="Arial"/>
                <w:sz w:val="21"/>
                <w:highlight w:val="none"/>
              </w:rPr>
            </w:pPr>
          </w:p>
        </w:tc>
        <w:tc>
          <w:tcPr>
            <w:tcW w:w="1376" w:type="dxa"/>
            <w:gridSpan w:val="2"/>
            <w:vMerge w:val="continue"/>
            <w:tcBorders>
              <w:top w:val="nil"/>
              <w:bottom w:val="nil"/>
            </w:tcBorders>
            <w:noWrap w:val="0"/>
            <w:vAlign w:val="top"/>
          </w:tcPr>
          <w:p w14:paraId="3B3E1E9A">
            <w:pPr>
              <w:rPr>
                <w:rFonts w:ascii="Arial"/>
                <w:sz w:val="21"/>
                <w:highlight w:val="none"/>
              </w:rPr>
            </w:pPr>
          </w:p>
        </w:tc>
        <w:tc>
          <w:tcPr>
            <w:tcW w:w="1528" w:type="dxa"/>
            <w:vMerge w:val="continue"/>
            <w:tcBorders>
              <w:top w:val="nil"/>
              <w:bottom w:val="nil"/>
            </w:tcBorders>
            <w:noWrap w:val="0"/>
            <w:vAlign w:val="top"/>
          </w:tcPr>
          <w:p w14:paraId="1229C210">
            <w:pPr>
              <w:rPr>
                <w:rFonts w:ascii="Arial"/>
                <w:sz w:val="21"/>
                <w:highlight w:val="none"/>
              </w:rPr>
            </w:pPr>
          </w:p>
        </w:tc>
        <w:tc>
          <w:tcPr>
            <w:tcW w:w="3660" w:type="dxa"/>
            <w:gridSpan w:val="2"/>
            <w:noWrap w:val="0"/>
            <w:vAlign w:val="top"/>
          </w:tcPr>
          <w:p w14:paraId="12308A64">
            <w:pPr>
              <w:pStyle w:val="65"/>
              <w:spacing w:before="82" w:line="220" w:lineRule="auto"/>
              <w:ind w:left="115"/>
              <w:rPr>
                <w:highlight w:val="none"/>
              </w:rPr>
            </w:pPr>
            <w:r>
              <w:rPr>
                <w:spacing w:val="-2"/>
                <w:highlight w:val="none"/>
              </w:rPr>
              <w:t>浒苔防治面积</w:t>
            </w:r>
          </w:p>
        </w:tc>
        <w:tc>
          <w:tcPr>
            <w:tcW w:w="1769" w:type="dxa"/>
            <w:noWrap w:val="0"/>
            <w:vAlign w:val="top"/>
          </w:tcPr>
          <w:p w14:paraId="70C3B8D0">
            <w:pPr>
              <w:pStyle w:val="65"/>
              <w:spacing w:before="82" w:line="239" w:lineRule="auto"/>
              <w:ind w:left="432"/>
              <w:rPr>
                <w:highlight w:val="none"/>
              </w:rPr>
            </w:pPr>
            <w:r>
              <w:rPr>
                <w:spacing w:val="-3"/>
                <w:highlight w:val="none"/>
              </w:rPr>
              <w:t>1006.83ha</w:t>
            </w:r>
          </w:p>
        </w:tc>
      </w:tr>
      <w:tr w14:paraId="4025D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266AD2B6">
            <w:pPr>
              <w:rPr>
                <w:rFonts w:ascii="Arial"/>
                <w:sz w:val="21"/>
                <w:highlight w:val="none"/>
              </w:rPr>
            </w:pPr>
          </w:p>
        </w:tc>
        <w:tc>
          <w:tcPr>
            <w:tcW w:w="1376" w:type="dxa"/>
            <w:gridSpan w:val="2"/>
            <w:vMerge w:val="continue"/>
            <w:tcBorders>
              <w:top w:val="nil"/>
              <w:bottom w:val="nil"/>
            </w:tcBorders>
            <w:noWrap w:val="0"/>
            <w:vAlign w:val="top"/>
          </w:tcPr>
          <w:p w14:paraId="38F1D47A">
            <w:pPr>
              <w:rPr>
                <w:rFonts w:ascii="Arial"/>
                <w:sz w:val="21"/>
                <w:highlight w:val="none"/>
              </w:rPr>
            </w:pPr>
          </w:p>
        </w:tc>
        <w:tc>
          <w:tcPr>
            <w:tcW w:w="1528" w:type="dxa"/>
            <w:vMerge w:val="continue"/>
            <w:tcBorders>
              <w:top w:val="nil"/>
              <w:bottom w:val="nil"/>
            </w:tcBorders>
            <w:noWrap w:val="0"/>
            <w:vAlign w:val="top"/>
          </w:tcPr>
          <w:p w14:paraId="6071E85A">
            <w:pPr>
              <w:rPr>
                <w:rFonts w:ascii="Arial"/>
                <w:sz w:val="21"/>
                <w:highlight w:val="none"/>
              </w:rPr>
            </w:pPr>
          </w:p>
        </w:tc>
        <w:tc>
          <w:tcPr>
            <w:tcW w:w="3660" w:type="dxa"/>
            <w:gridSpan w:val="2"/>
            <w:noWrap w:val="0"/>
            <w:vAlign w:val="top"/>
          </w:tcPr>
          <w:p w14:paraId="76DC2A03">
            <w:pPr>
              <w:pStyle w:val="65"/>
              <w:spacing w:before="81" w:line="220" w:lineRule="auto"/>
              <w:ind w:left="112"/>
              <w:rPr>
                <w:highlight w:val="none"/>
              </w:rPr>
            </w:pPr>
            <w:r>
              <w:rPr>
                <w:spacing w:val="-2"/>
                <w:highlight w:val="none"/>
              </w:rPr>
              <w:t>潮沟疏通面积</w:t>
            </w:r>
          </w:p>
        </w:tc>
        <w:tc>
          <w:tcPr>
            <w:tcW w:w="1769" w:type="dxa"/>
            <w:noWrap w:val="0"/>
            <w:vAlign w:val="top"/>
          </w:tcPr>
          <w:p w14:paraId="52CC1475">
            <w:pPr>
              <w:pStyle w:val="65"/>
              <w:spacing w:before="81" w:line="239" w:lineRule="auto"/>
              <w:ind w:left="525"/>
              <w:rPr>
                <w:highlight w:val="none"/>
              </w:rPr>
            </w:pPr>
            <w:r>
              <w:rPr>
                <w:spacing w:val="-2"/>
                <w:highlight w:val="none"/>
              </w:rPr>
              <w:t>25.63ha</w:t>
            </w:r>
          </w:p>
        </w:tc>
      </w:tr>
      <w:tr w14:paraId="7D6A9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1284778D">
            <w:pPr>
              <w:rPr>
                <w:rFonts w:ascii="Arial"/>
                <w:sz w:val="21"/>
                <w:highlight w:val="none"/>
              </w:rPr>
            </w:pPr>
          </w:p>
        </w:tc>
        <w:tc>
          <w:tcPr>
            <w:tcW w:w="1376" w:type="dxa"/>
            <w:gridSpan w:val="2"/>
            <w:vMerge w:val="continue"/>
            <w:tcBorders>
              <w:top w:val="nil"/>
              <w:bottom w:val="nil"/>
            </w:tcBorders>
            <w:noWrap w:val="0"/>
            <w:vAlign w:val="top"/>
          </w:tcPr>
          <w:p w14:paraId="3D3D7EE6">
            <w:pPr>
              <w:rPr>
                <w:rFonts w:ascii="Arial"/>
                <w:sz w:val="21"/>
                <w:highlight w:val="none"/>
              </w:rPr>
            </w:pPr>
          </w:p>
        </w:tc>
        <w:tc>
          <w:tcPr>
            <w:tcW w:w="1528" w:type="dxa"/>
            <w:vMerge w:val="continue"/>
            <w:tcBorders>
              <w:top w:val="nil"/>
            </w:tcBorders>
            <w:noWrap w:val="0"/>
            <w:vAlign w:val="top"/>
          </w:tcPr>
          <w:p w14:paraId="303799E6">
            <w:pPr>
              <w:rPr>
                <w:rFonts w:ascii="Arial"/>
                <w:sz w:val="21"/>
                <w:highlight w:val="none"/>
              </w:rPr>
            </w:pPr>
          </w:p>
        </w:tc>
        <w:tc>
          <w:tcPr>
            <w:tcW w:w="3660" w:type="dxa"/>
            <w:gridSpan w:val="2"/>
            <w:noWrap w:val="0"/>
            <w:vAlign w:val="top"/>
          </w:tcPr>
          <w:p w14:paraId="324823C3">
            <w:pPr>
              <w:pStyle w:val="65"/>
              <w:spacing w:before="81" w:line="220" w:lineRule="auto"/>
              <w:ind w:left="112"/>
              <w:rPr>
                <w:highlight w:val="none"/>
              </w:rPr>
            </w:pPr>
            <w:r>
              <w:rPr>
                <w:spacing w:val="-1"/>
                <w:highlight w:val="none"/>
              </w:rPr>
              <w:t>海岸湿地修复面积</w:t>
            </w:r>
          </w:p>
        </w:tc>
        <w:tc>
          <w:tcPr>
            <w:tcW w:w="1769" w:type="dxa"/>
            <w:noWrap w:val="0"/>
            <w:vAlign w:val="top"/>
          </w:tcPr>
          <w:p w14:paraId="3E3F86A7">
            <w:pPr>
              <w:pStyle w:val="65"/>
              <w:spacing w:before="81" w:line="239" w:lineRule="auto"/>
              <w:ind w:left="524"/>
              <w:rPr>
                <w:highlight w:val="none"/>
              </w:rPr>
            </w:pPr>
            <w:r>
              <w:rPr>
                <w:spacing w:val="-2"/>
                <w:highlight w:val="none"/>
              </w:rPr>
              <w:t>69.87ha</w:t>
            </w:r>
          </w:p>
        </w:tc>
      </w:tr>
      <w:tr w14:paraId="7DEE9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1E56B120">
            <w:pPr>
              <w:rPr>
                <w:rFonts w:ascii="Arial"/>
                <w:sz w:val="21"/>
                <w:highlight w:val="none"/>
              </w:rPr>
            </w:pPr>
          </w:p>
        </w:tc>
        <w:tc>
          <w:tcPr>
            <w:tcW w:w="1376" w:type="dxa"/>
            <w:gridSpan w:val="2"/>
            <w:vMerge w:val="continue"/>
            <w:tcBorders>
              <w:top w:val="nil"/>
              <w:bottom w:val="nil"/>
            </w:tcBorders>
            <w:noWrap w:val="0"/>
            <w:vAlign w:val="top"/>
          </w:tcPr>
          <w:p w14:paraId="27049A73">
            <w:pPr>
              <w:rPr>
                <w:rFonts w:ascii="Arial"/>
                <w:sz w:val="21"/>
                <w:highlight w:val="none"/>
              </w:rPr>
            </w:pPr>
          </w:p>
        </w:tc>
        <w:tc>
          <w:tcPr>
            <w:tcW w:w="1528" w:type="dxa"/>
            <w:noWrap w:val="0"/>
            <w:vAlign w:val="top"/>
          </w:tcPr>
          <w:p w14:paraId="24E25008">
            <w:pPr>
              <w:rPr>
                <w:rFonts w:ascii="Arial"/>
                <w:sz w:val="21"/>
                <w:highlight w:val="none"/>
              </w:rPr>
            </w:pPr>
          </w:p>
        </w:tc>
        <w:tc>
          <w:tcPr>
            <w:tcW w:w="3660" w:type="dxa"/>
            <w:gridSpan w:val="2"/>
            <w:noWrap w:val="0"/>
            <w:vAlign w:val="top"/>
          </w:tcPr>
          <w:p w14:paraId="0625BE89">
            <w:pPr>
              <w:pStyle w:val="65"/>
              <w:spacing w:before="81" w:line="220" w:lineRule="auto"/>
              <w:ind w:left="116"/>
              <w:rPr>
                <w:highlight w:val="none"/>
              </w:rPr>
            </w:pPr>
            <w:r>
              <w:rPr>
                <w:spacing w:val="-1"/>
                <w:highlight w:val="none"/>
              </w:rPr>
              <w:t>设置海洋生态状况调查监测站点数量</w:t>
            </w:r>
          </w:p>
        </w:tc>
        <w:tc>
          <w:tcPr>
            <w:tcW w:w="1769" w:type="dxa"/>
            <w:noWrap w:val="0"/>
            <w:vAlign w:val="top"/>
          </w:tcPr>
          <w:p w14:paraId="5AE0099B">
            <w:pPr>
              <w:pStyle w:val="65"/>
              <w:spacing w:before="114" w:line="183" w:lineRule="auto"/>
              <w:ind w:left="789"/>
              <w:rPr>
                <w:highlight w:val="none"/>
              </w:rPr>
            </w:pPr>
            <w:r>
              <w:rPr>
                <w:spacing w:val="-4"/>
                <w:highlight w:val="none"/>
              </w:rPr>
              <w:t>32</w:t>
            </w:r>
          </w:p>
        </w:tc>
      </w:tr>
      <w:tr w14:paraId="002F9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5" w:type="dxa"/>
            <w:vMerge w:val="continue"/>
            <w:tcBorders>
              <w:top w:val="nil"/>
              <w:bottom w:val="nil"/>
            </w:tcBorders>
            <w:noWrap w:val="0"/>
            <w:vAlign w:val="top"/>
          </w:tcPr>
          <w:p w14:paraId="4108A747">
            <w:pPr>
              <w:rPr>
                <w:rFonts w:ascii="Arial"/>
                <w:sz w:val="21"/>
                <w:highlight w:val="none"/>
              </w:rPr>
            </w:pPr>
          </w:p>
        </w:tc>
        <w:tc>
          <w:tcPr>
            <w:tcW w:w="1376" w:type="dxa"/>
            <w:gridSpan w:val="2"/>
            <w:vMerge w:val="continue"/>
            <w:tcBorders>
              <w:top w:val="nil"/>
              <w:bottom w:val="nil"/>
            </w:tcBorders>
            <w:noWrap w:val="0"/>
            <w:vAlign w:val="top"/>
          </w:tcPr>
          <w:p w14:paraId="1ED86E8C">
            <w:pPr>
              <w:rPr>
                <w:rFonts w:ascii="Arial"/>
                <w:sz w:val="21"/>
                <w:highlight w:val="none"/>
              </w:rPr>
            </w:pPr>
          </w:p>
        </w:tc>
        <w:tc>
          <w:tcPr>
            <w:tcW w:w="1528" w:type="dxa"/>
            <w:noWrap w:val="0"/>
            <w:vAlign w:val="top"/>
          </w:tcPr>
          <w:p w14:paraId="16F48747">
            <w:pPr>
              <w:rPr>
                <w:rFonts w:ascii="Arial"/>
                <w:sz w:val="21"/>
                <w:highlight w:val="none"/>
              </w:rPr>
            </w:pPr>
          </w:p>
        </w:tc>
        <w:tc>
          <w:tcPr>
            <w:tcW w:w="3660" w:type="dxa"/>
            <w:gridSpan w:val="2"/>
            <w:noWrap w:val="0"/>
            <w:vAlign w:val="top"/>
          </w:tcPr>
          <w:p w14:paraId="562EFC35">
            <w:pPr>
              <w:pStyle w:val="65"/>
              <w:spacing w:before="82" w:line="220" w:lineRule="auto"/>
              <w:ind w:left="114"/>
              <w:rPr>
                <w:highlight w:val="none"/>
              </w:rPr>
            </w:pPr>
            <w:r>
              <w:rPr>
                <w:spacing w:val="-1"/>
                <w:highlight w:val="none"/>
              </w:rPr>
              <w:t>完成海洋生态状况调查</w:t>
            </w:r>
          </w:p>
        </w:tc>
        <w:tc>
          <w:tcPr>
            <w:tcW w:w="1769" w:type="dxa"/>
            <w:noWrap w:val="0"/>
            <w:vAlign w:val="top"/>
          </w:tcPr>
          <w:p w14:paraId="4E2275B9">
            <w:pPr>
              <w:pStyle w:val="65"/>
              <w:spacing w:before="82" w:line="220" w:lineRule="auto"/>
              <w:ind w:left="621"/>
              <w:rPr>
                <w:highlight w:val="none"/>
              </w:rPr>
            </w:pPr>
            <w:r>
              <w:rPr>
                <w:spacing w:val="-10"/>
                <w:highlight w:val="none"/>
              </w:rPr>
              <w:t>≥4</w:t>
            </w:r>
            <w:r>
              <w:rPr>
                <w:spacing w:val="-38"/>
                <w:highlight w:val="none"/>
              </w:rPr>
              <w:t xml:space="preserve"> </w:t>
            </w:r>
            <w:r>
              <w:rPr>
                <w:spacing w:val="-10"/>
                <w:highlight w:val="none"/>
              </w:rPr>
              <w:t>次</w:t>
            </w:r>
          </w:p>
        </w:tc>
      </w:tr>
      <w:tr w14:paraId="182E7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15" w:type="dxa"/>
            <w:vMerge w:val="continue"/>
            <w:tcBorders>
              <w:top w:val="nil"/>
            </w:tcBorders>
            <w:noWrap w:val="0"/>
            <w:vAlign w:val="top"/>
          </w:tcPr>
          <w:p w14:paraId="3A8D82C2">
            <w:pPr>
              <w:rPr>
                <w:rFonts w:ascii="Arial"/>
                <w:sz w:val="21"/>
                <w:highlight w:val="none"/>
              </w:rPr>
            </w:pPr>
          </w:p>
        </w:tc>
        <w:tc>
          <w:tcPr>
            <w:tcW w:w="1376" w:type="dxa"/>
            <w:gridSpan w:val="2"/>
            <w:vMerge w:val="continue"/>
            <w:tcBorders>
              <w:top w:val="nil"/>
            </w:tcBorders>
            <w:noWrap w:val="0"/>
            <w:vAlign w:val="top"/>
          </w:tcPr>
          <w:p w14:paraId="11D456B9">
            <w:pPr>
              <w:rPr>
                <w:rFonts w:ascii="Arial"/>
                <w:sz w:val="21"/>
                <w:highlight w:val="none"/>
              </w:rPr>
            </w:pPr>
          </w:p>
        </w:tc>
        <w:tc>
          <w:tcPr>
            <w:tcW w:w="1528" w:type="dxa"/>
            <w:vMerge w:val="restart"/>
            <w:noWrap w:val="0"/>
            <w:vAlign w:val="top"/>
          </w:tcPr>
          <w:p w14:paraId="08C1F71E">
            <w:pPr>
              <w:pStyle w:val="65"/>
              <w:spacing w:before="82" w:line="220" w:lineRule="auto"/>
              <w:ind w:left="113"/>
              <w:rPr>
                <w:highlight w:val="none"/>
              </w:rPr>
            </w:pPr>
            <w:r>
              <w:rPr>
                <w:spacing w:val="-2"/>
                <w:highlight w:val="none"/>
              </w:rPr>
              <w:t>质量指标</w:t>
            </w:r>
          </w:p>
        </w:tc>
        <w:tc>
          <w:tcPr>
            <w:tcW w:w="3660" w:type="dxa"/>
            <w:gridSpan w:val="2"/>
            <w:noWrap w:val="0"/>
            <w:vAlign w:val="top"/>
          </w:tcPr>
          <w:p w14:paraId="30FF454A">
            <w:pPr>
              <w:pStyle w:val="65"/>
              <w:spacing w:before="81" w:line="220" w:lineRule="auto"/>
              <w:ind w:left="115"/>
              <w:rPr>
                <w:highlight w:val="none"/>
              </w:rPr>
            </w:pPr>
            <w:r>
              <w:rPr>
                <w:spacing w:val="-2"/>
                <w:highlight w:val="none"/>
              </w:rPr>
              <w:t>工程质量合格率</w:t>
            </w:r>
          </w:p>
        </w:tc>
        <w:tc>
          <w:tcPr>
            <w:tcW w:w="1769" w:type="dxa"/>
            <w:noWrap w:val="0"/>
            <w:vAlign w:val="top"/>
          </w:tcPr>
          <w:p w14:paraId="5BDECA6C">
            <w:pPr>
              <w:pStyle w:val="65"/>
              <w:spacing w:before="113" w:line="184" w:lineRule="auto"/>
              <w:ind w:left="696"/>
              <w:rPr>
                <w:highlight w:val="none"/>
              </w:rPr>
            </w:pPr>
            <w:r>
              <w:rPr>
                <w:spacing w:val="-5"/>
                <w:highlight w:val="none"/>
              </w:rPr>
              <w:t>100%</w:t>
            </w:r>
          </w:p>
        </w:tc>
      </w:tr>
      <w:tr w14:paraId="344F7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15" w:type="dxa"/>
            <w:vMerge w:val="restart"/>
            <w:tcBorders>
              <w:bottom w:val="nil"/>
            </w:tcBorders>
            <w:noWrap w:val="0"/>
            <w:vAlign w:val="top"/>
          </w:tcPr>
          <w:p w14:paraId="7C33F1D8">
            <w:pPr>
              <w:rPr>
                <w:rFonts w:ascii="Arial"/>
                <w:sz w:val="21"/>
                <w:highlight w:val="none"/>
              </w:rPr>
            </w:pPr>
          </w:p>
        </w:tc>
        <w:tc>
          <w:tcPr>
            <w:tcW w:w="1376" w:type="dxa"/>
            <w:gridSpan w:val="2"/>
            <w:vMerge w:val="restart"/>
            <w:tcBorders>
              <w:bottom w:val="nil"/>
            </w:tcBorders>
            <w:noWrap w:val="0"/>
            <w:vAlign w:val="top"/>
          </w:tcPr>
          <w:p w14:paraId="21CC237B">
            <w:pPr>
              <w:rPr>
                <w:rFonts w:ascii="Arial"/>
                <w:sz w:val="21"/>
                <w:highlight w:val="none"/>
              </w:rPr>
            </w:pPr>
          </w:p>
        </w:tc>
        <w:tc>
          <w:tcPr>
            <w:tcW w:w="1528" w:type="dxa"/>
            <w:vMerge w:val="continue"/>
            <w:noWrap w:val="0"/>
            <w:vAlign w:val="top"/>
          </w:tcPr>
          <w:p w14:paraId="5B7A4570">
            <w:pPr>
              <w:rPr>
                <w:rFonts w:ascii="Arial"/>
                <w:sz w:val="21"/>
                <w:highlight w:val="none"/>
              </w:rPr>
            </w:pPr>
          </w:p>
        </w:tc>
        <w:tc>
          <w:tcPr>
            <w:tcW w:w="3660" w:type="dxa"/>
            <w:gridSpan w:val="2"/>
            <w:noWrap w:val="0"/>
            <w:vAlign w:val="top"/>
          </w:tcPr>
          <w:p w14:paraId="3AE9BEC0">
            <w:pPr>
              <w:pStyle w:val="65"/>
              <w:spacing w:before="81" w:line="219" w:lineRule="auto"/>
              <w:ind w:left="114"/>
              <w:rPr>
                <w:highlight w:val="none"/>
              </w:rPr>
            </w:pPr>
            <w:r>
              <w:rPr>
                <w:spacing w:val="-2"/>
                <w:highlight w:val="none"/>
              </w:rPr>
              <w:t>芦苇种植成活率</w:t>
            </w:r>
          </w:p>
        </w:tc>
        <w:tc>
          <w:tcPr>
            <w:tcW w:w="1769" w:type="dxa"/>
            <w:noWrap w:val="0"/>
            <w:vAlign w:val="top"/>
          </w:tcPr>
          <w:p w14:paraId="7930AE91">
            <w:pPr>
              <w:pStyle w:val="65"/>
              <w:spacing w:before="81" w:line="238" w:lineRule="auto"/>
              <w:ind w:left="595"/>
              <w:rPr>
                <w:highlight w:val="none"/>
              </w:rPr>
            </w:pPr>
            <w:r>
              <w:rPr>
                <w:spacing w:val="-8"/>
                <w:highlight w:val="none"/>
              </w:rPr>
              <w:t>≥50</w:t>
            </w:r>
            <w:r>
              <w:rPr>
                <w:spacing w:val="4"/>
                <w:highlight w:val="none"/>
              </w:rPr>
              <w:t xml:space="preserve"> </w:t>
            </w:r>
            <w:r>
              <w:rPr>
                <w:spacing w:val="-8"/>
                <w:highlight w:val="none"/>
              </w:rPr>
              <w:t>%</w:t>
            </w:r>
          </w:p>
        </w:tc>
      </w:tr>
      <w:tr w14:paraId="5E390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06CDACEC">
            <w:pPr>
              <w:rPr>
                <w:rFonts w:ascii="Arial"/>
                <w:sz w:val="21"/>
                <w:highlight w:val="none"/>
              </w:rPr>
            </w:pPr>
          </w:p>
        </w:tc>
        <w:tc>
          <w:tcPr>
            <w:tcW w:w="1376" w:type="dxa"/>
            <w:gridSpan w:val="2"/>
            <w:vMerge w:val="continue"/>
            <w:tcBorders>
              <w:top w:val="nil"/>
              <w:bottom w:val="nil"/>
            </w:tcBorders>
            <w:noWrap w:val="0"/>
            <w:vAlign w:val="top"/>
          </w:tcPr>
          <w:p w14:paraId="408B94B2">
            <w:pPr>
              <w:rPr>
                <w:rFonts w:ascii="Arial"/>
                <w:sz w:val="21"/>
                <w:highlight w:val="none"/>
              </w:rPr>
            </w:pPr>
          </w:p>
        </w:tc>
        <w:tc>
          <w:tcPr>
            <w:tcW w:w="1528" w:type="dxa"/>
            <w:vMerge w:val="continue"/>
            <w:noWrap w:val="0"/>
            <w:vAlign w:val="top"/>
          </w:tcPr>
          <w:p w14:paraId="18C52F73">
            <w:pPr>
              <w:rPr>
                <w:rFonts w:ascii="Arial"/>
                <w:sz w:val="21"/>
                <w:highlight w:val="none"/>
              </w:rPr>
            </w:pPr>
          </w:p>
        </w:tc>
        <w:tc>
          <w:tcPr>
            <w:tcW w:w="3660" w:type="dxa"/>
            <w:gridSpan w:val="2"/>
            <w:noWrap w:val="0"/>
            <w:vAlign w:val="top"/>
          </w:tcPr>
          <w:p w14:paraId="268C16DE">
            <w:pPr>
              <w:pStyle w:val="65"/>
              <w:spacing w:before="78" w:line="218" w:lineRule="auto"/>
              <w:ind w:left="114"/>
              <w:rPr>
                <w:highlight w:val="none"/>
              </w:rPr>
            </w:pPr>
            <w:r>
              <w:rPr>
                <w:spacing w:val="-1"/>
                <w:highlight w:val="none"/>
              </w:rPr>
              <w:t>盐沼生态状况综合评估等级</w:t>
            </w:r>
          </w:p>
        </w:tc>
        <w:tc>
          <w:tcPr>
            <w:tcW w:w="1769" w:type="dxa"/>
            <w:noWrap w:val="0"/>
            <w:vAlign w:val="top"/>
          </w:tcPr>
          <w:p w14:paraId="57BEE5BD">
            <w:pPr>
              <w:pStyle w:val="65"/>
              <w:spacing w:before="77" w:line="222" w:lineRule="auto"/>
              <w:ind w:left="718"/>
              <w:rPr>
                <w:highlight w:val="none"/>
              </w:rPr>
            </w:pPr>
            <w:r>
              <w:rPr>
                <w:spacing w:val="-10"/>
                <w:highlight w:val="none"/>
              </w:rPr>
              <w:t>I</w:t>
            </w:r>
            <w:r>
              <w:rPr>
                <w:spacing w:val="-41"/>
                <w:highlight w:val="none"/>
              </w:rPr>
              <w:t xml:space="preserve"> </w:t>
            </w:r>
            <w:r>
              <w:rPr>
                <w:spacing w:val="-10"/>
                <w:highlight w:val="none"/>
              </w:rPr>
              <w:t>级</w:t>
            </w:r>
          </w:p>
        </w:tc>
      </w:tr>
      <w:tr w14:paraId="2373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5" w:type="dxa"/>
            <w:vMerge w:val="continue"/>
            <w:tcBorders>
              <w:top w:val="nil"/>
              <w:bottom w:val="nil"/>
            </w:tcBorders>
            <w:noWrap w:val="0"/>
            <w:vAlign w:val="top"/>
          </w:tcPr>
          <w:p w14:paraId="7AF27CA5">
            <w:pPr>
              <w:rPr>
                <w:rFonts w:ascii="Arial"/>
                <w:sz w:val="21"/>
                <w:highlight w:val="none"/>
              </w:rPr>
            </w:pPr>
          </w:p>
        </w:tc>
        <w:tc>
          <w:tcPr>
            <w:tcW w:w="1376" w:type="dxa"/>
            <w:gridSpan w:val="2"/>
            <w:vMerge w:val="continue"/>
            <w:tcBorders>
              <w:top w:val="nil"/>
              <w:bottom w:val="nil"/>
            </w:tcBorders>
            <w:noWrap w:val="0"/>
            <w:vAlign w:val="top"/>
          </w:tcPr>
          <w:p w14:paraId="2D80F2B9">
            <w:pPr>
              <w:rPr>
                <w:rFonts w:ascii="Arial"/>
                <w:sz w:val="21"/>
                <w:highlight w:val="none"/>
              </w:rPr>
            </w:pPr>
          </w:p>
        </w:tc>
        <w:tc>
          <w:tcPr>
            <w:tcW w:w="1528" w:type="dxa"/>
            <w:vMerge w:val="restart"/>
            <w:tcBorders>
              <w:bottom w:val="nil"/>
            </w:tcBorders>
            <w:noWrap w:val="0"/>
            <w:vAlign w:val="top"/>
          </w:tcPr>
          <w:p w14:paraId="618F57FD">
            <w:pPr>
              <w:pStyle w:val="65"/>
              <w:spacing w:before="268" w:line="220" w:lineRule="auto"/>
              <w:ind w:left="122"/>
              <w:rPr>
                <w:highlight w:val="none"/>
              </w:rPr>
            </w:pPr>
            <w:r>
              <w:rPr>
                <w:spacing w:val="-4"/>
                <w:highlight w:val="none"/>
              </w:rPr>
              <w:t>时效指标</w:t>
            </w:r>
          </w:p>
        </w:tc>
        <w:tc>
          <w:tcPr>
            <w:tcW w:w="3660" w:type="dxa"/>
            <w:gridSpan w:val="2"/>
            <w:noWrap w:val="0"/>
            <w:vAlign w:val="top"/>
          </w:tcPr>
          <w:p w14:paraId="24AF7686">
            <w:pPr>
              <w:pStyle w:val="65"/>
              <w:spacing w:before="77" w:line="220" w:lineRule="auto"/>
              <w:ind w:left="116"/>
              <w:rPr>
                <w:highlight w:val="none"/>
              </w:rPr>
            </w:pPr>
            <w:r>
              <w:rPr>
                <w:spacing w:val="-2"/>
                <w:highlight w:val="none"/>
              </w:rPr>
              <w:t>项目按时完成率</w:t>
            </w:r>
          </w:p>
        </w:tc>
        <w:tc>
          <w:tcPr>
            <w:tcW w:w="1769" w:type="dxa"/>
            <w:noWrap w:val="0"/>
            <w:vAlign w:val="top"/>
          </w:tcPr>
          <w:p w14:paraId="6A2FF017">
            <w:pPr>
              <w:pStyle w:val="65"/>
              <w:spacing w:before="110" w:line="184" w:lineRule="auto"/>
              <w:ind w:left="696"/>
              <w:rPr>
                <w:highlight w:val="none"/>
              </w:rPr>
            </w:pPr>
            <w:r>
              <w:rPr>
                <w:spacing w:val="-5"/>
                <w:highlight w:val="none"/>
              </w:rPr>
              <w:t>100%</w:t>
            </w:r>
          </w:p>
        </w:tc>
      </w:tr>
      <w:tr w14:paraId="0F284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5" w:type="dxa"/>
            <w:vMerge w:val="continue"/>
            <w:tcBorders>
              <w:top w:val="nil"/>
              <w:bottom w:val="nil"/>
            </w:tcBorders>
            <w:noWrap w:val="0"/>
            <w:vAlign w:val="top"/>
          </w:tcPr>
          <w:p w14:paraId="209598E3">
            <w:pPr>
              <w:rPr>
                <w:rFonts w:ascii="Arial"/>
                <w:sz w:val="21"/>
                <w:highlight w:val="none"/>
              </w:rPr>
            </w:pPr>
          </w:p>
        </w:tc>
        <w:tc>
          <w:tcPr>
            <w:tcW w:w="1376" w:type="dxa"/>
            <w:gridSpan w:val="2"/>
            <w:vMerge w:val="continue"/>
            <w:tcBorders>
              <w:top w:val="nil"/>
              <w:bottom w:val="nil"/>
            </w:tcBorders>
            <w:noWrap w:val="0"/>
            <w:vAlign w:val="top"/>
          </w:tcPr>
          <w:p w14:paraId="71C54C0E">
            <w:pPr>
              <w:rPr>
                <w:rFonts w:ascii="Arial"/>
                <w:sz w:val="21"/>
                <w:highlight w:val="none"/>
              </w:rPr>
            </w:pPr>
          </w:p>
        </w:tc>
        <w:tc>
          <w:tcPr>
            <w:tcW w:w="1528" w:type="dxa"/>
            <w:vMerge w:val="continue"/>
            <w:tcBorders>
              <w:top w:val="nil"/>
            </w:tcBorders>
            <w:noWrap w:val="0"/>
            <w:vAlign w:val="top"/>
          </w:tcPr>
          <w:p w14:paraId="2486D996">
            <w:pPr>
              <w:rPr>
                <w:rFonts w:ascii="Arial"/>
                <w:sz w:val="21"/>
                <w:highlight w:val="none"/>
              </w:rPr>
            </w:pPr>
          </w:p>
        </w:tc>
        <w:tc>
          <w:tcPr>
            <w:tcW w:w="3660" w:type="dxa"/>
            <w:gridSpan w:val="2"/>
            <w:noWrap w:val="0"/>
            <w:vAlign w:val="top"/>
          </w:tcPr>
          <w:p w14:paraId="75E889B4">
            <w:pPr>
              <w:pStyle w:val="65"/>
              <w:spacing w:before="79" w:line="220" w:lineRule="auto"/>
              <w:ind w:left="114"/>
              <w:rPr>
                <w:highlight w:val="none"/>
              </w:rPr>
            </w:pPr>
            <w:r>
              <w:rPr>
                <w:spacing w:val="-1"/>
                <w:highlight w:val="none"/>
              </w:rPr>
              <w:t>预算执行按时完成率</w:t>
            </w:r>
          </w:p>
        </w:tc>
        <w:tc>
          <w:tcPr>
            <w:tcW w:w="1769" w:type="dxa"/>
            <w:noWrap w:val="0"/>
            <w:vAlign w:val="top"/>
          </w:tcPr>
          <w:p w14:paraId="1CB1B779">
            <w:pPr>
              <w:pStyle w:val="65"/>
              <w:spacing w:before="112" w:line="184" w:lineRule="auto"/>
              <w:ind w:left="696"/>
              <w:rPr>
                <w:highlight w:val="none"/>
              </w:rPr>
            </w:pPr>
            <w:r>
              <w:rPr>
                <w:spacing w:val="-5"/>
                <w:highlight w:val="none"/>
              </w:rPr>
              <w:t>100%</w:t>
            </w:r>
          </w:p>
        </w:tc>
      </w:tr>
      <w:tr w14:paraId="14C9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66777FFF">
            <w:pPr>
              <w:rPr>
                <w:rFonts w:ascii="Arial"/>
                <w:sz w:val="21"/>
                <w:highlight w:val="none"/>
              </w:rPr>
            </w:pPr>
          </w:p>
        </w:tc>
        <w:tc>
          <w:tcPr>
            <w:tcW w:w="1376" w:type="dxa"/>
            <w:gridSpan w:val="2"/>
            <w:vMerge w:val="continue"/>
            <w:tcBorders>
              <w:top w:val="nil"/>
            </w:tcBorders>
            <w:noWrap w:val="0"/>
            <w:vAlign w:val="top"/>
          </w:tcPr>
          <w:p w14:paraId="0EC944D1">
            <w:pPr>
              <w:rPr>
                <w:rFonts w:ascii="Arial"/>
                <w:sz w:val="21"/>
                <w:highlight w:val="none"/>
              </w:rPr>
            </w:pPr>
          </w:p>
        </w:tc>
        <w:tc>
          <w:tcPr>
            <w:tcW w:w="1528" w:type="dxa"/>
            <w:vMerge w:val="restart"/>
            <w:tcBorders>
              <w:bottom w:val="nil"/>
            </w:tcBorders>
            <w:noWrap w:val="0"/>
            <w:vAlign w:val="top"/>
          </w:tcPr>
          <w:p w14:paraId="1646DB9C">
            <w:pPr>
              <w:pStyle w:val="65"/>
              <w:spacing w:before="268" w:line="219" w:lineRule="auto"/>
              <w:ind w:left="113"/>
              <w:rPr>
                <w:highlight w:val="none"/>
              </w:rPr>
            </w:pPr>
            <w:r>
              <w:rPr>
                <w:spacing w:val="-2"/>
                <w:highlight w:val="none"/>
              </w:rPr>
              <w:t>成本指标</w:t>
            </w:r>
          </w:p>
        </w:tc>
        <w:tc>
          <w:tcPr>
            <w:tcW w:w="3660" w:type="dxa"/>
            <w:gridSpan w:val="2"/>
            <w:noWrap w:val="0"/>
            <w:vAlign w:val="top"/>
          </w:tcPr>
          <w:p w14:paraId="43BE686D">
            <w:pPr>
              <w:pStyle w:val="65"/>
              <w:spacing w:before="78" w:line="220" w:lineRule="auto"/>
              <w:ind w:left="114"/>
              <w:rPr>
                <w:highlight w:val="none"/>
              </w:rPr>
            </w:pPr>
            <w:r>
              <w:rPr>
                <w:spacing w:val="-2"/>
                <w:highlight w:val="none"/>
              </w:rPr>
              <w:t>生态护岸生态化改造</w:t>
            </w:r>
          </w:p>
        </w:tc>
        <w:tc>
          <w:tcPr>
            <w:tcW w:w="1769" w:type="dxa"/>
            <w:noWrap w:val="0"/>
            <w:vAlign w:val="top"/>
          </w:tcPr>
          <w:p w14:paraId="764101DF">
            <w:pPr>
              <w:pStyle w:val="65"/>
              <w:spacing w:before="79" w:line="220" w:lineRule="auto"/>
              <w:ind w:left="405"/>
              <w:rPr>
                <w:highlight w:val="none"/>
              </w:rPr>
            </w:pPr>
            <w:r>
              <w:rPr>
                <w:spacing w:val="-6"/>
                <w:highlight w:val="none"/>
              </w:rPr>
              <w:t>≤1</w:t>
            </w:r>
            <w:r>
              <w:rPr>
                <w:spacing w:val="-38"/>
                <w:highlight w:val="none"/>
              </w:rPr>
              <w:t xml:space="preserve"> </w:t>
            </w:r>
            <w:r>
              <w:rPr>
                <w:spacing w:val="-6"/>
                <w:highlight w:val="none"/>
              </w:rPr>
              <w:t>万元/m</w:t>
            </w:r>
          </w:p>
        </w:tc>
      </w:tr>
      <w:tr w14:paraId="50456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2E7BFBC5">
            <w:pPr>
              <w:rPr>
                <w:rFonts w:ascii="Arial"/>
                <w:sz w:val="21"/>
                <w:highlight w:val="none"/>
              </w:rPr>
            </w:pPr>
          </w:p>
        </w:tc>
        <w:tc>
          <w:tcPr>
            <w:tcW w:w="1376" w:type="dxa"/>
            <w:gridSpan w:val="2"/>
            <w:noWrap w:val="0"/>
            <w:vAlign w:val="top"/>
          </w:tcPr>
          <w:p w14:paraId="4E3CD76B">
            <w:pPr>
              <w:rPr>
                <w:rFonts w:ascii="Arial"/>
                <w:sz w:val="21"/>
                <w:highlight w:val="none"/>
              </w:rPr>
            </w:pPr>
          </w:p>
        </w:tc>
        <w:tc>
          <w:tcPr>
            <w:tcW w:w="1528" w:type="dxa"/>
            <w:vMerge w:val="continue"/>
            <w:tcBorders>
              <w:top w:val="nil"/>
            </w:tcBorders>
            <w:noWrap w:val="0"/>
            <w:vAlign w:val="top"/>
          </w:tcPr>
          <w:p w14:paraId="01757F47">
            <w:pPr>
              <w:rPr>
                <w:rFonts w:ascii="Arial"/>
                <w:sz w:val="21"/>
                <w:highlight w:val="none"/>
              </w:rPr>
            </w:pPr>
          </w:p>
        </w:tc>
        <w:tc>
          <w:tcPr>
            <w:tcW w:w="3660" w:type="dxa"/>
            <w:gridSpan w:val="2"/>
            <w:noWrap w:val="0"/>
            <w:vAlign w:val="top"/>
          </w:tcPr>
          <w:p w14:paraId="24B505D0">
            <w:pPr>
              <w:pStyle w:val="65"/>
              <w:spacing w:before="78" w:line="220" w:lineRule="auto"/>
              <w:ind w:left="114"/>
              <w:rPr>
                <w:highlight w:val="none"/>
              </w:rPr>
            </w:pPr>
            <w:r>
              <w:rPr>
                <w:spacing w:val="-2"/>
                <w:highlight w:val="none"/>
              </w:rPr>
              <w:t>盐沼植被种植</w:t>
            </w:r>
          </w:p>
        </w:tc>
        <w:tc>
          <w:tcPr>
            <w:tcW w:w="1769" w:type="dxa"/>
            <w:noWrap w:val="0"/>
            <w:vAlign w:val="top"/>
          </w:tcPr>
          <w:p w14:paraId="36BDE6B5">
            <w:pPr>
              <w:pStyle w:val="65"/>
              <w:spacing w:before="79" w:line="220" w:lineRule="auto"/>
              <w:ind w:left="301"/>
              <w:rPr>
                <w:highlight w:val="none"/>
              </w:rPr>
            </w:pPr>
            <w:r>
              <w:rPr>
                <w:spacing w:val="-5"/>
                <w:highlight w:val="none"/>
              </w:rPr>
              <w:t>≤60</w:t>
            </w:r>
            <w:r>
              <w:rPr>
                <w:spacing w:val="-37"/>
                <w:highlight w:val="none"/>
              </w:rPr>
              <w:t xml:space="preserve"> </w:t>
            </w:r>
            <w:r>
              <w:rPr>
                <w:spacing w:val="-5"/>
                <w:highlight w:val="none"/>
              </w:rPr>
              <w:t>万元/ha</w:t>
            </w:r>
          </w:p>
        </w:tc>
      </w:tr>
      <w:tr w14:paraId="6245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5" w:type="dxa"/>
            <w:vMerge w:val="continue"/>
            <w:tcBorders>
              <w:top w:val="nil"/>
              <w:bottom w:val="nil"/>
            </w:tcBorders>
            <w:noWrap w:val="0"/>
            <w:vAlign w:val="top"/>
          </w:tcPr>
          <w:p w14:paraId="25C6FC38">
            <w:pPr>
              <w:rPr>
                <w:rFonts w:ascii="Arial"/>
                <w:sz w:val="21"/>
                <w:highlight w:val="none"/>
              </w:rPr>
            </w:pPr>
          </w:p>
        </w:tc>
        <w:tc>
          <w:tcPr>
            <w:tcW w:w="1376" w:type="dxa"/>
            <w:gridSpan w:val="2"/>
            <w:vMerge w:val="restart"/>
            <w:tcBorders>
              <w:bottom w:val="nil"/>
            </w:tcBorders>
            <w:noWrap w:val="0"/>
            <w:vAlign w:val="top"/>
          </w:tcPr>
          <w:p w14:paraId="7143578A">
            <w:pPr>
              <w:spacing w:line="265" w:lineRule="auto"/>
              <w:rPr>
                <w:rFonts w:ascii="Arial"/>
                <w:sz w:val="21"/>
                <w:highlight w:val="none"/>
              </w:rPr>
            </w:pPr>
          </w:p>
          <w:p w14:paraId="400E4A1F">
            <w:pPr>
              <w:spacing w:line="265" w:lineRule="auto"/>
              <w:rPr>
                <w:rFonts w:ascii="Arial"/>
                <w:sz w:val="21"/>
                <w:highlight w:val="none"/>
              </w:rPr>
            </w:pPr>
          </w:p>
          <w:p w14:paraId="2C3A6C44">
            <w:pPr>
              <w:spacing w:line="266" w:lineRule="auto"/>
              <w:rPr>
                <w:rFonts w:ascii="Arial"/>
                <w:sz w:val="21"/>
                <w:highlight w:val="none"/>
              </w:rPr>
            </w:pPr>
          </w:p>
          <w:p w14:paraId="46DBD0BE">
            <w:pPr>
              <w:spacing w:line="266" w:lineRule="auto"/>
              <w:rPr>
                <w:rFonts w:ascii="Arial"/>
                <w:sz w:val="21"/>
                <w:highlight w:val="none"/>
              </w:rPr>
            </w:pPr>
          </w:p>
          <w:p w14:paraId="67F6E553">
            <w:pPr>
              <w:spacing w:line="266" w:lineRule="auto"/>
              <w:rPr>
                <w:rFonts w:ascii="Arial"/>
                <w:sz w:val="21"/>
                <w:highlight w:val="none"/>
              </w:rPr>
            </w:pPr>
          </w:p>
          <w:p w14:paraId="04DE8556">
            <w:pPr>
              <w:pStyle w:val="65"/>
              <w:spacing w:before="68" w:line="220" w:lineRule="auto"/>
              <w:ind w:left="116"/>
              <w:rPr>
                <w:highlight w:val="none"/>
              </w:rPr>
            </w:pPr>
            <w:r>
              <w:rPr>
                <w:spacing w:val="-3"/>
                <w:highlight w:val="none"/>
              </w:rPr>
              <w:t>效益指标</w:t>
            </w:r>
          </w:p>
        </w:tc>
        <w:tc>
          <w:tcPr>
            <w:tcW w:w="1528" w:type="dxa"/>
            <w:vMerge w:val="restart"/>
            <w:tcBorders>
              <w:bottom w:val="nil"/>
            </w:tcBorders>
            <w:noWrap w:val="0"/>
            <w:vAlign w:val="top"/>
          </w:tcPr>
          <w:p w14:paraId="35C2EBF3">
            <w:pPr>
              <w:pStyle w:val="65"/>
              <w:spacing w:before="268" w:line="219" w:lineRule="auto"/>
              <w:ind w:left="113"/>
              <w:rPr>
                <w:highlight w:val="none"/>
              </w:rPr>
            </w:pPr>
            <w:r>
              <w:rPr>
                <w:spacing w:val="-2"/>
                <w:highlight w:val="none"/>
              </w:rPr>
              <w:t>社会效益指标</w:t>
            </w:r>
          </w:p>
        </w:tc>
        <w:tc>
          <w:tcPr>
            <w:tcW w:w="3660" w:type="dxa"/>
            <w:gridSpan w:val="2"/>
            <w:noWrap w:val="0"/>
            <w:vAlign w:val="top"/>
          </w:tcPr>
          <w:p w14:paraId="11D4AA6A">
            <w:pPr>
              <w:pStyle w:val="65"/>
              <w:spacing w:before="80" w:line="220" w:lineRule="auto"/>
              <w:ind w:left="114"/>
              <w:rPr>
                <w:highlight w:val="none"/>
              </w:rPr>
            </w:pPr>
            <w:r>
              <w:rPr>
                <w:spacing w:val="-1"/>
                <w:highlight w:val="none"/>
              </w:rPr>
              <w:t>人居环境改善受惠人数</w:t>
            </w:r>
          </w:p>
        </w:tc>
        <w:tc>
          <w:tcPr>
            <w:tcW w:w="1769" w:type="dxa"/>
            <w:noWrap w:val="0"/>
            <w:vAlign w:val="top"/>
          </w:tcPr>
          <w:p w14:paraId="1DC85690">
            <w:pPr>
              <w:pStyle w:val="65"/>
              <w:spacing w:before="80" w:line="220" w:lineRule="auto"/>
              <w:ind w:left="512"/>
              <w:rPr>
                <w:highlight w:val="none"/>
              </w:rPr>
            </w:pPr>
            <w:r>
              <w:rPr>
                <w:spacing w:val="-8"/>
                <w:highlight w:val="none"/>
              </w:rPr>
              <w:t>100</w:t>
            </w:r>
            <w:r>
              <w:rPr>
                <w:spacing w:val="-37"/>
                <w:highlight w:val="none"/>
              </w:rPr>
              <w:t xml:space="preserve"> </w:t>
            </w:r>
            <w:r>
              <w:rPr>
                <w:spacing w:val="-8"/>
                <w:highlight w:val="none"/>
              </w:rPr>
              <w:t>万人</w:t>
            </w:r>
          </w:p>
        </w:tc>
      </w:tr>
      <w:tr w14:paraId="0E618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5" w:type="dxa"/>
            <w:vMerge w:val="continue"/>
            <w:tcBorders>
              <w:top w:val="nil"/>
              <w:bottom w:val="nil"/>
            </w:tcBorders>
            <w:noWrap w:val="0"/>
            <w:vAlign w:val="top"/>
          </w:tcPr>
          <w:p w14:paraId="74F4BE83">
            <w:pPr>
              <w:rPr>
                <w:rFonts w:ascii="Arial"/>
                <w:sz w:val="21"/>
                <w:highlight w:val="none"/>
              </w:rPr>
            </w:pPr>
          </w:p>
        </w:tc>
        <w:tc>
          <w:tcPr>
            <w:tcW w:w="1376" w:type="dxa"/>
            <w:gridSpan w:val="2"/>
            <w:vMerge w:val="continue"/>
            <w:tcBorders>
              <w:top w:val="nil"/>
              <w:bottom w:val="nil"/>
            </w:tcBorders>
            <w:noWrap w:val="0"/>
            <w:vAlign w:val="top"/>
          </w:tcPr>
          <w:p w14:paraId="46819C4F">
            <w:pPr>
              <w:rPr>
                <w:rFonts w:ascii="Arial"/>
                <w:sz w:val="21"/>
                <w:highlight w:val="none"/>
              </w:rPr>
            </w:pPr>
          </w:p>
        </w:tc>
        <w:tc>
          <w:tcPr>
            <w:tcW w:w="1528" w:type="dxa"/>
            <w:vMerge w:val="continue"/>
            <w:tcBorders>
              <w:top w:val="nil"/>
            </w:tcBorders>
            <w:noWrap w:val="0"/>
            <w:vAlign w:val="top"/>
          </w:tcPr>
          <w:p w14:paraId="5CF53DA9">
            <w:pPr>
              <w:rPr>
                <w:rFonts w:ascii="Arial"/>
                <w:sz w:val="21"/>
                <w:highlight w:val="none"/>
              </w:rPr>
            </w:pPr>
          </w:p>
        </w:tc>
        <w:tc>
          <w:tcPr>
            <w:tcW w:w="3660" w:type="dxa"/>
            <w:gridSpan w:val="2"/>
            <w:noWrap w:val="0"/>
            <w:vAlign w:val="top"/>
          </w:tcPr>
          <w:p w14:paraId="3BBDB6C0">
            <w:pPr>
              <w:pStyle w:val="65"/>
              <w:spacing w:before="81" w:line="220" w:lineRule="auto"/>
              <w:ind w:left="112"/>
              <w:rPr>
                <w:highlight w:val="none"/>
              </w:rPr>
            </w:pPr>
            <w:r>
              <w:rPr>
                <w:spacing w:val="-1"/>
                <w:highlight w:val="none"/>
              </w:rPr>
              <w:t>海洋防灾减灾能力</w:t>
            </w:r>
          </w:p>
        </w:tc>
        <w:tc>
          <w:tcPr>
            <w:tcW w:w="1769" w:type="dxa"/>
            <w:noWrap w:val="0"/>
            <w:vAlign w:val="top"/>
          </w:tcPr>
          <w:p w14:paraId="7FB907FA">
            <w:pPr>
              <w:pStyle w:val="65"/>
              <w:spacing w:before="81" w:line="220" w:lineRule="auto"/>
              <w:ind w:left="681"/>
              <w:rPr>
                <w:highlight w:val="none"/>
              </w:rPr>
            </w:pPr>
            <w:r>
              <w:rPr>
                <w:spacing w:val="-3"/>
                <w:highlight w:val="none"/>
              </w:rPr>
              <w:t>提升</w:t>
            </w:r>
          </w:p>
        </w:tc>
      </w:tr>
      <w:tr w14:paraId="2ED6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5" w:type="dxa"/>
            <w:vMerge w:val="continue"/>
            <w:tcBorders>
              <w:top w:val="nil"/>
              <w:bottom w:val="nil"/>
            </w:tcBorders>
            <w:noWrap w:val="0"/>
            <w:vAlign w:val="top"/>
          </w:tcPr>
          <w:p w14:paraId="58FAA409">
            <w:pPr>
              <w:rPr>
                <w:rFonts w:ascii="Arial"/>
                <w:sz w:val="21"/>
                <w:highlight w:val="none"/>
              </w:rPr>
            </w:pPr>
          </w:p>
        </w:tc>
        <w:tc>
          <w:tcPr>
            <w:tcW w:w="1376" w:type="dxa"/>
            <w:gridSpan w:val="2"/>
            <w:vMerge w:val="continue"/>
            <w:tcBorders>
              <w:top w:val="nil"/>
              <w:bottom w:val="nil"/>
            </w:tcBorders>
            <w:noWrap w:val="0"/>
            <w:vAlign w:val="top"/>
          </w:tcPr>
          <w:p w14:paraId="78FA4B9F">
            <w:pPr>
              <w:rPr>
                <w:rFonts w:ascii="Arial"/>
                <w:sz w:val="21"/>
                <w:highlight w:val="none"/>
              </w:rPr>
            </w:pPr>
          </w:p>
        </w:tc>
        <w:tc>
          <w:tcPr>
            <w:tcW w:w="1528" w:type="dxa"/>
            <w:vMerge w:val="restart"/>
            <w:tcBorders>
              <w:bottom w:val="nil"/>
            </w:tcBorders>
            <w:noWrap w:val="0"/>
            <w:vAlign w:val="top"/>
          </w:tcPr>
          <w:p w14:paraId="5853E1B7">
            <w:pPr>
              <w:spacing w:line="388" w:lineRule="auto"/>
              <w:rPr>
                <w:rFonts w:ascii="Arial"/>
                <w:sz w:val="21"/>
                <w:highlight w:val="none"/>
              </w:rPr>
            </w:pPr>
          </w:p>
          <w:p w14:paraId="16E01590">
            <w:pPr>
              <w:pStyle w:val="65"/>
              <w:spacing w:before="68" w:line="220" w:lineRule="auto"/>
              <w:ind w:left="113"/>
              <w:rPr>
                <w:highlight w:val="none"/>
              </w:rPr>
            </w:pPr>
            <w:r>
              <w:rPr>
                <w:spacing w:val="-2"/>
                <w:highlight w:val="none"/>
              </w:rPr>
              <w:t>生态效益指标</w:t>
            </w:r>
          </w:p>
        </w:tc>
        <w:tc>
          <w:tcPr>
            <w:tcW w:w="3660" w:type="dxa"/>
            <w:gridSpan w:val="2"/>
            <w:noWrap w:val="0"/>
            <w:vAlign w:val="top"/>
          </w:tcPr>
          <w:p w14:paraId="1E155BC4">
            <w:pPr>
              <w:pStyle w:val="65"/>
              <w:spacing w:before="80" w:line="219" w:lineRule="auto"/>
              <w:ind w:left="112"/>
              <w:rPr>
                <w:highlight w:val="none"/>
              </w:rPr>
            </w:pPr>
            <w:r>
              <w:rPr>
                <w:spacing w:val="-1"/>
                <w:highlight w:val="none"/>
              </w:rPr>
              <w:t>滨海盐沼芦苇修复区盖度</w:t>
            </w:r>
          </w:p>
        </w:tc>
        <w:tc>
          <w:tcPr>
            <w:tcW w:w="1769" w:type="dxa"/>
            <w:noWrap w:val="0"/>
            <w:vAlign w:val="top"/>
          </w:tcPr>
          <w:p w14:paraId="526F425D">
            <w:pPr>
              <w:pStyle w:val="65"/>
              <w:spacing w:before="80" w:line="238" w:lineRule="auto"/>
              <w:ind w:left="595"/>
              <w:rPr>
                <w:highlight w:val="none"/>
              </w:rPr>
            </w:pPr>
            <w:r>
              <w:rPr>
                <w:spacing w:val="-8"/>
                <w:highlight w:val="none"/>
              </w:rPr>
              <w:t>≥80</w:t>
            </w:r>
            <w:r>
              <w:rPr>
                <w:spacing w:val="4"/>
                <w:highlight w:val="none"/>
              </w:rPr>
              <w:t xml:space="preserve"> </w:t>
            </w:r>
            <w:r>
              <w:rPr>
                <w:spacing w:val="-8"/>
                <w:highlight w:val="none"/>
              </w:rPr>
              <w:t>%</w:t>
            </w:r>
          </w:p>
        </w:tc>
      </w:tr>
      <w:tr w14:paraId="34D68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1A4781CA">
            <w:pPr>
              <w:rPr>
                <w:rFonts w:ascii="Arial"/>
                <w:sz w:val="21"/>
                <w:highlight w:val="none"/>
              </w:rPr>
            </w:pPr>
          </w:p>
        </w:tc>
        <w:tc>
          <w:tcPr>
            <w:tcW w:w="1376" w:type="dxa"/>
            <w:gridSpan w:val="2"/>
            <w:vMerge w:val="continue"/>
            <w:tcBorders>
              <w:top w:val="nil"/>
              <w:bottom w:val="nil"/>
            </w:tcBorders>
            <w:noWrap w:val="0"/>
            <w:vAlign w:val="top"/>
          </w:tcPr>
          <w:p w14:paraId="3F1955CC">
            <w:pPr>
              <w:rPr>
                <w:rFonts w:ascii="Arial"/>
                <w:sz w:val="21"/>
                <w:highlight w:val="none"/>
              </w:rPr>
            </w:pPr>
          </w:p>
        </w:tc>
        <w:tc>
          <w:tcPr>
            <w:tcW w:w="1528" w:type="dxa"/>
            <w:vMerge w:val="continue"/>
            <w:tcBorders>
              <w:top w:val="nil"/>
              <w:bottom w:val="nil"/>
            </w:tcBorders>
            <w:noWrap w:val="0"/>
            <w:vAlign w:val="top"/>
          </w:tcPr>
          <w:p w14:paraId="3850F147">
            <w:pPr>
              <w:rPr>
                <w:rFonts w:ascii="Arial"/>
                <w:sz w:val="21"/>
                <w:highlight w:val="none"/>
              </w:rPr>
            </w:pPr>
          </w:p>
        </w:tc>
        <w:tc>
          <w:tcPr>
            <w:tcW w:w="3660" w:type="dxa"/>
            <w:gridSpan w:val="2"/>
            <w:noWrap w:val="0"/>
            <w:vAlign w:val="top"/>
          </w:tcPr>
          <w:p w14:paraId="15F5E208">
            <w:pPr>
              <w:pStyle w:val="65"/>
              <w:spacing w:before="81" w:line="220" w:lineRule="auto"/>
              <w:ind w:left="114"/>
              <w:rPr>
                <w:highlight w:val="none"/>
              </w:rPr>
            </w:pPr>
            <w:r>
              <w:rPr>
                <w:spacing w:val="-1"/>
                <w:highlight w:val="none"/>
              </w:rPr>
              <w:t>盐沼生态系统面积增加率</w:t>
            </w:r>
          </w:p>
        </w:tc>
        <w:tc>
          <w:tcPr>
            <w:tcW w:w="1769" w:type="dxa"/>
            <w:noWrap w:val="0"/>
            <w:vAlign w:val="top"/>
          </w:tcPr>
          <w:p w14:paraId="743E6299">
            <w:pPr>
              <w:pStyle w:val="65"/>
              <w:spacing w:before="81" w:line="238" w:lineRule="auto"/>
              <w:ind w:left="595"/>
              <w:rPr>
                <w:highlight w:val="none"/>
              </w:rPr>
            </w:pPr>
            <w:r>
              <w:rPr>
                <w:spacing w:val="-8"/>
                <w:highlight w:val="none"/>
              </w:rPr>
              <w:t>≥50</w:t>
            </w:r>
            <w:r>
              <w:rPr>
                <w:spacing w:val="4"/>
                <w:highlight w:val="none"/>
              </w:rPr>
              <w:t xml:space="preserve"> </w:t>
            </w:r>
            <w:r>
              <w:rPr>
                <w:spacing w:val="-8"/>
                <w:highlight w:val="none"/>
              </w:rPr>
              <w:t>%</w:t>
            </w:r>
          </w:p>
        </w:tc>
      </w:tr>
      <w:tr w14:paraId="6FDE6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5" w:type="dxa"/>
            <w:vMerge w:val="continue"/>
            <w:tcBorders>
              <w:top w:val="nil"/>
              <w:bottom w:val="nil"/>
            </w:tcBorders>
            <w:noWrap w:val="0"/>
            <w:vAlign w:val="top"/>
          </w:tcPr>
          <w:p w14:paraId="069DB501">
            <w:pPr>
              <w:rPr>
                <w:rFonts w:ascii="Arial"/>
                <w:sz w:val="21"/>
                <w:highlight w:val="none"/>
              </w:rPr>
            </w:pPr>
          </w:p>
        </w:tc>
        <w:tc>
          <w:tcPr>
            <w:tcW w:w="1376" w:type="dxa"/>
            <w:gridSpan w:val="2"/>
            <w:vMerge w:val="continue"/>
            <w:tcBorders>
              <w:top w:val="nil"/>
              <w:bottom w:val="nil"/>
            </w:tcBorders>
            <w:noWrap w:val="0"/>
            <w:vAlign w:val="top"/>
          </w:tcPr>
          <w:p w14:paraId="62D07CDA">
            <w:pPr>
              <w:rPr>
                <w:rFonts w:ascii="Arial"/>
                <w:sz w:val="21"/>
                <w:highlight w:val="none"/>
              </w:rPr>
            </w:pPr>
          </w:p>
        </w:tc>
        <w:tc>
          <w:tcPr>
            <w:tcW w:w="1528" w:type="dxa"/>
            <w:vMerge w:val="continue"/>
            <w:tcBorders>
              <w:top w:val="nil"/>
            </w:tcBorders>
            <w:noWrap w:val="0"/>
            <w:vAlign w:val="top"/>
          </w:tcPr>
          <w:p w14:paraId="49DF9C33">
            <w:pPr>
              <w:rPr>
                <w:rFonts w:ascii="Arial"/>
                <w:sz w:val="21"/>
                <w:highlight w:val="none"/>
              </w:rPr>
            </w:pPr>
          </w:p>
        </w:tc>
        <w:tc>
          <w:tcPr>
            <w:tcW w:w="3660" w:type="dxa"/>
            <w:gridSpan w:val="2"/>
            <w:noWrap w:val="0"/>
            <w:vAlign w:val="top"/>
          </w:tcPr>
          <w:p w14:paraId="331B186B">
            <w:pPr>
              <w:pStyle w:val="65"/>
              <w:spacing w:before="82" w:line="220" w:lineRule="auto"/>
              <w:ind w:left="114"/>
              <w:rPr>
                <w:highlight w:val="none"/>
              </w:rPr>
            </w:pPr>
            <w:r>
              <w:rPr>
                <w:spacing w:val="-2"/>
                <w:highlight w:val="none"/>
              </w:rPr>
              <w:t>盐沼碳汇能力</w:t>
            </w:r>
          </w:p>
        </w:tc>
        <w:tc>
          <w:tcPr>
            <w:tcW w:w="1769" w:type="dxa"/>
            <w:noWrap w:val="0"/>
            <w:vAlign w:val="top"/>
          </w:tcPr>
          <w:p w14:paraId="0785DCD5">
            <w:pPr>
              <w:pStyle w:val="65"/>
              <w:spacing w:before="83" w:line="220" w:lineRule="auto"/>
              <w:ind w:left="681"/>
              <w:rPr>
                <w:highlight w:val="none"/>
              </w:rPr>
            </w:pPr>
            <w:r>
              <w:rPr>
                <w:spacing w:val="-3"/>
                <w:highlight w:val="none"/>
              </w:rPr>
              <w:t>提升</w:t>
            </w:r>
          </w:p>
        </w:tc>
      </w:tr>
      <w:tr w14:paraId="22FF1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493357D4">
            <w:pPr>
              <w:rPr>
                <w:rFonts w:ascii="Arial"/>
                <w:sz w:val="21"/>
                <w:highlight w:val="none"/>
              </w:rPr>
            </w:pPr>
          </w:p>
        </w:tc>
        <w:tc>
          <w:tcPr>
            <w:tcW w:w="1376" w:type="dxa"/>
            <w:gridSpan w:val="2"/>
            <w:vMerge w:val="continue"/>
            <w:tcBorders>
              <w:top w:val="nil"/>
              <w:bottom w:val="nil"/>
            </w:tcBorders>
            <w:noWrap w:val="0"/>
            <w:vAlign w:val="top"/>
          </w:tcPr>
          <w:p w14:paraId="4A955A06">
            <w:pPr>
              <w:rPr>
                <w:rFonts w:ascii="Arial"/>
                <w:sz w:val="21"/>
                <w:highlight w:val="none"/>
              </w:rPr>
            </w:pPr>
          </w:p>
        </w:tc>
        <w:tc>
          <w:tcPr>
            <w:tcW w:w="1528" w:type="dxa"/>
            <w:vMerge w:val="restart"/>
            <w:tcBorders>
              <w:bottom w:val="nil"/>
            </w:tcBorders>
            <w:noWrap w:val="0"/>
            <w:vAlign w:val="top"/>
          </w:tcPr>
          <w:p w14:paraId="59132A45">
            <w:pPr>
              <w:spacing w:line="254" w:lineRule="auto"/>
              <w:rPr>
                <w:rFonts w:ascii="Arial"/>
                <w:sz w:val="21"/>
                <w:highlight w:val="none"/>
              </w:rPr>
            </w:pPr>
          </w:p>
          <w:p w14:paraId="166172D3">
            <w:pPr>
              <w:pStyle w:val="65"/>
              <w:spacing w:before="68" w:line="230" w:lineRule="auto"/>
              <w:ind w:left="113" w:right="106"/>
              <w:rPr>
                <w:highlight w:val="none"/>
              </w:rPr>
            </w:pPr>
            <w:r>
              <w:rPr>
                <w:spacing w:val="7"/>
                <w:highlight w:val="none"/>
              </w:rPr>
              <w:t>可持续影响指</w:t>
            </w:r>
            <w:r>
              <w:rPr>
                <w:highlight w:val="none"/>
              </w:rPr>
              <w:t xml:space="preserve"> 标</w:t>
            </w:r>
          </w:p>
        </w:tc>
        <w:tc>
          <w:tcPr>
            <w:tcW w:w="3660" w:type="dxa"/>
            <w:gridSpan w:val="2"/>
            <w:noWrap w:val="0"/>
            <w:vAlign w:val="top"/>
          </w:tcPr>
          <w:p w14:paraId="6BA79734">
            <w:pPr>
              <w:pStyle w:val="65"/>
              <w:spacing w:before="81" w:line="220" w:lineRule="auto"/>
              <w:ind w:left="114"/>
              <w:rPr>
                <w:highlight w:val="none"/>
              </w:rPr>
            </w:pPr>
            <w:r>
              <w:rPr>
                <w:spacing w:val="-1"/>
                <w:highlight w:val="none"/>
              </w:rPr>
              <w:t>盐沼生态系统稳定性</w:t>
            </w:r>
          </w:p>
        </w:tc>
        <w:tc>
          <w:tcPr>
            <w:tcW w:w="1769" w:type="dxa"/>
            <w:noWrap w:val="0"/>
            <w:vAlign w:val="top"/>
          </w:tcPr>
          <w:p w14:paraId="29665B4F">
            <w:pPr>
              <w:pStyle w:val="65"/>
              <w:spacing w:before="81" w:line="220" w:lineRule="auto"/>
              <w:ind w:left="621"/>
              <w:rPr>
                <w:highlight w:val="none"/>
              </w:rPr>
            </w:pPr>
            <w:r>
              <w:rPr>
                <w:spacing w:val="-10"/>
                <w:highlight w:val="none"/>
              </w:rPr>
              <w:t>≥5</w:t>
            </w:r>
            <w:r>
              <w:rPr>
                <w:spacing w:val="-43"/>
                <w:highlight w:val="none"/>
              </w:rPr>
              <w:t xml:space="preserve"> </w:t>
            </w:r>
            <w:r>
              <w:rPr>
                <w:spacing w:val="-10"/>
                <w:highlight w:val="none"/>
              </w:rPr>
              <w:t>年</w:t>
            </w:r>
          </w:p>
        </w:tc>
      </w:tr>
      <w:tr w14:paraId="49F8D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5" w:type="dxa"/>
            <w:vMerge w:val="continue"/>
            <w:tcBorders>
              <w:top w:val="nil"/>
              <w:bottom w:val="nil"/>
            </w:tcBorders>
            <w:noWrap w:val="0"/>
            <w:vAlign w:val="top"/>
          </w:tcPr>
          <w:p w14:paraId="5340D956">
            <w:pPr>
              <w:rPr>
                <w:rFonts w:ascii="Arial"/>
                <w:sz w:val="21"/>
                <w:highlight w:val="none"/>
              </w:rPr>
            </w:pPr>
          </w:p>
        </w:tc>
        <w:tc>
          <w:tcPr>
            <w:tcW w:w="1376" w:type="dxa"/>
            <w:gridSpan w:val="2"/>
            <w:vMerge w:val="continue"/>
            <w:tcBorders>
              <w:top w:val="nil"/>
              <w:bottom w:val="nil"/>
            </w:tcBorders>
            <w:noWrap w:val="0"/>
            <w:vAlign w:val="top"/>
          </w:tcPr>
          <w:p w14:paraId="41C0AC46">
            <w:pPr>
              <w:rPr>
                <w:rFonts w:ascii="Arial"/>
                <w:sz w:val="21"/>
                <w:highlight w:val="none"/>
              </w:rPr>
            </w:pPr>
          </w:p>
        </w:tc>
        <w:tc>
          <w:tcPr>
            <w:tcW w:w="1528" w:type="dxa"/>
            <w:vMerge w:val="continue"/>
            <w:tcBorders>
              <w:top w:val="nil"/>
              <w:bottom w:val="nil"/>
            </w:tcBorders>
            <w:noWrap w:val="0"/>
            <w:vAlign w:val="top"/>
          </w:tcPr>
          <w:p w14:paraId="581617B0">
            <w:pPr>
              <w:rPr>
                <w:rFonts w:ascii="Arial"/>
                <w:sz w:val="21"/>
                <w:highlight w:val="none"/>
              </w:rPr>
            </w:pPr>
          </w:p>
        </w:tc>
        <w:tc>
          <w:tcPr>
            <w:tcW w:w="3660" w:type="dxa"/>
            <w:gridSpan w:val="2"/>
            <w:noWrap w:val="0"/>
            <w:vAlign w:val="top"/>
          </w:tcPr>
          <w:p w14:paraId="2BC202E4">
            <w:pPr>
              <w:pStyle w:val="65"/>
              <w:spacing w:before="81" w:line="220" w:lineRule="auto"/>
              <w:ind w:left="112"/>
              <w:rPr>
                <w:highlight w:val="none"/>
              </w:rPr>
            </w:pPr>
            <w:r>
              <w:rPr>
                <w:spacing w:val="-1"/>
                <w:highlight w:val="none"/>
              </w:rPr>
              <w:t>砂质海岸生态系统稳定性</w:t>
            </w:r>
          </w:p>
        </w:tc>
        <w:tc>
          <w:tcPr>
            <w:tcW w:w="1769" w:type="dxa"/>
            <w:noWrap w:val="0"/>
            <w:vAlign w:val="top"/>
          </w:tcPr>
          <w:p w14:paraId="17316E9C">
            <w:pPr>
              <w:pStyle w:val="65"/>
              <w:spacing w:before="81" w:line="220" w:lineRule="auto"/>
              <w:ind w:left="621"/>
              <w:rPr>
                <w:highlight w:val="none"/>
              </w:rPr>
            </w:pPr>
            <w:r>
              <w:rPr>
                <w:spacing w:val="-10"/>
                <w:highlight w:val="none"/>
              </w:rPr>
              <w:t>≥8</w:t>
            </w:r>
            <w:r>
              <w:rPr>
                <w:spacing w:val="-43"/>
                <w:highlight w:val="none"/>
              </w:rPr>
              <w:t xml:space="preserve"> </w:t>
            </w:r>
            <w:r>
              <w:rPr>
                <w:spacing w:val="-10"/>
                <w:highlight w:val="none"/>
              </w:rPr>
              <w:t>年</w:t>
            </w:r>
          </w:p>
        </w:tc>
      </w:tr>
      <w:tr w14:paraId="2BD12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5" w:type="dxa"/>
            <w:vMerge w:val="continue"/>
            <w:tcBorders>
              <w:top w:val="nil"/>
              <w:bottom w:val="nil"/>
            </w:tcBorders>
            <w:noWrap w:val="0"/>
            <w:vAlign w:val="top"/>
          </w:tcPr>
          <w:p w14:paraId="70FADE02">
            <w:pPr>
              <w:rPr>
                <w:rFonts w:ascii="Arial"/>
                <w:sz w:val="21"/>
                <w:highlight w:val="none"/>
              </w:rPr>
            </w:pPr>
          </w:p>
        </w:tc>
        <w:tc>
          <w:tcPr>
            <w:tcW w:w="1376" w:type="dxa"/>
            <w:gridSpan w:val="2"/>
            <w:vMerge w:val="continue"/>
            <w:tcBorders>
              <w:top w:val="nil"/>
            </w:tcBorders>
            <w:noWrap w:val="0"/>
            <w:vAlign w:val="top"/>
          </w:tcPr>
          <w:p w14:paraId="5F845AF5">
            <w:pPr>
              <w:rPr>
                <w:rFonts w:ascii="Arial"/>
                <w:sz w:val="21"/>
                <w:highlight w:val="none"/>
              </w:rPr>
            </w:pPr>
          </w:p>
        </w:tc>
        <w:tc>
          <w:tcPr>
            <w:tcW w:w="1528" w:type="dxa"/>
            <w:vMerge w:val="continue"/>
            <w:tcBorders>
              <w:top w:val="nil"/>
            </w:tcBorders>
            <w:noWrap w:val="0"/>
            <w:vAlign w:val="top"/>
          </w:tcPr>
          <w:p w14:paraId="51799517">
            <w:pPr>
              <w:rPr>
                <w:rFonts w:ascii="Arial"/>
                <w:sz w:val="21"/>
                <w:highlight w:val="none"/>
              </w:rPr>
            </w:pPr>
          </w:p>
        </w:tc>
        <w:tc>
          <w:tcPr>
            <w:tcW w:w="3660" w:type="dxa"/>
            <w:gridSpan w:val="2"/>
            <w:noWrap w:val="0"/>
            <w:vAlign w:val="top"/>
          </w:tcPr>
          <w:p w14:paraId="7B7AE47A">
            <w:pPr>
              <w:pStyle w:val="65"/>
              <w:spacing w:before="83" w:line="220" w:lineRule="auto"/>
              <w:ind w:left="114"/>
              <w:rPr>
                <w:highlight w:val="none"/>
              </w:rPr>
            </w:pPr>
            <w:r>
              <w:rPr>
                <w:spacing w:val="-2"/>
                <w:highlight w:val="none"/>
              </w:rPr>
              <w:t>后期管护持续时间</w:t>
            </w:r>
          </w:p>
        </w:tc>
        <w:tc>
          <w:tcPr>
            <w:tcW w:w="1769" w:type="dxa"/>
            <w:noWrap w:val="0"/>
            <w:vAlign w:val="top"/>
          </w:tcPr>
          <w:p w14:paraId="0C0869DF">
            <w:pPr>
              <w:pStyle w:val="65"/>
              <w:spacing w:before="83" w:line="220" w:lineRule="auto"/>
              <w:ind w:left="621"/>
              <w:rPr>
                <w:highlight w:val="none"/>
              </w:rPr>
            </w:pPr>
            <w:r>
              <w:rPr>
                <w:spacing w:val="-10"/>
                <w:highlight w:val="none"/>
              </w:rPr>
              <w:t>≥5</w:t>
            </w:r>
            <w:r>
              <w:rPr>
                <w:spacing w:val="-43"/>
                <w:highlight w:val="none"/>
              </w:rPr>
              <w:t xml:space="preserve"> </w:t>
            </w:r>
            <w:r>
              <w:rPr>
                <w:spacing w:val="-10"/>
                <w:highlight w:val="none"/>
              </w:rPr>
              <w:t>年</w:t>
            </w:r>
          </w:p>
        </w:tc>
      </w:tr>
      <w:tr w14:paraId="1F299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15" w:type="dxa"/>
            <w:vMerge w:val="continue"/>
            <w:tcBorders>
              <w:top w:val="nil"/>
            </w:tcBorders>
            <w:noWrap w:val="0"/>
            <w:vAlign w:val="top"/>
          </w:tcPr>
          <w:p w14:paraId="673EC48C">
            <w:pPr>
              <w:rPr>
                <w:rFonts w:ascii="Arial"/>
                <w:sz w:val="21"/>
                <w:highlight w:val="none"/>
              </w:rPr>
            </w:pPr>
          </w:p>
        </w:tc>
        <w:tc>
          <w:tcPr>
            <w:tcW w:w="1376" w:type="dxa"/>
            <w:gridSpan w:val="2"/>
            <w:noWrap w:val="0"/>
            <w:vAlign w:val="top"/>
          </w:tcPr>
          <w:p w14:paraId="398E56F8">
            <w:pPr>
              <w:pStyle w:val="65"/>
              <w:spacing w:before="219" w:line="220" w:lineRule="auto"/>
              <w:ind w:left="111"/>
              <w:rPr>
                <w:highlight w:val="none"/>
              </w:rPr>
            </w:pPr>
            <w:r>
              <w:rPr>
                <w:spacing w:val="-2"/>
                <w:highlight w:val="none"/>
              </w:rPr>
              <w:t>满意度指标</w:t>
            </w:r>
          </w:p>
        </w:tc>
        <w:tc>
          <w:tcPr>
            <w:tcW w:w="1528" w:type="dxa"/>
            <w:noWrap w:val="0"/>
            <w:vAlign w:val="top"/>
          </w:tcPr>
          <w:p w14:paraId="3ECE4FA3">
            <w:pPr>
              <w:pStyle w:val="65"/>
              <w:spacing w:before="83" w:line="230" w:lineRule="auto"/>
              <w:ind w:left="111" w:right="106"/>
              <w:rPr>
                <w:highlight w:val="none"/>
              </w:rPr>
            </w:pPr>
            <w:r>
              <w:rPr>
                <w:spacing w:val="7"/>
                <w:highlight w:val="none"/>
              </w:rPr>
              <w:t>服务对象满意</w:t>
            </w:r>
            <w:r>
              <w:rPr>
                <w:spacing w:val="1"/>
                <w:highlight w:val="none"/>
              </w:rPr>
              <w:t xml:space="preserve"> </w:t>
            </w:r>
            <w:r>
              <w:rPr>
                <w:spacing w:val="-2"/>
                <w:highlight w:val="none"/>
              </w:rPr>
              <w:t>度指标</w:t>
            </w:r>
          </w:p>
        </w:tc>
        <w:tc>
          <w:tcPr>
            <w:tcW w:w="3660" w:type="dxa"/>
            <w:gridSpan w:val="2"/>
            <w:noWrap w:val="0"/>
            <w:vAlign w:val="top"/>
          </w:tcPr>
          <w:p w14:paraId="0E81CCA2">
            <w:pPr>
              <w:pStyle w:val="65"/>
              <w:spacing w:before="219" w:line="219" w:lineRule="auto"/>
              <w:ind w:left="114"/>
              <w:rPr>
                <w:highlight w:val="none"/>
              </w:rPr>
            </w:pPr>
            <w:r>
              <w:rPr>
                <w:spacing w:val="-2"/>
                <w:highlight w:val="none"/>
              </w:rPr>
              <w:t>社会公众满意度</w:t>
            </w:r>
          </w:p>
        </w:tc>
        <w:tc>
          <w:tcPr>
            <w:tcW w:w="1769" w:type="dxa"/>
            <w:noWrap w:val="0"/>
            <w:vAlign w:val="top"/>
          </w:tcPr>
          <w:p w14:paraId="3AB51774">
            <w:pPr>
              <w:pStyle w:val="65"/>
              <w:spacing w:before="219" w:line="238" w:lineRule="auto"/>
              <w:ind w:left="647"/>
              <w:rPr>
                <w:highlight w:val="none"/>
              </w:rPr>
            </w:pPr>
            <w:r>
              <w:rPr>
                <w:spacing w:val="-6"/>
                <w:highlight w:val="none"/>
              </w:rPr>
              <w:t>≥90%</w:t>
            </w:r>
          </w:p>
        </w:tc>
      </w:tr>
    </w:tbl>
    <w:p w14:paraId="3B3BB9BF">
      <w:pPr>
        <w:spacing w:before="30" w:line="219" w:lineRule="auto"/>
        <w:ind w:left="120"/>
        <w:rPr>
          <w:rFonts w:ascii="宋体" w:hAnsi="宋体" w:eastAsia="宋体" w:cs="宋体"/>
          <w:sz w:val="21"/>
          <w:szCs w:val="21"/>
          <w:highlight w:val="none"/>
        </w:rPr>
      </w:pPr>
      <w:r>
        <w:rPr>
          <w:rFonts w:ascii="宋体" w:hAnsi="宋体" w:eastAsia="宋体" w:cs="宋体"/>
          <w:spacing w:val="-1"/>
          <w:sz w:val="21"/>
          <w:szCs w:val="21"/>
          <w:highlight w:val="none"/>
        </w:rPr>
        <w:t>注：1、芦苇种植成活率是指栽植后成活的芦苇占总栽</w:t>
      </w:r>
      <w:r>
        <w:rPr>
          <w:rFonts w:ascii="宋体" w:hAnsi="宋体" w:eastAsia="宋体" w:cs="宋体"/>
          <w:spacing w:val="-2"/>
          <w:sz w:val="21"/>
          <w:szCs w:val="21"/>
          <w:highlight w:val="none"/>
        </w:rPr>
        <w:t>植芦苇的百分比。</w:t>
      </w:r>
    </w:p>
    <w:p w14:paraId="3D994EC8">
      <w:pPr>
        <w:numPr>
          <w:ilvl w:val="0"/>
          <w:numId w:val="2"/>
        </w:numPr>
        <w:spacing w:before="160" w:line="350" w:lineRule="auto"/>
        <w:ind w:left="840" w:right="21" w:hanging="209"/>
        <w:rPr>
          <w:rFonts w:ascii="宋体" w:hAnsi="宋体" w:eastAsia="宋体" w:cs="宋体"/>
          <w:spacing w:val="-9"/>
          <w:sz w:val="21"/>
          <w:szCs w:val="21"/>
          <w:highlight w:val="none"/>
        </w:rPr>
      </w:pPr>
      <w:r>
        <w:rPr>
          <w:rFonts w:ascii="宋体" w:hAnsi="宋体" w:eastAsia="宋体" w:cs="宋体"/>
          <w:spacing w:val="-6"/>
          <w:sz w:val="21"/>
          <w:szCs w:val="21"/>
          <w:highlight w:val="none"/>
        </w:rPr>
        <w:t>盐沼生态系统面积增加率是指本次工程新增面积（139</w:t>
      </w:r>
      <w:r>
        <w:rPr>
          <w:rFonts w:ascii="宋体" w:hAnsi="宋体" w:eastAsia="宋体" w:cs="宋体"/>
          <w:spacing w:val="-7"/>
          <w:sz w:val="21"/>
          <w:szCs w:val="21"/>
          <w:highlight w:val="none"/>
        </w:rPr>
        <w:t>.14ha）与实施前现状面积（约180ha）</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之比。</w:t>
      </w:r>
    </w:p>
    <w:p w14:paraId="2B119271">
      <w:pPr>
        <w:widowControl w:val="0"/>
        <w:numPr>
          <w:ilvl w:val="0"/>
          <w:numId w:val="0"/>
        </w:numPr>
        <w:spacing w:before="160" w:line="350" w:lineRule="auto"/>
        <w:ind w:right="21" w:rightChars="0"/>
        <w:jc w:val="both"/>
        <w:rPr>
          <w:rFonts w:ascii="宋体" w:hAnsi="宋体" w:eastAsia="宋体" w:cs="宋体"/>
          <w:spacing w:val="-9"/>
          <w:sz w:val="21"/>
          <w:szCs w:val="21"/>
          <w:highlight w:val="none"/>
        </w:rPr>
      </w:pPr>
    </w:p>
    <w:p w14:paraId="0B645331">
      <w:pPr>
        <w:widowControl w:val="0"/>
        <w:numPr>
          <w:ilvl w:val="0"/>
          <w:numId w:val="0"/>
        </w:numPr>
        <w:spacing w:before="160" w:line="350" w:lineRule="auto"/>
        <w:ind w:right="21" w:rightChars="0"/>
        <w:jc w:val="both"/>
        <w:rPr>
          <w:rFonts w:ascii="宋体" w:hAnsi="宋体" w:eastAsia="宋体" w:cs="宋体"/>
          <w:spacing w:val="-9"/>
          <w:sz w:val="21"/>
          <w:szCs w:val="21"/>
          <w:highlight w:val="none"/>
        </w:rPr>
      </w:pPr>
    </w:p>
    <w:p w14:paraId="3896A478">
      <w:pPr>
        <w:spacing w:before="25" w:line="217" w:lineRule="auto"/>
        <w:ind w:left="632"/>
        <w:rPr>
          <w:rFonts w:ascii="黑体" w:hAnsi="黑体" w:eastAsia="黑体" w:cs="黑体"/>
          <w:sz w:val="24"/>
          <w:szCs w:val="24"/>
          <w:highlight w:val="none"/>
        </w:rPr>
      </w:pPr>
      <w:r>
        <w:rPr>
          <w:rFonts w:ascii="黑体" w:hAnsi="黑体" w:eastAsia="黑体" w:cs="黑体"/>
          <w:b/>
          <w:bCs/>
          <w:spacing w:val="-2"/>
          <w:sz w:val="24"/>
          <w:szCs w:val="24"/>
          <w:highlight w:val="none"/>
        </w:rPr>
        <w:t>辽宁省营口市海洋生态保护修复工程项目初</w:t>
      </w:r>
      <w:r>
        <w:rPr>
          <w:rFonts w:ascii="黑体" w:hAnsi="黑体" w:eastAsia="黑体" w:cs="黑体"/>
          <w:b/>
          <w:bCs/>
          <w:spacing w:val="-3"/>
          <w:sz w:val="24"/>
          <w:szCs w:val="24"/>
          <w:highlight w:val="none"/>
        </w:rPr>
        <w:t>设绩效目标分年度表（2025</w:t>
      </w:r>
      <w:r>
        <w:rPr>
          <w:rFonts w:ascii="黑体" w:hAnsi="黑体" w:eastAsia="黑体" w:cs="黑体"/>
          <w:spacing w:val="-44"/>
          <w:sz w:val="24"/>
          <w:szCs w:val="24"/>
          <w:highlight w:val="none"/>
        </w:rPr>
        <w:t xml:space="preserve"> </w:t>
      </w:r>
      <w:r>
        <w:rPr>
          <w:rFonts w:ascii="黑体" w:hAnsi="黑体" w:eastAsia="黑体" w:cs="黑体"/>
          <w:b/>
          <w:bCs/>
          <w:spacing w:val="-3"/>
          <w:sz w:val="24"/>
          <w:szCs w:val="24"/>
          <w:highlight w:val="none"/>
        </w:rPr>
        <w:t>年）</w:t>
      </w:r>
    </w:p>
    <w:tbl>
      <w:tblPr>
        <w:tblStyle w:val="66"/>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143"/>
        <w:gridCol w:w="235"/>
        <w:gridCol w:w="1530"/>
        <w:gridCol w:w="258"/>
        <w:gridCol w:w="2066"/>
        <w:gridCol w:w="484"/>
        <w:gridCol w:w="2620"/>
      </w:tblGrid>
      <w:tr w14:paraId="6094F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2057" w:type="dxa"/>
            <w:gridSpan w:val="2"/>
            <w:noWrap w:val="0"/>
            <w:vAlign w:val="top"/>
          </w:tcPr>
          <w:p w14:paraId="4AEC6946">
            <w:pPr>
              <w:pStyle w:val="65"/>
              <w:spacing w:before="82" w:line="220" w:lineRule="auto"/>
              <w:ind w:left="119"/>
              <w:rPr>
                <w:highlight w:val="none"/>
              </w:rPr>
            </w:pPr>
            <w:r>
              <w:rPr>
                <w:spacing w:val="-3"/>
                <w:highlight w:val="none"/>
              </w:rPr>
              <w:t>项目名称</w:t>
            </w:r>
          </w:p>
        </w:tc>
        <w:tc>
          <w:tcPr>
            <w:tcW w:w="7193" w:type="dxa"/>
            <w:gridSpan w:val="6"/>
            <w:noWrap w:val="0"/>
            <w:vAlign w:val="top"/>
          </w:tcPr>
          <w:p w14:paraId="0F1B8B82">
            <w:pPr>
              <w:pStyle w:val="65"/>
              <w:spacing w:before="81" w:line="220" w:lineRule="auto"/>
              <w:ind w:left="1715"/>
              <w:rPr>
                <w:highlight w:val="none"/>
              </w:rPr>
            </w:pPr>
            <w:r>
              <w:rPr>
                <w:spacing w:val="-1"/>
                <w:highlight w:val="none"/>
              </w:rPr>
              <w:t>辽宁省营口市海洋生态保护修复工程项目</w:t>
            </w:r>
          </w:p>
        </w:tc>
      </w:tr>
      <w:tr w14:paraId="0D121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057" w:type="dxa"/>
            <w:gridSpan w:val="2"/>
            <w:noWrap w:val="0"/>
            <w:vAlign w:val="top"/>
          </w:tcPr>
          <w:p w14:paraId="7F54305C">
            <w:pPr>
              <w:pStyle w:val="65"/>
              <w:spacing w:before="79" w:line="220" w:lineRule="auto"/>
              <w:ind w:left="115"/>
              <w:rPr>
                <w:highlight w:val="none"/>
              </w:rPr>
            </w:pPr>
            <w:r>
              <w:rPr>
                <w:spacing w:val="-2"/>
                <w:highlight w:val="none"/>
              </w:rPr>
              <w:t>所属专项</w:t>
            </w:r>
          </w:p>
        </w:tc>
        <w:tc>
          <w:tcPr>
            <w:tcW w:w="7193" w:type="dxa"/>
            <w:gridSpan w:val="6"/>
            <w:noWrap w:val="0"/>
            <w:vAlign w:val="top"/>
          </w:tcPr>
          <w:p w14:paraId="23904D71">
            <w:pPr>
              <w:pStyle w:val="65"/>
              <w:spacing w:before="78" w:line="220" w:lineRule="auto"/>
              <w:ind w:left="2549"/>
              <w:rPr>
                <w:highlight w:val="none"/>
              </w:rPr>
            </w:pPr>
            <w:r>
              <w:rPr>
                <w:spacing w:val="-1"/>
                <w:highlight w:val="none"/>
              </w:rPr>
              <w:t>海洋生态保护修复资金</w:t>
            </w:r>
          </w:p>
        </w:tc>
      </w:tr>
      <w:tr w14:paraId="0C8C7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057" w:type="dxa"/>
            <w:gridSpan w:val="2"/>
            <w:noWrap w:val="0"/>
            <w:vAlign w:val="top"/>
          </w:tcPr>
          <w:p w14:paraId="3CB0CCDC">
            <w:pPr>
              <w:pStyle w:val="65"/>
              <w:spacing w:before="77" w:line="220" w:lineRule="auto"/>
              <w:ind w:left="135"/>
              <w:rPr>
                <w:highlight w:val="none"/>
              </w:rPr>
            </w:pPr>
            <w:r>
              <w:rPr>
                <w:spacing w:val="-4"/>
                <w:highlight w:val="none"/>
              </w:rPr>
              <w:t>中央主管部门</w:t>
            </w:r>
          </w:p>
        </w:tc>
        <w:tc>
          <w:tcPr>
            <w:tcW w:w="2023" w:type="dxa"/>
            <w:gridSpan w:val="3"/>
            <w:noWrap w:val="0"/>
            <w:vAlign w:val="top"/>
          </w:tcPr>
          <w:p w14:paraId="1870EA4F">
            <w:pPr>
              <w:pStyle w:val="65"/>
              <w:spacing w:before="77" w:line="220" w:lineRule="auto"/>
              <w:ind w:left="525"/>
              <w:rPr>
                <w:highlight w:val="none"/>
              </w:rPr>
            </w:pPr>
            <w:r>
              <w:rPr>
                <w:spacing w:val="-7"/>
                <w:highlight w:val="none"/>
              </w:rPr>
              <w:t>自然资源部</w:t>
            </w:r>
          </w:p>
        </w:tc>
        <w:tc>
          <w:tcPr>
            <w:tcW w:w="2066" w:type="dxa"/>
            <w:noWrap w:val="0"/>
            <w:vAlign w:val="top"/>
          </w:tcPr>
          <w:p w14:paraId="0DC3B1FC">
            <w:pPr>
              <w:pStyle w:val="65"/>
              <w:spacing w:before="77" w:line="220" w:lineRule="auto"/>
              <w:ind w:left="412"/>
              <w:rPr>
                <w:highlight w:val="none"/>
              </w:rPr>
            </w:pPr>
            <w:r>
              <w:rPr>
                <w:spacing w:val="-2"/>
                <w:highlight w:val="none"/>
              </w:rPr>
              <w:t>省级财政部门</w:t>
            </w:r>
          </w:p>
        </w:tc>
        <w:tc>
          <w:tcPr>
            <w:tcW w:w="3104" w:type="dxa"/>
            <w:gridSpan w:val="2"/>
            <w:noWrap w:val="0"/>
            <w:vAlign w:val="top"/>
          </w:tcPr>
          <w:p w14:paraId="5CBC70E6">
            <w:pPr>
              <w:pStyle w:val="65"/>
              <w:spacing w:before="77" w:line="220" w:lineRule="auto"/>
              <w:ind w:left="932"/>
              <w:rPr>
                <w:highlight w:val="none"/>
              </w:rPr>
            </w:pPr>
            <w:r>
              <w:rPr>
                <w:spacing w:val="-2"/>
                <w:highlight w:val="none"/>
              </w:rPr>
              <w:t>辽宁省财政厅</w:t>
            </w:r>
          </w:p>
        </w:tc>
      </w:tr>
      <w:tr w14:paraId="247C5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057" w:type="dxa"/>
            <w:gridSpan w:val="2"/>
            <w:noWrap w:val="0"/>
            <w:vAlign w:val="top"/>
          </w:tcPr>
          <w:p w14:paraId="0F718D10">
            <w:pPr>
              <w:pStyle w:val="65"/>
              <w:spacing w:before="77" w:line="220" w:lineRule="auto"/>
              <w:ind w:left="119"/>
              <w:rPr>
                <w:highlight w:val="none"/>
              </w:rPr>
            </w:pPr>
            <w:r>
              <w:rPr>
                <w:spacing w:val="-2"/>
                <w:highlight w:val="none"/>
              </w:rPr>
              <w:t>省级主管部门</w:t>
            </w:r>
          </w:p>
        </w:tc>
        <w:tc>
          <w:tcPr>
            <w:tcW w:w="2023" w:type="dxa"/>
            <w:gridSpan w:val="3"/>
            <w:noWrap w:val="0"/>
            <w:vAlign w:val="top"/>
          </w:tcPr>
          <w:p w14:paraId="0B932790">
            <w:pPr>
              <w:pStyle w:val="65"/>
              <w:spacing w:before="77" w:line="220" w:lineRule="auto"/>
              <w:ind w:left="180"/>
              <w:rPr>
                <w:highlight w:val="none"/>
              </w:rPr>
            </w:pPr>
            <w:r>
              <w:rPr>
                <w:spacing w:val="-2"/>
                <w:highlight w:val="none"/>
              </w:rPr>
              <w:t>辽宁省自然资源厅</w:t>
            </w:r>
          </w:p>
        </w:tc>
        <w:tc>
          <w:tcPr>
            <w:tcW w:w="2066" w:type="dxa"/>
            <w:noWrap w:val="0"/>
            <w:vAlign w:val="top"/>
          </w:tcPr>
          <w:p w14:paraId="51F95E33">
            <w:pPr>
              <w:pStyle w:val="65"/>
              <w:spacing w:before="78" w:line="220" w:lineRule="auto"/>
              <w:ind w:left="412"/>
              <w:rPr>
                <w:highlight w:val="none"/>
              </w:rPr>
            </w:pPr>
            <w:r>
              <w:rPr>
                <w:spacing w:val="-2"/>
                <w:highlight w:val="none"/>
              </w:rPr>
              <w:t>具体实施单位</w:t>
            </w:r>
          </w:p>
        </w:tc>
        <w:tc>
          <w:tcPr>
            <w:tcW w:w="3104" w:type="dxa"/>
            <w:gridSpan w:val="2"/>
            <w:noWrap w:val="0"/>
            <w:vAlign w:val="top"/>
          </w:tcPr>
          <w:p w14:paraId="548B42C9">
            <w:pPr>
              <w:pStyle w:val="65"/>
              <w:spacing w:before="78" w:line="219" w:lineRule="auto"/>
              <w:ind w:left="828"/>
              <w:rPr>
                <w:highlight w:val="none"/>
              </w:rPr>
            </w:pPr>
            <w:r>
              <w:rPr>
                <w:spacing w:val="-2"/>
                <w:highlight w:val="none"/>
              </w:rPr>
              <w:t>营口市人民政府</w:t>
            </w:r>
          </w:p>
        </w:tc>
      </w:tr>
      <w:tr w14:paraId="0289F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057" w:type="dxa"/>
            <w:gridSpan w:val="2"/>
            <w:vMerge w:val="restart"/>
            <w:tcBorders>
              <w:bottom w:val="nil"/>
            </w:tcBorders>
            <w:noWrap w:val="0"/>
            <w:vAlign w:val="top"/>
          </w:tcPr>
          <w:p w14:paraId="5F9D8AFC">
            <w:pPr>
              <w:pStyle w:val="65"/>
              <w:spacing w:before="297" w:line="269" w:lineRule="auto"/>
              <w:ind w:left="619" w:right="606" w:firstLine="3"/>
              <w:rPr>
                <w:highlight w:val="none"/>
              </w:rPr>
            </w:pPr>
            <w:r>
              <w:rPr>
                <w:spacing w:val="-5"/>
                <w:highlight w:val="none"/>
              </w:rPr>
              <w:t>资金情况</w:t>
            </w:r>
            <w:r>
              <w:rPr>
                <w:spacing w:val="1"/>
                <w:highlight w:val="none"/>
              </w:rPr>
              <w:t xml:space="preserve"> </w:t>
            </w:r>
            <w:r>
              <w:rPr>
                <w:spacing w:val="-6"/>
                <w:highlight w:val="none"/>
              </w:rPr>
              <w:t>（万元）</w:t>
            </w:r>
          </w:p>
        </w:tc>
        <w:tc>
          <w:tcPr>
            <w:tcW w:w="2023" w:type="dxa"/>
            <w:gridSpan w:val="3"/>
            <w:noWrap w:val="0"/>
            <w:vAlign w:val="top"/>
          </w:tcPr>
          <w:p w14:paraId="50DE418C">
            <w:pPr>
              <w:pStyle w:val="65"/>
              <w:spacing w:before="80" w:line="220" w:lineRule="auto"/>
              <w:ind w:left="115"/>
              <w:rPr>
                <w:highlight w:val="none"/>
              </w:rPr>
            </w:pPr>
            <w:r>
              <w:rPr>
                <w:spacing w:val="-2"/>
                <w:highlight w:val="none"/>
              </w:rPr>
              <w:t>项目总投资</w:t>
            </w:r>
          </w:p>
        </w:tc>
        <w:tc>
          <w:tcPr>
            <w:tcW w:w="5170" w:type="dxa"/>
            <w:gridSpan w:val="3"/>
            <w:noWrap w:val="0"/>
            <w:vAlign w:val="top"/>
          </w:tcPr>
          <w:p w14:paraId="6ED4A32B">
            <w:pPr>
              <w:pStyle w:val="65"/>
              <w:spacing w:before="113" w:line="183" w:lineRule="auto"/>
              <w:ind w:left="2173"/>
              <w:rPr>
                <w:highlight w:val="none"/>
              </w:rPr>
            </w:pPr>
            <w:r>
              <w:rPr>
                <w:spacing w:val="-2"/>
                <w:highlight w:val="none"/>
              </w:rPr>
              <w:t>30973.77</w:t>
            </w:r>
          </w:p>
        </w:tc>
      </w:tr>
      <w:tr w14:paraId="6EDE4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057" w:type="dxa"/>
            <w:gridSpan w:val="2"/>
            <w:vMerge w:val="continue"/>
            <w:tcBorders>
              <w:top w:val="nil"/>
              <w:bottom w:val="nil"/>
            </w:tcBorders>
            <w:noWrap w:val="0"/>
            <w:vAlign w:val="top"/>
          </w:tcPr>
          <w:p w14:paraId="6619DF82">
            <w:pPr>
              <w:rPr>
                <w:rFonts w:ascii="Arial"/>
                <w:sz w:val="21"/>
                <w:highlight w:val="none"/>
              </w:rPr>
            </w:pPr>
          </w:p>
        </w:tc>
        <w:tc>
          <w:tcPr>
            <w:tcW w:w="2023" w:type="dxa"/>
            <w:gridSpan w:val="3"/>
            <w:noWrap w:val="0"/>
            <w:vAlign w:val="top"/>
          </w:tcPr>
          <w:p w14:paraId="428BD5C6">
            <w:pPr>
              <w:pStyle w:val="65"/>
              <w:spacing w:before="81" w:line="220" w:lineRule="auto"/>
              <w:ind w:left="113"/>
              <w:rPr>
                <w:highlight w:val="none"/>
              </w:rPr>
            </w:pPr>
            <w:r>
              <w:rPr>
                <w:spacing w:val="-11"/>
                <w:highlight w:val="none"/>
              </w:rPr>
              <w:t>其中：中央财政资金</w:t>
            </w:r>
          </w:p>
        </w:tc>
        <w:tc>
          <w:tcPr>
            <w:tcW w:w="5170" w:type="dxa"/>
            <w:gridSpan w:val="3"/>
            <w:noWrap w:val="0"/>
            <w:vAlign w:val="top"/>
          </w:tcPr>
          <w:p w14:paraId="7F6B0901">
            <w:pPr>
              <w:pStyle w:val="65"/>
              <w:spacing w:before="113" w:line="184" w:lineRule="auto"/>
              <w:ind w:left="2171"/>
              <w:rPr>
                <w:highlight w:val="none"/>
              </w:rPr>
            </w:pPr>
            <w:r>
              <w:rPr>
                <w:spacing w:val="-2"/>
                <w:highlight w:val="none"/>
              </w:rPr>
              <w:t>21721.32</w:t>
            </w:r>
          </w:p>
        </w:tc>
      </w:tr>
      <w:tr w14:paraId="01E2B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057" w:type="dxa"/>
            <w:gridSpan w:val="2"/>
            <w:vMerge w:val="continue"/>
            <w:tcBorders>
              <w:top w:val="nil"/>
            </w:tcBorders>
            <w:noWrap w:val="0"/>
            <w:vAlign w:val="top"/>
          </w:tcPr>
          <w:p w14:paraId="7DA5DA3F">
            <w:pPr>
              <w:rPr>
                <w:rFonts w:ascii="Arial"/>
                <w:sz w:val="21"/>
                <w:highlight w:val="none"/>
              </w:rPr>
            </w:pPr>
          </w:p>
        </w:tc>
        <w:tc>
          <w:tcPr>
            <w:tcW w:w="2023" w:type="dxa"/>
            <w:gridSpan w:val="3"/>
            <w:noWrap w:val="0"/>
            <w:vAlign w:val="top"/>
          </w:tcPr>
          <w:p w14:paraId="1E6119B2">
            <w:pPr>
              <w:pStyle w:val="65"/>
              <w:spacing w:before="80" w:line="221" w:lineRule="auto"/>
              <w:ind w:left="112"/>
              <w:rPr>
                <w:highlight w:val="none"/>
              </w:rPr>
            </w:pPr>
            <w:r>
              <w:rPr>
                <w:spacing w:val="-2"/>
                <w:highlight w:val="none"/>
              </w:rPr>
              <w:t>地方资金</w:t>
            </w:r>
          </w:p>
        </w:tc>
        <w:tc>
          <w:tcPr>
            <w:tcW w:w="5170" w:type="dxa"/>
            <w:gridSpan w:val="3"/>
            <w:noWrap w:val="0"/>
            <w:vAlign w:val="top"/>
          </w:tcPr>
          <w:p w14:paraId="3C4BD245">
            <w:pPr>
              <w:pStyle w:val="65"/>
              <w:spacing w:before="113" w:line="183" w:lineRule="auto"/>
              <w:ind w:left="2222"/>
              <w:rPr>
                <w:highlight w:val="none"/>
              </w:rPr>
            </w:pPr>
            <w:r>
              <w:rPr>
                <w:spacing w:val="-2"/>
                <w:highlight w:val="none"/>
              </w:rPr>
              <w:t>9252.45</w:t>
            </w:r>
          </w:p>
        </w:tc>
      </w:tr>
      <w:tr w14:paraId="4A890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7" w:hRule="atLeast"/>
        </w:trPr>
        <w:tc>
          <w:tcPr>
            <w:tcW w:w="914" w:type="dxa"/>
            <w:noWrap w:val="0"/>
            <w:vAlign w:val="top"/>
          </w:tcPr>
          <w:p w14:paraId="548826EB">
            <w:pPr>
              <w:spacing w:line="273" w:lineRule="auto"/>
              <w:rPr>
                <w:rFonts w:ascii="Arial"/>
                <w:sz w:val="21"/>
                <w:highlight w:val="none"/>
              </w:rPr>
            </w:pPr>
          </w:p>
          <w:p w14:paraId="53C27CF3">
            <w:pPr>
              <w:spacing w:line="273" w:lineRule="auto"/>
              <w:rPr>
                <w:rFonts w:ascii="Arial"/>
                <w:sz w:val="21"/>
                <w:highlight w:val="none"/>
              </w:rPr>
            </w:pPr>
          </w:p>
          <w:p w14:paraId="1F6FA23A">
            <w:pPr>
              <w:spacing w:line="274" w:lineRule="auto"/>
              <w:rPr>
                <w:rFonts w:ascii="Arial"/>
                <w:sz w:val="21"/>
                <w:highlight w:val="none"/>
              </w:rPr>
            </w:pPr>
          </w:p>
          <w:p w14:paraId="6164CE92">
            <w:pPr>
              <w:spacing w:line="274" w:lineRule="auto"/>
              <w:rPr>
                <w:rFonts w:ascii="Arial"/>
                <w:sz w:val="21"/>
                <w:highlight w:val="none"/>
              </w:rPr>
            </w:pPr>
          </w:p>
          <w:p w14:paraId="66F0C53E">
            <w:pPr>
              <w:pStyle w:val="65"/>
              <w:spacing w:before="69" w:line="230" w:lineRule="auto"/>
              <w:ind w:left="357" w:right="140" w:hanging="205"/>
              <w:rPr>
                <w:highlight w:val="none"/>
              </w:rPr>
            </w:pPr>
            <w:r>
              <w:rPr>
                <w:spacing w:val="-5"/>
                <w:highlight w:val="none"/>
              </w:rPr>
              <w:t>总体目</w:t>
            </w:r>
            <w:r>
              <w:rPr>
                <w:highlight w:val="none"/>
              </w:rPr>
              <w:t xml:space="preserve"> 标</w:t>
            </w:r>
          </w:p>
        </w:tc>
        <w:tc>
          <w:tcPr>
            <w:tcW w:w="8336" w:type="dxa"/>
            <w:gridSpan w:val="7"/>
            <w:noWrap w:val="0"/>
            <w:vAlign w:val="top"/>
          </w:tcPr>
          <w:p w14:paraId="1D7C5A0C">
            <w:pPr>
              <w:pStyle w:val="65"/>
              <w:spacing w:before="79" w:line="296" w:lineRule="auto"/>
              <w:ind w:left="109" w:right="49" w:firstLine="484"/>
              <w:rPr>
                <w:highlight w:val="none"/>
              </w:rPr>
            </w:pPr>
            <w:r>
              <w:rPr>
                <w:spacing w:val="-3"/>
                <w:highlight w:val="none"/>
              </w:rPr>
              <w:t>修复区位于营口市海岸带区域，完成修复总面积</w:t>
            </w:r>
            <w:r>
              <w:rPr>
                <w:spacing w:val="-19"/>
                <w:highlight w:val="none"/>
              </w:rPr>
              <w:t xml:space="preserve"> </w:t>
            </w:r>
            <w:r>
              <w:rPr>
                <w:spacing w:val="-3"/>
                <w:highlight w:val="none"/>
              </w:rPr>
              <w:t>1445.45ha，其中整治修复岸线长度</w:t>
            </w:r>
            <w:r>
              <w:rPr>
                <w:highlight w:val="none"/>
              </w:rPr>
              <w:t xml:space="preserve"> </w:t>
            </w:r>
            <w:r>
              <w:rPr>
                <w:spacing w:val="-2"/>
                <w:highlight w:val="none"/>
              </w:rPr>
              <w:t>1664.90m，滨海湿地整治修复面积</w:t>
            </w:r>
            <w:r>
              <w:rPr>
                <w:spacing w:val="-29"/>
                <w:highlight w:val="none"/>
              </w:rPr>
              <w:t xml:space="preserve"> </w:t>
            </w:r>
            <w:r>
              <w:rPr>
                <w:spacing w:val="-2"/>
                <w:highlight w:val="none"/>
              </w:rPr>
              <w:t>1408.5ha</w:t>
            </w:r>
            <w:r>
              <w:rPr>
                <w:spacing w:val="-3"/>
                <w:highlight w:val="none"/>
              </w:rPr>
              <w:t>。通过保育修复芦苇/碱蓬面积</w:t>
            </w:r>
            <w:r>
              <w:rPr>
                <w:spacing w:val="-28"/>
                <w:highlight w:val="none"/>
              </w:rPr>
              <w:t xml:space="preserve"> </w:t>
            </w:r>
            <w:r>
              <w:rPr>
                <w:spacing w:val="-3"/>
                <w:highlight w:val="none"/>
              </w:rPr>
              <w:t>117.82ha、新</w:t>
            </w:r>
            <w:r>
              <w:rPr>
                <w:highlight w:val="none"/>
              </w:rPr>
              <w:t xml:space="preserve"> </w:t>
            </w:r>
            <w:r>
              <w:rPr>
                <w:spacing w:val="-2"/>
                <w:highlight w:val="none"/>
              </w:rPr>
              <w:t>种植芦苇/碱蓬面积 73.25ha、修复底栖生物面积 199.51ha、浒苔防治面积 1006.83</w:t>
            </w:r>
            <w:r>
              <w:rPr>
                <w:spacing w:val="-3"/>
                <w:highlight w:val="none"/>
              </w:rPr>
              <w:t>ha、</w:t>
            </w:r>
            <w:r>
              <w:rPr>
                <w:highlight w:val="none"/>
              </w:rPr>
              <w:t xml:space="preserve">  </w:t>
            </w:r>
            <w:r>
              <w:rPr>
                <w:spacing w:val="-1"/>
                <w:highlight w:val="none"/>
              </w:rPr>
              <w:t>底泥清理面积</w:t>
            </w:r>
            <w:r>
              <w:rPr>
                <w:spacing w:val="-40"/>
                <w:highlight w:val="none"/>
              </w:rPr>
              <w:t xml:space="preserve"> </w:t>
            </w:r>
            <w:r>
              <w:rPr>
                <w:spacing w:val="-1"/>
                <w:highlight w:val="none"/>
              </w:rPr>
              <w:t>53.21ha，潮沟疏通面积</w:t>
            </w:r>
            <w:r>
              <w:rPr>
                <w:spacing w:val="-41"/>
                <w:highlight w:val="none"/>
              </w:rPr>
              <w:t xml:space="preserve"> </w:t>
            </w:r>
            <w:r>
              <w:rPr>
                <w:spacing w:val="-1"/>
                <w:highlight w:val="none"/>
              </w:rPr>
              <w:t>25.63ha，修复海岸湿地</w:t>
            </w:r>
            <w:r>
              <w:rPr>
                <w:spacing w:val="-2"/>
                <w:highlight w:val="none"/>
              </w:rPr>
              <w:t>面积</w:t>
            </w:r>
            <w:r>
              <w:rPr>
                <w:spacing w:val="-40"/>
                <w:highlight w:val="none"/>
              </w:rPr>
              <w:t xml:space="preserve"> </w:t>
            </w:r>
            <w:r>
              <w:rPr>
                <w:spacing w:val="-2"/>
                <w:highlight w:val="none"/>
              </w:rPr>
              <w:t>31.7ha，以及生态护</w:t>
            </w:r>
            <w:r>
              <w:rPr>
                <w:highlight w:val="none"/>
              </w:rPr>
              <w:t xml:space="preserve"> </w:t>
            </w:r>
            <w:r>
              <w:rPr>
                <w:spacing w:val="-1"/>
                <w:highlight w:val="none"/>
              </w:rPr>
              <w:t>岸长度</w:t>
            </w:r>
            <w:r>
              <w:rPr>
                <w:spacing w:val="-29"/>
                <w:highlight w:val="none"/>
              </w:rPr>
              <w:t xml:space="preserve"> </w:t>
            </w:r>
            <w:r>
              <w:rPr>
                <w:spacing w:val="-1"/>
                <w:highlight w:val="none"/>
              </w:rPr>
              <w:t>1664.9m，解决该区域内滨海湿地生境破碎化、浒苔灾害频发、</w:t>
            </w:r>
            <w:r>
              <w:rPr>
                <w:spacing w:val="-2"/>
                <w:highlight w:val="none"/>
              </w:rPr>
              <w:t>陆海生态连通性受</w:t>
            </w:r>
            <w:r>
              <w:rPr>
                <w:highlight w:val="none"/>
              </w:rPr>
              <w:t xml:space="preserve"> </w:t>
            </w:r>
            <w:r>
              <w:rPr>
                <w:spacing w:val="-4"/>
                <w:highlight w:val="none"/>
              </w:rPr>
              <w:t>阻、砂质海岸侵蚀严重、海岸带防灾减灾能</w:t>
            </w:r>
            <w:r>
              <w:rPr>
                <w:spacing w:val="-5"/>
                <w:highlight w:val="none"/>
              </w:rPr>
              <w:t>力不足等主要生态问题， 使区域生态系统结构</w:t>
            </w:r>
            <w:r>
              <w:rPr>
                <w:highlight w:val="none"/>
              </w:rPr>
              <w:t xml:space="preserve"> </w:t>
            </w:r>
            <w:r>
              <w:rPr>
                <w:spacing w:val="-6"/>
                <w:highlight w:val="none"/>
              </w:rPr>
              <w:t>进一步优化，生态系统稳定性明显加强，生态系统质量有效改善，生态系统功能显著提升，</w:t>
            </w:r>
            <w:r>
              <w:rPr>
                <w:spacing w:val="10"/>
                <w:highlight w:val="none"/>
              </w:rPr>
              <w:t xml:space="preserve"> </w:t>
            </w:r>
            <w:r>
              <w:rPr>
                <w:spacing w:val="-1"/>
                <w:highlight w:val="none"/>
              </w:rPr>
              <w:t>生物多样性明显增加，增强防御自然灾害能力，促进区域生态与减灾协同增</w:t>
            </w:r>
            <w:r>
              <w:rPr>
                <w:spacing w:val="-2"/>
                <w:highlight w:val="none"/>
              </w:rPr>
              <w:t>效。</w:t>
            </w:r>
          </w:p>
        </w:tc>
      </w:tr>
      <w:tr w14:paraId="39741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14" w:type="dxa"/>
            <w:vMerge w:val="restart"/>
            <w:tcBorders>
              <w:bottom w:val="nil"/>
            </w:tcBorders>
            <w:noWrap w:val="0"/>
            <w:vAlign w:val="top"/>
          </w:tcPr>
          <w:p w14:paraId="7FCA0807">
            <w:pPr>
              <w:spacing w:line="248" w:lineRule="auto"/>
              <w:rPr>
                <w:rFonts w:ascii="Arial"/>
                <w:sz w:val="21"/>
                <w:highlight w:val="none"/>
              </w:rPr>
            </w:pPr>
          </w:p>
          <w:p w14:paraId="42F98557">
            <w:pPr>
              <w:spacing w:line="248" w:lineRule="auto"/>
              <w:rPr>
                <w:rFonts w:ascii="Arial"/>
                <w:sz w:val="21"/>
                <w:highlight w:val="none"/>
              </w:rPr>
            </w:pPr>
          </w:p>
          <w:p w14:paraId="5D204A0A">
            <w:pPr>
              <w:spacing w:line="248" w:lineRule="auto"/>
              <w:rPr>
                <w:rFonts w:ascii="Arial"/>
                <w:sz w:val="21"/>
                <w:highlight w:val="none"/>
              </w:rPr>
            </w:pPr>
          </w:p>
          <w:p w14:paraId="652EDAC8">
            <w:pPr>
              <w:spacing w:line="248" w:lineRule="auto"/>
              <w:rPr>
                <w:rFonts w:ascii="Arial"/>
                <w:sz w:val="21"/>
                <w:highlight w:val="none"/>
              </w:rPr>
            </w:pPr>
          </w:p>
          <w:p w14:paraId="454139E5">
            <w:pPr>
              <w:spacing w:line="248" w:lineRule="auto"/>
              <w:rPr>
                <w:rFonts w:ascii="Arial"/>
                <w:sz w:val="21"/>
                <w:highlight w:val="none"/>
              </w:rPr>
            </w:pPr>
          </w:p>
          <w:p w14:paraId="2E064C82">
            <w:pPr>
              <w:spacing w:line="248" w:lineRule="auto"/>
              <w:rPr>
                <w:rFonts w:ascii="Arial"/>
                <w:sz w:val="21"/>
                <w:highlight w:val="none"/>
              </w:rPr>
            </w:pPr>
          </w:p>
          <w:p w14:paraId="31ABFD03">
            <w:pPr>
              <w:spacing w:line="248" w:lineRule="auto"/>
              <w:rPr>
                <w:rFonts w:ascii="Arial"/>
                <w:sz w:val="21"/>
                <w:highlight w:val="none"/>
              </w:rPr>
            </w:pPr>
          </w:p>
          <w:p w14:paraId="1C854161">
            <w:pPr>
              <w:spacing w:line="248" w:lineRule="auto"/>
              <w:rPr>
                <w:rFonts w:ascii="Arial"/>
                <w:sz w:val="21"/>
                <w:highlight w:val="none"/>
              </w:rPr>
            </w:pPr>
          </w:p>
          <w:p w14:paraId="038A4955">
            <w:pPr>
              <w:spacing w:line="248" w:lineRule="auto"/>
              <w:rPr>
                <w:rFonts w:ascii="Arial"/>
                <w:sz w:val="21"/>
                <w:highlight w:val="none"/>
              </w:rPr>
            </w:pPr>
          </w:p>
          <w:p w14:paraId="7FAF9FC7">
            <w:pPr>
              <w:spacing w:line="248" w:lineRule="auto"/>
              <w:rPr>
                <w:rFonts w:ascii="Arial"/>
                <w:sz w:val="21"/>
                <w:highlight w:val="none"/>
              </w:rPr>
            </w:pPr>
          </w:p>
          <w:p w14:paraId="47D7286E">
            <w:pPr>
              <w:spacing w:line="248" w:lineRule="auto"/>
              <w:rPr>
                <w:rFonts w:ascii="Arial"/>
                <w:sz w:val="21"/>
                <w:highlight w:val="none"/>
              </w:rPr>
            </w:pPr>
          </w:p>
          <w:p w14:paraId="1CC8F361">
            <w:pPr>
              <w:spacing w:line="248" w:lineRule="auto"/>
              <w:rPr>
                <w:rFonts w:ascii="Arial"/>
                <w:sz w:val="21"/>
                <w:highlight w:val="none"/>
              </w:rPr>
            </w:pPr>
          </w:p>
          <w:p w14:paraId="01CD7433">
            <w:pPr>
              <w:spacing w:line="248" w:lineRule="auto"/>
              <w:rPr>
                <w:rFonts w:ascii="Arial"/>
                <w:sz w:val="21"/>
                <w:highlight w:val="none"/>
              </w:rPr>
            </w:pPr>
          </w:p>
          <w:p w14:paraId="0DE61D4E">
            <w:pPr>
              <w:spacing w:line="249" w:lineRule="auto"/>
              <w:rPr>
                <w:rFonts w:ascii="Arial"/>
                <w:sz w:val="21"/>
                <w:highlight w:val="none"/>
              </w:rPr>
            </w:pPr>
          </w:p>
          <w:p w14:paraId="55BA5651">
            <w:pPr>
              <w:spacing w:line="249" w:lineRule="auto"/>
              <w:rPr>
                <w:rFonts w:ascii="Arial"/>
                <w:sz w:val="21"/>
                <w:highlight w:val="none"/>
              </w:rPr>
            </w:pPr>
          </w:p>
          <w:p w14:paraId="28A8DD2B">
            <w:pPr>
              <w:spacing w:line="249" w:lineRule="auto"/>
              <w:rPr>
                <w:rFonts w:ascii="Arial"/>
                <w:sz w:val="21"/>
                <w:highlight w:val="none"/>
              </w:rPr>
            </w:pPr>
          </w:p>
          <w:p w14:paraId="49263640">
            <w:pPr>
              <w:spacing w:line="249" w:lineRule="auto"/>
              <w:rPr>
                <w:rFonts w:ascii="Arial"/>
                <w:sz w:val="21"/>
                <w:highlight w:val="none"/>
              </w:rPr>
            </w:pPr>
          </w:p>
          <w:p w14:paraId="17091491">
            <w:pPr>
              <w:spacing w:line="249" w:lineRule="auto"/>
              <w:rPr>
                <w:rFonts w:ascii="Arial"/>
                <w:sz w:val="21"/>
                <w:highlight w:val="none"/>
              </w:rPr>
            </w:pPr>
          </w:p>
          <w:p w14:paraId="2279F151">
            <w:pPr>
              <w:spacing w:line="249" w:lineRule="auto"/>
              <w:rPr>
                <w:rFonts w:ascii="Arial"/>
                <w:sz w:val="21"/>
                <w:highlight w:val="none"/>
              </w:rPr>
            </w:pPr>
          </w:p>
          <w:p w14:paraId="59537ED8">
            <w:pPr>
              <w:spacing w:line="249" w:lineRule="auto"/>
              <w:rPr>
                <w:rFonts w:ascii="Arial"/>
                <w:sz w:val="21"/>
                <w:highlight w:val="none"/>
              </w:rPr>
            </w:pPr>
          </w:p>
          <w:p w14:paraId="440EEA43">
            <w:pPr>
              <w:spacing w:line="249" w:lineRule="auto"/>
              <w:rPr>
                <w:rFonts w:ascii="Arial"/>
                <w:sz w:val="21"/>
                <w:highlight w:val="none"/>
              </w:rPr>
            </w:pPr>
          </w:p>
          <w:p w14:paraId="07D810C4">
            <w:pPr>
              <w:spacing w:line="249" w:lineRule="auto"/>
              <w:rPr>
                <w:rFonts w:ascii="Arial"/>
                <w:sz w:val="21"/>
                <w:highlight w:val="none"/>
              </w:rPr>
            </w:pPr>
          </w:p>
          <w:p w14:paraId="2A86DDE2">
            <w:pPr>
              <w:pStyle w:val="65"/>
              <w:spacing w:before="68" w:line="230" w:lineRule="auto"/>
              <w:ind w:left="357" w:right="140" w:hanging="207"/>
              <w:rPr>
                <w:highlight w:val="none"/>
              </w:rPr>
            </w:pPr>
            <w:r>
              <w:rPr>
                <w:spacing w:val="-4"/>
                <w:highlight w:val="none"/>
              </w:rPr>
              <w:t>绩效指</w:t>
            </w:r>
            <w:r>
              <w:rPr>
                <w:highlight w:val="none"/>
              </w:rPr>
              <w:t xml:space="preserve"> 标</w:t>
            </w:r>
          </w:p>
        </w:tc>
        <w:tc>
          <w:tcPr>
            <w:tcW w:w="1378" w:type="dxa"/>
            <w:gridSpan w:val="2"/>
            <w:noWrap w:val="0"/>
            <w:vAlign w:val="top"/>
          </w:tcPr>
          <w:p w14:paraId="672F1758">
            <w:pPr>
              <w:pStyle w:val="65"/>
              <w:spacing w:before="82" w:line="220" w:lineRule="auto"/>
              <w:ind w:left="275"/>
              <w:rPr>
                <w:highlight w:val="none"/>
              </w:rPr>
            </w:pPr>
            <w:r>
              <w:rPr>
                <w:spacing w:val="-3"/>
                <w:highlight w:val="none"/>
              </w:rPr>
              <w:t>一级指标</w:t>
            </w:r>
          </w:p>
        </w:tc>
        <w:tc>
          <w:tcPr>
            <w:tcW w:w="1530" w:type="dxa"/>
            <w:noWrap w:val="0"/>
            <w:vAlign w:val="top"/>
          </w:tcPr>
          <w:p w14:paraId="5D8F5D82">
            <w:pPr>
              <w:pStyle w:val="65"/>
              <w:spacing w:before="82" w:line="220" w:lineRule="auto"/>
              <w:ind w:left="353"/>
              <w:rPr>
                <w:highlight w:val="none"/>
              </w:rPr>
            </w:pPr>
            <w:r>
              <w:rPr>
                <w:spacing w:val="-3"/>
                <w:highlight w:val="none"/>
              </w:rPr>
              <w:t>二级指标</w:t>
            </w:r>
          </w:p>
        </w:tc>
        <w:tc>
          <w:tcPr>
            <w:tcW w:w="2808" w:type="dxa"/>
            <w:gridSpan w:val="3"/>
            <w:noWrap w:val="0"/>
            <w:vAlign w:val="top"/>
          </w:tcPr>
          <w:p w14:paraId="707C3B27">
            <w:pPr>
              <w:pStyle w:val="65"/>
              <w:spacing w:before="82" w:line="220" w:lineRule="auto"/>
              <w:ind w:left="989"/>
              <w:rPr>
                <w:highlight w:val="none"/>
              </w:rPr>
            </w:pPr>
            <w:r>
              <w:rPr>
                <w:spacing w:val="-2"/>
                <w:highlight w:val="none"/>
              </w:rPr>
              <w:t>三级指标</w:t>
            </w:r>
          </w:p>
        </w:tc>
        <w:tc>
          <w:tcPr>
            <w:tcW w:w="2620" w:type="dxa"/>
            <w:noWrap w:val="0"/>
            <w:vAlign w:val="top"/>
          </w:tcPr>
          <w:p w14:paraId="2B8DB9D4">
            <w:pPr>
              <w:pStyle w:val="65"/>
              <w:spacing w:before="81" w:line="220" w:lineRule="auto"/>
              <w:ind w:left="1002"/>
              <w:rPr>
                <w:highlight w:val="none"/>
              </w:rPr>
            </w:pPr>
            <w:r>
              <w:rPr>
                <w:spacing w:val="-3"/>
                <w:highlight w:val="none"/>
              </w:rPr>
              <w:t>指标值</w:t>
            </w:r>
          </w:p>
        </w:tc>
      </w:tr>
      <w:tr w14:paraId="23FB1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7577BEE2">
            <w:pPr>
              <w:rPr>
                <w:rFonts w:ascii="Arial"/>
                <w:sz w:val="21"/>
                <w:highlight w:val="none"/>
              </w:rPr>
            </w:pPr>
          </w:p>
        </w:tc>
        <w:tc>
          <w:tcPr>
            <w:tcW w:w="1378" w:type="dxa"/>
            <w:gridSpan w:val="2"/>
            <w:vMerge w:val="restart"/>
            <w:tcBorders>
              <w:bottom w:val="nil"/>
            </w:tcBorders>
            <w:noWrap w:val="0"/>
            <w:vAlign w:val="top"/>
          </w:tcPr>
          <w:p w14:paraId="28D226A7">
            <w:pPr>
              <w:spacing w:line="242" w:lineRule="auto"/>
              <w:rPr>
                <w:rFonts w:ascii="Arial"/>
                <w:sz w:val="21"/>
                <w:highlight w:val="none"/>
              </w:rPr>
            </w:pPr>
          </w:p>
          <w:p w14:paraId="295469C1">
            <w:pPr>
              <w:spacing w:line="242" w:lineRule="auto"/>
              <w:rPr>
                <w:rFonts w:ascii="Arial"/>
                <w:sz w:val="21"/>
                <w:highlight w:val="none"/>
              </w:rPr>
            </w:pPr>
          </w:p>
          <w:p w14:paraId="265B3443">
            <w:pPr>
              <w:spacing w:line="242" w:lineRule="auto"/>
              <w:rPr>
                <w:rFonts w:ascii="Arial"/>
                <w:sz w:val="21"/>
                <w:highlight w:val="none"/>
              </w:rPr>
            </w:pPr>
          </w:p>
          <w:p w14:paraId="6F0B1B74">
            <w:pPr>
              <w:spacing w:line="242" w:lineRule="auto"/>
              <w:rPr>
                <w:rFonts w:ascii="Arial"/>
                <w:sz w:val="21"/>
                <w:highlight w:val="none"/>
              </w:rPr>
            </w:pPr>
          </w:p>
          <w:p w14:paraId="3C07E803">
            <w:pPr>
              <w:spacing w:line="242" w:lineRule="auto"/>
              <w:rPr>
                <w:rFonts w:ascii="Arial"/>
                <w:sz w:val="21"/>
                <w:highlight w:val="none"/>
              </w:rPr>
            </w:pPr>
          </w:p>
          <w:p w14:paraId="6D9FC8D0">
            <w:pPr>
              <w:spacing w:line="242" w:lineRule="auto"/>
              <w:rPr>
                <w:rFonts w:ascii="Arial"/>
                <w:sz w:val="21"/>
                <w:highlight w:val="none"/>
              </w:rPr>
            </w:pPr>
          </w:p>
          <w:p w14:paraId="29C33DFA">
            <w:pPr>
              <w:spacing w:line="242" w:lineRule="auto"/>
              <w:rPr>
                <w:rFonts w:ascii="Arial"/>
                <w:sz w:val="21"/>
                <w:highlight w:val="none"/>
              </w:rPr>
            </w:pPr>
          </w:p>
          <w:p w14:paraId="2BE62E6F">
            <w:pPr>
              <w:spacing w:line="242" w:lineRule="auto"/>
              <w:rPr>
                <w:rFonts w:ascii="Arial"/>
                <w:sz w:val="21"/>
                <w:highlight w:val="none"/>
              </w:rPr>
            </w:pPr>
          </w:p>
          <w:p w14:paraId="1D1B376B">
            <w:pPr>
              <w:spacing w:line="243" w:lineRule="auto"/>
              <w:rPr>
                <w:rFonts w:ascii="Arial"/>
                <w:sz w:val="21"/>
                <w:highlight w:val="none"/>
              </w:rPr>
            </w:pPr>
          </w:p>
          <w:p w14:paraId="7FBB39BF">
            <w:pPr>
              <w:spacing w:line="243" w:lineRule="auto"/>
              <w:rPr>
                <w:rFonts w:ascii="Arial"/>
                <w:sz w:val="21"/>
                <w:highlight w:val="none"/>
              </w:rPr>
            </w:pPr>
          </w:p>
          <w:p w14:paraId="3F74CBCA">
            <w:pPr>
              <w:spacing w:line="243" w:lineRule="auto"/>
              <w:rPr>
                <w:rFonts w:ascii="Arial"/>
                <w:sz w:val="21"/>
                <w:highlight w:val="none"/>
              </w:rPr>
            </w:pPr>
          </w:p>
          <w:p w14:paraId="3BAA9F5D">
            <w:pPr>
              <w:spacing w:line="243" w:lineRule="auto"/>
              <w:rPr>
                <w:rFonts w:ascii="Arial"/>
                <w:sz w:val="21"/>
                <w:highlight w:val="none"/>
              </w:rPr>
            </w:pPr>
          </w:p>
          <w:p w14:paraId="16D39DE0">
            <w:pPr>
              <w:spacing w:line="243" w:lineRule="auto"/>
              <w:rPr>
                <w:rFonts w:ascii="Arial"/>
                <w:sz w:val="21"/>
                <w:highlight w:val="none"/>
              </w:rPr>
            </w:pPr>
          </w:p>
          <w:p w14:paraId="342B0623">
            <w:pPr>
              <w:spacing w:line="243" w:lineRule="auto"/>
              <w:rPr>
                <w:rFonts w:ascii="Arial"/>
                <w:sz w:val="21"/>
                <w:highlight w:val="none"/>
              </w:rPr>
            </w:pPr>
          </w:p>
          <w:p w14:paraId="5C032877">
            <w:pPr>
              <w:pStyle w:val="65"/>
              <w:spacing w:before="68" w:line="220" w:lineRule="auto"/>
              <w:ind w:left="272"/>
              <w:rPr>
                <w:highlight w:val="none"/>
              </w:rPr>
            </w:pPr>
            <w:r>
              <w:rPr>
                <w:spacing w:val="-2"/>
                <w:highlight w:val="none"/>
              </w:rPr>
              <w:t>产出指标</w:t>
            </w:r>
          </w:p>
        </w:tc>
        <w:tc>
          <w:tcPr>
            <w:tcW w:w="1530" w:type="dxa"/>
            <w:vMerge w:val="restart"/>
            <w:tcBorders>
              <w:bottom w:val="nil"/>
            </w:tcBorders>
            <w:noWrap w:val="0"/>
            <w:vAlign w:val="top"/>
          </w:tcPr>
          <w:p w14:paraId="6CF41959">
            <w:pPr>
              <w:spacing w:line="259" w:lineRule="auto"/>
              <w:rPr>
                <w:rFonts w:ascii="Arial"/>
                <w:sz w:val="21"/>
                <w:highlight w:val="none"/>
              </w:rPr>
            </w:pPr>
          </w:p>
          <w:p w14:paraId="14B18826">
            <w:pPr>
              <w:spacing w:line="259" w:lineRule="auto"/>
              <w:rPr>
                <w:rFonts w:ascii="Arial"/>
                <w:sz w:val="21"/>
                <w:highlight w:val="none"/>
              </w:rPr>
            </w:pPr>
          </w:p>
          <w:p w14:paraId="1F976D07">
            <w:pPr>
              <w:spacing w:line="259" w:lineRule="auto"/>
              <w:rPr>
                <w:rFonts w:ascii="Arial"/>
                <w:sz w:val="21"/>
                <w:highlight w:val="none"/>
              </w:rPr>
            </w:pPr>
          </w:p>
          <w:p w14:paraId="40055474">
            <w:pPr>
              <w:spacing w:line="260" w:lineRule="auto"/>
              <w:rPr>
                <w:rFonts w:ascii="Arial"/>
                <w:sz w:val="21"/>
                <w:highlight w:val="none"/>
              </w:rPr>
            </w:pPr>
          </w:p>
          <w:p w14:paraId="2C34308A">
            <w:pPr>
              <w:spacing w:line="260" w:lineRule="auto"/>
              <w:rPr>
                <w:rFonts w:ascii="Arial"/>
                <w:sz w:val="21"/>
                <w:highlight w:val="none"/>
              </w:rPr>
            </w:pPr>
          </w:p>
          <w:p w14:paraId="1062F3E6">
            <w:pPr>
              <w:spacing w:line="260" w:lineRule="auto"/>
              <w:rPr>
                <w:rFonts w:ascii="Arial"/>
                <w:sz w:val="21"/>
                <w:highlight w:val="none"/>
              </w:rPr>
            </w:pPr>
          </w:p>
          <w:p w14:paraId="451A0B50">
            <w:pPr>
              <w:spacing w:line="260" w:lineRule="auto"/>
              <w:rPr>
                <w:rFonts w:ascii="Arial"/>
                <w:sz w:val="21"/>
                <w:highlight w:val="none"/>
              </w:rPr>
            </w:pPr>
          </w:p>
          <w:p w14:paraId="6F4B8FFF">
            <w:pPr>
              <w:spacing w:line="260" w:lineRule="auto"/>
              <w:rPr>
                <w:rFonts w:ascii="Arial"/>
                <w:sz w:val="21"/>
                <w:highlight w:val="none"/>
              </w:rPr>
            </w:pPr>
          </w:p>
          <w:p w14:paraId="520E3579">
            <w:pPr>
              <w:pStyle w:val="65"/>
              <w:spacing w:before="68" w:line="220" w:lineRule="auto"/>
              <w:ind w:left="114"/>
              <w:rPr>
                <w:highlight w:val="none"/>
              </w:rPr>
            </w:pPr>
            <w:r>
              <w:rPr>
                <w:spacing w:val="-2"/>
                <w:highlight w:val="none"/>
              </w:rPr>
              <w:t>数量指标</w:t>
            </w:r>
          </w:p>
        </w:tc>
        <w:tc>
          <w:tcPr>
            <w:tcW w:w="2808" w:type="dxa"/>
            <w:gridSpan w:val="3"/>
            <w:noWrap w:val="0"/>
            <w:vAlign w:val="top"/>
          </w:tcPr>
          <w:p w14:paraId="2735144B">
            <w:pPr>
              <w:pStyle w:val="65"/>
              <w:spacing w:before="77" w:line="220" w:lineRule="auto"/>
              <w:ind w:left="114"/>
              <w:rPr>
                <w:highlight w:val="none"/>
              </w:rPr>
            </w:pPr>
            <w:r>
              <w:rPr>
                <w:b/>
                <w:bCs/>
                <w:spacing w:val="-3"/>
                <w:highlight w:val="none"/>
              </w:rPr>
              <w:t>完成生态修复总面积</w:t>
            </w:r>
          </w:p>
        </w:tc>
        <w:tc>
          <w:tcPr>
            <w:tcW w:w="2620" w:type="dxa"/>
            <w:noWrap w:val="0"/>
            <w:vAlign w:val="top"/>
          </w:tcPr>
          <w:p w14:paraId="741C53BB">
            <w:pPr>
              <w:pStyle w:val="65"/>
              <w:spacing w:before="78" w:line="239" w:lineRule="auto"/>
              <w:ind w:left="858"/>
              <w:rPr>
                <w:highlight w:val="none"/>
              </w:rPr>
            </w:pPr>
            <w:r>
              <w:rPr>
                <w:spacing w:val="-3"/>
                <w:highlight w:val="none"/>
              </w:rPr>
              <w:t>1445.45ha</w:t>
            </w:r>
          </w:p>
        </w:tc>
      </w:tr>
      <w:tr w14:paraId="4443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4" w:type="dxa"/>
            <w:vMerge w:val="continue"/>
            <w:tcBorders>
              <w:top w:val="nil"/>
              <w:bottom w:val="nil"/>
            </w:tcBorders>
            <w:noWrap w:val="0"/>
            <w:vAlign w:val="top"/>
          </w:tcPr>
          <w:p w14:paraId="7146469C">
            <w:pPr>
              <w:rPr>
                <w:rFonts w:ascii="Arial"/>
                <w:sz w:val="21"/>
                <w:highlight w:val="none"/>
              </w:rPr>
            </w:pPr>
          </w:p>
        </w:tc>
        <w:tc>
          <w:tcPr>
            <w:tcW w:w="1378" w:type="dxa"/>
            <w:gridSpan w:val="2"/>
            <w:vMerge w:val="continue"/>
            <w:tcBorders>
              <w:top w:val="nil"/>
              <w:bottom w:val="nil"/>
            </w:tcBorders>
            <w:noWrap w:val="0"/>
            <w:vAlign w:val="top"/>
          </w:tcPr>
          <w:p w14:paraId="6AA187C7">
            <w:pPr>
              <w:rPr>
                <w:rFonts w:ascii="Arial"/>
                <w:sz w:val="21"/>
                <w:highlight w:val="none"/>
              </w:rPr>
            </w:pPr>
          </w:p>
        </w:tc>
        <w:tc>
          <w:tcPr>
            <w:tcW w:w="1530" w:type="dxa"/>
            <w:vMerge w:val="continue"/>
            <w:tcBorders>
              <w:top w:val="nil"/>
              <w:bottom w:val="nil"/>
            </w:tcBorders>
            <w:noWrap w:val="0"/>
            <w:vAlign w:val="top"/>
          </w:tcPr>
          <w:p w14:paraId="45016658">
            <w:pPr>
              <w:rPr>
                <w:rFonts w:ascii="Arial"/>
                <w:sz w:val="21"/>
                <w:highlight w:val="none"/>
              </w:rPr>
            </w:pPr>
          </w:p>
        </w:tc>
        <w:tc>
          <w:tcPr>
            <w:tcW w:w="2808" w:type="dxa"/>
            <w:gridSpan w:val="3"/>
            <w:noWrap w:val="0"/>
            <w:vAlign w:val="top"/>
          </w:tcPr>
          <w:p w14:paraId="4D6787C0">
            <w:pPr>
              <w:pStyle w:val="65"/>
              <w:spacing w:before="77" w:line="220" w:lineRule="auto"/>
              <w:ind w:left="112"/>
              <w:rPr>
                <w:highlight w:val="none"/>
              </w:rPr>
            </w:pPr>
            <w:r>
              <w:rPr>
                <w:b/>
                <w:bCs/>
                <w:spacing w:val="-3"/>
                <w:highlight w:val="none"/>
              </w:rPr>
              <w:t>岸线整治修复长度</w:t>
            </w:r>
          </w:p>
        </w:tc>
        <w:tc>
          <w:tcPr>
            <w:tcW w:w="2620" w:type="dxa"/>
            <w:noWrap w:val="0"/>
            <w:vAlign w:val="top"/>
          </w:tcPr>
          <w:p w14:paraId="0957F8E1">
            <w:pPr>
              <w:pStyle w:val="65"/>
              <w:spacing w:before="110" w:line="184" w:lineRule="auto"/>
              <w:ind w:left="910"/>
              <w:rPr>
                <w:highlight w:val="none"/>
              </w:rPr>
            </w:pPr>
            <w:r>
              <w:rPr>
                <w:spacing w:val="-3"/>
                <w:highlight w:val="none"/>
              </w:rPr>
              <w:t>1664.90m</w:t>
            </w:r>
          </w:p>
        </w:tc>
      </w:tr>
      <w:tr w14:paraId="6B720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4" w:type="dxa"/>
            <w:vMerge w:val="continue"/>
            <w:tcBorders>
              <w:top w:val="nil"/>
              <w:bottom w:val="nil"/>
            </w:tcBorders>
            <w:noWrap w:val="0"/>
            <w:vAlign w:val="top"/>
          </w:tcPr>
          <w:p w14:paraId="281B12AD">
            <w:pPr>
              <w:rPr>
                <w:rFonts w:ascii="Arial"/>
                <w:sz w:val="21"/>
                <w:highlight w:val="none"/>
              </w:rPr>
            </w:pPr>
          </w:p>
        </w:tc>
        <w:tc>
          <w:tcPr>
            <w:tcW w:w="1378" w:type="dxa"/>
            <w:gridSpan w:val="2"/>
            <w:vMerge w:val="continue"/>
            <w:tcBorders>
              <w:top w:val="nil"/>
              <w:bottom w:val="nil"/>
            </w:tcBorders>
            <w:noWrap w:val="0"/>
            <w:vAlign w:val="top"/>
          </w:tcPr>
          <w:p w14:paraId="6E012BC7">
            <w:pPr>
              <w:rPr>
                <w:rFonts w:ascii="Arial"/>
                <w:sz w:val="21"/>
                <w:highlight w:val="none"/>
              </w:rPr>
            </w:pPr>
          </w:p>
        </w:tc>
        <w:tc>
          <w:tcPr>
            <w:tcW w:w="1530" w:type="dxa"/>
            <w:vMerge w:val="continue"/>
            <w:tcBorders>
              <w:top w:val="nil"/>
              <w:bottom w:val="nil"/>
            </w:tcBorders>
            <w:noWrap w:val="0"/>
            <w:vAlign w:val="top"/>
          </w:tcPr>
          <w:p w14:paraId="0B274187">
            <w:pPr>
              <w:rPr>
                <w:rFonts w:ascii="Arial"/>
                <w:sz w:val="21"/>
                <w:highlight w:val="none"/>
              </w:rPr>
            </w:pPr>
          </w:p>
        </w:tc>
        <w:tc>
          <w:tcPr>
            <w:tcW w:w="2808" w:type="dxa"/>
            <w:gridSpan w:val="3"/>
            <w:noWrap w:val="0"/>
            <w:vAlign w:val="top"/>
          </w:tcPr>
          <w:p w14:paraId="0D67E893">
            <w:pPr>
              <w:pStyle w:val="65"/>
              <w:spacing w:before="80" w:line="220" w:lineRule="auto"/>
              <w:ind w:left="114"/>
              <w:rPr>
                <w:highlight w:val="none"/>
              </w:rPr>
            </w:pPr>
            <w:r>
              <w:rPr>
                <w:spacing w:val="-2"/>
                <w:highlight w:val="none"/>
              </w:rPr>
              <w:t>生态护岸长度</w:t>
            </w:r>
          </w:p>
        </w:tc>
        <w:tc>
          <w:tcPr>
            <w:tcW w:w="2620" w:type="dxa"/>
            <w:noWrap w:val="0"/>
            <w:vAlign w:val="top"/>
          </w:tcPr>
          <w:p w14:paraId="019949D9">
            <w:pPr>
              <w:pStyle w:val="65"/>
              <w:spacing w:before="112" w:line="184" w:lineRule="auto"/>
              <w:ind w:left="910"/>
              <w:rPr>
                <w:highlight w:val="none"/>
              </w:rPr>
            </w:pPr>
            <w:r>
              <w:rPr>
                <w:spacing w:val="-3"/>
                <w:highlight w:val="none"/>
              </w:rPr>
              <w:t>1664.90m</w:t>
            </w:r>
          </w:p>
        </w:tc>
      </w:tr>
      <w:tr w14:paraId="71BBE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58D520B9">
            <w:pPr>
              <w:rPr>
                <w:rFonts w:ascii="Arial"/>
                <w:sz w:val="21"/>
                <w:highlight w:val="none"/>
              </w:rPr>
            </w:pPr>
          </w:p>
        </w:tc>
        <w:tc>
          <w:tcPr>
            <w:tcW w:w="1378" w:type="dxa"/>
            <w:gridSpan w:val="2"/>
            <w:vMerge w:val="continue"/>
            <w:tcBorders>
              <w:top w:val="nil"/>
              <w:bottom w:val="nil"/>
            </w:tcBorders>
            <w:noWrap w:val="0"/>
            <w:vAlign w:val="top"/>
          </w:tcPr>
          <w:p w14:paraId="641988EC">
            <w:pPr>
              <w:rPr>
                <w:rFonts w:ascii="Arial"/>
                <w:sz w:val="21"/>
                <w:highlight w:val="none"/>
              </w:rPr>
            </w:pPr>
          </w:p>
        </w:tc>
        <w:tc>
          <w:tcPr>
            <w:tcW w:w="1530" w:type="dxa"/>
            <w:vMerge w:val="continue"/>
            <w:tcBorders>
              <w:top w:val="nil"/>
              <w:bottom w:val="nil"/>
            </w:tcBorders>
            <w:noWrap w:val="0"/>
            <w:vAlign w:val="top"/>
          </w:tcPr>
          <w:p w14:paraId="1FDEF56F">
            <w:pPr>
              <w:rPr>
                <w:rFonts w:ascii="Arial"/>
                <w:sz w:val="21"/>
                <w:highlight w:val="none"/>
              </w:rPr>
            </w:pPr>
          </w:p>
        </w:tc>
        <w:tc>
          <w:tcPr>
            <w:tcW w:w="2808" w:type="dxa"/>
            <w:gridSpan w:val="3"/>
            <w:noWrap w:val="0"/>
            <w:vAlign w:val="top"/>
          </w:tcPr>
          <w:p w14:paraId="2FD7C8BF">
            <w:pPr>
              <w:pStyle w:val="65"/>
              <w:spacing w:before="79" w:line="220" w:lineRule="auto"/>
              <w:ind w:left="111"/>
              <w:rPr>
                <w:highlight w:val="none"/>
              </w:rPr>
            </w:pPr>
            <w:r>
              <w:rPr>
                <w:spacing w:val="-1"/>
                <w:highlight w:val="none"/>
              </w:rPr>
              <w:t>海岸侵蚀防护长度</w:t>
            </w:r>
          </w:p>
        </w:tc>
        <w:tc>
          <w:tcPr>
            <w:tcW w:w="2620" w:type="dxa"/>
            <w:noWrap w:val="0"/>
            <w:vAlign w:val="top"/>
          </w:tcPr>
          <w:p w14:paraId="3334A820">
            <w:pPr>
              <w:pStyle w:val="65"/>
              <w:spacing w:before="111" w:line="184" w:lineRule="auto"/>
              <w:ind w:left="910"/>
              <w:rPr>
                <w:highlight w:val="none"/>
              </w:rPr>
            </w:pPr>
            <w:r>
              <w:rPr>
                <w:spacing w:val="-3"/>
                <w:highlight w:val="none"/>
              </w:rPr>
              <w:t>1664.90m</w:t>
            </w:r>
          </w:p>
        </w:tc>
      </w:tr>
      <w:tr w14:paraId="6D7D1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2EA42917">
            <w:pPr>
              <w:rPr>
                <w:rFonts w:ascii="Arial"/>
                <w:sz w:val="21"/>
                <w:highlight w:val="none"/>
              </w:rPr>
            </w:pPr>
          </w:p>
        </w:tc>
        <w:tc>
          <w:tcPr>
            <w:tcW w:w="1378" w:type="dxa"/>
            <w:gridSpan w:val="2"/>
            <w:vMerge w:val="continue"/>
            <w:tcBorders>
              <w:top w:val="nil"/>
              <w:bottom w:val="nil"/>
            </w:tcBorders>
            <w:noWrap w:val="0"/>
            <w:vAlign w:val="top"/>
          </w:tcPr>
          <w:p w14:paraId="615E2125">
            <w:pPr>
              <w:rPr>
                <w:rFonts w:ascii="Arial"/>
                <w:sz w:val="21"/>
                <w:highlight w:val="none"/>
              </w:rPr>
            </w:pPr>
          </w:p>
        </w:tc>
        <w:tc>
          <w:tcPr>
            <w:tcW w:w="1530" w:type="dxa"/>
            <w:vMerge w:val="continue"/>
            <w:tcBorders>
              <w:top w:val="nil"/>
              <w:bottom w:val="nil"/>
            </w:tcBorders>
            <w:noWrap w:val="0"/>
            <w:vAlign w:val="top"/>
          </w:tcPr>
          <w:p w14:paraId="34DE5C30">
            <w:pPr>
              <w:rPr>
                <w:rFonts w:ascii="Arial"/>
                <w:sz w:val="21"/>
                <w:highlight w:val="none"/>
              </w:rPr>
            </w:pPr>
          </w:p>
        </w:tc>
        <w:tc>
          <w:tcPr>
            <w:tcW w:w="2808" w:type="dxa"/>
            <w:gridSpan w:val="3"/>
            <w:noWrap w:val="0"/>
            <w:vAlign w:val="top"/>
          </w:tcPr>
          <w:p w14:paraId="2EFD0356">
            <w:pPr>
              <w:pStyle w:val="65"/>
              <w:spacing w:before="78" w:line="220" w:lineRule="auto"/>
              <w:ind w:left="111"/>
              <w:rPr>
                <w:highlight w:val="none"/>
              </w:rPr>
            </w:pPr>
            <w:r>
              <w:rPr>
                <w:b/>
                <w:bCs/>
                <w:spacing w:val="-3"/>
                <w:highlight w:val="none"/>
              </w:rPr>
              <w:t>滨海湿地整治修复面积</w:t>
            </w:r>
          </w:p>
        </w:tc>
        <w:tc>
          <w:tcPr>
            <w:tcW w:w="2620" w:type="dxa"/>
            <w:noWrap w:val="0"/>
            <w:vAlign w:val="top"/>
          </w:tcPr>
          <w:p w14:paraId="5997517E">
            <w:pPr>
              <w:pStyle w:val="65"/>
              <w:spacing w:before="79" w:line="239" w:lineRule="auto"/>
              <w:ind w:left="910"/>
              <w:rPr>
                <w:highlight w:val="none"/>
              </w:rPr>
            </w:pPr>
            <w:r>
              <w:rPr>
                <w:spacing w:val="-3"/>
                <w:highlight w:val="none"/>
              </w:rPr>
              <w:t>1408.5ha</w:t>
            </w:r>
          </w:p>
        </w:tc>
      </w:tr>
      <w:tr w14:paraId="32457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4" w:type="dxa"/>
            <w:vMerge w:val="continue"/>
            <w:tcBorders>
              <w:top w:val="nil"/>
              <w:bottom w:val="nil"/>
            </w:tcBorders>
            <w:noWrap w:val="0"/>
            <w:vAlign w:val="top"/>
          </w:tcPr>
          <w:p w14:paraId="243A373B">
            <w:pPr>
              <w:rPr>
                <w:rFonts w:ascii="Arial"/>
                <w:sz w:val="21"/>
                <w:highlight w:val="none"/>
              </w:rPr>
            </w:pPr>
          </w:p>
        </w:tc>
        <w:tc>
          <w:tcPr>
            <w:tcW w:w="1378" w:type="dxa"/>
            <w:gridSpan w:val="2"/>
            <w:vMerge w:val="continue"/>
            <w:tcBorders>
              <w:top w:val="nil"/>
              <w:bottom w:val="nil"/>
            </w:tcBorders>
            <w:noWrap w:val="0"/>
            <w:vAlign w:val="top"/>
          </w:tcPr>
          <w:p w14:paraId="2D86E0CC">
            <w:pPr>
              <w:rPr>
                <w:rFonts w:ascii="Arial"/>
                <w:sz w:val="21"/>
                <w:highlight w:val="none"/>
              </w:rPr>
            </w:pPr>
          </w:p>
        </w:tc>
        <w:tc>
          <w:tcPr>
            <w:tcW w:w="1530" w:type="dxa"/>
            <w:vMerge w:val="continue"/>
            <w:tcBorders>
              <w:top w:val="nil"/>
              <w:bottom w:val="nil"/>
            </w:tcBorders>
            <w:noWrap w:val="0"/>
            <w:vAlign w:val="top"/>
          </w:tcPr>
          <w:p w14:paraId="67F01EBC">
            <w:pPr>
              <w:rPr>
                <w:rFonts w:ascii="Arial"/>
                <w:sz w:val="21"/>
                <w:highlight w:val="none"/>
              </w:rPr>
            </w:pPr>
          </w:p>
        </w:tc>
        <w:tc>
          <w:tcPr>
            <w:tcW w:w="2808" w:type="dxa"/>
            <w:gridSpan w:val="3"/>
            <w:noWrap w:val="0"/>
            <w:vAlign w:val="top"/>
          </w:tcPr>
          <w:p w14:paraId="6AB758EC">
            <w:pPr>
              <w:pStyle w:val="65"/>
              <w:spacing w:before="80" w:line="219" w:lineRule="auto"/>
              <w:ind w:left="113"/>
              <w:rPr>
                <w:highlight w:val="none"/>
              </w:rPr>
            </w:pPr>
            <w:r>
              <w:rPr>
                <w:spacing w:val="-1"/>
                <w:highlight w:val="none"/>
              </w:rPr>
              <w:t>保育修复芦苇/碱蓬面积</w:t>
            </w:r>
          </w:p>
        </w:tc>
        <w:tc>
          <w:tcPr>
            <w:tcW w:w="2620" w:type="dxa"/>
            <w:noWrap w:val="0"/>
            <w:vAlign w:val="top"/>
          </w:tcPr>
          <w:p w14:paraId="70DAAB63">
            <w:pPr>
              <w:pStyle w:val="65"/>
              <w:spacing w:before="80" w:line="239" w:lineRule="auto"/>
              <w:ind w:left="909"/>
              <w:rPr>
                <w:highlight w:val="none"/>
              </w:rPr>
            </w:pPr>
            <w:r>
              <w:rPr>
                <w:spacing w:val="-3"/>
                <w:highlight w:val="none"/>
              </w:rPr>
              <w:t>117.82ha</w:t>
            </w:r>
          </w:p>
        </w:tc>
      </w:tr>
      <w:tr w14:paraId="38A1E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4" w:type="dxa"/>
            <w:vMerge w:val="continue"/>
            <w:tcBorders>
              <w:top w:val="nil"/>
              <w:bottom w:val="nil"/>
            </w:tcBorders>
            <w:noWrap w:val="0"/>
            <w:vAlign w:val="top"/>
          </w:tcPr>
          <w:p w14:paraId="5D7F3B93">
            <w:pPr>
              <w:rPr>
                <w:rFonts w:ascii="Arial"/>
                <w:sz w:val="21"/>
                <w:highlight w:val="none"/>
              </w:rPr>
            </w:pPr>
          </w:p>
        </w:tc>
        <w:tc>
          <w:tcPr>
            <w:tcW w:w="1378" w:type="dxa"/>
            <w:gridSpan w:val="2"/>
            <w:vMerge w:val="continue"/>
            <w:tcBorders>
              <w:top w:val="nil"/>
              <w:bottom w:val="nil"/>
            </w:tcBorders>
            <w:noWrap w:val="0"/>
            <w:vAlign w:val="top"/>
          </w:tcPr>
          <w:p w14:paraId="2F649B37">
            <w:pPr>
              <w:rPr>
                <w:rFonts w:ascii="Arial"/>
                <w:sz w:val="21"/>
                <w:highlight w:val="none"/>
              </w:rPr>
            </w:pPr>
          </w:p>
        </w:tc>
        <w:tc>
          <w:tcPr>
            <w:tcW w:w="1530" w:type="dxa"/>
            <w:vMerge w:val="continue"/>
            <w:tcBorders>
              <w:top w:val="nil"/>
              <w:bottom w:val="nil"/>
            </w:tcBorders>
            <w:noWrap w:val="0"/>
            <w:vAlign w:val="top"/>
          </w:tcPr>
          <w:p w14:paraId="482F76D1">
            <w:pPr>
              <w:rPr>
                <w:rFonts w:ascii="Arial"/>
                <w:sz w:val="21"/>
                <w:highlight w:val="none"/>
              </w:rPr>
            </w:pPr>
          </w:p>
        </w:tc>
        <w:tc>
          <w:tcPr>
            <w:tcW w:w="2808" w:type="dxa"/>
            <w:gridSpan w:val="3"/>
            <w:noWrap w:val="0"/>
            <w:vAlign w:val="top"/>
          </w:tcPr>
          <w:p w14:paraId="254BC079">
            <w:pPr>
              <w:pStyle w:val="65"/>
              <w:spacing w:before="81" w:line="219" w:lineRule="auto"/>
              <w:ind w:left="113"/>
              <w:rPr>
                <w:highlight w:val="none"/>
              </w:rPr>
            </w:pPr>
            <w:r>
              <w:rPr>
                <w:spacing w:val="-1"/>
                <w:highlight w:val="none"/>
              </w:rPr>
              <w:t>新种植芦苇/碱蓬面积</w:t>
            </w:r>
          </w:p>
        </w:tc>
        <w:tc>
          <w:tcPr>
            <w:tcW w:w="2620" w:type="dxa"/>
            <w:noWrap w:val="0"/>
            <w:vAlign w:val="top"/>
          </w:tcPr>
          <w:p w14:paraId="7554755B">
            <w:pPr>
              <w:pStyle w:val="65"/>
              <w:spacing w:before="81" w:line="239" w:lineRule="auto"/>
              <w:ind w:left="952"/>
              <w:rPr>
                <w:highlight w:val="none"/>
              </w:rPr>
            </w:pPr>
            <w:r>
              <w:rPr>
                <w:spacing w:val="-2"/>
                <w:highlight w:val="none"/>
              </w:rPr>
              <w:t>73.25ha</w:t>
            </w:r>
          </w:p>
        </w:tc>
      </w:tr>
      <w:tr w14:paraId="128CF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4" w:type="dxa"/>
            <w:vMerge w:val="continue"/>
            <w:tcBorders>
              <w:top w:val="nil"/>
              <w:bottom w:val="nil"/>
            </w:tcBorders>
            <w:noWrap w:val="0"/>
            <w:vAlign w:val="top"/>
          </w:tcPr>
          <w:p w14:paraId="3790F686">
            <w:pPr>
              <w:rPr>
                <w:rFonts w:ascii="Arial"/>
                <w:sz w:val="21"/>
                <w:highlight w:val="none"/>
              </w:rPr>
            </w:pPr>
          </w:p>
        </w:tc>
        <w:tc>
          <w:tcPr>
            <w:tcW w:w="1378" w:type="dxa"/>
            <w:gridSpan w:val="2"/>
            <w:vMerge w:val="continue"/>
            <w:tcBorders>
              <w:top w:val="nil"/>
              <w:bottom w:val="nil"/>
            </w:tcBorders>
            <w:noWrap w:val="0"/>
            <w:vAlign w:val="top"/>
          </w:tcPr>
          <w:p w14:paraId="1BB5D2A1">
            <w:pPr>
              <w:rPr>
                <w:rFonts w:ascii="Arial"/>
                <w:sz w:val="21"/>
                <w:highlight w:val="none"/>
              </w:rPr>
            </w:pPr>
          </w:p>
        </w:tc>
        <w:tc>
          <w:tcPr>
            <w:tcW w:w="1530" w:type="dxa"/>
            <w:vMerge w:val="continue"/>
            <w:tcBorders>
              <w:top w:val="nil"/>
              <w:bottom w:val="nil"/>
            </w:tcBorders>
            <w:noWrap w:val="0"/>
            <w:vAlign w:val="top"/>
          </w:tcPr>
          <w:p w14:paraId="3F105B22">
            <w:pPr>
              <w:rPr>
                <w:rFonts w:ascii="Arial"/>
                <w:sz w:val="21"/>
                <w:highlight w:val="none"/>
              </w:rPr>
            </w:pPr>
          </w:p>
        </w:tc>
        <w:tc>
          <w:tcPr>
            <w:tcW w:w="2808" w:type="dxa"/>
            <w:gridSpan w:val="3"/>
            <w:noWrap w:val="0"/>
            <w:vAlign w:val="top"/>
          </w:tcPr>
          <w:p w14:paraId="6F7B183F">
            <w:pPr>
              <w:pStyle w:val="65"/>
              <w:spacing w:before="80" w:line="220" w:lineRule="auto"/>
              <w:ind w:left="111"/>
              <w:rPr>
                <w:highlight w:val="none"/>
              </w:rPr>
            </w:pPr>
            <w:r>
              <w:rPr>
                <w:spacing w:val="-1"/>
                <w:highlight w:val="none"/>
              </w:rPr>
              <w:t>底栖生物修复面积</w:t>
            </w:r>
          </w:p>
        </w:tc>
        <w:tc>
          <w:tcPr>
            <w:tcW w:w="2620" w:type="dxa"/>
            <w:noWrap w:val="0"/>
            <w:vAlign w:val="top"/>
          </w:tcPr>
          <w:p w14:paraId="1F4724A4">
            <w:pPr>
              <w:pStyle w:val="65"/>
              <w:spacing w:before="80" w:line="239" w:lineRule="auto"/>
              <w:ind w:left="910"/>
              <w:rPr>
                <w:highlight w:val="none"/>
              </w:rPr>
            </w:pPr>
            <w:r>
              <w:rPr>
                <w:spacing w:val="-3"/>
                <w:highlight w:val="none"/>
              </w:rPr>
              <w:t>199.51ha</w:t>
            </w:r>
          </w:p>
        </w:tc>
      </w:tr>
      <w:tr w14:paraId="7B43F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53AE0EDE">
            <w:pPr>
              <w:rPr>
                <w:rFonts w:ascii="Arial"/>
                <w:sz w:val="21"/>
                <w:highlight w:val="none"/>
              </w:rPr>
            </w:pPr>
          </w:p>
        </w:tc>
        <w:tc>
          <w:tcPr>
            <w:tcW w:w="1378" w:type="dxa"/>
            <w:gridSpan w:val="2"/>
            <w:vMerge w:val="continue"/>
            <w:tcBorders>
              <w:top w:val="nil"/>
              <w:bottom w:val="nil"/>
            </w:tcBorders>
            <w:noWrap w:val="0"/>
            <w:vAlign w:val="top"/>
          </w:tcPr>
          <w:p w14:paraId="6C5C3CE3">
            <w:pPr>
              <w:rPr>
                <w:rFonts w:ascii="Arial"/>
                <w:sz w:val="21"/>
                <w:highlight w:val="none"/>
              </w:rPr>
            </w:pPr>
          </w:p>
        </w:tc>
        <w:tc>
          <w:tcPr>
            <w:tcW w:w="1530" w:type="dxa"/>
            <w:vMerge w:val="continue"/>
            <w:tcBorders>
              <w:top w:val="nil"/>
              <w:bottom w:val="nil"/>
            </w:tcBorders>
            <w:noWrap w:val="0"/>
            <w:vAlign w:val="top"/>
          </w:tcPr>
          <w:p w14:paraId="359ADE6A">
            <w:pPr>
              <w:rPr>
                <w:rFonts w:ascii="Arial"/>
                <w:sz w:val="21"/>
                <w:highlight w:val="none"/>
              </w:rPr>
            </w:pPr>
          </w:p>
        </w:tc>
        <w:tc>
          <w:tcPr>
            <w:tcW w:w="2808" w:type="dxa"/>
            <w:gridSpan w:val="3"/>
            <w:noWrap w:val="0"/>
            <w:vAlign w:val="top"/>
          </w:tcPr>
          <w:p w14:paraId="2723A7D8">
            <w:pPr>
              <w:pStyle w:val="65"/>
              <w:spacing w:before="81" w:line="220" w:lineRule="auto"/>
              <w:ind w:left="114"/>
              <w:rPr>
                <w:highlight w:val="none"/>
              </w:rPr>
            </w:pPr>
            <w:r>
              <w:rPr>
                <w:spacing w:val="-2"/>
                <w:highlight w:val="none"/>
              </w:rPr>
              <w:t>浒苔防治面积</w:t>
            </w:r>
          </w:p>
        </w:tc>
        <w:tc>
          <w:tcPr>
            <w:tcW w:w="2620" w:type="dxa"/>
            <w:noWrap w:val="0"/>
            <w:vAlign w:val="top"/>
          </w:tcPr>
          <w:p w14:paraId="61D2ECBB">
            <w:pPr>
              <w:pStyle w:val="65"/>
              <w:spacing w:before="81" w:line="239" w:lineRule="auto"/>
              <w:ind w:left="858"/>
              <w:rPr>
                <w:highlight w:val="none"/>
              </w:rPr>
            </w:pPr>
            <w:r>
              <w:rPr>
                <w:spacing w:val="-3"/>
                <w:highlight w:val="none"/>
              </w:rPr>
              <w:t>1006.83ha</w:t>
            </w:r>
          </w:p>
        </w:tc>
      </w:tr>
      <w:tr w14:paraId="1CE77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4" w:type="dxa"/>
            <w:vMerge w:val="continue"/>
            <w:tcBorders>
              <w:top w:val="nil"/>
              <w:bottom w:val="nil"/>
            </w:tcBorders>
            <w:noWrap w:val="0"/>
            <w:vAlign w:val="top"/>
          </w:tcPr>
          <w:p w14:paraId="069A7340">
            <w:pPr>
              <w:rPr>
                <w:rFonts w:ascii="Arial"/>
                <w:sz w:val="21"/>
                <w:highlight w:val="none"/>
              </w:rPr>
            </w:pPr>
          </w:p>
        </w:tc>
        <w:tc>
          <w:tcPr>
            <w:tcW w:w="1378" w:type="dxa"/>
            <w:gridSpan w:val="2"/>
            <w:vMerge w:val="continue"/>
            <w:tcBorders>
              <w:top w:val="nil"/>
              <w:bottom w:val="nil"/>
            </w:tcBorders>
            <w:noWrap w:val="0"/>
            <w:vAlign w:val="top"/>
          </w:tcPr>
          <w:p w14:paraId="79CACE38">
            <w:pPr>
              <w:rPr>
                <w:rFonts w:ascii="Arial"/>
                <w:sz w:val="21"/>
                <w:highlight w:val="none"/>
              </w:rPr>
            </w:pPr>
          </w:p>
        </w:tc>
        <w:tc>
          <w:tcPr>
            <w:tcW w:w="1530" w:type="dxa"/>
            <w:vMerge w:val="continue"/>
            <w:tcBorders>
              <w:top w:val="nil"/>
              <w:bottom w:val="nil"/>
            </w:tcBorders>
            <w:noWrap w:val="0"/>
            <w:vAlign w:val="top"/>
          </w:tcPr>
          <w:p w14:paraId="36082CFF">
            <w:pPr>
              <w:rPr>
                <w:rFonts w:ascii="Arial"/>
                <w:sz w:val="21"/>
                <w:highlight w:val="none"/>
              </w:rPr>
            </w:pPr>
          </w:p>
        </w:tc>
        <w:tc>
          <w:tcPr>
            <w:tcW w:w="2808" w:type="dxa"/>
            <w:gridSpan w:val="3"/>
            <w:noWrap w:val="0"/>
            <w:vAlign w:val="top"/>
          </w:tcPr>
          <w:p w14:paraId="32970714">
            <w:pPr>
              <w:pStyle w:val="65"/>
              <w:spacing w:before="83" w:line="220" w:lineRule="auto"/>
              <w:ind w:left="111"/>
              <w:rPr>
                <w:highlight w:val="none"/>
              </w:rPr>
            </w:pPr>
            <w:r>
              <w:rPr>
                <w:spacing w:val="-2"/>
                <w:highlight w:val="none"/>
              </w:rPr>
              <w:t>底泥清理面积</w:t>
            </w:r>
          </w:p>
        </w:tc>
        <w:tc>
          <w:tcPr>
            <w:tcW w:w="2620" w:type="dxa"/>
            <w:noWrap w:val="0"/>
            <w:vAlign w:val="top"/>
          </w:tcPr>
          <w:p w14:paraId="50E50F39">
            <w:pPr>
              <w:pStyle w:val="65"/>
              <w:spacing w:before="110" w:line="188" w:lineRule="auto"/>
              <w:ind w:left="951"/>
              <w:rPr>
                <w:highlight w:val="none"/>
              </w:rPr>
            </w:pPr>
            <w:r>
              <w:rPr>
                <w:spacing w:val="-2"/>
                <w:highlight w:val="none"/>
              </w:rPr>
              <w:t>53.21ha</w:t>
            </w:r>
          </w:p>
        </w:tc>
      </w:tr>
      <w:tr w14:paraId="67DD2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3042D5B1">
            <w:pPr>
              <w:rPr>
                <w:rFonts w:ascii="Arial"/>
                <w:sz w:val="21"/>
                <w:highlight w:val="none"/>
              </w:rPr>
            </w:pPr>
          </w:p>
        </w:tc>
        <w:tc>
          <w:tcPr>
            <w:tcW w:w="1378" w:type="dxa"/>
            <w:gridSpan w:val="2"/>
            <w:vMerge w:val="continue"/>
            <w:tcBorders>
              <w:top w:val="nil"/>
              <w:bottom w:val="nil"/>
            </w:tcBorders>
            <w:noWrap w:val="0"/>
            <w:vAlign w:val="top"/>
          </w:tcPr>
          <w:p w14:paraId="0E6E9923">
            <w:pPr>
              <w:rPr>
                <w:rFonts w:ascii="Arial"/>
                <w:sz w:val="21"/>
                <w:highlight w:val="none"/>
              </w:rPr>
            </w:pPr>
          </w:p>
        </w:tc>
        <w:tc>
          <w:tcPr>
            <w:tcW w:w="1530" w:type="dxa"/>
            <w:vMerge w:val="continue"/>
            <w:tcBorders>
              <w:top w:val="nil"/>
              <w:bottom w:val="nil"/>
            </w:tcBorders>
            <w:noWrap w:val="0"/>
            <w:vAlign w:val="top"/>
          </w:tcPr>
          <w:p w14:paraId="06C397FA">
            <w:pPr>
              <w:rPr>
                <w:rFonts w:ascii="Arial"/>
                <w:sz w:val="21"/>
                <w:highlight w:val="none"/>
              </w:rPr>
            </w:pPr>
          </w:p>
        </w:tc>
        <w:tc>
          <w:tcPr>
            <w:tcW w:w="2808" w:type="dxa"/>
            <w:gridSpan w:val="3"/>
            <w:noWrap w:val="0"/>
            <w:vAlign w:val="top"/>
          </w:tcPr>
          <w:p w14:paraId="7F854614">
            <w:pPr>
              <w:pStyle w:val="65"/>
              <w:spacing w:before="81" w:line="220" w:lineRule="auto"/>
              <w:ind w:left="111"/>
              <w:rPr>
                <w:highlight w:val="none"/>
              </w:rPr>
            </w:pPr>
            <w:r>
              <w:rPr>
                <w:spacing w:val="-2"/>
                <w:highlight w:val="none"/>
              </w:rPr>
              <w:t>潮沟疏通面积</w:t>
            </w:r>
          </w:p>
        </w:tc>
        <w:tc>
          <w:tcPr>
            <w:tcW w:w="2620" w:type="dxa"/>
            <w:noWrap w:val="0"/>
            <w:vAlign w:val="top"/>
          </w:tcPr>
          <w:p w14:paraId="3113DE04">
            <w:pPr>
              <w:pStyle w:val="65"/>
              <w:spacing w:before="81" w:line="239" w:lineRule="auto"/>
              <w:ind w:left="949"/>
              <w:rPr>
                <w:highlight w:val="none"/>
              </w:rPr>
            </w:pPr>
            <w:r>
              <w:rPr>
                <w:spacing w:val="-2"/>
                <w:highlight w:val="none"/>
              </w:rPr>
              <w:t>25.63ha</w:t>
            </w:r>
          </w:p>
        </w:tc>
      </w:tr>
      <w:tr w14:paraId="1C309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35BB9F84">
            <w:pPr>
              <w:rPr>
                <w:rFonts w:ascii="Arial"/>
                <w:sz w:val="21"/>
                <w:highlight w:val="none"/>
              </w:rPr>
            </w:pPr>
          </w:p>
        </w:tc>
        <w:tc>
          <w:tcPr>
            <w:tcW w:w="1378" w:type="dxa"/>
            <w:gridSpan w:val="2"/>
            <w:vMerge w:val="continue"/>
            <w:tcBorders>
              <w:top w:val="nil"/>
              <w:bottom w:val="nil"/>
            </w:tcBorders>
            <w:noWrap w:val="0"/>
            <w:vAlign w:val="top"/>
          </w:tcPr>
          <w:p w14:paraId="1C6D0F5B">
            <w:pPr>
              <w:rPr>
                <w:rFonts w:ascii="Arial"/>
                <w:sz w:val="21"/>
                <w:highlight w:val="none"/>
              </w:rPr>
            </w:pPr>
          </w:p>
        </w:tc>
        <w:tc>
          <w:tcPr>
            <w:tcW w:w="1530" w:type="dxa"/>
            <w:vMerge w:val="continue"/>
            <w:tcBorders>
              <w:top w:val="nil"/>
            </w:tcBorders>
            <w:noWrap w:val="0"/>
            <w:vAlign w:val="top"/>
          </w:tcPr>
          <w:p w14:paraId="54787F2F">
            <w:pPr>
              <w:rPr>
                <w:rFonts w:ascii="Arial"/>
                <w:sz w:val="21"/>
                <w:highlight w:val="none"/>
              </w:rPr>
            </w:pPr>
          </w:p>
        </w:tc>
        <w:tc>
          <w:tcPr>
            <w:tcW w:w="2808" w:type="dxa"/>
            <w:gridSpan w:val="3"/>
            <w:noWrap w:val="0"/>
            <w:vAlign w:val="top"/>
          </w:tcPr>
          <w:p w14:paraId="3139CCC6">
            <w:pPr>
              <w:pStyle w:val="65"/>
              <w:spacing w:before="81" w:line="220" w:lineRule="auto"/>
              <w:ind w:left="111"/>
              <w:rPr>
                <w:highlight w:val="none"/>
              </w:rPr>
            </w:pPr>
            <w:r>
              <w:rPr>
                <w:spacing w:val="-1"/>
                <w:highlight w:val="none"/>
              </w:rPr>
              <w:t>海岸湿地修复面积</w:t>
            </w:r>
          </w:p>
        </w:tc>
        <w:tc>
          <w:tcPr>
            <w:tcW w:w="2620" w:type="dxa"/>
            <w:noWrap w:val="0"/>
            <w:vAlign w:val="top"/>
          </w:tcPr>
          <w:p w14:paraId="1E6745F4">
            <w:pPr>
              <w:pStyle w:val="65"/>
              <w:spacing w:before="81" w:line="239" w:lineRule="auto"/>
              <w:ind w:left="1004"/>
              <w:rPr>
                <w:highlight w:val="none"/>
              </w:rPr>
            </w:pPr>
            <w:r>
              <w:rPr>
                <w:spacing w:val="-2"/>
                <w:highlight w:val="none"/>
              </w:rPr>
              <w:t>31.7ha</w:t>
            </w:r>
          </w:p>
        </w:tc>
      </w:tr>
      <w:tr w14:paraId="2B579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6961611A">
            <w:pPr>
              <w:rPr>
                <w:rFonts w:ascii="Arial"/>
                <w:sz w:val="21"/>
                <w:highlight w:val="none"/>
              </w:rPr>
            </w:pPr>
          </w:p>
        </w:tc>
        <w:tc>
          <w:tcPr>
            <w:tcW w:w="1378" w:type="dxa"/>
            <w:gridSpan w:val="2"/>
            <w:vMerge w:val="continue"/>
            <w:tcBorders>
              <w:top w:val="nil"/>
              <w:bottom w:val="nil"/>
            </w:tcBorders>
            <w:noWrap w:val="0"/>
            <w:vAlign w:val="top"/>
          </w:tcPr>
          <w:p w14:paraId="595EC495">
            <w:pPr>
              <w:rPr>
                <w:rFonts w:ascii="Arial"/>
                <w:sz w:val="21"/>
                <w:highlight w:val="none"/>
              </w:rPr>
            </w:pPr>
          </w:p>
        </w:tc>
        <w:tc>
          <w:tcPr>
            <w:tcW w:w="1530" w:type="dxa"/>
            <w:noWrap w:val="0"/>
            <w:vAlign w:val="top"/>
          </w:tcPr>
          <w:p w14:paraId="6BAA1050">
            <w:pPr>
              <w:rPr>
                <w:rFonts w:ascii="Arial"/>
                <w:sz w:val="21"/>
                <w:highlight w:val="none"/>
              </w:rPr>
            </w:pPr>
          </w:p>
        </w:tc>
        <w:tc>
          <w:tcPr>
            <w:tcW w:w="2808" w:type="dxa"/>
            <w:gridSpan w:val="3"/>
            <w:noWrap w:val="0"/>
            <w:vAlign w:val="top"/>
          </w:tcPr>
          <w:p w14:paraId="2F06CC56">
            <w:pPr>
              <w:pStyle w:val="65"/>
              <w:spacing w:before="82" w:line="220" w:lineRule="auto"/>
              <w:ind w:left="114"/>
              <w:rPr>
                <w:highlight w:val="none"/>
              </w:rPr>
            </w:pPr>
            <w:r>
              <w:rPr>
                <w:spacing w:val="-1"/>
                <w:highlight w:val="none"/>
              </w:rPr>
              <w:t>完成海洋生态状况调查</w:t>
            </w:r>
          </w:p>
        </w:tc>
        <w:tc>
          <w:tcPr>
            <w:tcW w:w="2620" w:type="dxa"/>
            <w:noWrap w:val="0"/>
            <w:vAlign w:val="top"/>
          </w:tcPr>
          <w:p w14:paraId="7A78A7A9">
            <w:pPr>
              <w:pStyle w:val="65"/>
              <w:spacing w:before="82" w:line="220" w:lineRule="auto"/>
              <w:ind w:left="1047"/>
              <w:rPr>
                <w:highlight w:val="none"/>
              </w:rPr>
            </w:pPr>
            <w:r>
              <w:rPr>
                <w:spacing w:val="-10"/>
                <w:highlight w:val="none"/>
              </w:rPr>
              <w:t>≥1</w:t>
            </w:r>
            <w:r>
              <w:rPr>
                <w:spacing w:val="-38"/>
                <w:highlight w:val="none"/>
              </w:rPr>
              <w:t xml:space="preserve"> </w:t>
            </w:r>
            <w:r>
              <w:rPr>
                <w:spacing w:val="-10"/>
                <w:highlight w:val="none"/>
              </w:rPr>
              <w:t>次</w:t>
            </w:r>
          </w:p>
        </w:tc>
      </w:tr>
      <w:tr w14:paraId="09817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4" w:type="dxa"/>
            <w:vMerge w:val="continue"/>
            <w:tcBorders>
              <w:top w:val="nil"/>
              <w:bottom w:val="nil"/>
            </w:tcBorders>
            <w:noWrap w:val="0"/>
            <w:vAlign w:val="top"/>
          </w:tcPr>
          <w:p w14:paraId="1E1D93DF">
            <w:pPr>
              <w:rPr>
                <w:rFonts w:ascii="Arial"/>
                <w:sz w:val="21"/>
                <w:highlight w:val="none"/>
              </w:rPr>
            </w:pPr>
          </w:p>
        </w:tc>
        <w:tc>
          <w:tcPr>
            <w:tcW w:w="1378" w:type="dxa"/>
            <w:gridSpan w:val="2"/>
            <w:vMerge w:val="continue"/>
            <w:tcBorders>
              <w:top w:val="nil"/>
              <w:bottom w:val="nil"/>
            </w:tcBorders>
            <w:noWrap w:val="0"/>
            <w:vAlign w:val="top"/>
          </w:tcPr>
          <w:p w14:paraId="0DD3CB92">
            <w:pPr>
              <w:rPr>
                <w:rFonts w:ascii="Arial"/>
                <w:sz w:val="21"/>
                <w:highlight w:val="none"/>
              </w:rPr>
            </w:pPr>
          </w:p>
        </w:tc>
        <w:tc>
          <w:tcPr>
            <w:tcW w:w="1530" w:type="dxa"/>
            <w:vMerge w:val="restart"/>
            <w:tcBorders>
              <w:bottom w:val="nil"/>
            </w:tcBorders>
            <w:noWrap w:val="0"/>
            <w:vAlign w:val="top"/>
          </w:tcPr>
          <w:p w14:paraId="34B8BA0A">
            <w:pPr>
              <w:spacing w:line="390" w:lineRule="auto"/>
              <w:rPr>
                <w:rFonts w:ascii="Arial"/>
                <w:sz w:val="21"/>
                <w:highlight w:val="none"/>
              </w:rPr>
            </w:pPr>
          </w:p>
          <w:p w14:paraId="46351645">
            <w:pPr>
              <w:pStyle w:val="65"/>
              <w:spacing w:before="68" w:line="220" w:lineRule="auto"/>
              <w:ind w:left="113"/>
              <w:rPr>
                <w:highlight w:val="none"/>
              </w:rPr>
            </w:pPr>
            <w:r>
              <w:rPr>
                <w:spacing w:val="-2"/>
                <w:highlight w:val="none"/>
              </w:rPr>
              <w:t>质量指标</w:t>
            </w:r>
          </w:p>
        </w:tc>
        <w:tc>
          <w:tcPr>
            <w:tcW w:w="2808" w:type="dxa"/>
            <w:gridSpan w:val="3"/>
            <w:noWrap w:val="0"/>
            <w:vAlign w:val="top"/>
          </w:tcPr>
          <w:p w14:paraId="4D97B543">
            <w:pPr>
              <w:pStyle w:val="65"/>
              <w:spacing w:before="82" w:line="220" w:lineRule="auto"/>
              <w:ind w:left="114"/>
              <w:rPr>
                <w:highlight w:val="none"/>
              </w:rPr>
            </w:pPr>
            <w:r>
              <w:rPr>
                <w:spacing w:val="-2"/>
                <w:highlight w:val="none"/>
              </w:rPr>
              <w:t>工程质量合格率</w:t>
            </w:r>
          </w:p>
        </w:tc>
        <w:tc>
          <w:tcPr>
            <w:tcW w:w="2620" w:type="dxa"/>
            <w:noWrap w:val="0"/>
            <w:vAlign w:val="top"/>
          </w:tcPr>
          <w:p w14:paraId="7BCBEF3E">
            <w:pPr>
              <w:pStyle w:val="65"/>
              <w:spacing w:before="115" w:line="184" w:lineRule="auto"/>
              <w:ind w:left="1120"/>
              <w:rPr>
                <w:highlight w:val="none"/>
              </w:rPr>
            </w:pPr>
            <w:r>
              <w:rPr>
                <w:spacing w:val="-5"/>
                <w:highlight w:val="none"/>
              </w:rPr>
              <w:t>100%</w:t>
            </w:r>
          </w:p>
        </w:tc>
      </w:tr>
      <w:tr w14:paraId="558A7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4EDB831A">
            <w:pPr>
              <w:rPr>
                <w:rFonts w:ascii="Arial"/>
                <w:sz w:val="21"/>
                <w:highlight w:val="none"/>
              </w:rPr>
            </w:pPr>
          </w:p>
        </w:tc>
        <w:tc>
          <w:tcPr>
            <w:tcW w:w="1378" w:type="dxa"/>
            <w:gridSpan w:val="2"/>
            <w:vMerge w:val="continue"/>
            <w:tcBorders>
              <w:top w:val="nil"/>
              <w:bottom w:val="nil"/>
            </w:tcBorders>
            <w:noWrap w:val="0"/>
            <w:vAlign w:val="top"/>
          </w:tcPr>
          <w:p w14:paraId="1A6D58CE">
            <w:pPr>
              <w:rPr>
                <w:rFonts w:ascii="Arial"/>
                <w:sz w:val="21"/>
                <w:highlight w:val="none"/>
              </w:rPr>
            </w:pPr>
          </w:p>
        </w:tc>
        <w:tc>
          <w:tcPr>
            <w:tcW w:w="1530" w:type="dxa"/>
            <w:vMerge w:val="continue"/>
            <w:tcBorders>
              <w:top w:val="nil"/>
              <w:bottom w:val="nil"/>
            </w:tcBorders>
            <w:noWrap w:val="0"/>
            <w:vAlign w:val="top"/>
          </w:tcPr>
          <w:p w14:paraId="53B7A9D0">
            <w:pPr>
              <w:rPr>
                <w:rFonts w:ascii="Arial"/>
                <w:sz w:val="21"/>
                <w:highlight w:val="none"/>
              </w:rPr>
            </w:pPr>
          </w:p>
        </w:tc>
        <w:tc>
          <w:tcPr>
            <w:tcW w:w="2808" w:type="dxa"/>
            <w:gridSpan w:val="3"/>
            <w:noWrap w:val="0"/>
            <w:vAlign w:val="top"/>
          </w:tcPr>
          <w:p w14:paraId="1C5D7C18">
            <w:pPr>
              <w:pStyle w:val="65"/>
              <w:spacing w:before="81" w:line="219" w:lineRule="auto"/>
              <w:ind w:left="114"/>
              <w:rPr>
                <w:highlight w:val="none"/>
              </w:rPr>
            </w:pPr>
            <w:r>
              <w:rPr>
                <w:spacing w:val="-2"/>
                <w:highlight w:val="none"/>
              </w:rPr>
              <w:t>芦苇种植成活率</w:t>
            </w:r>
          </w:p>
        </w:tc>
        <w:tc>
          <w:tcPr>
            <w:tcW w:w="2620" w:type="dxa"/>
            <w:noWrap w:val="0"/>
            <w:vAlign w:val="top"/>
          </w:tcPr>
          <w:p w14:paraId="313F2216">
            <w:pPr>
              <w:pStyle w:val="65"/>
              <w:spacing w:before="81" w:line="238" w:lineRule="auto"/>
              <w:ind w:left="1020"/>
              <w:rPr>
                <w:highlight w:val="none"/>
              </w:rPr>
            </w:pPr>
            <w:r>
              <w:rPr>
                <w:spacing w:val="-8"/>
                <w:highlight w:val="none"/>
              </w:rPr>
              <w:t>≥50</w:t>
            </w:r>
            <w:r>
              <w:rPr>
                <w:spacing w:val="4"/>
                <w:highlight w:val="none"/>
              </w:rPr>
              <w:t xml:space="preserve"> </w:t>
            </w:r>
            <w:r>
              <w:rPr>
                <w:spacing w:val="-8"/>
                <w:highlight w:val="none"/>
              </w:rPr>
              <w:t>%</w:t>
            </w:r>
          </w:p>
        </w:tc>
      </w:tr>
      <w:tr w14:paraId="627C3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39845CAF">
            <w:pPr>
              <w:rPr>
                <w:rFonts w:ascii="Arial"/>
                <w:sz w:val="21"/>
                <w:highlight w:val="none"/>
              </w:rPr>
            </w:pPr>
          </w:p>
        </w:tc>
        <w:tc>
          <w:tcPr>
            <w:tcW w:w="1378" w:type="dxa"/>
            <w:gridSpan w:val="2"/>
            <w:vMerge w:val="continue"/>
            <w:tcBorders>
              <w:top w:val="nil"/>
              <w:bottom w:val="nil"/>
            </w:tcBorders>
            <w:noWrap w:val="0"/>
            <w:vAlign w:val="top"/>
          </w:tcPr>
          <w:p w14:paraId="5B8BB442">
            <w:pPr>
              <w:rPr>
                <w:rFonts w:ascii="Arial"/>
                <w:sz w:val="21"/>
                <w:highlight w:val="none"/>
              </w:rPr>
            </w:pPr>
          </w:p>
        </w:tc>
        <w:tc>
          <w:tcPr>
            <w:tcW w:w="1530" w:type="dxa"/>
            <w:vMerge w:val="continue"/>
            <w:tcBorders>
              <w:top w:val="nil"/>
            </w:tcBorders>
            <w:noWrap w:val="0"/>
            <w:vAlign w:val="top"/>
          </w:tcPr>
          <w:p w14:paraId="42D00E04">
            <w:pPr>
              <w:rPr>
                <w:rFonts w:ascii="Arial"/>
                <w:sz w:val="21"/>
                <w:highlight w:val="none"/>
              </w:rPr>
            </w:pPr>
          </w:p>
        </w:tc>
        <w:tc>
          <w:tcPr>
            <w:tcW w:w="2808" w:type="dxa"/>
            <w:gridSpan w:val="3"/>
            <w:noWrap w:val="0"/>
            <w:vAlign w:val="top"/>
          </w:tcPr>
          <w:p w14:paraId="00A784D3">
            <w:pPr>
              <w:pStyle w:val="65"/>
              <w:spacing w:before="82" w:line="218" w:lineRule="auto"/>
              <w:ind w:left="114"/>
              <w:rPr>
                <w:highlight w:val="none"/>
              </w:rPr>
            </w:pPr>
            <w:r>
              <w:rPr>
                <w:spacing w:val="-1"/>
                <w:highlight w:val="none"/>
              </w:rPr>
              <w:t>盐沼生态状况综合评估等级</w:t>
            </w:r>
          </w:p>
        </w:tc>
        <w:tc>
          <w:tcPr>
            <w:tcW w:w="2620" w:type="dxa"/>
            <w:noWrap w:val="0"/>
            <w:vAlign w:val="top"/>
          </w:tcPr>
          <w:p w14:paraId="07A8A9E0">
            <w:pPr>
              <w:pStyle w:val="65"/>
              <w:spacing w:before="81" w:line="222" w:lineRule="auto"/>
              <w:ind w:left="1142"/>
              <w:rPr>
                <w:highlight w:val="none"/>
              </w:rPr>
            </w:pPr>
            <w:r>
              <w:rPr>
                <w:spacing w:val="-10"/>
                <w:highlight w:val="none"/>
              </w:rPr>
              <w:t>I</w:t>
            </w:r>
            <w:r>
              <w:rPr>
                <w:spacing w:val="-41"/>
                <w:highlight w:val="none"/>
              </w:rPr>
              <w:t xml:space="preserve"> </w:t>
            </w:r>
            <w:r>
              <w:rPr>
                <w:spacing w:val="-10"/>
                <w:highlight w:val="none"/>
              </w:rPr>
              <w:t>级</w:t>
            </w:r>
          </w:p>
        </w:tc>
      </w:tr>
      <w:tr w14:paraId="6FEFC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4" w:type="dxa"/>
            <w:vMerge w:val="continue"/>
            <w:tcBorders>
              <w:top w:val="nil"/>
              <w:bottom w:val="nil"/>
            </w:tcBorders>
            <w:noWrap w:val="0"/>
            <w:vAlign w:val="top"/>
          </w:tcPr>
          <w:p w14:paraId="624F071A">
            <w:pPr>
              <w:rPr>
                <w:rFonts w:ascii="Arial"/>
                <w:sz w:val="21"/>
                <w:highlight w:val="none"/>
              </w:rPr>
            </w:pPr>
          </w:p>
        </w:tc>
        <w:tc>
          <w:tcPr>
            <w:tcW w:w="1378" w:type="dxa"/>
            <w:gridSpan w:val="2"/>
            <w:vMerge w:val="continue"/>
            <w:tcBorders>
              <w:top w:val="nil"/>
              <w:bottom w:val="nil"/>
            </w:tcBorders>
            <w:noWrap w:val="0"/>
            <w:vAlign w:val="top"/>
          </w:tcPr>
          <w:p w14:paraId="3E831583">
            <w:pPr>
              <w:rPr>
                <w:rFonts w:ascii="Arial"/>
                <w:sz w:val="21"/>
                <w:highlight w:val="none"/>
              </w:rPr>
            </w:pPr>
          </w:p>
        </w:tc>
        <w:tc>
          <w:tcPr>
            <w:tcW w:w="1530" w:type="dxa"/>
            <w:vMerge w:val="restart"/>
            <w:tcBorders>
              <w:bottom w:val="nil"/>
            </w:tcBorders>
            <w:noWrap w:val="0"/>
            <w:vAlign w:val="top"/>
          </w:tcPr>
          <w:p w14:paraId="520A3001">
            <w:pPr>
              <w:pStyle w:val="65"/>
              <w:spacing w:before="271" w:line="220" w:lineRule="auto"/>
              <w:ind w:left="122"/>
              <w:rPr>
                <w:highlight w:val="none"/>
              </w:rPr>
            </w:pPr>
            <w:r>
              <w:rPr>
                <w:spacing w:val="-4"/>
                <w:highlight w:val="none"/>
              </w:rPr>
              <w:t>时效指标</w:t>
            </w:r>
          </w:p>
        </w:tc>
        <w:tc>
          <w:tcPr>
            <w:tcW w:w="2808" w:type="dxa"/>
            <w:gridSpan w:val="3"/>
            <w:noWrap w:val="0"/>
            <w:vAlign w:val="top"/>
          </w:tcPr>
          <w:p w14:paraId="51485702">
            <w:pPr>
              <w:pStyle w:val="65"/>
              <w:spacing w:before="82" w:line="220" w:lineRule="auto"/>
              <w:ind w:left="115"/>
              <w:rPr>
                <w:highlight w:val="none"/>
              </w:rPr>
            </w:pPr>
            <w:r>
              <w:rPr>
                <w:spacing w:val="-2"/>
                <w:highlight w:val="none"/>
              </w:rPr>
              <w:t>项目按时完成率</w:t>
            </w:r>
          </w:p>
        </w:tc>
        <w:tc>
          <w:tcPr>
            <w:tcW w:w="2620" w:type="dxa"/>
            <w:noWrap w:val="0"/>
            <w:vAlign w:val="top"/>
          </w:tcPr>
          <w:p w14:paraId="74E86986">
            <w:pPr>
              <w:pStyle w:val="65"/>
              <w:spacing w:before="115" w:line="184" w:lineRule="auto"/>
              <w:ind w:left="1120"/>
              <w:rPr>
                <w:highlight w:val="none"/>
              </w:rPr>
            </w:pPr>
            <w:r>
              <w:rPr>
                <w:spacing w:val="-5"/>
                <w:highlight w:val="none"/>
              </w:rPr>
              <w:t>100%</w:t>
            </w:r>
          </w:p>
        </w:tc>
      </w:tr>
      <w:tr w14:paraId="0F42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360D8A10">
            <w:pPr>
              <w:rPr>
                <w:rFonts w:ascii="Arial"/>
                <w:sz w:val="21"/>
                <w:highlight w:val="none"/>
              </w:rPr>
            </w:pPr>
          </w:p>
        </w:tc>
        <w:tc>
          <w:tcPr>
            <w:tcW w:w="1378" w:type="dxa"/>
            <w:gridSpan w:val="2"/>
            <w:vMerge w:val="continue"/>
            <w:tcBorders>
              <w:top w:val="nil"/>
              <w:bottom w:val="nil"/>
            </w:tcBorders>
            <w:noWrap w:val="0"/>
            <w:vAlign w:val="top"/>
          </w:tcPr>
          <w:p w14:paraId="59655859">
            <w:pPr>
              <w:rPr>
                <w:rFonts w:ascii="Arial"/>
                <w:sz w:val="21"/>
                <w:highlight w:val="none"/>
              </w:rPr>
            </w:pPr>
          </w:p>
        </w:tc>
        <w:tc>
          <w:tcPr>
            <w:tcW w:w="1530" w:type="dxa"/>
            <w:vMerge w:val="continue"/>
            <w:tcBorders>
              <w:top w:val="nil"/>
            </w:tcBorders>
            <w:noWrap w:val="0"/>
            <w:vAlign w:val="top"/>
          </w:tcPr>
          <w:p w14:paraId="61851866">
            <w:pPr>
              <w:rPr>
                <w:rFonts w:ascii="Arial"/>
                <w:sz w:val="21"/>
                <w:highlight w:val="none"/>
              </w:rPr>
            </w:pPr>
          </w:p>
        </w:tc>
        <w:tc>
          <w:tcPr>
            <w:tcW w:w="2808" w:type="dxa"/>
            <w:gridSpan w:val="3"/>
            <w:noWrap w:val="0"/>
            <w:vAlign w:val="top"/>
          </w:tcPr>
          <w:p w14:paraId="7A9B9F16">
            <w:pPr>
              <w:pStyle w:val="65"/>
              <w:spacing w:before="81" w:line="220" w:lineRule="auto"/>
              <w:ind w:left="114"/>
              <w:rPr>
                <w:highlight w:val="none"/>
              </w:rPr>
            </w:pPr>
            <w:r>
              <w:rPr>
                <w:spacing w:val="-1"/>
                <w:highlight w:val="none"/>
              </w:rPr>
              <w:t>预算执行按时完成率</w:t>
            </w:r>
          </w:p>
        </w:tc>
        <w:tc>
          <w:tcPr>
            <w:tcW w:w="2620" w:type="dxa"/>
            <w:noWrap w:val="0"/>
            <w:vAlign w:val="top"/>
          </w:tcPr>
          <w:p w14:paraId="18BBC069">
            <w:pPr>
              <w:pStyle w:val="65"/>
              <w:spacing w:before="114" w:line="184" w:lineRule="auto"/>
              <w:ind w:left="1120"/>
              <w:rPr>
                <w:highlight w:val="none"/>
              </w:rPr>
            </w:pPr>
            <w:r>
              <w:rPr>
                <w:spacing w:val="-5"/>
                <w:highlight w:val="none"/>
              </w:rPr>
              <w:t>100%</w:t>
            </w:r>
          </w:p>
        </w:tc>
      </w:tr>
      <w:tr w14:paraId="1F219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44B194BE">
            <w:pPr>
              <w:rPr>
                <w:rFonts w:ascii="Arial"/>
                <w:sz w:val="21"/>
                <w:highlight w:val="none"/>
              </w:rPr>
            </w:pPr>
          </w:p>
        </w:tc>
        <w:tc>
          <w:tcPr>
            <w:tcW w:w="1378" w:type="dxa"/>
            <w:gridSpan w:val="2"/>
            <w:vMerge w:val="continue"/>
            <w:tcBorders>
              <w:top w:val="nil"/>
            </w:tcBorders>
            <w:noWrap w:val="0"/>
            <w:vAlign w:val="top"/>
          </w:tcPr>
          <w:p w14:paraId="17008173">
            <w:pPr>
              <w:rPr>
                <w:rFonts w:ascii="Arial"/>
                <w:sz w:val="21"/>
                <w:highlight w:val="none"/>
              </w:rPr>
            </w:pPr>
          </w:p>
        </w:tc>
        <w:tc>
          <w:tcPr>
            <w:tcW w:w="1530" w:type="dxa"/>
            <w:vMerge w:val="restart"/>
            <w:tcBorders>
              <w:bottom w:val="nil"/>
            </w:tcBorders>
            <w:noWrap w:val="0"/>
            <w:vAlign w:val="top"/>
          </w:tcPr>
          <w:p w14:paraId="1B450370">
            <w:pPr>
              <w:pStyle w:val="65"/>
              <w:spacing w:before="271" w:line="219" w:lineRule="auto"/>
              <w:ind w:left="114"/>
              <w:rPr>
                <w:highlight w:val="none"/>
              </w:rPr>
            </w:pPr>
            <w:r>
              <w:rPr>
                <w:spacing w:val="-2"/>
                <w:highlight w:val="none"/>
              </w:rPr>
              <w:t>成本指标</w:t>
            </w:r>
          </w:p>
        </w:tc>
        <w:tc>
          <w:tcPr>
            <w:tcW w:w="2808" w:type="dxa"/>
            <w:gridSpan w:val="3"/>
            <w:noWrap w:val="0"/>
            <w:vAlign w:val="top"/>
          </w:tcPr>
          <w:p w14:paraId="22FB613F">
            <w:pPr>
              <w:pStyle w:val="65"/>
              <w:spacing w:before="81" w:line="220" w:lineRule="auto"/>
              <w:ind w:left="114"/>
              <w:rPr>
                <w:highlight w:val="none"/>
              </w:rPr>
            </w:pPr>
            <w:r>
              <w:rPr>
                <w:spacing w:val="-2"/>
                <w:highlight w:val="none"/>
              </w:rPr>
              <w:t>生态护岸生态化改造</w:t>
            </w:r>
          </w:p>
        </w:tc>
        <w:tc>
          <w:tcPr>
            <w:tcW w:w="2620" w:type="dxa"/>
            <w:noWrap w:val="0"/>
            <w:vAlign w:val="top"/>
          </w:tcPr>
          <w:p w14:paraId="2ACB58CA">
            <w:pPr>
              <w:pStyle w:val="65"/>
              <w:spacing w:before="82" w:line="220" w:lineRule="auto"/>
              <w:ind w:left="830"/>
              <w:rPr>
                <w:highlight w:val="none"/>
              </w:rPr>
            </w:pPr>
            <w:r>
              <w:rPr>
                <w:spacing w:val="-6"/>
                <w:highlight w:val="none"/>
              </w:rPr>
              <w:t>≤1</w:t>
            </w:r>
            <w:r>
              <w:rPr>
                <w:spacing w:val="-38"/>
                <w:highlight w:val="none"/>
              </w:rPr>
              <w:t xml:space="preserve"> </w:t>
            </w:r>
            <w:r>
              <w:rPr>
                <w:spacing w:val="-6"/>
                <w:highlight w:val="none"/>
              </w:rPr>
              <w:t>万元/m</w:t>
            </w:r>
          </w:p>
        </w:tc>
      </w:tr>
      <w:tr w14:paraId="1AF95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78DFD629">
            <w:pPr>
              <w:rPr>
                <w:rFonts w:ascii="Arial"/>
                <w:sz w:val="21"/>
                <w:highlight w:val="none"/>
              </w:rPr>
            </w:pPr>
          </w:p>
        </w:tc>
        <w:tc>
          <w:tcPr>
            <w:tcW w:w="1378" w:type="dxa"/>
            <w:gridSpan w:val="2"/>
            <w:noWrap w:val="0"/>
            <w:vAlign w:val="top"/>
          </w:tcPr>
          <w:p w14:paraId="20E1E3CC">
            <w:pPr>
              <w:rPr>
                <w:rFonts w:ascii="Arial"/>
                <w:sz w:val="21"/>
                <w:highlight w:val="none"/>
              </w:rPr>
            </w:pPr>
          </w:p>
        </w:tc>
        <w:tc>
          <w:tcPr>
            <w:tcW w:w="1530" w:type="dxa"/>
            <w:vMerge w:val="continue"/>
            <w:tcBorders>
              <w:top w:val="nil"/>
            </w:tcBorders>
            <w:noWrap w:val="0"/>
            <w:vAlign w:val="top"/>
          </w:tcPr>
          <w:p w14:paraId="5C624E0C">
            <w:pPr>
              <w:rPr>
                <w:rFonts w:ascii="Arial"/>
                <w:sz w:val="21"/>
                <w:highlight w:val="none"/>
              </w:rPr>
            </w:pPr>
          </w:p>
        </w:tc>
        <w:tc>
          <w:tcPr>
            <w:tcW w:w="2808" w:type="dxa"/>
            <w:gridSpan w:val="3"/>
            <w:noWrap w:val="0"/>
            <w:vAlign w:val="top"/>
          </w:tcPr>
          <w:p w14:paraId="30B64E7E">
            <w:pPr>
              <w:pStyle w:val="65"/>
              <w:spacing w:before="81" w:line="220" w:lineRule="auto"/>
              <w:ind w:left="114"/>
              <w:rPr>
                <w:highlight w:val="none"/>
              </w:rPr>
            </w:pPr>
            <w:r>
              <w:rPr>
                <w:spacing w:val="-2"/>
                <w:highlight w:val="none"/>
              </w:rPr>
              <w:t>盐沼植被种植</w:t>
            </w:r>
          </w:p>
        </w:tc>
        <w:tc>
          <w:tcPr>
            <w:tcW w:w="2620" w:type="dxa"/>
            <w:noWrap w:val="0"/>
            <w:vAlign w:val="top"/>
          </w:tcPr>
          <w:p w14:paraId="38493691">
            <w:pPr>
              <w:pStyle w:val="65"/>
              <w:spacing w:before="82" w:line="220" w:lineRule="auto"/>
              <w:ind w:left="725"/>
              <w:rPr>
                <w:highlight w:val="none"/>
              </w:rPr>
            </w:pPr>
            <w:r>
              <w:rPr>
                <w:spacing w:val="-5"/>
                <w:highlight w:val="none"/>
              </w:rPr>
              <w:t>≤60</w:t>
            </w:r>
            <w:r>
              <w:rPr>
                <w:spacing w:val="-37"/>
                <w:highlight w:val="none"/>
              </w:rPr>
              <w:t xml:space="preserve"> </w:t>
            </w:r>
            <w:r>
              <w:rPr>
                <w:spacing w:val="-5"/>
                <w:highlight w:val="none"/>
              </w:rPr>
              <w:t>万元/ha</w:t>
            </w:r>
          </w:p>
        </w:tc>
      </w:tr>
      <w:tr w14:paraId="56AA0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4" w:type="dxa"/>
            <w:vMerge w:val="continue"/>
            <w:tcBorders>
              <w:top w:val="nil"/>
              <w:bottom w:val="nil"/>
            </w:tcBorders>
            <w:noWrap w:val="0"/>
            <w:vAlign w:val="top"/>
          </w:tcPr>
          <w:p w14:paraId="2F9B128A">
            <w:pPr>
              <w:rPr>
                <w:rFonts w:ascii="Arial"/>
                <w:sz w:val="21"/>
                <w:highlight w:val="none"/>
              </w:rPr>
            </w:pPr>
          </w:p>
        </w:tc>
        <w:tc>
          <w:tcPr>
            <w:tcW w:w="1378" w:type="dxa"/>
            <w:gridSpan w:val="2"/>
            <w:vMerge w:val="restart"/>
            <w:tcBorders>
              <w:bottom w:val="nil"/>
            </w:tcBorders>
            <w:noWrap w:val="0"/>
            <w:vAlign w:val="top"/>
          </w:tcPr>
          <w:p w14:paraId="487B5632">
            <w:pPr>
              <w:spacing w:line="266" w:lineRule="auto"/>
              <w:rPr>
                <w:rFonts w:ascii="Arial"/>
                <w:sz w:val="21"/>
                <w:highlight w:val="none"/>
              </w:rPr>
            </w:pPr>
          </w:p>
          <w:p w14:paraId="49CE0F18">
            <w:pPr>
              <w:spacing w:line="266" w:lineRule="auto"/>
              <w:rPr>
                <w:rFonts w:ascii="Arial"/>
                <w:sz w:val="21"/>
                <w:highlight w:val="none"/>
              </w:rPr>
            </w:pPr>
          </w:p>
          <w:p w14:paraId="0048C5A0">
            <w:pPr>
              <w:spacing w:line="266" w:lineRule="auto"/>
              <w:rPr>
                <w:rFonts w:ascii="Arial"/>
                <w:sz w:val="21"/>
                <w:highlight w:val="none"/>
              </w:rPr>
            </w:pPr>
          </w:p>
          <w:p w14:paraId="5E16B197">
            <w:pPr>
              <w:spacing w:line="266" w:lineRule="auto"/>
              <w:rPr>
                <w:rFonts w:ascii="Arial"/>
                <w:sz w:val="21"/>
                <w:highlight w:val="none"/>
              </w:rPr>
            </w:pPr>
          </w:p>
          <w:p w14:paraId="7D6E182B">
            <w:pPr>
              <w:spacing w:line="266" w:lineRule="auto"/>
              <w:rPr>
                <w:rFonts w:ascii="Arial"/>
                <w:sz w:val="21"/>
                <w:highlight w:val="none"/>
              </w:rPr>
            </w:pPr>
          </w:p>
          <w:p w14:paraId="368CF827">
            <w:pPr>
              <w:pStyle w:val="65"/>
              <w:spacing w:before="69" w:line="220" w:lineRule="auto"/>
              <w:ind w:left="277"/>
              <w:rPr>
                <w:highlight w:val="none"/>
              </w:rPr>
            </w:pPr>
            <w:r>
              <w:rPr>
                <w:spacing w:val="-3"/>
                <w:highlight w:val="none"/>
              </w:rPr>
              <w:t>效益指标</w:t>
            </w:r>
          </w:p>
        </w:tc>
        <w:tc>
          <w:tcPr>
            <w:tcW w:w="1530" w:type="dxa"/>
            <w:vMerge w:val="restart"/>
            <w:tcBorders>
              <w:bottom w:val="nil"/>
            </w:tcBorders>
            <w:noWrap w:val="0"/>
            <w:vAlign w:val="top"/>
          </w:tcPr>
          <w:p w14:paraId="7ECB6245">
            <w:pPr>
              <w:pStyle w:val="65"/>
              <w:spacing w:before="271" w:line="219" w:lineRule="auto"/>
              <w:ind w:left="114"/>
              <w:rPr>
                <w:highlight w:val="none"/>
              </w:rPr>
            </w:pPr>
            <w:r>
              <w:rPr>
                <w:spacing w:val="-2"/>
                <w:highlight w:val="none"/>
              </w:rPr>
              <w:t>社会效益指标</w:t>
            </w:r>
          </w:p>
        </w:tc>
        <w:tc>
          <w:tcPr>
            <w:tcW w:w="2808" w:type="dxa"/>
            <w:gridSpan w:val="3"/>
            <w:noWrap w:val="0"/>
            <w:vAlign w:val="top"/>
          </w:tcPr>
          <w:p w14:paraId="1BD8432F">
            <w:pPr>
              <w:pStyle w:val="65"/>
              <w:spacing w:before="82" w:line="220" w:lineRule="auto"/>
              <w:ind w:left="114"/>
              <w:rPr>
                <w:highlight w:val="none"/>
              </w:rPr>
            </w:pPr>
            <w:r>
              <w:rPr>
                <w:spacing w:val="-1"/>
                <w:highlight w:val="none"/>
              </w:rPr>
              <w:t>人居环境改善受惠人数</w:t>
            </w:r>
          </w:p>
        </w:tc>
        <w:tc>
          <w:tcPr>
            <w:tcW w:w="2620" w:type="dxa"/>
            <w:noWrap w:val="0"/>
            <w:vAlign w:val="top"/>
          </w:tcPr>
          <w:p w14:paraId="6AB3BDFF">
            <w:pPr>
              <w:pStyle w:val="65"/>
              <w:spacing w:before="83" w:line="220" w:lineRule="auto"/>
              <w:ind w:left="936"/>
              <w:rPr>
                <w:highlight w:val="none"/>
              </w:rPr>
            </w:pPr>
            <w:r>
              <w:rPr>
                <w:spacing w:val="-8"/>
                <w:highlight w:val="none"/>
              </w:rPr>
              <w:t>100</w:t>
            </w:r>
            <w:r>
              <w:rPr>
                <w:spacing w:val="-37"/>
                <w:highlight w:val="none"/>
              </w:rPr>
              <w:t xml:space="preserve"> </w:t>
            </w:r>
            <w:r>
              <w:rPr>
                <w:spacing w:val="-8"/>
                <w:highlight w:val="none"/>
              </w:rPr>
              <w:t>万人</w:t>
            </w:r>
          </w:p>
        </w:tc>
      </w:tr>
      <w:tr w14:paraId="3E4AF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4F003E07">
            <w:pPr>
              <w:rPr>
                <w:rFonts w:ascii="Arial"/>
                <w:sz w:val="21"/>
                <w:highlight w:val="none"/>
              </w:rPr>
            </w:pPr>
          </w:p>
        </w:tc>
        <w:tc>
          <w:tcPr>
            <w:tcW w:w="1378" w:type="dxa"/>
            <w:gridSpan w:val="2"/>
            <w:vMerge w:val="continue"/>
            <w:tcBorders>
              <w:top w:val="nil"/>
              <w:bottom w:val="nil"/>
            </w:tcBorders>
            <w:noWrap w:val="0"/>
            <w:vAlign w:val="top"/>
          </w:tcPr>
          <w:p w14:paraId="46D9A2F1">
            <w:pPr>
              <w:rPr>
                <w:rFonts w:ascii="Arial"/>
                <w:sz w:val="21"/>
                <w:highlight w:val="none"/>
              </w:rPr>
            </w:pPr>
          </w:p>
        </w:tc>
        <w:tc>
          <w:tcPr>
            <w:tcW w:w="1530" w:type="dxa"/>
            <w:vMerge w:val="continue"/>
            <w:tcBorders>
              <w:top w:val="nil"/>
            </w:tcBorders>
            <w:noWrap w:val="0"/>
            <w:vAlign w:val="top"/>
          </w:tcPr>
          <w:p w14:paraId="2E260285">
            <w:pPr>
              <w:rPr>
                <w:rFonts w:ascii="Arial"/>
                <w:sz w:val="21"/>
                <w:highlight w:val="none"/>
              </w:rPr>
            </w:pPr>
          </w:p>
        </w:tc>
        <w:tc>
          <w:tcPr>
            <w:tcW w:w="2808" w:type="dxa"/>
            <w:gridSpan w:val="3"/>
            <w:noWrap w:val="0"/>
            <w:vAlign w:val="top"/>
          </w:tcPr>
          <w:p w14:paraId="5274DB3D">
            <w:pPr>
              <w:pStyle w:val="65"/>
              <w:spacing w:before="81" w:line="220" w:lineRule="auto"/>
              <w:ind w:left="111"/>
              <w:rPr>
                <w:highlight w:val="none"/>
              </w:rPr>
            </w:pPr>
            <w:r>
              <w:rPr>
                <w:spacing w:val="-1"/>
                <w:highlight w:val="none"/>
              </w:rPr>
              <w:t>海洋防灾减灾能力</w:t>
            </w:r>
          </w:p>
        </w:tc>
        <w:tc>
          <w:tcPr>
            <w:tcW w:w="2620" w:type="dxa"/>
            <w:noWrap w:val="0"/>
            <w:vAlign w:val="top"/>
          </w:tcPr>
          <w:p w14:paraId="106676FA">
            <w:pPr>
              <w:pStyle w:val="65"/>
              <w:spacing w:before="82" w:line="220" w:lineRule="auto"/>
              <w:ind w:left="1105"/>
              <w:rPr>
                <w:highlight w:val="none"/>
              </w:rPr>
            </w:pPr>
            <w:r>
              <w:rPr>
                <w:spacing w:val="-3"/>
                <w:highlight w:val="none"/>
              </w:rPr>
              <w:t>提升</w:t>
            </w:r>
          </w:p>
        </w:tc>
      </w:tr>
      <w:tr w14:paraId="50F66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3CBD7CA4">
            <w:pPr>
              <w:rPr>
                <w:rFonts w:ascii="Arial"/>
                <w:sz w:val="21"/>
                <w:highlight w:val="none"/>
              </w:rPr>
            </w:pPr>
          </w:p>
        </w:tc>
        <w:tc>
          <w:tcPr>
            <w:tcW w:w="1378" w:type="dxa"/>
            <w:gridSpan w:val="2"/>
            <w:vMerge w:val="continue"/>
            <w:tcBorders>
              <w:top w:val="nil"/>
              <w:bottom w:val="nil"/>
            </w:tcBorders>
            <w:noWrap w:val="0"/>
            <w:vAlign w:val="top"/>
          </w:tcPr>
          <w:p w14:paraId="55B33402">
            <w:pPr>
              <w:rPr>
                <w:rFonts w:ascii="Arial"/>
                <w:sz w:val="21"/>
                <w:highlight w:val="none"/>
              </w:rPr>
            </w:pPr>
          </w:p>
        </w:tc>
        <w:tc>
          <w:tcPr>
            <w:tcW w:w="1530" w:type="dxa"/>
            <w:vMerge w:val="restart"/>
            <w:tcBorders>
              <w:bottom w:val="nil"/>
            </w:tcBorders>
            <w:noWrap w:val="0"/>
            <w:vAlign w:val="top"/>
          </w:tcPr>
          <w:p w14:paraId="1CFB1DBA">
            <w:pPr>
              <w:spacing w:line="391" w:lineRule="auto"/>
              <w:rPr>
                <w:rFonts w:ascii="Arial"/>
                <w:sz w:val="21"/>
                <w:highlight w:val="none"/>
              </w:rPr>
            </w:pPr>
          </w:p>
          <w:p w14:paraId="27DCA426">
            <w:pPr>
              <w:pStyle w:val="65"/>
              <w:spacing w:before="68" w:line="220" w:lineRule="auto"/>
              <w:ind w:left="114"/>
              <w:rPr>
                <w:highlight w:val="none"/>
              </w:rPr>
            </w:pPr>
            <w:r>
              <w:rPr>
                <w:spacing w:val="-2"/>
                <w:highlight w:val="none"/>
              </w:rPr>
              <w:t>生态效益指标</w:t>
            </w:r>
          </w:p>
        </w:tc>
        <w:tc>
          <w:tcPr>
            <w:tcW w:w="2808" w:type="dxa"/>
            <w:gridSpan w:val="3"/>
            <w:noWrap w:val="0"/>
            <w:vAlign w:val="top"/>
          </w:tcPr>
          <w:p w14:paraId="3156B0C4">
            <w:pPr>
              <w:pStyle w:val="65"/>
              <w:spacing w:before="82" w:line="219" w:lineRule="auto"/>
              <w:ind w:left="111"/>
              <w:rPr>
                <w:highlight w:val="none"/>
              </w:rPr>
            </w:pPr>
            <w:r>
              <w:rPr>
                <w:spacing w:val="-1"/>
                <w:highlight w:val="none"/>
              </w:rPr>
              <w:t>滨海盐沼芦苇修复区盖度</w:t>
            </w:r>
          </w:p>
        </w:tc>
        <w:tc>
          <w:tcPr>
            <w:tcW w:w="2620" w:type="dxa"/>
            <w:noWrap w:val="0"/>
            <w:vAlign w:val="top"/>
          </w:tcPr>
          <w:p w14:paraId="51A2821A">
            <w:pPr>
              <w:pStyle w:val="65"/>
              <w:spacing w:before="81" w:line="238" w:lineRule="auto"/>
              <w:ind w:left="1020"/>
              <w:rPr>
                <w:highlight w:val="none"/>
              </w:rPr>
            </w:pPr>
            <w:r>
              <w:rPr>
                <w:spacing w:val="-8"/>
                <w:highlight w:val="none"/>
              </w:rPr>
              <w:t>≥80</w:t>
            </w:r>
            <w:r>
              <w:rPr>
                <w:spacing w:val="4"/>
                <w:highlight w:val="none"/>
              </w:rPr>
              <w:t xml:space="preserve"> </w:t>
            </w:r>
            <w:r>
              <w:rPr>
                <w:spacing w:val="-8"/>
                <w:highlight w:val="none"/>
              </w:rPr>
              <w:t>%</w:t>
            </w:r>
          </w:p>
        </w:tc>
      </w:tr>
      <w:tr w14:paraId="2E9E1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4" w:type="dxa"/>
            <w:vMerge w:val="continue"/>
            <w:tcBorders>
              <w:top w:val="nil"/>
              <w:bottom w:val="nil"/>
            </w:tcBorders>
            <w:noWrap w:val="0"/>
            <w:vAlign w:val="top"/>
          </w:tcPr>
          <w:p w14:paraId="22EC43AA">
            <w:pPr>
              <w:rPr>
                <w:rFonts w:ascii="Arial"/>
                <w:sz w:val="21"/>
                <w:highlight w:val="none"/>
              </w:rPr>
            </w:pPr>
          </w:p>
        </w:tc>
        <w:tc>
          <w:tcPr>
            <w:tcW w:w="1378" w:type="dxa"/>
            <w:gridSpan w:val="2"/>
            <w:vMerge w:val="continue"/>
            <w:tcBorders>
              <w:top w:val="nil"/>
              <w:bottom w:val="nil"/>
            </w:tcBorders>
            <w:noWrap w:val="0"/>
            <w:vAlign w:val="top"/>
          </w:tcPr>
          <w:p w14:paraId="17291192">
            <w:pPr>
              <w:rPr>
                <w:rFonts w:ascii="Arial"/>
                <w:sz w:val="21"/>
                <w:highlight w:val="none"/>
              </w:rPr>
            </w:pPr>
          </w:p>
        </w:tc>
        <w:tc>
          <w:tcPr>
            <w:tcW w:w="1530" w:type="dxa"/>
            <w:vMerge w:val="continue"/>
            <w:tcBorders>
              <w:top w:val="nil"/>
              <w:bottom w:val="nil"/>
            </w:tcBorders>
            <w:noWrap w:val="0"/>
            <w:vAlign w:val="top"/>
          </w:tcPr>
          <w:p w14:paraId="0AB40DDA">
            <w:pPr>
              <w:rPr>
                <w:rFonts w:ascii="Arial"/>
                <w:sz w:val="21"/>
                <w:highlight w:val="none"/>
              </w:rPr>
            </w:pPr>
          </w:p>
        </w:tc>
        <w:tc>
          <w:tcPr>
            <w:tcW w:w="2808" w:type="dxa"/>
            <w:gridSpan w:val="3"/>
            <w:noWrap w:val="0"/>
            <w:vAlign w:val="top"/>
          </w:tcPr>
          <w:p w14:paraId="71648189">
            <w:pPr>
              <w:pStyle w:val="65"/>
              <w:spacing w:before="83" w:line="220" w:lineRule="auto"/>
              <w:ind w:left="114"/>
              <w:rPr>
                <w:highlight w:val="none"/>
              </w:rPr>
            </w:pPr>
            <w:r>
              <w:rPr>
                <w:spacing w:val="-1"/>
                <w:highlight w:val="none"/>
              </w:rPr>
              <w:t>盐沼生态系统面积增加率</w:t>
            </w:r>
          </w:p>
        </w:tc>
        <w:tc>
          <w:tcPr>
            <w:tcW w:w="2620" w:type="dxa"/>
            <w:noWrap w:val="0"/>
            <w:vAlign w:val="top"/>
          </w:tcPr>
          <w:p w14:paraId="5D9C37FB">
            <w:pPr>
              <w:pStyle w:val="65"/>
              <w:spacing w:before="83" w:line="238" w:lineRule="auto"/>
              <w:ind w:left="1020"/>
              <w:rPr>
                <w:highlight w:val="none"/>
              </w:rPr>
            </w:pPr>
            <w:r>
              <w:rPr>
                <w:spacing w:val="-8"/>
                <w:highlight w:val="none"/>
              </w:rPr>
              <w:t>≥50</w:t>
            </w:r>
            <w:r>
              <w:rPr>
                <w:spacing w:val="4"/>
                <w:highlight w:val="none"/>
              </w:rPr>
              <w:t xml:space="preserve"> </w:t>
            </w:r>
            <w:r>
              <w:rPr>
                <w:spacing w:val="-8"/>
                <w:highlight w:val="none"/>
              </w:rPr>
              <w:t>%</w:t>
            </w:r>
          </w:p>
        </w:tc>
      </w:tr>
      <w:tr w14:paraId="3049E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056FD1AA">
            <w:pPr>
              <w:rPr>
                <w:rFonts w:ascii="Arial"/>
                <w:sz w:val="21"/>
                <w:highlight w:val="none"/>
              </w:rPr>
            </w:pPr>
          </w:p>
        </w:tc>
        <w:tc>
          <w:tcPr>
            <w:tcW w:w="1378" w:type="dxa"/>
            <w:gridSpan w:val="2"/>
            <w:vMerge w:val="continue"/>
            <w:tcBorders>
              <w:top w:val="nil"/>
              <w:bottom w:val="nil"/>
            </w:tcBorders>
            <w:noWrap w:val="0"/>
            <w:vAlign w:val="top"/>
          </w:tcPr>
          <w:p w14:paraId="75D05031">
            <w:pPr>
              <w:rPr>
                <w:rFonts w:ascii="Arial"/>
                <w:sz w:val="21"/>
                <w:highlight w:val="none"/>
              </w:rPr>
            </w:pPr>
          </w:p>
        </w:tc>
        <w:tc>
          <w:tcPr>
            <w:tcW w:w="1530" w:type="dxa"/>
            <w:vMerge w:val="continue"/>
            <w:tcBorders>
              <w:top w:val="nil"/>
            </w:tcBorders>
            <w:noWrap w:val="0"/>
            <w:vAlign w:val="top"/>
          </w:tcPr>
          <w:p w14:paraId="3831C6AF">
            <w:pPr>
              <w:rPr>
                <w:rFonts w:ascii="Arial"/>
                <w:sz w:val="21"/>
                <w:highlight w:val="none"/>
              </w:rPr>
            </w:pPr>
          </w:p>
        </w:tc>
        <w:tc>
          <w:tcPr>
            <w:tcW w:w="2808" w:type="dxa"/>
            <w:gridSpan w:val="3"/>
            <w:noWrap w:val="0"/>
            <w:vAlign w:val="top"/>
          </w:tcPr>
          <w:p w14:paraId="1A015710">
            <w:pPr>
              <w:pStyle w:val="65"/>
              <w:spacing w:before="82" w:line="220" w:lineRule="auto"/>
              <w:ind w:left="114"/>
              <w:rPr>
                <w:highlight w:val="none"/>
              </w:rPr>
            </w:pPr>
            <w:r>
              <w:rPr>
                <w:spacing w:val="-2"/>
                <w:highlight w:val="none"/>
              </w:rPr>
              <w:t>盐沼碳汇能力</w:t>
            </w:r>
          </w:p>
        </w:tc>
        <w:tc>
          <w:tcPr>
            <w:tcW w:w="2620" w:type="dxa"/>
            <w:noWrap w:val="0"/>
            <w:vAlign w:val="top"/>
          </w:tcPr>
          <w:p w14:paraId="798E0193">
            <w:pPr>
              <w:pStyle w:val="65"/>
              <w:spacing w:before="82" w:line="220" w:lineRule="auto"/>
              <w:ind w:left="1105"/>
              <w:rPr>
                <w:highlight w:val="none"/>
              </w:rPr>
            </w:pPr>
            <w:r>
              <w:rPr>
                <w:spacing w:val="-3"/>
                <w:highlight w:val="none"/>
              </w:rPr>
              <w:t>提升</w:t>
            </w:r>
          </w:p>
        </w:tc>
      </w:tr>
      <w:tr w14:paraId="565F7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1A7AD2D9">
            <w:pPr>
              <w:rPr>
                <w:rFonts w:ascii="Arial"/>
                <w:sz w:val="21"/>
                <w:highlight w:val="none"/>
              </w:rPr>
            </w:pPr>
          </w:p>
        </w:tc>
        <w:tc>
          <w:tcPr>
            <w:tcW w:w="1378" w:type="dxa"/>
            <w:gridSpan w:val="2"/>
            <w:vMerge w:val="continue"/>
            <w:tcBorders>
              <w:top w:val="nil"/>
              <w:bottom w:val="nil"/>
            </w:tcBorders>
            <w:noWrap w:val="0"/>
            <w:vAlign w:val="top"/>
          </w:tcPr>
          <w:p w14:paraId="51A88C54">
            <w:pPr>
              <w:rPr>
                <w:rFonts w:ascii="Arial"/>
                <w:sz w:val="21"/>
                <w:highlight w:val="none"/>
              </w:rPr>
            </w:pPr>
          </w:p>
        </w:tc>
        <w:tc>
          <w:tcPr>
            <w:tcW w:w="1530" w:type="dxa"/>
            <w:vMerge w:val="restart"/>
            <w:tcBorders>
              <w:bottom w:val="nil"/>
            </w:tcBorders>
            <w:noWrap w:val="0"/>
            <w:vAlign w:val="top"/>
          </w:tcPr>
          <w:p w14:paraId="2E2967AC">
            <w:pPr>
              <w:spacing w:line="254" w:lineRule="auto"/>
              <w:rPr>
                <w:rFonts w:ascii="Arial"/>
                <w:sz w:val="21"/>
                <w:highlight w:val="none"/>
              </w:rPr>
            </w:pPr>
          </w:p>
          <w:p w14:paraId="4C829F18">
            <w:pPr>
              <w:pStyle w:val="65"/>
              <w:spacing w:before="69" w:line="230" w:lineRule="auto"/>
              <w:ind w:left="113" w:right="105"/>
              <w:rPr>
                <w:highlight w:val="none"/>
              </w:rPr>
            </w:pPr>
            <w:r>
              <w:rPr>
                <w:spacing w:val="7"/>
                <w:highlight w:val="none"/>
              </w:rPr>
              <w:t>可持续影响指</w:t>
            </w:r>
            <w:r>
              <w:rPr>
                <w:spacing w:val="2"/>
                <w:highlight w:val="none"/>
              </w:rPr>
              <w:t xml:space="preserve"> </w:t>
            </w:r>
            <w:r>
              <w:rPr>
                <w:highlight w:val="none"/>
              </w:rPr>
              <w:t>标</w:t>
            </w:r>
          </w:p>
        </w:tc>
        <w:tc>
          <w:tcPr>
            <w:tcW w:w="2808" w:type="dxa"/>
            <w:gridSpan w:val="3"/>
            <w:noWrap w:val="0"/>
            <w:vAlign w:val="top"/>
          </w:tcPr>
          <w:p w14:paraId="16308A91">
            <w:pPr>
              <w:pStyle w:val="65"/>
              <w:spacing w:before="82" w:line="220" w:lineRule="auto"/>
              <w:ind w:left="114"/>
              <w:rPr>
                <w:highlight w:val="none"/>
              </w:rPr>
            </w:pPr>
            <w:r>
              <w:rPr>
                <w:spacing w:val="-1"/>
                <w:highlight w:val="none"/>
              </w:rPr>
              <w:t>盐沼生态系统稳定性</w:t>
            </w:r>
          </w:p>
        </w:tc>
        <w:tc>
          <w:tcPr>
            <w:tcW w:w="2620" w:type="dxa"/>
            <w:noWrap w:val="0"/>
            <w:vAlign w:val="top"/>
          </w:tcPr>
          <w:p w14:paraId="1E1E6DA8">
            <w:pPr>
              <w:pStyle w:val="65"/>
              <w:spacing w:before="82" w:line="220" w:lineRule="auto"/>
              <w:ind w:left="1047"/>
              <w:rPr>
                <w:highlight w:val="none"/>
              </w:rPr>
            </w:pPr>
            <w:r>
              <w:rPr>
                <w:spacing w:val="-10"/>
                <w:highlight w:val="none"/>
              </w:rPr>
              <w:t>≥5</w:t>
            </w:r>
            <w:r>
              <w:rPr>
                <w:spacing w:val="-43"/>
                <w:highlight w:val="none"/>
              </w:rPr>
              <w:t xml:space="preserve"> </w:t>
            </w:r>
            <w:r>
              <w:rPr>
                <w:spacing w:val="-10"/>
                <w:highlight w:val="none"/>
              </w:rPr>
              <w:t>年</w:t>
            </w:r>
          </w:p>
        </w:tc>
      </w:tr>
      <w:tr w14:paraId="3C767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4" w:type="dxa"/>
            <w:vMerge w:val="continue"/>
            <w:tcBorders>
              <w:top w:val="nil"/>
              <w:bottom w:val="nil"/>
            </w:tcBorders>
            <w:noWrap w:val="0"/>
            <w:vAlign w:val="top"/>
          </w:tcPr>
          <w:p w14:paraId="377EAED9">
            <w:pPr>
              <w:rPr>
                <w:rFonts w:ascii="Arial"/>
                <w:sz w:val="21"/>
                <w:highlight w:val="none"/>
              </w:rPr>
            </w:pPr>
          </w:p>
        </w:tc>
        <w:tc>
          <w:tcPr>
            <w:tcW w:w="1378" w:type="dxa"/>
            <w:gridSpan w:val="2"/>
            <w:vMerge w:val="continue"/>
            <w:tcBorders>
              <w:top w:val="nil"/>
              <w:bottom w:val="nil"/>
            </w:tcBorders>
            <w:noWrap w:val="0"/>
            <w:vAlign w:val="top"/>
          </w:tcPr>
          <w:p w14:paraId="61559A77">
            <w:pPr>
              <w:rPr>
                <w:rFonts w:ascii="Arial"/>
                <w:sz w:val="21"/>
                <w:highlight w:val="none"/>
              </w:rPr>
            </w:pPr>
          </w:p>
        </w:tc>
        <w:tc>
          <w:tcPr>
            <w:tcW w:w="1530" w:type="dxa"/>
            <w:vMerge w:val="continue"/>
            <w:tcBorders>
              <w:top w:val="nil"/>
              <w:bottom w:val="nil"/>
            </w:tcBorders>
            <w:noWrap w:val="0"/>
            <w:vAlign w:val="top"/>
          </w:tcPr>
          <w:p w14:paraId="3740EF1C">
            <w:pPr>
              <w:rPr>
                <w:rFonts w:ascii="Arial"/>
                <w:sz w:val="21"/>
                <w:highlight w:val="none"/>
              </w:rPr>
            </w:pPr>
          </w:p>
        </w:tc>
        <w:tc>
          <w:tcPr>
            <w:tcW w:w="2808" w:type="dxa"/>
            <w:gridSpan w:val="3"/>
            <w:noWrap w:val="0"/>
            <w:vAlign w:val="top"/>
          </w:tcPr>
          <w:p w14:paraId="2100138D">
            <w:pPr>
              <w:pStyle w:val="65"/>
              <w:spacing w:before="82" w:line="220" w:lineRule="auto"/>
              <w:ind w:left="111"/>
              <w:rPr>
                <w:highlight w:val="none"/>
              </w:rPr>
            </w:pPr>
            <w:r>
              <w:rPr>
                <w:spacing w:val="-1"/>
                <w:highlight w:val="none"/>
              </w:rPr>
              <w:t>砂质海岸生态系统稳定性</w:t>
            </w:r>
          </w:p>
        </w:tc>
        <w:tc>
          <w:tcPr>
            <w:tcW w:w="2620" w:type="dxa"/>
            <w:noWrap w:val="0"/>
            <w:vAlign w:val="top"/>
          </w:tcPr>
          <w:p w14:paraId="63D5BBA4">
            <w:pPr>
              <w:pStyle w:val="65"/>
              <w:spacing w:before="82" w:line="220" w:lineRule="auto"/>
              <w:ind w:left="1047"/>
              <w:rPr>
                <w:highlight w:val="none"/>
              </w:rPr>
            </w:pPr>
            <w:r>
              <w:rPr>
                <w:spacing w:val="-10"/>
                <w:highlight w:val="none"/>
              </w:rPr>
              <w:t>≥8</w:t>
            </w:r>
            <w:r>
              <w:rPr>
                <w:spacing w:val="-43"/>
                <w:highlight w:val="none"/>
              </w:rPr>
              <w:t xml:space="preserve"> </w:t>
            </w:r>
            <w:r>
              <w:rPr>
                <w:spacing w:val="-10"/>
                <w:highlight w:val="none"/>
              </w:rPr>
              <w:t>年</w:t>
            </w:r>
          </w:p>
        </w:tc>
      </w:tr>
      <w:tr w14:paraId="4D4DB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14" w:type="dxa"/>
            <w:vMerge w:val="continue"/>
            <w:tcBorders>
              <w:top w:val="nil"/>
              <w:bottom w:val="nil"/>
            </w:tcBorders>
            <w:noWrap w:val="0"/>
            <w:vAlign w:val="top"/>
          </w:tcPr>
          <w:p w14:paraId="1A11C1DA">
            <w:pPr>
              <w:rPr>
                <w:rFonts w:ascii="Arial"/>
                <w:sz w:val="21"/>
                <w:highlight w:val="none"/>
              </w:rPr>
            </w:pPr>
          </w:p>
        </w:tc>
        <w:tc>
          <w:tcPr>
            <w:tcW w:w="1378" w:type="dxa"/>
            <w:gridSpan w:val="2"/>
            <w:vMerge w:val="continue"/>
            <w:tcBorders>
              <w:top w:val="nil"/>
            </w:tcBorders>
            <w:noWrap w:val="0"/>
            <w:vAlign w:val="top"/>
          </w:tcPr>
          <w:p w14:paraId="3F800722">
            <w:pPr>
              <w:rPr>
                <w:rFonts w:ascii="Arial"/>
                <w:sz w:val="21"/>
                <w:highlight w:val="none"/>
              </w:rPr>
            </w:pPr>
          </w:p>
        </w:tc>
        <w:tc>
          <w:tcPr>
            <w:tcW w:w="1530" w:type="dxa"/>
            <w:vMerge w:val="continue"/>
            <w:tcBorders>
              <w:top w:val="nil"/>
            </w:tcBorders>
            <w:noWrap w:val="0"/>
            <w:vAlign w:val="top"/>
          </w:tcPr>
          <w:p w14:paraId="2438C282">
            <w:pPr>
              <w:rPr>
                <w:rFonts w:ascii="Arial"/>
                <w:sz w:val="21"/>
                <w:highlight w:val="none"/>
              </w:rPr>
            </w:pPr>
          </w:p>
        </w:tc>
        <w:tc>
          <w:tcPr>
            <w:tcW w:w="2808" w:type="dxa"/>
            <w:gridSpan w:val="3"/>
            <w:noWrap w:val="0"/>
            <w:vAlign w:val="top"/>
          </w:tcPr>
          <w:p w14:paraId="29F031B6">
            <w:pPr>
              <w:pStyle w:val="65"/>
              <w:spacing w:before="83" w:line="220" w:lineRule="auto"/>
              <w:ind w:left="114"/>
              <w:rPr>
                <w:highlight w:val="none"/>
              </w:rPr>
            </w:pPr>
            <w:r>
              <w:rPr>
                <w:spacing w:val="-2"/>
                <w:highlight w:val="none"/>
              </w:rPr>
              <w:t>后期管护持续时间</w:t>
            </w:r>
          </w:p>
        </w:tc>
        <w:tc>
          <w:tcPr>
            <w:tcW w:w="2620" w:type="dxa"/>
            <w:noWrap w:val="0"/>
            <w:vAlign w:val="top"/>
          </w:tcPr>
          <w:p w14:paraId="7A668174">
            <w:pPr>
              <w:pStyle w:val="65"/>
              <w:spacing w:before="83" w:line="220" w:lineRule="auto"/>
              <w:ind w:left="1047"/>
              <w:rPr>
                <w:highlight w:val="none"/>
              </w:rPr>
            </w:pPr>
            <w:r>
              <w:rPr>
                <w:spacing w:val="-10"/>
                <w:highlight w:val="none"/>
              </w:rPr>
              <w:t>≥5</w:t>
            </w:r>
            <w:r>
              <w:rPr>
                <w:spacing w:val="-43"/>
                <w:highlight w:val="none"/>
              </w:rPr>
              <w:t xml:space="preserve"> </w:t>
            </w:r>
            <w:r>
              <w:rPr>
                <w:spacing w:val="-10"/>
                <w:highlight w:val="none"/>
              </w:rPr>
              <w:t>年</w:t>
            </w:r>
          </w:p>
        </w:tc>
      </w:tr>
      <w:tr w14:paraId="78A10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14" w:type="dxa"/>
            <w:vMerge w:val="continue"/>
            <w:tcBorders>
              <w:top w:val="nil"/>
            </w:tcBorders>
            <w:noWrap w:val="0"/>
            <w:vAlign w:val="top"/>
          </w:tcPr>
          <w:p w14:paraId="16779EBE">
            <w:pPr>
              <w:rPr>
                <w:rFonts w:ascii="Arial"/>
                <w:sz w:val="21"/>
                <w:highlight w:val="none"/>
              </w:rPr>
            </w:pPr>
          </w:p>
        </w:tc>
        <w:tc>
          <w:tcPr>
            <w:tcW w:w="1378" w:type="dxa"/>
            <w:gridSpan w:val="2"/>
            <w:noWrap w:val="0"/>
            <w:vAlign w:val="top"/>
          </w:tcPr>
          <w:p w14:paraId="26827DCC">
            <w:pPr>
              <w:pStyle w:val="65"/>
              <w:spacing w:before="219" w:line="220" w:lineRule="auto"/>
              <w:ind w:left="166"/>
              <w:rPr>
                <w:highlight w:val="none"/>
              </w:rPr>
            </w:pPr>
            <w:r>
              <w:rPr>
                <w:spacing w:val="-2"/>
                <w:highlight w:val="none"/>
              </w:rPr>
              <w:t>满意度指标</w:t>
            </w:r>
          </w:p>
        </w:tc>
        <w:tc>
          <w:tcPr>
            <w:tcW w:w="1530" w:type="dxa"/>
            <w:noWrap w:val="0"/>
            <w:vAlign w:val="top"/>
          </w:tcPr>
          <w:p w14:paraId="758D5EF3">
            <w:pPr>
              <w:pStyle w:val="65"/>
              <w:spacing w:before="82" w:line="230" w:lineRule="auto"/>
              <w:ind w:left="111" w:right="105"/>
              <w:rPr>
                <w:highlight w:val="none"/>
              </w:rPr>
            </w:pPr>
            <w:r>
              <w:rPr>
                <w:spacing w:val="7"/>
                <w:highlight w:val="none"/>
              </w:rPr>
              <w:t>服务对象满意</w:t>
            </w:r>
            <w:r>
              <w:rPr>
                <w:spacing w:val="3"/>
                <w:highlight w:val="none"/>
              </w:rPr>
              <w:t xml:space="preserve"> </w:t>
            </w:r>
            <w:r>
              <w:rPr>
                <w:spacing w:val="-2"/>
                <w:highlight w:val="none"/>
              </w:rPr>
              <w:t>度指标</w:t>
            </w:r>
          </w:p>
        </w:tc>
        <w:tc>
          <w:tcPr>
            <w:tcW w:w="2808" w:type="dxa"/>
            <w:gridSpan w:val="3"/>
            <w:noWrap w:val="0"/>
            <w:vAlign w:val="top"/>
          </w:tcPr>
          <w:p w14:paraId="73115C2A">
            <w:pPr>
              <w:pStyle w:val="65"/>
              <w:spacing w:before="219" w:line="219" w:lineRule="auto"/>
              <w:ind w:left="114"/>
              <w:rPr>
                <w:highlight w:val="none"/>
              </w:rPr>
            </w:pPr>
            <w:r>
              <w:rPr>
                <w:spacing w:val="-2"/>
                <w:highlight w:val="none"/>
              </w:rPr>
              <w:t>社会公众满意度</w:t>
            </w:r>
          </w:p>
        </w:tc>
        <w:tc>
          <w:tcPr>
            <w:tcW w:w="2620" w:type="dxa"/>
            <w:noWrap w:val="0"/>
            <w:vAlign w:val="top"/>
          </w:tcPr>
          <w:p w14:paraId="7AC16C5F">
            <w:pPr>
              <w:pStyle w:val="65"/>
              <w:spacing w:before="219" w:line="238" w:lineRule="auto"/>
              <w:ind w:left="1073"/>
              <w:rPr>
                <w:highlight w:val="none"/>
              </w:rPr>
            </w:pPr>
            <w:r>
              <w:rPr>
                <w:spacing w:val="-6"/>
                <w:highlight w:val="none"/>
              </w:rPr>
              <w:t>≥90%</w:t>
            </w:r>
          </w:p>
        </w:tc>
      </w:tr>
    </w:tbl>
    <w:p w14:paraId="120E19CB">
      <w:pPr>
        <w:spacing w:before="78" w:line="217" w:lineRule="auto"/>
        <w:ind w:left="632"/>
        <w:rPr>
          <w:rFonts w:ascii="黑体" w:hAnsi="黑体" w:eastAsia="黑体" w:cs="黑体"/>
          <w:b/>
          <w:bCs/>
          <w:spacing w:val="-2"/>
          <w:sz w:val="24"/>
          <w:szCs w:val="24"/>
          <w:highlight w:val="none"/>
        </w:rPr>
      </w:pPr>
    </w:p>
    <w:p w14:paraId="6407061D">
      <w:pPr>
        <w:spacing w:before="78" w:line="217" w:lineRule="auto"/>
        <w:ind w:left="632"/>
        <w:rPr>
          <w:rFonts w:ascii="黑体" w:hAnsi="黑体" w:eastAsia="黑体" w:cs="黑体"/>
          <w:b/>
          <w:bCs/>
          <w:spacing w:val="-2"/>
          <w:sz w:val="24"/>
          <w:szCs w:val="24"/>
          <w:highlight w:val="none"/>
        </w:rPr>
      </w:pPr>
    </w:p>
    <w:p w14:paraId="512A753B">
      <w:pPr>
        <w:spacing w:before="78" w:line="217" w:lineRule="auto"/>
        <w:ind w:left="632"/>
        <w:rPr>
          <w:rFonts w:ascii="黑体" w:hAnsi="黑体" w:eastAsia="黑体" w:cs="黑体"/>
          <w:sz w:val="24"/>
          <w:szCs w:val="24"/>
          <w:highlight w:val="none"/>
        </w:rPr>
      </w:pPr>
      <w:r>
        <w:rPr>
          <w:rFonts w:ascii="黑体" w:hAnsi="黑体" w:eastAsia="黑体" w:cs="黑体"/>
          <w:b/>
          <w:bCs/>
          <w:spacing w:val="-2"/>
          <w:sz w:val="24"/>
          <w:szCs w:val="24"/>
          <w:highlight w:val="none"/>
        </w:rPr>
        <w:t>辽宁省营口市海洋生态保护修复工程项目初</w:t>
      </w:r>
      <w:r>
        <w:rPr>
          <w:rFonts w:ascii="黑体" w:hAnsi="黑体" w:eastAsia="黑体" w:cs="黑体"/>
          <w:b/>
          <w:bCs/>
          <w:spacing w:val="-3"/>
          <w:sz w:val="24"/>
          <w:szCs w:val="24"/>
          <w:highlight w:val="none"/>
        </w:rPr>
        <w:t>设绩效目标分年度表（2026</w:t>
      </w:r>
      <w:r>
        <w:rPr>
          <w:rFonts w:ascii="黑体" w:hAnsi="黑体" w:eastAsia="黑体" w:cs="黑体"/>
          <w:spacing w:val="-44"/>
          <w:sz w:val="24"/>
          <w:szCs w:val="24"/>
          <w:highlight w:val="none"/>
        </w:rPr>
        <w:t xml:space="preserve"> </w:t>
      </w:r>
      <w:r>
        <w:rPr>
          <w:rFonts w:ascii="黑体" w:hAnsi="黑体" w:eastAsia="黑体" w:cs="黑体"/>
          <w:b/>
          <w:bCs/>
          <w:spacing w:val="-3"/>
          <w:sz w:val="24"/>
          <w:szCs w:val="24"/>
          <w:highlight w:val="none"/>
        </w:rPr>
        <w:t>年）</w:t>
      </w:r>
    </w:p>
    <w:tbl>
      <w:tblPr>
        <w:tblStyle w:val="66"/>
        <w:tblW w:w="92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909"/>
        <w:gridCol w:w="5"/>
        <w:gridCol w:w="1137"/>
        <w:gridCol w:w="235"/>
        <w:gridCol w:w="5"/>
        <w:gridCol w:w="1525"/>
        <w:gridCol w:w="5"/>
        <w:gridCol w:w="254"/>
        <w:gridCol w:w="2065"/>
        <w:gridCol w:w="5"/>
        <w:gridCol w:w="3098"/>
        <w:gridCol w:w="5"/>
      </w:tblGrid>
      <w:tr w14:paraId="5548C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8" w:hRule="atLeast"/>
        </w:trPr>
        <w:tc>
          <w:tcPr>
            <w:tcW w:w="2056" w:type="dxa"/>
            <w:gridSpan w:val="4"/>
            <w:noWrap w:val="0"/>
            <w:vAlign w:val="top"/>
          </w:tcPr>
          <w:p w14:paraId="3B46EBD2">
            <w:pPr>
              <w:pStyle w:val="65"/>
              <w:spacing w:before="83" w:line="220" w:lineRule="auto"/>
              <w:ind w:left="119"/>
              <w:rPr>
                <w:highlight w:val="none"/>
              </w:rPr>
            </w:pPr>
            <w:r>
              <w:rPr>
                <w:spacing w:val="-3"/>
                <w:highlight w:val="none"/>
              </w:rPr>
              <w:t>项目名称</w:t>
            </w:r>
          </w:p>
        </w:tc>
        <w:tc>
          <w:tcPr>
            <w:tcW w:w="7192" w:type="dxa"/>
            <w:gridSpan w:val="8"/>
            <w:noWrap w:val="0"/>
            <w:vAlign w:val="top"/>
          </w:tcPr>
          <w:p w14:paraId="14721779">
            <w:pPr>
              <w:pStyle w:val="65"/>
              <w:spacing w:before="82" w:line="220" w:lineRule="auto"/>
              <w:ind w:left="1714"/>
              <w:rPr>
                <w:highlight w:val="none"/>
              </w:rPr>
            </w:pPr>
            <w:r>
              <w:rPr>
                <w:spacing w:val="-1"/>
                <w:highlight w:val="none"/>
              </w:rPr>
              <w:t>辽宁省营口市海洋生态保护修复工程项目</w:t>
            </w:r>
          </w:p>
        </w:tc>
      </w:tr>
      <w:tr w14:paraId="4C00C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2" w:hRule="atLeast"/>
        </w:trPr>
        <w:tc>
          <w:tcPr>
            <w:tcW w:w="2056" w:type="dxa"/>
            <w:gridSpan w:val="4"/>
            <w:noWrap w:val="0"/>
            <w:vAlign w:val="top"/>
          </w:tcPr>
          <w:p w14:paraId="12E0B520">
            <w:pPr>
              <w:pStyle w:val="65"/>
              <w:spacing w:before="78" w:line="220" w:lineRule="auto"/>
              <w:ind w:left="115"/>
              <w:rPr>
                <w:highlight w:val="none"/>
              </w:rPr>
            </w:pPr>
            <w:r>
              <w:rPr>
                <w:spacing w:val="-2"/>
                <w:highlight w:val="none"/>
              </w:rPr>
              <w:t>所属专项</w:t>
            </w:r>
          </w:p>
        </w:tc>
        <w:tc>
          <w:tcPr>
            <w:tcW w:w="7192" w:type="dxa"/>
            <w:gridSpan w:val="8"/>
            <w:noWrap w:val="0"/>
            <w:vAlign w:val="top"/>
          </w:tcPr>
          <w:p w14:paraId="33C08F0F">
            <w:pPr>
              <w:pStyle w:val="65"/>
              <w:spacing w:before="77" w:line="220" w:lineRule="auto"/>
              <w:ind w:left="2548"/>
              <w:rPr>
                <w:highlight w:val="none"/>
              </w:rPr>
            </w:pPr>
            <w:r>
              <w:rPr>
                <w:spacing w:val="-1"/>
                <w:highlight w:val="none"/>
              </w:rPr>
              <w:t>海洋生态保护修复资金</w:t>
            </w:r>
          </w:p>
        </w:tc>
      </w:tr>
      <w:tr w14:paraId="6A14A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2056" w:type="dxa"/>
            <w:gridSpan w:val="4"/>
            <w:noWrap w:val="0"/>
            <w:vAlign w:val="top"/>
          </w:tcPr>
          <w:p w14:paraId="02389802">
            <w:pPr>
              <w:pStyle w:val="65"/>
              <w:spacing w:before="78" w:line="220" w:lineRule="auto"/>
              <w:ind w:left="135"/>
              <w:rPr>
                <w:highlight w:val="none"/>
              </w:rPr>
            </w:pPr>
            <w:r>
              <w:rPr>
                <w:spacing w:val="-4"/>
                <w:highlight w:val="none"/>
              </w:rPr>
              <w:t>中央主管部门</w:t>
            </w:r>
          </w:p>
        </w:tc>
        <w:tc>
          <w:tcPr>
            <w:tcW w:w="2024" w:type="dxa"/>
            <w:gridSpan w:val="5"/>
            <w:noWrap w:val="0"/>
            <w:vAlign w:val="top"/>
          </w:tcPr>
          <w:p w14:paraId="50E45B94">
            <w:pPr>
              <w:pStyle w:val="65"/>
              <w:spacing w:before="78" w:line="220" w:lineRule="auto"/>
              <w:ind w:left="525"/>
              <w:rPr>
                <w:highlight w:val="none"/>
              </w:rPr>
            </w:pPr>
            <w:r>
              <w:rPr>
                <w:spacing w:val="-7"/>
                <w:highlight w:val="none"/>
              </w:rPr>
              <w:t>自然资源部</w:t>
            </w:r>
          </w:p>
        </w:tc>
        <w:tc>
          <w:tcPr>
            <w:tcW w:w="2065" w:type="dxa"/>
            <w:noWrap w:val="0"/>
            <w:vAlign w:val="top"/>
          </w:tcPr>
          <w:p w14:paraId="7B8966C9">
            <w:pPr>
              <w:pStyle w:val="65"/>
              <w:spacing w:before="78" w:line="220" w:lineRule="auto"/>
              <w:ind w:left="410"/>
              <w:rPr>
                <w:highlight w:val="none"/>
              </w:rPr>
            </w:pPr>
            <w:r>
              <w:rPr>
                <w:spacing w:val="-2"/>
                <w:highlight w:val="none"/>
              </w:rPr>
              <w:t>省级财政部门</w:t>
            </w:r>
          </w:p>
        </w:tc>
        <w:tc>
          <w:tcPr>
            <w:tcW w:w="3103" w:type="dxa"/>
            <w:gridSpan w:val="2"/>
            <w:noWrap w:val="0"/>
            <w:vAlign w:val="top"/>
          </w:tcPr>
          <w:p w14:paraId="449FC953">
            <w:pPr>
              <w:pStyle w:val="65"/>
              <w:spacing w:before="78" w:line="220" w:lineRule="auto"/>
              <w:ind w:left="931"/>
              <w:rPr>
                <w:highlight w:val="none"/>
              </w:rPr>
            </w:pPr>
            <w:r>
              <w:rPr>
                <w:spacing w:val="-2"/>
                <w:highlight w:val="none"/>
              </w:rPr>
              <w:t>辽宁省财政厅</w:t>
            </w:r>
          </w:p>
        </w:tc>
      </w:tr>
      <w:tr w14:paraId="5E2A6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2056" w:type="dxa"/>
            <w:gridSpan w:val="4"/>
            <w:noWrap w:val="0"/>
            <w:vAlign w:val="top"/>
          </w:tcPr>
          <w:p w14:paraId="0F127EBE">
            <w:pPr>
              <w:pStyle w:val="65"/>
              <w:spacing w:before="78" w:line="220" w:lineRule="auto"/>
              <w:ind w:left="119"/>
              <w:rPr>
                <w:highlight w:val="none"/>
              </w:rPr>
            </w:pPr>
            <w:r>
              <w:rPr>
                <w:spacing w:val="-2"/>
                <w:highlight w:val="none"/>
              </w:rPr>
              <w:t>省级主管部门</w:t>
            </w:r>
          </w:p>
        </w:tc>
        <w:tc>
          <w:tcPr>
            <w:tcW w:w="2024" w:type="dxa"/>
            <w:gridSpan w:val="5"/>
            <w:noWrap w:val="0"/>
            <w:vAlign w:val="top"/>
          </w:tcPr>
          <w:p w14:paraId="6B1DB1DE">
            <w:pPr>
              <w:pStyle w:val="65"/>
              <w:spacing w:before="78" w:line="220" w:lineRule="auto"/>
              <w:ind w:left="180"/>
              <w:rPr>
                <w:highlight w:val="none"/>
              </w:rPr>
            </w:pPr>
            <w:r>
              <w:rPr>
                <w:spacing w:val="-2"/>
                <w:highlight w:val="none"/>
              </w:rPr>
              <w:t>辽宁省自然资源厅</w:t>
            </w:r>
          </w:p>
        </w:tc>
        <w:tc>
          <w:tcPr>
            <w:tcW w:w="2065" w:type="dxa"/>
            <w:noWrap w:val="0"/>
            <w:vAlign w:val="top"/>
          </w:tcPr>
          <w:p w14:paraId="5E72A41C">
            <w:pPr>
              <w:pStyle w:val="65"/>
              <w:spacing w:before="79" w:line="220" w:lineRule="auto"/>
              <w:ind w:left="411"/>
              <w:rPr>
                <w:highlight w:val="none"/>
              </w:rPr>
            </w:pPr>
            <w:r>
              <w:rPr>
                <w:spacing w:val="-2"/>
                <w:highlight w:val="none"/>
              </w:rPr>
              <w:t>具体实施单位</w:t>
            </w:r>
          </w:p>
        </w:tc>
        <w:tc>
          <w:tcPr>
            <w:tcW w:w="3103" w:type="dxa"/>
            <w:gridSpan w:val="2"/>
            <w:noWrap w:val="0"/>
            <w:vAlign w:val="top"/>
          </w:tcPr>
          <w:p w14:paraId="576C7C61">
            <w:pPr>
              <w:pStyle w:val="65"/>
              <w:spacing w:before="79" w:line="219" w:lineRule="auto"/>
              <w:ind w:left="828"/>
              <w:rPr>
                <w:highlight w:val="none"/>
              </w:rPr>
            </w:pPr>
            <w:r>
              <w:rPr>
                <w:spacing w:val="-2"/>
                <w:highlight w:val="none"/>
              </w:rPr>
              <w:t>营口市人民政府</w:t>
            </w:r>
          </w:p>
        </w:tc>
      </w:tr>
      <w:tr w14:paraId="45031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4" w:hRule="atLeast"/>
        </w:trPr>
        <w:tc>
          <w:tcPr>
            <w:tcW w:w="2056" w:type="dxa"/>
            <w:gridSpan w:val="4"/>
            <w:vMerge w:val="restart"/>
            <w:tcBorders>
              <w:bottom w:val="nil"/>
            </w:tcBorders>
            <w:noWrap w:val="0"/>
            <w:vAlign w:val="top"/>
          </w:tcPr>
          <w:p w14:paraId="5FDBE9DE">
            <w:pPr>
              <w:pStyle w:val="65"/>
              <w:spacing w:before="298" w:line="268" w:lineRule="auto"/>
              <w:ind w:left="619" w:right="605" w:firstLine="3"/>
              <w:rPr>
                <w:highlight w:val="none"/>
              </w:rPr>
            </w:pPr>
            <w:r>
              <w:rPr>
                <w:spacing w:val="-5"/>
                <w:highlight w:val="none"/>
              </w:rPr>
              <w:t>资金情况</w:t>
            </w:r>
            <w:r>
              <w:rPr>
                <w:spacing w:val="1"/>
                <w:highlight w:val="none"/>
              </w:rPr>
              <w:t xml:space="preserve"> </w:t>
            </w:r>
            <w:r>
              <w:rPr>
                <w:spacing w:val="-6"/>
                <w:highlight w:val="none"/>
              </w:rPr>
              <w:t>（万元）</w:t>
            </w:r>
          </w:p>
        </w:tc>
        <w:tc>
          <w:tcPr>
            <w:tcW w:w="2024" w:type="dxa"/>
            <w:gridSpan w:val="5"/>
            <w:noWrap w:val="0"/>
            <w:vAlign w:val="top"/>
          </w:tcPr>
          <w:p w14:paraId="5EE8F718">
            <w:pPr>
              <w:pStyle w:val="65"/>
              <w:spacing w:before="80" w:line="220" w:lineRule="auto"/>
              <w:ind w:left="115"/>
              <w:rPr>
                <w:highlight w:val="none"/>
              </w:rPr>
            </w:pPr>
            <w:r>
              <w:rPr>
                <w:spacing w:val="-2"/>
                <w:highlight w:val="none"/>
              </w:rPr>
              <w:t>项目总投资</w:t>
            </w:r>
          </w:p>
        </w:tc>
        <w:tc>
          <w:tcPr>
            <w:tcW w:w="5168" w:type="dxa"/>
            <w:gridSpan w:val="3"/>
            <w:noWrap w:val="0"/>
            <w:vAlign w:val="top"/>
          </w:tcPr>
          <w:p w14:paraId="708A49C5">
            <w:pPr>
              <w:pStyle w:val="65"/>
              <w:spacing w:before="112" w:line="184" w:lineRule="auto"/>
              <w:ind w:left="2183"/>
              <w:rPr>
                <w:highlight w:val="none"/>
              </w:rPr>
            </w:pPr>
            <w:r>
              <w:rPr>
                <w:spacing w:val="-3"/>
                <w:highlight w:val="none"/>
              </w:rPr>
              <w:t>19202.23</w:t>
            </w:r>
          </w:p>
        </w:tc>
      </w:tr>
      <w:tr w14:paraId="13BC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2056" w:type="dxa"/>
            <w:gridSpan w:val="4"/>
            <w:vMerge w:val="continue"/>
            <w:tcBorders>
              <w:top w:val="nil"/>
              <w:bottom w:val="nil"/>
            </w:tcBorders>
            <w:noWrap w:val="0"/>
            <w:vAlign w:val="top"/>
          </w:tcPr>
          <w:p w14:paraId="7CA2BACE">
            <w:pPr>
              <w:rPr>
                <w:rFonts w:ascii="Arial"/>
                <w:sz w:val="21"/>
                <w:highlight w:val="none"/>
              </w:rPr>
            </w:pPr>
          </w:p>
        </w:tc>
        <w:tc>
          <w:tcPr>
            <w:tcW w:w="2024" w:type="dxa"/>
            <w:gridSpan w:val="5"/>
            <w:noWrap w:val="0"/>
            <w:vAlign w:val="top"/>
          </w:tcPr>
          <w:p w14:paraId="5697E576">
            <w:pPr>
              <w:pStyle w:val="65"/>
              <w:spacing w:before="79" w:line="220" w:lineRule="auto"/>
              <w:ind w:left="112"/>
              <w:rPr>
                <w:highlight w:val="none"/>
              </w:rPr>
            </w:pPr>
            <w:r>
              <w:rPr>
                <w:spacing w:val="-11"/>
                <w:highlight w:val="none"/>
              </w:rPr>
              <w:t>其中：中央财政资金</w:t>
            </w:r>
          </w:p>
        </w:tc>
        <w:tc>
          <w:tcPr>
            <w:tcW w:w="5168" w:type="dxa"/>
            <w:gridSpan w:val="3"/>
            <w:noWrap w:val="0"/>
            <w:vAlign w:val="top"/>
          </w:tcPr>
          <w:p w14:paraId="3A7DB95D">
            <w:pPr>
              <w:pStyle w:val="65"/>
              <w:spacing w:before="112" w:line="183" w:lineRule="auto"/>
              <w:ind w:left="2221"/>
              <w:rPr>
                <w:highlight w:val="none"/>
              </w:rPr>
            </w:pPr>
            <w:r>
              <w:rPr>
                <w:spacing w:val="-2"/>
                <w:highlight w:val="none"/>
              </w:rPr>
              <w:t>8278.68</w:t>
            </w:r>
          </w:p>
        </w:tc>
      </w:tr>
      <w:tr w14:paraId="797CA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2056" w:type="dxa"/>
            <w:gridSpan w:val="4"/>
            <w:vMerge w:val="continue"/>
            <w:tcBorders>
              <w:top w:val="nil"/>
            </w:tcBorders>
            <w:noWrap w:val="0"/>
            <w:vAlign w:val="top"/>
          </w:tcPr>
          <w:p w14:paraId="4F408631">
            <w:pPr>
              <w:rPr>
                <w:rFonts w:ascii="Arial"/>
                <w:sz w:val="21"/>
                <w:highlight w:val="none"/>
              </w:rPr>
            </w:pPr>
          </w:p>
        </w:tc>
        <w:tc>
          <w:tcPr>
            <w:tcW w:w="2024" w:type="dxa"/>
            <w:gridSpan w:val="5"/>
            <w:noWrap w:val="0"/>
            <w:vAlign w:val="top"/>
          </w:tcPr>
          <w:p w14:paraId="54A4117E">
            <w:pPr>
              <w:pStyle w:val="65"/>
              <w:spacing w:before="79" w:line="221" w:lineRule="auto"/>
              <w:ind w:left="111"/>
              <w:rPr>
                <w:highlight w:val="none"/>
              </w:rPr>
            </w:pPr>
            <w:r>
              <w:rPr>
                <w:spacing w:val="-2"/>
                <w:highlight w:val="none"/>
              </w:rPr>
              <w:t>地方资金</w:t>
            </w:r>
          </w:p>
        </w:tc>
        <w:tc>
          <w:tcPr>
            <w:tcW w:w="5168" w:type="dxa"/>
            <w:gridSpan w:val="3"/>
            <w:noWrap w:val="0"/>
            <w:vAlign w:val="top"/>
          </w:tcPr>
          <w:p w14:paraId="1932F686">
            <w:pPr>
              <w:pStyle w:val="65"/>
              <w:spacing w:before="111" w:line="184" w:lineRule="auto"/>
              <w:ind w:left="2183"/>
              <w:rPr>
                <w:highlight w:val="none"/>
              </w:rPr>
            </w:pPr>
            <w:r>
              <w:rPr>
                <w:spacing w:val="-3"/>
                <w:highlight w:val="none"/>
              </w:rPr>
              <w:t>10923.55</w:t>
            </w:r>
          </w:p>
        </w:tc>
      </w:tr>
      <w:tr w14:paraId="7E418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2279" w:hRule="atLeast"/>
        </w:trPr>
        <w:tc>
          <w:tcPr>
            <w:tcW w:w="914" w:type="dxa"/>
            <w:gridSpan w:val="2"/>
            <w:noWrap w:val="0"/>
            <w:vAlign w:val="top"/>
          </w:tcPr>
          <w:p w14:paraId="13BDB8AA">
            <w:pPr>
              <w:spacing w:line="274" w:lineRule="auto"/>
              <w:rPr>
                <w:rFonts w:ascii="Arial"/>
                <w:sz w:val="21"/>
                <w:highlight w:val="none"/>
              </w:rPr>
            </w:pPr>
          </w:p>
          <w:p w14:paraId="16C17D22">
            <w:pPr>
              <w:spacing w:line="274" w:lineRule="auto"/>
              <w:rPr>
                <w:rFonts w:ascii="Arial"/>
                <w:sz w:val="21"/>
                <w:highlight w:val="none"/>
              </w:rPr>
            </w:pPr>
          </w:p>
          <w:p w14:paraId="78D08DAD">
            <w:pPr>
              <w:spacing w:line="275" w:lineRule="auto"/>
              <w:rPr>
                <w:rFonts w:ascii="Arial"/>
                <w:sz w:val="21"/>
                <w:highlight w:val="none"/>
              </w:rPr>
            </w:pPr>
          </w:p>
          <w:p w14:paraId="7B40E73D">
            <w:pPr>
              <w:pStyle w:val="65"/>
              <w:spacing w:before="68" w:line="230" w:lineRule="auto"/>
              <w:ind w:left="357" w:right="140" w:hanging="205"/>
              <w:rPr>
                <w:highlight w:val="none"/>
              </w:rPr>
            </w:pPr>
            <w:r>
              <w:rPr>
                <w:spacing w:val="-5"/>
                <w:highlight w:val="none"/>
              </w:rPr>
              <w:t>总体目</w:t>
            </w:r>
            <w:r>
              <w:rPr>
                <w:highlight w:val="none"/>
              </w:rPr>
              <w:t xml:space="preserve"> 标</w:t>
            </w:r>
          </w:p>
        </w:tc>
        <w:tc>
          <w:tcPr>
            <w:tcW w:w="8334" w:type="dxa"/>
            <w:gridSpan w:val="10"/>
            <w:noWrap w:val="0"/>
            <w:vAlign w:val="top"/>
          </w:tcPr>
          <w:p w14:paraId="0C13D37D">
            <w:pPr>
              <w:pStyle w:val="65"/>
              <w:spacing w:before="78" w:line="237" w:lineRule="auto"/>
              <w:ind w:left="110" w:right="108" w:firstLine="479"/>
              <w:jc w:val="both"/>
              <w:rPr>
                <w:highlight w:val="none"/>
              </w:rPr>
            </w:pPr>
            <w:r>
              <w:rPr>
                <w:spacing w:val="-3"/>
                <w:highlight w:val="none"/>
              </w:rPr>
              <w:t>修复区位于营口市海岸带区域，完成修复总面积</w:t>
            </w:r>
            <w:r>
              <w:rPr>
                <w:spacing w:val="-19"/>
                <w:highlight w:val="none"/>
              </w:rPr>
              <w:t xml:space="preserve"> </w:t>
            </w:r>
            <w:r>
              <w:rPr>
                <w:spacing w:val="-3"/>
                <w:highlight w:val="none"/>
              </w:rPr>
              <w:t>1217.29ha，其中整治修复岸线长度</w:t>
            </w:r>
            <w:r>
              <w:rPr>
                <w:highlight w:val="none"/>
              </w:rPr>
              <w:t xml:space="preserve"> </w:t>
            </w:r>
            <w:r>
              <w:rPr>
                <w:spacing w:val="-2"/>
                <w:highlight w:val="none"/>
              </w:rPr>
              <w:t>1296.00m，滨海湿地整治修复面积</w:t>
            </w:r>
            <w:r>
              <w:rPr>
                <w:spacing w:val="-28"/>
                <w:highlight w:val="none"/>
              </w:rPr>
              <w:t xml:space="preserve"> </w:t>
            </w:r>
            <w:r>
              <w:rPr>
                <w:spacing w:val="-2"/>
                <w:highlight w:val="none"/>
              </w:rPr>
              <w:t>1179.12ha。通过保育修复芦</w:t>
            </w:r>
            <w:r>
              <w:rPr>
                <w:spacing w:val="-3"/>
                <w:highlight w:val="none"/>
              </w:rPr>
              <w:t>苇/碱蓬面积</w:t>
            </w:r>
            <w:r>
              <w:rPr>
                <w:spacing w:val="-42"/>
                <w:highlight w:val="none"/>
              </w:rPr>
              <w:t xml:space="preserve"> </w:t>
            </w:r>
            <w:r>
              <w:rPr>
                <w:spacing w:val="-3"/>
                <w:highlight w:val="none"/>
              </w:rPr>
              <w:t>25.93ha、新</w:t>
            </w:r>
            <w:r>
              <w:rPr>
                <w:highlight w:val="none"/>
              </w:rPr>
              <w:t xml:space="preserve"> </w:t>
            </w:r>
            <w:r>
              <w:rPr>
                <w:spacing w:val="-1"/>
                <w:highlight w:val="none"/>
              </w:rPr>
              <w:t>种植芦苇/碱蓬面积 65.89ha、修复底栖生</w:t>
            </w:r>
            <w:r>
              <w:rPr>
                <w:spacing w:val="-2"/>
                <w:highlight w:val="none"/>
              </w:rPr>
              <w:t>物面积 61.4ha、浒苔防治面积 1006.83ha，修</w:t>
            </w:r>
            <w:r>
              <w:rPr>
                <w:highlight w:val="none"/>
              </w:rPr>
              <w:t xml:space="preserve"> </w:t>
            </w:r>
            <w:r>
              <w:rPr>
                <w:spacing w:val="-1"/>
                <w:highlight w:val="none"/>
              </w:rPr>
              <w:t>复海岸湿地面积</w:t>
            </w:r>
            <w:r>
              <w:rPr>
                <w:spacing w:val="-23"/>
                <w:highlight w:val="none"/>
              </w:rPr>
              <w:t xml:space="preserve"> </w:t>
            </w:r>
            <w:r>
              <w:rPr>
                <w:spacing w:val="-1"/>
                <w:highlight w:val="none"/>
              </w:rPr>
              <w:t>38.17ha，以及砂质岸线整治修复长度 1296</w:t>
            </w:r>
            <w:r>
              <w:rPr>
                <w:spacing w:val="-2"/>
                <w:highlight w:val="none"/>
              </w:rPr>
              <w:t>m，解决该区域内滨海湿地生</w:t>
            </w:r>
            <w:r>
              <w:rPr>
                <w:highlight w:val="none"/>
              </w:rPr>
              <w:t xml:space="preserve"> </w:t>
            </w:r>
            <w:r>
              <w:rPr>
                <w:spacing w:val="-2"/>
                <w:highlight w:val="none"/>
              </w:rPr>
              <w:t>境破碎化、浒苔灾害频发、陆海生态连通性受阻、砂质海岸侵蚀严重、海岸带防</w:t>
            </w:r>
            <w:r>
              <w:rPr>
                <w:spacing w:val="-3"/>
                <w:highlight w:val="none"/>
              </w:rPr>
              <w:t>灾减灾能</w:t>
            </w:r>
            <w:r>
              <w:rPr>
                <w:highlight w:val="none"/>
              </w:rPr>
              <w:t xml:space="preserve"> </w:t>
            </w:r>
            <w:r>
              <w:rPr>
                <w:spacing w:val="-2"/>
                <w:highlight w:val="none"/>
              </w:rPr>
              <w:t>力不足等主要生态问题，使区域生态系统结构进一步优化，生态系统稳定性明显</w:t>
            </w:r>
            <w:r>
              <w:rPr>
                <w:spacing w:val="-3"/>
                <w:highlight w:val="none"/>
              </w:rPr>
              <w:t>加强，生</w:t>
            </w:r>
            <w:r>
              <w:rPr>
                <w:highlight w:val="none"/>
              </w:rPr>
              <w:t xml:space="preserve"> </w:t>
            </w:r>
            <w:r>
              <w:rPr>
                <w:spacing w:val="-2"/>
                <w:highlight w:val="none"/>
              </w:rPr>
              <w:t>态系统质量有效改善，生态系统功能显著提升，生物多样性明显增加，增强防御</w:t>
            </w:r>
            <w:r>
              <w:rPr>
                <w:spacing w:val="-3"/>
                <w:highlight w:val="none"/>
              </w:rPr>
              <w:t>自然灾害</w:t>
            </w:r>
            <w:r>
              <w:rPr>
                <w:highlight w:val="none"/>
              </w:rPr>
              <w:t xml:space="preserve"> </w:t>
            </w:r>
            <w:r>
              <w:rPr>
                <w:spacing w:val="-3"/>
                <w:highlight w:val="none"/>
              </w:rPr>
              <w:t>能力，促进区域生态与减灾协同增效。</w:t>
            </w:r>
          </w:p>
        </w:tc>
      </w:tr>
      <w:tr w14:paraId="6575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restart"/>
            <w:tcBorders>
              <w:bottom w:val="nil"/>
            </w:tcBorders>
            <w:noWrap w:val="0"/>
            <w:vAlign w:val="top"/>
          </w:tcPr>
          <w:p w14:paraId="25D36C9C">
            <w:pPr>
              <w:spacing w:line="252" w:lineRule="auto"/>
              <w:rPr>
                <w:rFonts w:ascii="Arial"/>
                <w:sz w:val="21"/>
                <w:highlight w:val="none"/>
              </w:rPr>
            </w:pPr>
          </w:p>
          <w:p w14:paraId="0AE17016">
            <w:pPr>
              <w:spacing w:line="252" w:lineRule="auto"/>
              <w:rPr>
                <w:rFonts w:ascii="Arial"/>
                <w:sz w:val="21"/>
                <w:highlight w:val="none"/>
              </w:rPr>
            </w:pPr>
          </w:p>
          <w:p w14:paraId="072009F5">
            <w:pPr>
              <w:spacing w:line="252" w:lineRule="auto"/>
              <w:rPr>
                <w:rFonts w:ascii="Arial"/>
                <w:sz w:val="21"/>
                <w:highlight w:val="none"/>
              </w:rPr>
            </w:pPr>
          </w:p>
          <w:p w14:paraId="422B2AB3">
            <w:pPr>
              <w:spacing w:line="252" w:lineRule="auto"/>
              <w:rPr>
                <w:rFonts w:ascii="Arial"/>
                <w:sz w:val="21"/>
                <w:highlight w:val="none"/>
              </w:rPr>
            </w:pPr>
          </w:p>
          <w:p w14:paraId="2F77ADE9">
            <w:pPr>
              <w:spacing w:line="252" w:lineRule="auto"/>
              <w:rPr>
                <w:rFonts w:ascii="Arial"/>
                <w:sz w:val="21"/>
                <w:highlight w:val="none"/>
              </w:rPr>
            </w:pPr>
          </w:p>
          <w:p w14:paraId="0BA442DD">
            <w:pPr>
              <w:spacing w:line="252" w:lineRule="auto"/>
              <w:rPr>
                <w:rFonts w:ascii="Arial"/>
                <w:sz w:val="21"/>
                <w:highlight w:val="none"/>
              </w:rPr>
            </w:pPr>
          </w:p>
          <w:p w14:paraId="335E146E">
            <w:pPr>
              <w:spacing w:line="252" w:lineRule="auto"/>
              <w:rPr>
                <w:rFonts w:ascii="Arial"/>
                <w:sz w:val="21"/>
                <w:highlight w:val="none"/>
              </w:rPr>
            </w:pPr>
          </w:p>
          <w:p w14:paraId="37FA21CC">
            <w:pPr>
              <w:spacing w:line="252" w:lineRule="auto"/>
              <w:rPr>
                <w:rFonts w:ascii="Arial"/>
                <w:sz w:val="21"/>
                <w:highlight w:val="none"/>
              </w:rPr>
            </w:pPr>
          </w:p>
          <w:p w14:paraId="3FFE9576">
            <w:pPr>
              <w:spacing w:line="252" w:lineRule="auto"/>
              <w:rPr>
                <w:rFonts w:ascii="Arial"/>
                <w:sz w:val="21"/>
                <w:highlight w:val="none"/>
              </w:rPr>
            </w:pPr>
          </w:p>
          <w:p w14:paraId="3E5A00EF">
            <w:pPr>
              <w:spacing w:line="253" w:lineRule="auto"/>
              <w:rPr>
                <w:rFonts w:ascii="Arial"/>
                <w:sz w:val="21"/>
                <w:highlight w:val="none"/>
              </w:rPr>
            </w:pPr>
          </w:p>
          <w:p w14:paraId="030875A6">
            <w:pPr>
              <w:spacing w:line="253" w:lineRule="auto"/>
              <w:rPr>
                <w:rFonts w:ascii="Arial"/>
                <w:sz w:val="21"/>
                <w:highlight w:val="none"/>
              </w:rPr>
            </w:pPr>
          </w:p>
          <w:p w14:paraId="41E0FD8A">
            <w:pPr>
              <w:spacing w:line="253" w:lineRule="auto"/>
              <w:rPr>
                <w:rFonts w:ascii="Arial"/>
                <w:sz w:val="21"/>
                <w:highlight w:val="none"/>
              </w:rPr>
            </w:pPr>
          </w:p>
          <w:p w14:paraId="45A104D0">
            <w:pPr>
              <w:spacing w:line="253" w:lineRule="auto"/>
              <w:rPr>
                <w:rFonts w:ascii="Arial"/>
                <w:sz w:val="21"/>
                <w:highlight w:val="none"/>
              </w:rPr>
            </w:pPr>
          </w:p>
          <w:p w14:paraId="3C8D027F">
            <w:pPr>
              <w:spacing w:line="253" w:lineRule="auto"/>
              <w:rPr>
                <w:rFonts w:ascii="Arial"/>
                <w:sz w:val="21"/>
                <w:highlight w:val="none"/>
              </w:rPr>
            </w:pPr>
          </w:p>
          <w:p w14:paraId="2296B746">
            <w:pPr>
              <w:pStyle w:val="65"/>
              <w:spacing w:before="68" w:line="229" w:lineRule="auto"/>
              <w:ind w:left="357" w:right="140" w:hanging="207"/>
              <w:rPr>
                <w:highlight w:val="none"/>
              </w:rPr>
            </w:pPr>
            <w:r>
              <w:rPr>
                <w:spacing w:val="-4"/>
                <w:highlight w:val="none"/>
              </w:rPr>
              <w:t>绩效指</w:t>
            </w:r>
            <w:r>
              <w:rPr>
                <w:highlight w:val="none"/>
              </w:rPr>
              <w:t xml:space="preserve"> 标</w:t>
            </w:r>
          </w:p>
        </w:tc>
        <w:tc>
          <w:tcPr>
            <w:tcW w:w="1377" w:type="dxa"/>
            <w:gridSpan w:val="3"/>
            <w:noWrap w:val="0"/>
            <w:vAlign w:val="top"/>
          </w:tcPr>
          <w:p w14:paraId="14607152">
            <w:pPr>
              <w:pStyle w:val="65"/>
              <w:spacing w:before="81" w:line="220" w:lineRule="auto"/>
              <w:ind w:left="274"/>
              <w:rPr>
                <w:highlight w:val="none"/>
              </w:rPr>
            </w:pPr>
            <w:r>
              <w:rPr>
                <w:spacing w:val="-3"/>
                <w:highlight w:val="none"/>
              </w:rPr>
              <w:t>一级指标</w:t>
            </w:r>
          </w:p>
        </w:tc>
        <w:tc>
          <w:tcPr>
            <w:tcW w:w="1530" w:type="dxa"/>
            <w:gridSpan w:val="2"/>
            <w:noWrap w:val="0"/>
            <w:vAlign w:val="top"/>
          </w:tcPr>
          <w:p w14:paraId="74610C25">
            <w:pPr>
              <w:pStyle w:val="65"/>
              <w:spacing w:before="81" w:line="220" w:lineRule="auto"/>
              <w:ind w:left="353"/>
              <w:rPr>
                <w:highlight w:val="none"/>
              </w:rPr>
            </w:pPr>
            <w:r>
              <w:rPr>
                <w:spacing w:val="-3"/>
                <w:highlight w:val="none"/>
              </w:rPr>
              <w:t>二级指标</w:t>
            </w:r>
          </w:p>
        </w:tc>
        <w:tc>
          <w:tcPr>
            <w:tcW w:w="2324" w:type="dxa"/>
            <w:gridSpan w:val="3"/>
            <w:noWrap w:val="0"/>
            <w:vAlign w:val="top"/>
          </w:tcPr>
          <w:p w14:paraId="6E06AB0E">
            <w:pPr>
              <w:pStyle w:val="65"/>
              <w:spacing w:before="81" w:line="220" w:lineRule="auto"/>
              <w:ind w:left="748"/>
              <w:rPr>
                <w:highlight w:val="none"/>
              </w:rPr>
            </w:pPr>
            <w:r>
              <w:rPr>
                <w:spacing w:val="-2"/>
                <w:highlight w:val="none"/>
              </w:rPr>
              <w:t>三级指标</w:t>
            </w:r>
          </w:p>
        </w:tc>
        <w:tc>
          <w:tcPr>
            <w:tcW w:w="3103" w:type="dxa"/>
            <w:gridSpan w:val="2"/>
            <w:noWrap w:val="0"/>
            <w:vAlign w:val="top"/>
          </w:tcPr>
          <w:p w14:paraId="03343CFF">
            <w:pPr>
              <w:pStyle w:val="65"/>
              <w:spacing w:before="81" w:line="220" w:lineRule="auto"/>
              <w:ind w:left="1244"/>
              <w:rPr>
                <w:highlight w:val="none"/>
              </w:rPr>
            </w:pPr>
            <w:r>
              <w:rPr>
                <w:spacing w:val="-3"/>
                <w:highlight w:val="none"/>
              </w:rPr>
              <w:t>指标值</w:t>
            </w:r>
          </w:p>
        </w:tc>
      </w:tr>
      <w:tr w14:paraId="6FA1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4" w:hRule="atLeast"/>
        </w:trPr>
        <w:tc>
          <w:tcPr>
            <w:tcW w:w="914" w:type="dxa"/>
            <w:gridSpan w:val="2"/>
            <w:vMerge w:val="continue"/>
            <w:tcBorders>
              <w:top w:val="nil"/>
              <w:bottom w:val="nil"/>
            </w:tcBorders>
            <w:noWrap w:val="0"/>
            <w:vAlign w:val="top"/>
          </w:tcPr>
          <w:p w14:paraId="1FE63ECD">
            <w:pPr>
              <w:rPr>
                <w:rFonts w:ascii="Arial"/>
                <w:sz w:val="21"/>
                <w:highlight w:val="none"/>
              </w:rPr>
            </w:pPr>
          </w:p>
        </w:tc>
        <w:tc>
          <w:tcPr>
            <w:tcW w:w="1377" w:type="dxa"/>
            <w:gridSpan w:val="3"/>
            <w:vMerge w:val="restart"/>
            <w:tcBorders>
              <w:bottom w:val="nil"/>
            </w:tcBorders>
            <w:noWrap w:val="0"/>
            <w:vAlign w:val="top"/>
          </w:tcPr>
          <w:p w14:paraId="679B4135">
            <w:pPr>
              <w:spacing w:line="253" w:lineRule="auto"/>
              <w:rPr>
                <w:rFonts w:ascii="Arial"/>
                <w:sz w:val="21"/>
                <w:highlight w:val="none"/>
              </w:rPr>
            </w:pPr>
          </w:p>
          <w:p w14:paraId="5EC3DD95">
            <w:pPr>
              <w:spacing w:line="253" w:lineRule="auto"/>
              <w:rPr>
                <w:rFonts w:ascii="Arial"/>
                <w:sz w:val="21"/>
                <w:highlight w:val="none"/>
              </w:rPr>
            </w:pPr>
          </w:p>
          <w:p w14:paraId="201C6E73">
            <w:pPr>
              <w:spacing w:line="253" w:lineRule="auto"/>
              <w:rPr>
                <w:rFonts w:ascii="Arial"/>
                <w:sz w:val="21"/>
                <w:highlight w:val="none"/>
              </w:rPr>
            </w:pPr>
          </w:p>
          <w:p w14:paraId="521CA493">
            <w:pPr>
              <w:spacing w:line="253" w:lineRule="auto"/>
              <w:rPr>
                <w:rFonts w:ascii="Arial"/>
                <w:sz w:val="21"/>
                <w:highlight w:val="none"/>
              </w:rPr>
            </w:pPr>
          </w:p>
          <w:p w14:paraId="366C6701">
            <w:pPr>
              <w:spacing w:line="253" w:lineRule="auto"/>
              <w:rPr>
                <w:rFonts w:ascii="Arial"/>
                <w:sz w:val="21"/>
                <w:highlight w:val="none"/>
              </w:rPr>
            </w:pPr>
          </w:p>
          <w:p w14:paraId="58E90587">
            <w:pPr>
              <w:spacing w:line="253" w:lineRule="auto"/>
              <w:rPr>
                <w:rFonts w:ascii="Arial"/>
                <w:sz w:val="21"/>
                <w:highlight w:val="none"/>
              </w:rPr>
            </w:pPr>
          </w:p>
          <w:p w14:paraId="10F8D8C6">
            <w:pPr>
              <w:spacing w:line="253" w:lineRule="auto"/>
              <w:rPr>
                <w:rFonts w:ascii="Arial"/>
                <w:sz w:val="21"/>
                <w:highlight w:val="none"/>
              </w:rPr>
            </w:pPr>
          </w:p>
          <w:p w14:paraId="5F95155B">
            <w:pPr>
              <w:spacing w:line="253" w:lineRule="auto"/>
              <w:rPr>
                <w:rFonts w:ascii="Arial"/>
                <w:sz w:val="21"/>
                <w:highlight w:val="none"/>
              </w:rPr>
            </w:pPr>
          </w:p>
          <w:p w14:paraId="30B62ECB">
            <w:pPr>
              <w:spacing w:line="253" w:lineRule="auto"/>
              <w:rPr>
                <w:rFonts w:ascii="Arial"/>
                <w:sz w:val="21"/>
                <w:highlight w:val="none"/>
              </w:rPr>
            </w:pPr>
          </w:p>
          <w:p w14:paraId="314823F3">
            <w:pPr>
              <w:spacing w:line="253" w:lineRule="auto"/>
              <w:rPr>
                <w:rFonts w:ascii="Arial"/>
                <w:sz w:val="21"/>
                <w:highlight w:val="none"/>
              </w:rPr>
            </w:pPr>
          </w:p>
          <w:p w14:paraId="1A0E768B">
            <w:pPr>
              <w:spacing w:line="253" w:lineRule="auto"/>
              <w:rPr>
                <w:rFonts w:ascii="Arial"/>
                <w:sz w:val="21"/>
                <w:highlight w:val="none"/>
              </w:rPr>
            </w:pPr>
          </w:p>
          <w:p w14:paraId="3242E63A">
            <w:pPr>
              <w:spacing w:line="254" w:lineRule="auto"/>
              <w:rPr>
                <w:rFonts w:ascii="Arial"/>
                <w:sz w:val="21"/>
                <w:highlight w:val="none"/>
              </w:rPr>
            </w:pPr>
          </w:p>
          <w:p w14:paraId="608B8346">
            <w:pPr>
              <w:spacing w:line="254" w:lineRule="auto"/>
              <w:rPr>
                <w:rFonts w:ascii="Arial"/>
                <w:sz w:val="21"/>
                <w:highlight w:val="none"/>
              </w:rPr>
            </w:pPr>
          </w:p>
          <w:p w14:paraId="0885B11A">
            <w:pPr>
              <w:pStyle w:val="65"/>
              <w:spacing w:before="68" w:line="220" w:lineRule="auto"/>
              <w:ind w:left="271"/>
              <w:rPr>
                <w:highlight w:val="none"/>
              </w:rPr>
            </w:pPr>
            <w:r>
              <w:rPr>
                <w:spacing w:val="-2"/>
                <w:highlight w:val="none"/>
              </w:rPr>
              <w:t>产出指标</w:t>
            </w:r>
          </w:p>
        </w:tc>
        <w:tc>
          <w:tcPr>
            <w:tcW w:w="1530" w:type="dxa"/>
            <w:gridSpan w:val="2"/>
            <w:vMerge w:val="restart"/>
            <w:tcBorders>
              <w:bottom w:val="nil"/>
            </w:tcBorders>
            <w:noWrap w:val="0"/>
            <w:vAlign w:val="top"/>
          </w:tcPr>
          <w:p w14:paraId="1D6146F1">
            <w:pPr>
              <w:spacing w:line="262" w:lineRule="auto"/>
              <w:rPr>
                <w:rFonts w:ascii="Arial"/>
                <w:sz w:val="21"/>
                <w:highlight w:val="none"/>
              </w:rPr>
            </w:pPr>
          </w:p>
          <w:p w14:paraId="1CF43179">
            <w:pPr>
              <w:spacing w:line="262" w:lineRule="auto"/>
              <w:rPr>
                <w:rFonts w:ascii="Arial"/>
                <w:sz w:val="21"/>
                <w:highlight w:val="none"/>
              </w:rPr>
            </w:pPr>
          </w:p>
          <w:p w14:paraId="4CC3D02E">
            <w:pPr>
              <w:spacing w:line="263" w:lineRule="auto"/>
              <w:rPr>
                <w:rFonts w:ascii="Arial"/>
                <w:sz w:val="21"/>
                <w:highlight w:val="none"/>
              </w:rPr>
            </w:pPr>
          </w:p>
          <w:p w14:paraId="54BBEC63">
            <w:pPr>
              <w:spacing w:line="263" w:lineRule="auto"/>
              <w:rPr>
                <w:rFonts w:ascii="Arial"/>
                <w:sz w:val="21"/>
                <w:highlight w:val="none"/>
              </w:rPr>
            </w:pPr>
          </w:p>
          <w:p w14:paraId="6A0443C5">
            <w:pPr>
              <w:spacing w:line="263" w:lineRule="auto"/>
              <w:rPr>
                <w:rFonts w:ascii="Arial"/>
                <w:sz w:val="21"/>
                <w:highlight w:val="none"/>
              </w:rPr>
            </w:pPr>
          </w:p>
          <w:p w14:paraId="359CD45E">
            <w:pPr>
              <w:spacing w:line="263" w:lineRule="auto"/>
              <w:rPr>
                <w:rFonts w:ascii="Arial"/>
                <w:sz w:val="21"/>
                <w:highlight w:val="none"/>
              </w:rPr>
            </w:pPr>
          </w:p>
          <w:p w14:paraId="76506278">
            <w:pPr>
              <w:spacing w:line="263" w:lineRule="auto"/>
              <w:rPr>
                <w:rFonts w:ascii="Arial"/>
                <w:sz w:val="21"/>
                <w:highlight w:val="none"/>
              </w:rPr>
            </w:pPr>
          </w:p>
          <w:p w14:paraId="588F4DD0">
            <w:pPr>
              <w:pStyle w:val="65"/>
              <w:spacing w:before="69" w:line="220" w:lineRule="auto"/>
              <w:ind w:left="351"/>
              <w:rPr>
                <w:highlight w:val="none"/>
              </w:rPr>
            </w:pPr>
            <w:r>
              <w:rPr>
                <w:spacing w:val="-2"/>
                <w:highlight w:val="none"/>
              </w:rPr>
              <w:t>数量指标</w:t>
            </w:r>
          </w:p>
        </w:tc>
        <w:tc>
          <w:tcPr>
            <w:tcW w:w="2324" w:type="dxa"/>
            <w:gridSpan w:val="3"/>
            <w:noWrap w:val="0"/>
            <w:vAlign w:val="top"/>
          </w:tcPr>
          <w:p w14:paraId="5A69834B">
            <w:pPr>
              <w:pStyle w:val="65"/>
              <w:spacing w:before="81" w:line="220" w:lineRule="auto"/>
              <w:ind w:left="115"/>
              <w:rPr>
                <w:highlight w:val="none"/>
              </w:rPr>
            </w:pPr>
            <w:r>
              <w:rPr>
                <w:b/>
                <w:bCs/>
                <w:spacing w:val="-3"/>
                <w:highlight w:val="none"/>
              </w:rPr>
              <w:t>完成生态修复总面积</w:t>
            </w:r>
          </w:p>
        </w:tc>
        <w:tc>
          <w:tcPr>
            <w:tcW w:w="3103" w:type="dxa"/>
            <w:gridSpan w:val="2"/>
            <w:noWrap w:val="0"/>
            <w:vAlign w:val="top"/>
          </w:tcPr>
          <w:p w14:paraId="2D4720F6">
            <w:pPr>
              <w:pStyle w:val="65"/>
              <w:spacing w:before="81" w:line="239" w:lineRule="auto"/>
              <w:ind w:left="1100"/>
              <w:rPr>
                <w:highlight w:val="none"/>
              </w:rPr>
            </w:pPr>
            <w:r>
              <w:rPr>
                <w:spacing w:val="-3"/>
                <w:highlight w:val="none"/>
              </w:rPr>
              <w:t>1217.29ha</w:t>
            </w:r>
          </w:p>
        </w:tc>
      </w:tr>
      <w:tr w14:paraId="49F2A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3ED7D827">
            <w:pPr>
              <w:rPr>
                <w:rFonts w:ascii="Arial"/>
                <w:sz w:val="21"/>
                <w:highlight w:val="none"/>
              </w:rPr>
            </w:pPr>
          </w:p>
        </w:tc>
        <w:tc>
          <w:tcPr>
            <w:tcW w:w="1377" w:type="dxa"/>
            <w:gridSpan w:val="3"/>
            <w:vMerge w:val="continue"/>
            <w:tcBorders>
              <w:top w:val="nil"/>
              <w:bottom w:val="nil"/>
            </w:tcBorders>
            <w:noWrap w:val="0"/>
            <w:vAlign w:val="top"/>
          </w:tcPr>
          <w:p w14:paraId="574F96CE">
            <w:pPr>
              <w:rPr>
                <w:rFonts w:ascii="Arial"/>
                <w:sz w:val="21"/>
                <w:highlight w:val="none"/>
              </w:rPr>
            </w:pPr>
          </w:p>
        </w:tc>
        <w:tc>
          <w:tcPr>
            <w:tcW w:w="1530" w:type="dxa"/>
            <w:gridSpan w:val="2"/>
            <w:vMerge w:val="continue"/>
            <w:tcBorders>
              <w:top w:val="nil"/>
              <w:bottom w:val="nil"/>
            </w:tcBorders>
            <w:noWrap w:val="0"/>
            <w:vAlign w:val="top"/>
          </w:tcPr>
          <w:p w14:paraId="554C9335">
            <w:pPr>
              <w:rPr>
                <w:rFonts w:ascii="Arial"/>
                <w:sz w:val="21"/>
                <w:highlight w:val="none"/>
              </w:rPr>
            </w:pPr>
          </w:p>
        </w:tc>
        <w:tc>
          <w:tcPr>
            <w:tcW w:w="2324" w:type="dxa"/>
            <w:gridSpan w:val="3"/>
            <w:noWrap w:val="0"/>
            <w:vAlign w:val="top"/>
          </w:tcPr>
          <w:p w14:paraId="6900091A">
            <w:pPr>
              <w:pStyle w:val="65"/>
              <w:spacing w:before="80" w:line="220" w:lineRule="auto"/>
              <w:ind w:left="113"/>
              <w:rPr>
                <w:highlight w:val="none"/>
              </w:rPr>
            </w:pPr>
            <w:r>
              <w:rPr>
                <w:b/>
                <w:bCs/>
                <w:spacing w:val="-3"/>
                <w:highlight w:val="none"/>
              </w:rPr>
              <w:t>岸线整治修复长度</w:t>
            </w:r>
          </w:p>
        </w:tc>
        <w:tc>
          <w:tcPr>
            <w:tcW w:w="3103" w:type="dxa"/>
            <w:gridSpan w:val="2"/>
            <w:noWrap w:val="0"/>
            <w:vAlign w:val="top"/>
          </w:tcPr>
          <w:p w14:paraId="7E963F46">
            <w:pPr>
              <w:pStyle w:val="65"/>
              <w:spacing w:before="112" w:line="184" w:lineRule="auto"/>
              <w:ind w:left="1151"/>
              <w:rPr>
                <w:highlight w:val="none"/>
              </w:rPr>
            </w:pPr>
            <w:r>
              <w:rPr>
                <w:spacing w:val="-3"/>
                <w:highlight w:val="none"/>
              </w:rPr>
              <w:t>1296.00m</w:t>
            </w:r>
          </w:p>
        </w:tc>
      </w:tr>
      <w:tr w14:paraId="31D0D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5FA7B4DC">
            <w:pPr>
              <w:rPr>
                <w:rFonts w:ascii="Arial"/>
                <w:sz w:val="21"/>
                <w:highlight w:val="none"/>
              </w:rPr>
            </w:pPr>
          </w:p>
        </w:tc>
        <w:tc>
          <w:tcPr>
            <w:tcW w:w="1377" w:type="dxa"/>
            <w:gridSpan w:val="3"/>
            <w:vMerge w:val="continue"/>
            <w:tcBorders>
              <w:top w:val="nil"/>
              <w:bottom w:val="nil"/>
            </w:tcBorders>
            <w:noWrap w:val="0"/>
            <w:vAlign w:val="top"/>
          </w:tcPr>
          <w:p w14:paraId="1ADD481F">
            <w:pPr>
              <w:rPr>
                <w:rFonts w:ascii="Arial"/>
                <w:sz w:val="21"/>
                <w:highlight w:val="none"/>
              </w:rPr>
            </w:pPr>
          </w:p>
        </w:tc>
        <w:tc>
          <w:tcPr>
            <w:tcW w:w="1530" w:type="dxa"/>
            <w:gridSpan w:val="2"/>
            <w:vMerge w:val="continue"/>
            <w:tcBorders>
              <w:top w:val="nil"/>
              <w:bottom w:val="nil"/>
            </w:tcBorders>
            <w:noWrap w:val="0"/>
            <w:vAlign w:val="top"/>
          </w:tcPr>
          <w:p w14:paraId="157969AD">
            <w:pPr>
              <w:rPr>
                <w:rFonts w:ascii="Arial"/>
                <w:sz w:val="21"/>
                <w:highlight w:val="none"/>
              </w:rPr>
            </w:pPr>
          </w:p>
        </w:tc>
        <w:tc>
          <w:tcPr>
            <w:tcW w:w="2324" w:type="dxa"/>
            <w:gridSpan w:val="3"/>
            <w:noWrap w:val="0"/>
            <w:vAlign w:val="top"/>
          </w:tcPr>
          <w:p w14:paraId="4352AD38">
            <w:pPr>
              <w:pStyle w:val="65"/>
              <w:spacing w:before="80" w:line="220" w:lineRule="auto"/>
              <w:ind w:left="112"/>
              <w:rPr>
                <w:highlight w:val="none"/>
              </w:rPr>
            </w:pPr>
            <w:r>
              <w:rPr>
                <w:spacing w:val="-1"/>
                <w:highlight w:val="none"/>
              </w:rPr>
              <w:t>砂质岸线整治修复长度</w:t>
            </w:r>
          </w:p>
        </w:tc>
        <w:tc>
          <w:tcPr>
            <w:tcW w:w="3103" w:type="dxa"/>
            <w:gridSpan w:val="2"/>
            <w:noWrap w:val="0"/>
            <w:vAlign w:val="top"/>
          </w:tcPr>
          <w:p w14:paraId="1B0CC39B">
            <w:pPr>
              <w:pStyle w:val="65"/>
              <w:spacing w:before="112" w:line="184" w:lineRule="auto"/>
              <w:ind w:left="1151"/>
              <w:rPr>
                <w:highlight w:val="none"/>
              </w:rPr>
            </w:pPr>
            <w:r>
              <w:rPr>
                <w:spacing w:val="-3"/>
                <w:highlight w:val="none"/>
              </w:rPr>
              <w:t>1296.00m</w:t>
            </w:r>
          </w:p>
        </w:tc>
      </w:tr>
      <w:tr w14:paraId="0C073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4" w:hRule="atLeast"/>
        </w:trPr>
        <w:tc>
          <w:tcPr>
            <w:tcW w:w="914" w:type="dxa"/>
            <w:gridSpan w:val="2"/>
            <w:vMerge w:val="continue"/>
            <w:tcBorders>
              <w:top w:val="nil"/>
              <w:bottom w:val="nil"/>
            </w:tcBorders>
            <w:noWrap w:val="0"/>
            <w:vAlign w:val="top"/>
          </w:tcPr>
          <w:p w14:paraId="43B82635">
            <w:pPr>
              <w:rPr>
                <w:rFonts w:ascii="Arial"/>
                <w:sz w:val="21"/>
                <w:highlight w:val="none"/>
              </w:rPr>
            </w:pPr>
          </w:p>
        </w:tc>
        <w:tc>
          <w:tcPr>
            <w:tcW w:w="1377" w:type="dxa"/>
            <w:gridSpan w:val="3"/>
            <w:vMerge w:val="continue"/>
            <w:tcBorders>
              <w:top w:val="nil"/>
              <w:bottom w:val="nil"/>
            </w:tcBorders>
            <w:noWrap w:val="0"/>
            <w:vAlign w:val="top"/>
          </w:tcPr>
          <w:p w14:paraId="5A7833EA">
            <w:pPr>
              <w:rPr>
                <w:rFonts w:ascii="Arial"/>
                <w:sz w:val="21"/>
                <w:highlight w:val="none"/>
              </w:rPr>
            </w:pPr>
          </w:p>
        </w:tc>
        <w:tc>
          <w:tcPr>
            <w:tcW w:w="1530" w:type="dxa"/>
            <w:gridSpan w:val="2"/>
            <w:vMerge w:val="continue"/>
            <w:tcBorders>
              <w:top w:val="nil"/>
              <w:bottom w:val="nil"/>
            </w:tcBorders>
            <w:noWrap w:val="0"/>
            <w:vAlign w:val="top"/>
          </w:tcPr>
          <w:p w14:paraId="187DE357">
            <w:pPr>
              <w:rPr>
                <w:rFonts w:ascii="Arial"/>
                <w:sz w:val="21"/>
                <w:highlight w:val="none"/>
              </w:rPr>
            </w:pPr>
          </w:p>
        </w:tc>
        <w:tc>
          <w:tcPr>
            <w:tcW w:w="2324" w:type="dxa"/>
            <w:gridSpan w:val="3"/>
            <w:noWrap w:val="0"/>
            <w:vAlign w:val="top"/>
          </w:tcPr>
          <w:p w14:paraId="2824FBC3">
            <w:pPr>
              <w:pStyle w:val="65"/>
              <w:spacing w:before="82" w:line="220" w:lineRule="auto"/>
              <w:ind w:left="112"/>
              <w:rPr>
                <w:highlight w:val="none"/>
              </w:rPr>
            </w:pPr>
            <w:r>
              <w:rPr>
                <w:spacing w:val="-1"/>
                <w:highlight w:val="none"/>
              </w:rPr>
              <w:t>海岸侵蚀防护长度</w:t>
            </w:r>
          </w:p>
        </w:tc>
        <w:tc>
          <w:tcPr>
            <w:tcW w:w="3103" w:type="dxa"/>
            <w:gridSpan w:val="2"/>
            <w:noWrap w:val="0"/>
            <w:vAlign w:val="top"/>
          </w:tcPr>
          <w:p w14:paraId="418EDEF4">
            <w:pPr>
              <w:pStyle w:val="65"/>
              <w:spacing w:before="113" w:line="184" w:lineRule="auto"/>
              <w:ind w:left="1151"/>
              <w:rPr>
                <w:highlight w:val="none"/>
              </w:rPr>
            </w:pPr>
            <w:r>
              <w:rPr>
                <w:spacing w:val="-3"/>
                <w:highlight w:val="none"/>
              </w:rPr>
              <w:t>1296.00m</w:t>
            </w:r>
          </w:p>
        </w:tc>
      </w:tr>
      <w:tr w14:paraId="68950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36892904">
            <w:pPr>
              <w:rPr>
                <w:rFonts w:ascii="Arial"/>
                <w:sz w:val="21"/>
                <w:highlight w:val="none"/>
              </w:rPr>
            </w:pPr>
          </w:p>
        </w:tc>
        <w:tc>
          <w:tcPr>
            <w:tcW w:w="1377" w:type="dxa"/>
            <w:gridSpan w:val="3"/>
            <w:vMerge w:val="continue"/>
            <w:tcBorders>
              <w:top w:val="nil"/>
              <w:bottom w:val="nil"/>
            </w:tcBorders>
            <w:noWrap w:val="0"/>
            <w:vAlign w:val="top"/>
          </w:tcPr>
          <w:p w14:paraId="4C534CB1">
            <w:pPr>
              <w:rPr>
                <w:rFonts w:ascii="Arial"/>
                <w:sz w:val="21"/>
                <w:highlight w:val="none"/>
              </w:rPr>
            </w:pPr>
          </w:p>
        </w:tc>
        <w:tc>
          <w:tcPr>
            <w:tcW w:w="1530" w:type="dxa"/>
            <w:gridSpan w:val="2"/>
            <w:vMerge w:val="continue"/>
            <w:tcBorders>
              <w:top w:val="nil"/>
              <w:bottom w:val="nil"/>
            </w:tcBorders>
            <w:noWrap w:val="0"/>
            <w:vAlign w:val="top"/>
          </w:tcPr>
          <w:p w14:paraId="67AEF8DF">
            <w:pPr>
              <w:rPr>
                <w:rFonts w:ascii="Arial"/>
                <w:sz w:val="21"/>
                <w:highlight w:val="none"/>
              </w:rPr>
            </w:pPr>
          </w:p>
        </w:tc>
        <w:tc>
          <w:tcPr>
            <w:tcW w:w="2324" w:type="dxa"/>
            <w:gridSpan w:val="3"/>
            <w:noWrap w:val="0"/>
            <w:vAlign w:val="top"/>
          </w:tcPr>
          <w:p w14:paraId="63FE3789">
            <w:pPr>
              <w:pStyle w:val="65"/>
              <w:spacing w:before="80" w:line="220" w:lineRule="auto"/>
              <w:ind w:left="112"/>
              <w:rPr>
                <w:highlight w:val="none"/>
              </w:rPr>
            </w:pPr>
            <w:r>
              <w:rPr>
                <w:b/>
                <w:bCs/>
                <w:spacing w:val="-3"/>
                <w:highlight w:val="none"/>
              </w:rPr>
              <w:t>滨海湿地整治修复面积</w:t>
            </w:r>
          </w:p>
        </w:tc>
        <w:tc>
          <w:tcPr>
            <w:tcW w:w="3103" w:type="dxa"/>
            <w:gridSpan w:val="2"/>
            <w:noWrap w:val="0"/>
            <w:vAlign w:val="top"/>
          </w:tcPr>
          <w:p w14:paraId="4244EED0">
            <w:pPr>
              <w:pStyle w:val="65"/>
              <w:spacing w:before="108" w:line="188" w:lineRule="auto"/>
              <w:ind w:left="1100"/>
              <w:rPr>
                <w:highlight w:val="none"/>
              </w:rPr>
            </w:pPr>
            <w:r>
              <w:rPr>
                <w:spacing w:val="-3"/>
                <w:highlight w:val="none"/>
              </w:rPr>
              <w:t>1179.12ha</w:t>
            </w:r>
          </w:p>
        </w:tc>
      </w:tr>
      <w:tr w14:paraId="65457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45" w:hRule="atLeast"/>
        </w:trPr>
        <w:tc>
          <w:tcPr>
            <w:tcW w:w="914" w:type="dxa"/>
            <w:gridSpan w:val="2"/>
            <w:vMerge w:val="continue"/>
            <w:tcBorders>
              <w:top w:val="nil"/>
              <w:bottom w:val="nil"/>
            </w:tcBorders>
            <w:noWrap w:val="0"/>
            <w:vAlign w:val="top"/>
          </w:tcPr>
          <w:p w14:paraId="6377937C">
            <w:pPr>
              <w:rPr>
                <w:rFonts w:ascii="Arial"/>
                <w:sz w:val="21"/>
                <w:highlight w:val="none"/>
              </w:rPr>
            </w:pPr>
          </w:p>
        </w:tc>
        <w:tc>
          <w:tcPr>
            <w:tcW w:w="1377" w:type="dxa"/>
            <w:gridSpan w:val="3"/>
            <w:vMerge w:val="continue"/>
            <w:tcBorders>
              <w:top w:val="nil"/>
              <w:bottom w:val="nil"/>
            </w:tcBorders>
            <w:noWrap w:val="0"/>
            <w:vAlign w:val="top"/>
          </w:tcPr>
          <w:p w14:paraId="206ADF28">
            <w:pPr>
              <w:rPr>
                <w:rFonts w:ascii="Arial"/>
                <w:sz w:val="21"/>
                <w:highlight w:val="none"/>
              </w:rPr>
            </w:pPr>
          </w:p>
        </w:tc>
        <w:tc>
          <w:tcPr>
            <w:tcW w:w="1530" w:type="dxa"/>
            <w:gridSpan w:val="2"/>
            <w:vMerge w:val="continue"/>
            <w:tcBorders>
              <w:top w:val="nil"/>
              <w:bottom w:val="nil"/>
            </w:tcBorders>
            <w:noWrap w:val="0"/>
            <w:vAlign w:val="top"/>
          </w:tcPr>
          <w:p w14:paraId="6B17E082">
            <w:pPr>
              <w:rPr>
                <w:rFonts w:ascii="Arial"/>
                <w:sz w:val="21"/>
                <w:highlight w:val="none"/>
              </w:rPr>
            </w:pPr>
          </w:p>
        </w:tc>
        <w:tc>
          <w:tcPr>
            <w:tcW w:w="2324" w:type="dxa"/>
            <w:gridSpan w:val="3"/>
            <w:noWrap w:val="0"/>
            <w:vAlign w:val="top"/>
          </w:tcPr>
          <w:p w14:paraId="369F4379">
            <w:pPr>
              <w:pStyle w:val="65"/>
              <w:spacing w:before="80" w:line="230" w:lineRule="auto"/>
              <w:ind w:left="113" w:right="102"/>
              <w:rPr>
                <w:highlight w:val="none"/>
              </w:rPr>
            </w:pPr>
            <w:r>
              <w:rPr>
                <w:spacing w:val="10"/>
                <w:highlight w:val="none"/>
              </w:rPr>
              <w:t>保育修复芦苇/碱蓬面</w:t>
            </w:r>
            <w:r>
              <w:rPr>
                <w:spacing w:val="5"/>
                <w:highlight w:val="none"/>
              </w:rPr>
              <w:t xml:space="preserve"> </w:t>
            </w:r>
            <w:r>
              <w:rPr>
                <w:highlight w:val="none"/>
              </w:rPr>
              <w:t>积</w:t>
            </w:r>
          </w:p>
        </w:tc>
        <w:tc>
          <w:tcPr>
            <w:tcW w:w="3103" w:type="dxa"/>
            <w:gridSpan w:val="2"/>
            <w:noWrap w:val="0"/>
            <w:vAlign w:val="top"/>
          </w:tcPr>
          <w:p w14:paraId="4A482CD1">
            <w:pPr>
              <w:pStyle w:val="65"/>
              <w:spacing w:before="217" w:line="239" w:lineRule="auto"/>
              <w:ind w:left="1191"/>
              <w:rPr>
                <w:highlight w:val="none"/>
              </w:rPr>
            </w:pPr>
            <w:r>
              <w:rPr>
                <w:spacing w:val="-2"/>
                <w:highlight w:val="none"/>
              </w:rPr>
              <w:t>25.93ha</w:t>
            </w:r>
          </w:p>
        </w:tc>
      </w:tr>
      <w:tr w14:paraId="2EF0E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228B5F9D">
            <w:pPr>
              <w:rPr>
                <w:rFonts w:ascii="Arial"/>
                <w:sz w:val="21"/>
                <w:highlight w:val="none"/>
              </w:rPr>
            </w:pPr>
          </w:p>
        </w:tc>
        <w:tc>
          <w:tcPr>
            <w:tcW w:w="1377" w:type="dxa"/>
            <w:gridSpan w:val="3"/>
            <w:vMerge w:val="continue"/>
            <w:tcBorders>
              <w:top w:val="nil"/>
              <w:bottom w:val="nil"/>
            </w:tcBorders>
            <w:noWrap w:val="0"/>
            <w:vAlign w:val="top"/>
          </w:tcPr>
          <w:p w14:paraId="25D02044">
            <w:pPr>
              <w:rPr>
                <w:rFonts w:ascii="Arial"/>
                <w:sz w:val="21"/>
                <w:highlight w:val="none"/>
              </w:rPr>
            </w:pPr>
          </w:p>
        </w:tc>
        <w:tc>
          <w:tcPr>
            <w:tcW w:w="1530" w:type="dxa"/>
            <w:gridSpan w:val="2"/>
            <w:vMerge w:val="continue"/>
            <w:tcBorders>
              <w:top w:val="nil"/>
              <w:bottom w:val="nil"/>
            </w:tcBorders>
            <w:noWrap w:val="0"/>
            <w:vAlign w:val="top"/>
          </w:tcPr>
          <w:p w14:paraId="7325750F">
            <w:pPr>
              <w:rPr>
                <w:rFonts w:ascii="Arial"/>
                <w:sz w:val="21"/>
                <w:highlight w:val="none"/>
              </w:rPr>
            </w:pPr>
          </w:p>
        </w:tc>
        <w:tc>
          <w:tcPr>
            <w:tcW w:w="2324" w:type="dxa"/>
            <w:gridSpan w:val="3"/>
            <w:noWrap w:val="0"/>
            <w:vAlign w:val="top"/>
          </w:tcPr>
          <w:p w14:paraId="1B3E1082">
            <w:pPr>
              <w:pStyle w:val="65"/>
              <w:spacing w:before="80" w:line="219" w:lineRule="auto"/>
              <w:ind w:left="114"/>
              <w:rPr>
                <w:highlight w:val="none"/>
              </w:rPr>
            </w:pPr>
            <w:r>
              <w:rPr>
                <w:spacing w:val="-1"/>
                <w:highlight w:val="none"/>
              </w:rPr>
              <w:t>新种植芦苇/碱蓬面积</w:t>
            </w:r>
          </w:p>
        </w:tc>
        <w:tc>
          <w:tcPr>
            <w:tcW w:w="3103" w:type="dxa"/>
            <w:gridSpan w:val="2"/>
            <w:noWrap w:val="0"/>
            <w:vAlign w:val="top"/>
          </w:tcPr>
          <w:p w14:paraId="1B926C51">
            <w:pPr>
              <w:pStyle w:val="65"/>
              <w:spacing w:before="81" w:line="239" w:lineRule="auto"/>
              <w:ind w:left="1190"/>
              <w:rPr>
                <w:highlight w:val="none"/>
              </w:rPr>
            </w:pPr>
            <w:r>
              <w:rPr>
                <w:spacing w:val="-2"/>
                <w:highlight w:val="none"/>
              </w:rPr>
              <w:t>65.89ha</w:t>
            </w:r>
          </w:p>
        </w:tc>
      </w:tr>
      <w:tr w14:paraId="6772D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4" w:hRule="atLeast"/>
        </w:trPr>
        <w:tc>
          <w:tcPr>
            <w:tcW w:w="914" w:type="dxa"/>
            <w:gridSpan w:val="2"/>
            <w:vMerge w:val="continue"/>
            <w:tcBorders>
              <w:top w:val="nil"/>
              <w:bottom w:val="nil"/>
            </w:tcBorders>
            <w:noWrap w:val="0"/>
            <w:vAlign w:val="top"/>
          </w:tcPr>
          <w:p w14:paraId="1AD2E72B">
            <w:pPr>
              <w:rPr>
                <w:rFonts w:ascii="Arial"/>
                <w:sz w:val="21"/>
                <w:highlight w:val="none"/>
              </w:rPr>
            </w:pPr>
          </w:p>
        </w:tc>
        <w:tc>
          <w:tcPr>
            <w:tcW w:w="1377" w:type="dxa"/>
            <w:gridSpan w:val="3"/>
            <w:vMerge w:val="continue"/>
            <w:tcBorders>
              <w:top w:val="nil"/>
              <w:bottom w:val="nil"/>
            </w:tcBorders>
            <w:noWrap w:val="0"/>
            <w:vAlign w:val="top"/>
          </w:tcPr>
          <w:p w14:paraId="21052A29">
            <w:pPr>
              <w:rPr>
                <w:rFonts w:ascii="Arial"/>
                <w:sz w:val="21"/>
                <w:highlight w:val="none"/>
              </w:rPr>
            </w:pPr>
          </w:p>
        </w:tc>
        <w:tc>
          <w:tcPr>
            <w:tcW w:w="1530" w:type="dxa"/>
            <w:gridSpan w:val="2"/>
            <w:vMerge w:val="continue"/>
            <w:tcBorders>
              <w:top w:val="nil"/>
              <w:bottom w:val="nil"/>
            </w:tcBorders>
            <w:noWrap w:val="0"/>
            <w:vAlign w:val="top"/>
          </w:tcPr>
          <w:p w14:paraId="76BF4DE3">
            <w:pPr>
              <w:rPr>
                <w:rFonts w:ascii="Arial"/>
                <w:sz w:val="21"/>
                <w:highlight w:val="none"/>
              </w:rPr>
            </w:pPr>
          </w:p>
        </w:tc>
        <w:tc>
          <w:tcPr>
            <w:tcW w:w="2324" w:type="dxa"/>
            <w:gridSpan w:val="3"/>
            <w:noWrap w:val="0"/>
            <w:vAlign w:val="top"/>
          </w:tcPr>
          <w:p w14:paraId="331DF714">
            <w:pPr>
              <w:pStyle w:val="65"/>
              <w:spacing w:before="81" w:line="220" w:lineRule="auto"/>
              <w:ind w:left="112"/>
              <w:rPr>
                <w:highlight w:val="none"/>
              </w:rPr>
            </w:pPr>
            <w:r>
              <w:rPr>
                <w:spacing w:val="-1"/>
                <w:highlight w:val="none"/>
              </w:rPr>
              <w:t>底栖生物修复面积</w:t>
            </w:r>
          </w:p>
        </w:tc>
        <w:tc>
          <w:tcPr>
            <w:tcW w:w="3103" w:type="dxa"/>
            <w:gridSpan w:val="2"/>
            <w:noWrap w:val="0"/>
            <w:vAlign w:val="top"/>
          </w:tcPr>
          <w:p w14:paraId="686BC854">
            <w:pPr>
              <w:pStyle w:val="65"/>
              <w:spacing w:before="109" w:line="188" w:lineRule="auto"/>
              <w:ind w:left="1243"/>
              <w:rPr>
                <w:highlight w:val="none"/>
              </w:rPr>
            </w:pPr>
            <w:r>
              <w:rPr>
                <w:spacing w:val="-2"/>
                <w:highlight w:val="none"/>
              </w:rPr>
              <w:t>61.4ha</w:t>
            </w:r>
          </w:p>
        </w:tc>
      </w:tr>
      <w:tr w14:paraId="45066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46AB6CF1">
            <w:pPr>
              <w:rPr>
                <w:rFonts w:ascii="Arial"/>
                <w:sz w:val="21"/>
                <w:highlight w:val="none"/>
              </w:rPr>
            </w:pPr>
          </w:p>
        </w:tc>
        <w:tc>
          <w:tcPr>
            <w:tcW w:w="1377" w:type="dxa"/>
            <w:gridSpan w:val="3"/>
            <w:vMerge w:val="continue"/>
            <w:tcBorders>
              <w:top w:val="nil"/>
              <w:bottom w:val="nil"/>
            </w:tcBorders>
            <w:noWrap w:val="0"/>
            <w:vAlign w:val="top"/>
          </w:tcPr>
          <w:p w14:paraId="5DF4BD3B">
            <w:pPr>
              <w:rPr>
                <w:rFonts w:ascii="Arial"/>
                <w:sz w:val="21"/>
                <w:highlight w:val="none"/>
              </w:rPr>
            </w:pPr>
          </w:p>
        </w:tc>
        <w:tc>
          <w:tcPr>
            <w:tcW w:w="1530" w:type="dxa"/>
            <w:gridSpan w:val="2"/>
            <w:vMerge w:val="continue"/>
            <w:tcBorders>
              <w:top w:val="nil"/>
              <w:bottom w:val="nil"/>
            </w:tcBorders>
            <w:noWrap w:val="0"/>
            <w:vAlign w:val="top"/>
          </w:tcPr>
          <w:p w14:paraId="0BE3475D">
            <w:pPr>
              <w:rPr>
                <w:rFonts w:ascii="Arial"/>
                <w:sz w:val="21"/>
                <w:highlight w:val="none"/>
              </w:rPr>
            </w:pPr>
          </w:p>
        </w:tc>
        <w:tc>
          <w:tcPr>
            <w:tcW w:w="2324" w:type="dxa"/>
            <w:gridSpan w:val="3"/>
            <w:noWrap w:val="0"/>
            <w:vAlign w:val="top"/>
          </w:tcPr>
          <w:p w14:paraId="49C2A059">
            <w:pPr>
              <w:pStyle w:val="65"/>
              <w:spacing w:before="81" w:line="220" w:lineRule="auto"/>
              <w:ind w:left="115"/>
              <w:rPr>
                <w:highlight w:val="none"/>
              </w:rPr>
            </w:pPr>
            <w:r>
              <w:rPr>
                <w:spacing w:val="-2"/>
                <w:highlight w:val="none"/>
              </w:rPr>
              <w:t>浒苔防治面积</w:t>
            </w:r>
          </w:p>
        </w:tc>
        <w:tc>
          <w:tcPr>
            <w:tcW w:w="3103" w:type="dxa"/>
            <w:gridSpan w:val="2"/>
            <w:noWrap w:val="0"/>
            <w:vAlign w:val="top"/>
          </w:tcPr>
          <w:p w14:paraId="4BFBBE2A">
            <w:pPr>
              <w:pStyle w:val="65"/>
              <w:spacing w:before="81" w:line="239" w:lineRule="auto"/>
              <w:ind w:left="1099"/>
              <w:rPr>
                <w:highlight w:val="none"/>
              </w:rPr>
            </w:pPr>
            <w:r>
              <w:rPr>
                <w:spacing w:val="-3"/>
                <w:highlight w:val="none"/>
              </w:rPr>
              <w:t>1006.83ha</w:t>
            </w:r>
          </w:p>
        </w:tc>
      </w:tr>
      <w:tr w14:paraId="0B30B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7E97A283">
            <w:pPr>
              <w:rPr>
                <w:rFonts w:ascii="Arial"/>
                <w:sz w:val="21"/>
                <w:highlight w:val="none"/>
              </w:rPr>
            </w:pPr>
          </w:p>
        </w:tc>
        <w:tc>
          <w:tcPr>
            <w:tcW w:w="1377" w:type="dxa"/>
            <w:gridSpan w:val="3"/>
            <w:vMerge w:val="continue"/>
            <w:tcBorders>
              <w:top w:val="nil"/>
              <w:bottom w:val="nil"/>
            </w:tcBorders>
            <w:noWrap w:val="0"/>
            <w:vAlign w:val="top"/>
          </w:tcPr>
          <w:p w14:paraId="738E7D1E">
            <w:pPr>
              <w:rPr>
                <w:rFonts w:ascii="Arial"/>
                <w:sz w:val="21"/>
                <w:highlight w:val="none"/>
              </w:rPr>
            </w:pPr>
          </w:p>
        </w:tc>
        <w:tc>
          <w:tcPr>
            <w:tcW w:w="1530" w:type="dxa"/>
            <w:gridSpan w:val="2"/>
            <w:vMerge w:val="continue"/>
            <w:tcBorders>
              <w:top w:val="nil"/>
            </w:tcBorders>
            <w:noWrap w:val="0"/>
            <w:vAlign w:val="top"/>
          </w:tcPr>
          <w:p w14:paraId="45E85764">
            <w:pPr>
              <w:rPr>
                <w:rFonts w:ascii="Arial"/>
                <w:sz w:val="21"/>
                <w:highlight w:val="none"/>
              </w:rPr>
            </w:pPr>
          </w:p>
        </w:tc>
        <w:tc>
          <w:tcPr>
            <w:tcW w:w="2324" w:type="dxa"/>
            <w:gridSpan w:val="3"/>
            <w:noWrap w:val="0"/>
            <w:vAlign w:val="top"/>
          </w:tcPr>
          <w:p w14:paraId="1F92CBC4">
            <w:pPr>
              <w:pStyle w:val="65"/>
              <w:spacing w:before="80" w:line="220" w:lineRule="auto"/>
              <w:ind w:left="112"/>
              <w:rPr>
                <w:highlight w:val="none"/>
              </w:rPr>
            </w:pPr>
            <w:r>
              <w:rPr>
                <w:spacing w:val="-1"/>
                <w:highlight w:val="none"/>
              </w:rPr>
              <w:t>海岸湿地修复面积</w:t>
            </w:r>
          </w:p>
        </w:tc>
        <w:tc>
          <w:tcPr>
            <w:tcW w:w="3103" w:type="dxa"/>
            <w:gridSpan w:val="2"/>
            <w:noWrap w:val="0"/>
            <w:vAlign w:val="top"/>
          </w:tcPr>
          <w:p w14:paraId="606C7C8E">
            <w:pPr>
              <w:pStyle w:val="65"/>
              <w:spacing w:before="81" w:line="239" w:lineRule="auto"/>
              <w:ind w:left="1192"/>
              <w:rPr>
                <w:highlight w:val="none"/>
              </w:rPr>
            </w:pPr>
            <w:r>
              <w:rPr>
                <w:spacing w:val="-1"/>
                <w:highlight w:val="none"/>
              </w:rPr>
              <w:t>38.17ha</w:t>
            </w:r>
          </w:p>
        </w:tc>
      </w:tr>
      <w:tr w14:paraId="638DE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4" w:hRule="atLeast"/>
        </w:trPr>
        <w:tc>
          <w:tcPr>
            <w:tcW w:w="914" w:type="dxa"/>
            <w:gridSpan w:val="2"/>
            <w:vMerge w:val="continue"/>
            <w:tcBorders>
              <w:top w:val="nil"/>
              <w:bottom w:val="nil"/>
            </w:tcBorders>
            <w:noWrap w:val="0"/>
            <w:vAlign w:val="top"/>
          </w:tcPr>
          <w:p w14:paraId="4F92CF97">
            <w:pPr>
              <w:rPr>
                <w:rFonts w:ascii="Arial"/>
                <w:sz w:val="21"/>
                <w:highlight w:val="none"/>
              </w:rPr>
            </w:pPr>
          </w:p>
        </w:tc>
        <w:tc>
          <w:tcPr>
            <w:tcW w:w="1377" w:type="dxa"/>
            <w:gridSpan w:val="3"/>
            <w:vMerge w:val="continue"/>
            <w:tcBorders>
              <w:top w:val="nil"/>
              <w:bottom w:val="nil"/>
            </w:tcBorders>
            <w:noWrap w:val="0"/>
            <w:vAlign w:val="top"/>
          </w:tcPr>
          <w:p w14:paraId="77528141">
            <w:pPr>
              <w:rPr>
                <w:rFonts w:ascii="Arial"/>
                <w:sz w:val="21"/>
                <w:highlight w:val="none"/>
              </w:rPr>
            </w:pPr>
          </w:p>
        </w:tc>
        <w:tc>
          <w:tcPr>
            <w:tcW w:w="1530" w:type="dxa"/>
            <w:gridSpan w:val="2"/>
            <w:noWrap w:val="0"/>
            <w:vAlign w:val="top"/>
          </w:tcPr>
          <w:p w14:paraId="7A549E6D">
            <w:pPr>
              <w:rPr>
                <w:rFonts w:ascii="Arial"/>
                <w:sz w:val="21"/>
                <w:highlight w:val="none"/>
              </w:rPr>
            </w:pPr>
          </w:p>
        </w:tc>
        <w:tc>
          <w:tcPr>
            <w:tcW w:w="2324" w:type="dxa"/>
            <w:gridSpan w:val="3"/>
            <w:noWrap w:val="0"/>
            <w:vAlign w:val="top"/>
          </w:tcPr>
          <w:p w14:paraId="4C3A08F3">
            <w:pPr>
              <w:pStyle w:val="65"/>
              <w:spacing w:before="82" w:line="220" w:lineRule="auto"/>
              <w:ind w:left="115"/>
              <w:rPr>
                <w:highlight w:val="none"/>
              </w:rPr>
            </w:pPr>
            <w:r>
              <w:rPr>
                <w:spacing w:val="-1"/>
                <w:highlight w:val="none"/>
              </w:rPr>
              <w:t>完成海洋生态状况调查</w:t>
            </w:r>
          </w:p>
        </w:tc>
        <w:tc>
          <w:tcPr>
            <w:tcW w:w="3103" w:type="dxa"/>
            <w:gridSpan w:val="2"/>
            <w:noWrap w:val="0"/>
            <w:vAlign w:val="top"/>
          </w:tcPr>
          <w:p w14:paraId="7265288B">
            <w:pPr>
              <w:pStyle w:val="65"/>
              <w:spacing w:before="82" w:line="220" w:lineRule="auto"/>
              <w:ind w:left="1288"/>
              <w:rPr>
                <w:highlight w:val="none"/>
              </w:rPr>
            </w:pPr>
            <w:r>
              <w:rPr>
                <w:spacing w:val="-10"/>
                <w:highlight w:val="none"/>
              </w:rPr>
              <w:t>≥1</w:t>
            </w:r>
            <w:r>
              <w:rPr>
                <w:spacing w:val="-38"/>
                <w:highlight w:val="none"/>
              </w:rPr>
              <w:t xml:space="preserve"> </w:t>
            </w:r>
            <w:r>
              <w:rPr>
                <w:spacing w:val="-10"/>
                <w:highlight w:val="none"/>
              </w:rPr>
              <w:t>次</w:t>
            </w:r>
          </w:p>
        </w:tc>
      </w:tr>
      <w:tr w14:paraId="6B845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7A0C4FB6">
            <w:pPr>
              <w:rPr>
                <w:rFonts w:ascii="Arial"/>
                <w:sz w:val="21"/>
                <w:highlight w:val="none"/>
              </w:rPr>
            </w:pPr>
          </w:p>
        </w:tc>
        <w:tc>
          <w:tcPr>
            <w:tcW w:w="1377" w:type="dxa"/>
            <w:gridSpan w:val="3"/>
            <w:vMerge w:val="continue"/>
            <w:tcBorders>
              <w:top w:val="nil"/>
              <w:bottom w:val="nil"/>
            </w:tcBorders>
            <w:noWrap w:val="0"/>
            <w:vAlign w:val="top"/>
          </w:tcPr>
          <w:p w14:paraId="14E485B5">
            <w:pPr>
              <w:rPr>
                <w:rFonts w:ascii="Arial"/>
                <w:sz w:val="21"/>
                <w:highlight w:val="none"/>
              </w:rPr>
            </w:pPr>
          </w:p>
        </w:tc>
        <w:tc>
          <w:tcPr>
            <w:tcW w:w="1530" w:type="dxa"/>
            <w:gridSpan w:val="2"/>
            <w:vMerge w:val="restart"/>
            <w:tcBorders>
              <w:bottom w:val="nil"/>
            </w:tcBorders>
            <w:noWrap w:val="0"/>
            <w:vAlign w:val="top"/>
          </w:tcPr>
          <w:p w14:paraId="75354C19">
            <w:pPr>
              <w:spacing w:line="262" w:lineRule="auto"/>
              <w:rPr>
                <w:rFonts w:ascii="Arial"/>
                <w:sz w:val="21"/>
                <w:highlight w:val="none"/>
              </w:rPr>
            </w:pPr>
          </w:p>
          <w:p w14:paraId="1267E171">
            <w:pPr>
              <w:spacing w:line="263" w:lineRule="auto"/>
              <w:rPr>
                <w:rFonts w:ascii="Arial"/>
                <w:sz w:val="21"/>
                <w:highlight w:val="none"/>
              </w:rPr>
            </w:pPr>
          </w:p>
          <w:p w14:paraId="20608E18">
            <w:pPr>
              <w:pStyle w:val="65"/>
              <w:spacing w:before="68" w:line="220" w:lineRule="auto"/>
              <w:ind w:left="350"/>
              <w:rPr>
                <w:highlight w:val="none"/>
              </w:rPr>
            </w:pPr>
            <w:r>
              <w:rPr>
                <w:spacing w:val="-2"/>
                <w:highlight w:val="none"/>
              </w:rPr>
              <w:t>质量指标</w:t>
            </w:r>
          </w:p>
        </w:tc>
        <w:tc>
          <w:tcPr>
            <w:tcW w:w="2324" w:type="dxa"/>
            <w:gridSpan w:val="3"/>
            <w:noWrap w:val="0"/>
            <w:vAlign w:val="top"/>
          </w:tcPr>
          <w:p w14:paraId="1550E018">
            <w:pPr>
              <w:pStyle w:val="65"/>
              <w:spacing w:before="81" w:line="220" w:lineRule="auto"/>
              <w:ind w:left="115"/>
              <w:rPr>
                <w:highlight w:val="none"/>
              </w:rPr>
            </w:pPr>
            <w:r>
              <w:rPr>
                <w:spacing w:val="-2"/>
                <w:highlight w:val="none"/>
              </w:rPr>
              <w:t>工程质量合格率</w:t>
            </w:r>
          </w:p>
        </w:tc>
        <w:tc>
          <w:tcPr>
            <w:tcW w:w="3103" w:type="dxa"/>
            <w:gridSpan w:val="2"/>
            <w:noWrap w:val="0"/>
            <w:vAlign w:val="top"/>
          </w:tcPr>
          <w:p w14:paraId="3867C5F4">
            <w:pPr>
              <w:pStyle w:val="65"/>
              <w:spacing w:before="113" w:line="184" w:lineRule="auto"/>
              <w:ind w:left="1361"/>
              <w:rPr>
                <w:highlight w:val="none"/>
              </w:rPr>
            </w:pPr>
            <w:r>
              <w:rPr>
                <w:spacing w:val="-5"/>
                <w:highlight w:val="none"/>
              </w:rPr>
              <w:t>100%</w:t>
            </w:r>
          </w:p>
        </w:tc>
      </w:tr>
      <w:tr w14:paraId="524AF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527F9CA9">
            <w:pPr>
              <w:rPr>
                <w:rFonts w:ascii="Arial"/>
                <w:sz w:val="21"/>
                <w:highlight w:val="none"/>
              </w:rPr>
            </w:pPr>
          </w:p>
        </w:tc>
        <w:tc>
          <w:tcPr>
            <w:tcW w:w="1377" w:type="dxa"/>
            <w:gridSpan w:val="3"/>
            <w:vMerge w:val="continue"/>
            <w:tcBorders>
              <w:top w:val="nil"/>
              <w:bottom w:val="nil"/>
            </w:tcBorders>
            <w:noWrap w:val="0"/>
            <w:vAlign w:val="top"/>
          </w:tcPr>
          <w:p w14:paraId="24C66EE4">
            <w:pPr>
              <w:rPr>
                <w:rFonts w:ascii="Arial"/>
                <w:sz w:val="21"/>
                <w:highlight w:val="none"/>
              </w:rPr>
            </w:pPr>
          </w:p>
        </w:tc>
        <w:tc>
          <w:tcPr>
            <w:tcW w:w="1530" w:type="dxa"/>
            <w:gridSpan w:val="2"/>
            <w:vMerge w:val="continue"/>
            <w:tcBorders>
              <w:top w:val="nil"/>
              <w:bottom w:val="nil"/>
            </w:tcBorders>
            <w:noWrap w:val="0"/>
            <w:vAlign w:val="top"/>
          </w:tcPr>
          <w:p w14:paraId="594762E6">
            <w:pPr>
              <w:rPr>
                <w:rFonts w:ascii="Arial"/>
                <w:sz w:val="21"/>
                <w:highlight w:val="none"/>
              </w:rPr>
            </w:pPr>
          </w:p>
        </w:tc>
        <w:tc>
          <w:tcPr>
            <w:tcW w:w="2324" w:type="dxa"/>
            <w:gridSpan w:val="3"/>
            <w:noWrap w:val="0"/>
            <w:vAlign w:val="top"/>
          </w:tcPr>
          <w:p w14:paraId="76B2024C">
            <w:pPr>
              <w:pStyle w:val="65"/>
              <w:spacing w:before="81" w:line="219" w:lineRule="auto"/>
              <w:ind w:left="115"/>
              <w:rPr>
                <w:highlight w:val="none"/>
              </w:rPr>
            </w:pPr>
            <w:r>
              <w:rPr>
                <w:spacing w:val="-2"/>
                <w:highlight w:val="none"/>
              </w:rPr>
              <w:t>芦苇种植成活率</w:t>
            </w:r>
          </w:p>
        </w:tc>
        <w:tc>
          <w:tcPr>
            <w:tcW w:w="3103" w:type="dxa"/>
            <w:gridSpan w:val="2"/>
            <w:noWrap w:val="0"/>
            <w:vAlign w:val="top"/>
          </w:tcPr>
          <w:p w14:paraId="3785DC37">
            <w:pPr>
              <w:pStyle w:val="65"/>
              <w:spacing w:before="81" w:line="238" w:lineRule="auto"/>
              <w:ind w:left="1262"/>
              <w:rPr>
                <w:highlight w:val="none"/>
              </w:rPr>
            </w:pPr>
            <w:r>
              <w:rPr>
                <w:spacing w:val="-8"/>
                <w:highlight w:val="none"/>
              </w:rPr>
              <w:t>≥50</w:t>
            </w:r>
            <w:r>
              <w:rPr>
                <w:spacing w:val="4"/>
                <w:highlight w:val="none"/>
              </w:rPr>
              <w:t xml:space="preserve"> </w:t>
            </w:r>
            <w:r>
              <w:rPr>
                <w:spacing w:val="-8"/>
                <w:highlight w:val="none"/>
              </w:rPr>
              <w:t>%</w:t>
            </w:r>
          </w:p>
        </w:tc>
      </w:tr>
      <w:tr w14:paraId="3E2D4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45" w:hRule="atLeast"/>
        </w:trPr>
        <w:tc>
          <w:tcPr>
            <w:tcW w:w="914" w:type="dxa"/>
            <w:gridSpan w:val="2"/>
            <w:vMerge w:val="continue"/>
            <w:tcBorders>
              <w:top w:val="nil"/>
              <w:bottom w:val="nil"/>
            </w:tcBorders>
            <w:noWrap w:val="0"/>
            <w:vAlign w:val="top"/>
          </w:tcPr>
          <w:p w14:paraId="7DDC784F">
            <w:pPr>
              <w:rPr>
                <w:rFonts w:ascii="Arial"/>
                <w:sz w:val="21"/>
                <w:highlight w:val="none"/>
              </w:rPr>
            </w:pPr>
          </w:p>
        </w:tc>
        <w:tc>
          <w:tcPr>
            <w:tcW w:w="1377" w:type="dxa"/>
            <w:gridSpan w:val="3"/>
            <w:vMerge w:val="continue"/>
            <w:tcBorders>
              <w:top w:val="nil"/>
              <w:bottom w:val="nil"/>
            </w:tcBorders>
            <w:noWrap w:val="0"/>
            <w:vAlign w:val="top"/>
          </w:tcPr>
          <w:p w14:paraId="58D20788">
            <w:pPr>
              <w:rPr>
                <w:rFonts w:ascii="Arial"/>
                <w:sz w:val="21"/>
                <w:highlight w:val="none"/>
              </w:rPr>
            </w:pPr>
          </w:p>
        </w:tc>
        <w:tc>
          <w:tcPr>
            <w:tcW w:w="1530" w:type="dxa"/>
            <w:gridSpan w:val="2"/>
            <w:vMerge w:val="continue"/>
            <w:tcBorders>
              <w:top w:val="nil"/>
            </w:tcBorders>
            <w:noWrap w:val="0"/>
            <w:vAlign w:val="top"/>
          </w:tcPr>
          <w:p w14:paraId="37F0B6EE">
            <w:pPr>
              <w:rPr>
                <w:rFonts w:ascii="Arial"/>
                <w:sz w:val="21"/>
                <w:highlight w:val="none"/>
              </w:rPr>
            </w:pPr>
          </w:p>
        </w:tc>
        <w:tc>
          <w:tcPr>
            <w:tcW w:w="2324" w:type="dxa"/>
            <w:gridSpan w:val="3"/>
            <w:noWrap w:val="0"/>
            <w:vAlign w:val="top"/>
          </w:tcPr>
          <w:p w14:paraId="0DDE974A">
            <w:pPr>
              <w:pStyle w:val="65"/>
              <w:spacing w:before="82" w:line="229" w:lineRule="auto"/>
              <w:ind w:left="115" w:right="103"/>
              <w:rPr>
                <w:highlight w:val="none"/>
              </w:rPr>
            </w:pPr>
            <w:r>
              <w:rPr>
                <w:highlight w:val="none"/>
              </w:rPr>
              <w:t xml:space="preserve">盐沼生态状况综合评估 </w:t>
            </w:r>
            <w:r>
              <w:rPr>
                <w:spacing w:val="-3"/>
                <w:highlight w:val="none"/>
              </w:rPr>
              <w:t>等级</w:t>
            </w:r>
          </w:p>
        </w:tc>
        <w:tc>
          <w:tcPr>
            <w:tcW w:w="3103" w:type="dxa"/>
            <w:gridSpan w:val="2"/>
            <w:noWrap w:val="0"/>
            <w:vAlign w:val="top"/>
          </w:tcPr>
          <w:p w14:paraId="1DA4FBE2">
            <w:pPr>
              <w:pStyle w:val="65"/>
              <w:spacing w:before="218" w:line="222" w:lineRule="auto"/>
              <w:ind w:left="1384"/>
              <w:rPr>
                <w:highlight w:val="none"/>
              </w:rPr>
            </w:pPr>
            <w:r>
              <w:rPr>
                <w:spacing w:val="-10"/>
                <w:highlight w:val="none"/>
              </w:rPr>
              <w:t>I</w:t>
            </w:r>
            <w:r>
              <w:rPr>
                <w:spacing w:val="-41"/>
                <w:highlight w:val="none"/>
              </w:rPr>
              <w:t xml:space="preserve"> </w:t>
            </w:r>
            <w:r>
              <w:rPr>
                <w:spacing w:val="-10"/>
                <w:highlight w:val="none"/>
              </w:rPr>
              <w:t>级</w:t>
            </w:r>
          </w:p>
        </w:tc>
      </w:tr>
      <w:tr w14:paraId="0849B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4" w:hRule="atLeast"/>
        </w:trPr>
        <w:tc>
          <w:tcPr>
            <w:tcW w:w="914" w:type="dxa"/>
            <w:gridSpan w:val="2"/>
            <w:vMerge w:val="continue"/>
            <w:tcBorders>
              <w:top w:val="nil"/>
              <w:bottom w:val="nil"/>
            </w:tcBorders>
            <w:noWrap w:val="0"/>
            <w:vAlign w:val="top"/>
          </w:tcPr>
          <w:p w14:paraId="71103ACC">
            <w:pPr>
              <w:rPr>
                <w:rFonts w:ascii="Arial"/>
                <w:sz w:val="21"/>
                <w:highlight w:val="none"/>
              </w:rPr>
            </w:pPr>
          </w:p>
        </w:tc>
        <w:tc>
          <w:tcPr>
            <w:tcW w:w="1377" w:type="dxa"/>
            <w:gridSpan w:val="3"/>
            <w:vMerge w:val="continue"/>
            <w:tcBorders>
              <w:top w:val="nil"/>
              <w:bottom w:val="nil"/>
            </w:tcBorders>
            <w:noWrap w:val="0"/>
            <w:vAlign w:val="top"/>
          </w:tcPr>
          <w:p w14:paraId="0B56C493">
            <w:pPr>
              <w:rPr>
                <w:rFonts w:ascii="Arial"/>
                <w:sz w:val="21"/>
                <w:highlight w:val="none"/>
              </w:rPr>
            </w:pPr>
          </w:p>
        </w:tc>
        <w:tc>
          <w:tcPr>
            <w:tcW w:w="1530" w:type="dxa"/>
            <w:gridSpan w:val="2"/>
            <w:vMerge w:val="restart"/>
            <w:tcBorders>
              <w:bottom w:val="nil"/>
            </w:tcBorders>
            <w:noWrap w:val="0"/>
            <w:vAlign w:val="top"/>
          </w:tcPr>
          <w:p w14:paraId="287BDB76">
            <w:pPr>
              <w:pStyle w:val="65"/>
              <w:spacing w:before="271" w:line="220" w:lineRule="auto"/>
              <w:ind w:left="359"/>
              <w:rPr>
                <w:highlight w:val="none"/>
              </w:rPr>
            </w:pPr>
            <w:r>
              <w:rPr>
                <w:spacing w:val="-4"/>
                <w:highlight w:val="none"/>
              </w:rPr>
              <w:t>时效指标</w:t>
            </w:r>
          </w:p>
        </w:tc>
        <w:tc>
          <w:tcPr>
            <w:tcW w:w="2324" w:type="dxa"/>
            <w:gridSpan w:val="3"/>
            <w:noWrap w:val="0"/>
            <w:vAlign w:val="top"/>
          </w:tcPr>
          <w:p w14:paraId="13C306D1">
            <w:pPr>
              <w:pStyle w:val="65"/>
              <w:spacing w:before="82" w:line="220" w:lineRule="auto"/>
              <w:ind w:left="116"/>
              <w:rPr>
                <w:highlight w:val="none"/>
              </w:rPr>
            </w:pPr>
            <w:r>
              <w:rPr>
                <w:spacing w:val="-2"/>
                <w:highlight w:val="none"/>
              </w:rPr>
              <w:t>项目按时完成率</w:t>
            </w:r>
          </w:p>
        </w:tc>
        <w:tc>
          <w:tcPr>
            <w:tcW w:w="3103" w:type="dxa"/>
            <w:gridSpan w:val="2"/>
            <w:noWrap w:val="0"/>
            <w:vAlign w:val="top"/>
          </w:tcPr>
          <w:p w14:paraId="4BCCBD0E">
            <w:pPr>
              <w:pStyle w:val="65"/>
              <w:spacing w:before="115" w:line="184" w:lineRule="auto"/>
              <w:ind w:left="1361"/>
              <w:rPr>
                <w:highlight w:val="none"/>
              </w:rPr>
            </w:pPr>
            <w:r>
              <w:rPr>
                <w:spacing w:val="-5"/>
                <w:highlight w:val="none"/>
              </w:rPr>
              <w:t>100%</w:t>
            </w:r>
          </w:p>
        </w:tc>
      </w:tr>
      <w:tr w14:paraId="5DC90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0FF1E82D">
            <w:pPr>
              <w:rPr>
                <w:rFonts w:ascii="Arial"/>
                <w:sz w:val="21"/>
                <w:highlight w:val="none"/>
              </w:rPr>
            </w:pPr>
          </w:p>
        </w:tc>
        <w:tc>
          <w:tcPr>
            <w:tcW w:w="1377" w:type="dxa"/>
            <w:gridSpan w:val="3"/>
            <w:vMerge w:val="continue"/>
            <w:tcBorders>
              <w:top w:val="nil"/>
              <w:bottom w:val="nil"/>
            </w:tcBorders>
            <w:noWrap w:val="0"/>
            <w:vAlign w:val="top"/>
          </w:tcPr>
          <w:p w14:paraId="6D9DF6EE">
            <w:pPr>
              <w:rPr>
                <w:rFonts w:ascii="Arial"/>
                <w:sz w:val="21"/>
                <w:highlight w:val="none"/>
              </w:rPr>
            </w:pPr>
          </w:p>
        </w:tc>
        <w:tc>
          <w:tcPr>
            <w:tcW w:w="1530" w:type="dxa"/>
            <w:gridSpan w:val="2"/>
            <w:vMerge w:val="continue"/>
            <w:tcBorders>
              <w:top w:val="nil"/>
            </w:tcBorders>
            <w:noWrap w:val="0"/>
            <w:vAlign w:val="top"/>
          </w:tcPr>
          <w:p w14:paraId="2D833190">
            <w:pPr>
              <w:rPr>
                <w:rFonts w:ascii="Arial"/>
                <w:sz w:val="21"/>
                <w:highlight w:val="none"/>
              </w:rPr>
            </w:pPr>
          </w:p>
        </w:tc>
        <w:tc>
          <w:tcPr>
            <w:tcW w:w="2324" w:type="dxa"/>
            <w:gridSpan w:val="3"/>
            <w:noWrap w:val="0"/>
            <w:vAlign w:val="top"/>
          </w:tcPr>
          <w:p w14:paraId="2D89839B">
            <w:pPr>
              <w:pStyle w:val="65"/>
              <w:spacing w:before="81" w:line="220" w:lineRule="auto"/>
              <w:ind w:left="115"/>
              <w:rPr>
                <w:highlight w:val="none"/>
              </w:rPr>
            </w:pPr>
            <w:r>
              <w:rPr>
                <w:spacing w:val="-1"/>
                <w:highlight w:val="none"/>
              </w:rPr>
              <w:t>预算执行按时完成率</w:t>
            </w:r>
          </w:p>
        </w:tc>
        <w:tc>
          <w:tcPr>
            <w:tcW w:w="3103" w:type="dxa"/>
            <w:gridSpan w:val="2"/>
            <w:noWrap w:val="0"/>
            <w:vAlign w:val="top"/>
          </w:tcPr>
          <w:p w14:paraId="2C7E8C24">
            <w:pPr>
              <w:pStyle w:val="65"/>
              <w:spacing w:before="114" w:line="184" w:lineRule="auto"/>
              <w:ind w:left="1361"/>
              <w:rPr>
                <w:highlight w:val="none"/>
              </w:rPr>
            </w:pPr>
            <w:r>
              <w:rPr>
                <w:spacing w:val="-5"/>
                <w:highlight w:val="none"/>
              </w:rPr>
              <w:t>100%</w:t>
            </w:r>
          </w:p>
        </w:tc>
      </w:tr>
      <w:tr w14:paraId="68486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3" w:hRule="atLeast"/>
        </w:trPr>
        <w:tc>
          <w:tcPr>
            <w:tcW w:w="914" w:type="dxa"/>
            <w:gridSpan w:val="2"/>
            <w:vMerge w:val="continue"/>
            <w:tcBorders>
              <w:top w:val="nil"/>
              <w:bottom w:val="nil"/>
            </w:tcBorders>
            <w:noWrap w:val="0"/>
            <w:vAlign w:val="top"/>
          </w:tcPr>
          <w:p w14:paraId="1ABF2BCD">
            <w:pPr>
              <w:rPr>
                <w:rFonts w:ascii="Arial"/>
                <w:sz w:val="21"/>
                <w:highlight w:val="none"/>
              </w:rPr>
            </w:pPr>
          </w:p>
        </w:tc>
        <w:tc>
          <w:tcPr>
            <w:tcW w:w="1377" w:type="dxa"/>
            <w:gridSpan w:val="3"/>
            <w:vMerge w:val="continue"/>
            <w:tcBorders>
              <w:top w:val="nil"/>
            </w:tcBorders>
            <w:noWrap w:val="0"/>
            <w:vAlign w:val="top"/>
          </w:tcPr>
          <w:p w14:paraId="12CE9F81">
            <w:pPr>
              <w:rPr>
                <w:rFonts w:ascii="Arial"/>
                <w:sz w:val="21"/>
                <w:highlight w:val="none"/>
              </w:rPr>
            </w:pPr>
          </w:p>
        </w:tc>
        <w:tc>
          <w:tcPr>
            <w:tcW w:w="1530" w:type="dxa"/>
            <w:gridSpan w:val="2"/>
            <w:vMerge w:val="restart"/>
            <w:tcBorders>
              <w:bottom w:val="nil"/>
            </w:tcBorders>
            <w:noWrap w:val="0"/>
            <w:vAlign w:val="top"/>
          </w:tcPr>
          <w:p w14:paraId="1EBC7F03">
            <w:pPr>
              <w:pStyle w:val="65"/>
              <w:spacing w:before="271" w:line="219" w:lineRule="auto"/>
              <w:ind w:left="351"/>
              <w:rPr>
                <w:highlight w:val="none"/>
              </w:rPr>
            </w:pPr>
            <w:r>
              <w:rPr>
                <w:spacing w:val="-2"/>
                <w:highlight w:val="none"/>
              </w:rPr>
              <w:t>成本指标</w:t>
            </w:r>
          </w:p>
        </w:tc>
        <w:tc>
          <w:tcPr>
            <w:tcW w:w="2324" w:type="dxa"/>
            <w:gridSpan w:val="3"/>
            <w:noWrap w:val="0"/>
            <w:vAlign w:val="top"/>
          </w:tcPr>
          <w:p w14:paraId="7EE87206">
            <w:pPr>
              <w:pStyle w:val="65"/>
              <w:spacing w:before="81" w:line="220" w:lineRule="auto"/>
              <w:ind w:left="115"/>
              <w:rPr>
                <w:highlight w:val="none"/>
              </w:rPr>
            </w:pPr>
            <w:r>
              <w:rPr>
                <w:spacing w:val="-2"/>
                <w:highlight w:val="none"/>
              </w:rPr>
              <w:t>生态护岸生态化改造</w:t>
            </w:r>
          </w:p>
        </w:tc>
        <w:tc>
          <w:tcPr>
            <w:tcW w:w="3103" w:type="dxa"/>
            <w:gridSpan w:val="2"/>
            <w:noWrap w:val="0"/>
            <w:vAlign w:val="top"/>
          </w:tcPr>
          <w:p w14:paraId="25237D88">
            <w:pPr>
              <w:pStyle w:val="65"/>
              <w:spacing w:before="82" w:line="220" w:lineRule="auto"/>
              <w:ind w:left="1071"/>
              <w:rPr>
                <w:highlight w:val="none"/>
              </w:rPr>
            </w:pPr>
            <w:r>
              <w:rPr>
                <w:spacing w:val="-6"/>
                <w:highlight w:val="none"/>
              </w:rPr>
              <w:t>≤1</w:t>
            </w:r>
            <w:r>
              <w:rPr>
                <w:spacing w:val="-38"/>
                <w:highlight w:val="none"/>
              </w:rPr>
              <w:t xml:space="preserve"> </w:t>
            </w:r>
            <w:r>
              <w:rPr>
                <w:spacing w:val="-6"/>
                <w:highlight w:val="none"/>
              </w:rPr>
              <w:t>万元/m</w:t>
            </w:r>
          </w:p>
        </w:tc>
      </w:tr>
      <w:tr w14:paraId="6D5CE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78" w:hRule="atLeast"/>
        </w:trPr>
        <w:tc>
          <w:tcPr>
            <w:tcW w:w="914" w:type="dxa"/>
            <w:gridSpan w:val="2"/>
            <w:vMerge w:val="continue"/>
            <w:tcBorders>
              <w:top w:val="nil"/>
            </w:tcBorders>
            <w:noWrap w:val="0"/>
            <w:vAlign w:val="top"/>
          </w:tcPr>
          <w:p w14:paraId="0B430FAC">
            <w:pPr>
              <w:rPr>
                <w:rFonts w:ascii="Arial"/>
                <w:sz w:val="21"/>
                <w:highlight w:val="none"/>
              </w:rPr>
            </w:pPr>
          </w:p>
        </w:tc>
        <w:tc>
          <w:tcPr>
            <w:tcW w:w="1377" w:type="dxa"/>
            <w:gridSpan w:val="3"/>
            <w:noWrap w:val="0"/>
            <w:vAlign w:val="top"/>
          </w:tcPr>
          <w:p w14:paraId="4CB4E80E">
            <w:pPr>
              <w:rPr>
                <w:rFonts w:ascii="Arial"/>
                <w:sz w:val="21"/>
                <w:highlight w:val="none"/>
              </w:rPr>
            </w:pPr>
          </w:p>
        </w:tc>
        <w:tc>
          <w:tcPr>
            <w:tcW w:w="1530" w:type="dxa"/>
            <w:gridSpan w:val="2"/>
            <w:vMerge w:val="continue"/>
            <w:tcBorders>
              <w:top w:val="nil"/>
            </w:tcBorders>
            <w:noWrap w:val="0"/>
            <w:vAlign w:val="top"/>
          </w:tcPr>
          <w:p w14:paraId="47BC8BA3">
            <w:pPr>
              <w:rPr>
                <w:rFonts w:ascii="Arial"/>
                <w:sz w:val="21"/>
                <w:highlight w:val="none"/>
              </w:rPr>
            </w:pPr>
          </w:p>
        </w:tc>
        <w:tc>
          <w:tcPr>
            <w:tcW w:w="2324" w:type="dxa"/>
            <w:gridSpan w:val="3"/>
            <w:noWrap w:val="0"/>
            <w:vAlign w:val="top"/>
          </w:tcPr>
          <w:p w14:paraId="71117100">
            <w:pPr>
              <w:pStyle w:val="65"/>
              <w:spacing w:before="82" w:line="220" w:lineRule="auto"/>
              <w:ind w:left="115"/>
              <w:rPr>
                <w:highlight w:val="none"/>
              </w:rPr>
            </w:pPr>
            <w:r>
              <w:rPr>
                <w:spacing w:val="-2"/>
                <w:highlight w:val="none"/>
              </w:rPr>
              <w:t>盐沼植被种植</w:t>
            </w:r>
          </w:p>
        </w:tc>
        <w:tc>
          <w:tcPr>
            <w:tcW w:w="3103" w:type="dxa"/>
            <w:gridSpan w:val="2"/>
            <w:noWrap w:val="0"/>
            <w:vAlign w:val="top"/>
          </w:tcPr>
          <w:p w14:paraId="434DFF3A">
            <w:pPr>
              <w:pStyle w:val="65"/>
              <w:spacing w:before="83" w:line="220" w:lineRule="auto"/>
              <w:ind w:left="966"/>
              <w:rPr>
                <w:highlight w:val="none"/>
              </w:rPr>
            </w:pPr>
            <w:r>
              <w:rPr>
                <w:spacing w:val="-5"/>
                <w:highlight w:val="none"/>
              </w:rPr>
              <w:t>≤60</w:t>
            </w:r>
            <w:r>
              <w:rPr>
                <w:spacing w:val="-37"/>
                <w:highlight w:val="none"/>
              </w:rPr>
              <w:t xml:space="preserve"> </w:t>
            </w:r>
            <w:r>
              <w:rPr>
                <w:spacing w:val="-5"/>
                <w:highlight w:val="none"/>
              </w:rPr>
              <w:t>万元/ha</w:t>
            </w:r>
          </w:p>
        </w:tc>
      </w:tr>
      <w:tr w14:paraId="37F03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77" w:hRule="atLeast"/>
        </w:trPr>
        <w:tc>
          <w:tcPr>
            <w:tcW w:w="914" w:type="dxa"/>
            <w:gridSpan w:val="2"/>
            <w:vMerge w:val="restart"/>
            <w:tcBorders>
              <w:bottom w:val="nil"/>
            </w:tcBorders>
            <w:noWrap w:val="0"/>
            <w:vAlign w:val="top"/>
          </w:tcPr>
          <w:p w14:paraId="2F17CD92">
            <w:pPr>
              <w:rPr>
                <w:rFonts w:ascii="Arial"/>
                <w:sz w:val="21"/>
                <w:highlight w:val="none"/>
              </w:rPr>
            </w:pPr>
          </w:p>
        </w:tc>
        <w:tc>
          <w:tcPr>
            <w:tcW w:w="1377" w:type="dxa"/>
            <w:gridSpan w:val="3"/>
            <w:vMerge w:val="restart"/>
            <w:tcBorders>
              <w:bottom w:val="nil"/>
            </w:tcBorders>
            <w:noWrap w:val="0"/>
            <w:vAlign w:val="top"/>
          </w:tcPr>
          <w:p w14:paraId="5C7B71B8">
            <w:pPr>
              <w:spacing w:line="248" w:lineRule="auto"/>
              <w:rPr>
                <w:rFonts w:ascii="Arial"/>
                <w:sz w:val="21"/>
                <w:highlight w:val="none"/>
              </w:rPr>
            </w:pPr>
          </w:p>
          <w:p w14:paraId="27A420CC">
            <w:pPr>
              <w:spacing w:line="248" w:lineRule="auto"/>
              <w:rPr>
                <w:rFonts w:ascii="Arial"/>
                <w:sz w:val="21"/>
                <w:highlight w:val="none"/>
              </w:rPr>
            </w:pPr>
          </w:p>
          <w:p w14:paraId="1492952B">
            <w:pPr>
              <w:spacing w:line="248" w:lineRule="auto"/>
              <w:rPr>
                <w:rFonts w:ascii="Arial"/>
                <w:sz w:val="21"/>
                <w:highlight w:val="none"/>
              </w:rPr>
            </w:pPr>
          </w:p>
          <w:p w14:paraId="0FBDDFF5">
            <w:pPr>
              <w:spacing w:line="248" w:lineRule="auto"/>
              <w:rPr>
                <w:rFonts w:ascii="Arial"/>
                <w:sz w:val="21"/>
                <w:highlight w:val="none"/>
              </w:rPr>
            </w:pPr>
          </w:p>
          <w:p w14:paraId="20EE6DF6">
            <w:pPr>
              <w:spacing w:line="248" w:lineRule="auto"/>
              <w:rPr>
                <w:rFonts w:ascii="Arial"/>
                <w:sz w:val="21"/>
                <w:highlight w:val="none"/>
              </w:rPr>
            </w:pPr>
          </w:p>
          <w:p w14:paraId="53CA3311">
            <w:pPr>
              <w:spacing w:line="248" w:lineRule="auto"/>
              <w:rPr>
                <w:rFonts w:ascii="Arial"/>
                <w:sz w:val="21"/>
                <w:highlight w:val="none"/>
              </w:rPr>
            </w:pPr>
          </w:p>
          <w:p w14:paraId="74CF7AC3">
            <w:pPr>
              <w:spacing w:line="248" w:lineRule="auto"/>
              <w:rPr>
                <w:rFonts w:ascii="Arial"/>
                <w:sz w:val="21"/>
                <w:highlight w:val="none"/>
              </w:rPr>
            </w:pPr>
          </w:p>
          <w:p w14:paraId="4C9F954B">
            <w:pPr>
              <w:pStyle w:val="65"/>
              <w:spacing w:before="68" w:line="220" w:lineRule="auto"/>
              <w:ind w:left="115"/>
              <w:rPr>
                <w:highlight w:val="none"/>
              </w:rPr>
            </w:pPr>
            <w:r>
              <w:rPr>
                <w:spacing w:val="-3"/>
                <w:highlight w:val="none"/>
              </w:rPr>
              <w:t>效益指标</w:t>
            </w:r>
          </w:p>
        </w:tc>
        <w:tc>
          <w:tcPr>
            <w:tcW w:w="1530" w:type="dxa"/>
            <w:gridSpan w:val="2"/>
            <w:vMerge w:val="restart"/>
            <w:tcBorders>
              <w:bottom w:val="nil"/>
            </w:tcBorders>
            <w:noWrap w:val="0"/>
            <w:vAlign w:val="top"/>
          </w:tcPr>
          <w:p w14:paraId="36126990">
            <w:pPr>
              <w:pStyle w:val="65"/>
              <w:spacing w:before="270" w:line="219" w:lineRule="auto"/>
              <w:ind w:left="113"/>
              <w:rPr>
                <w:highlight w:val="none"/>
              </w:rPr>
            </w:pPr>
            <w:r>
              <w:rPr>
                <w:spacing w:val="-2"/>
                <w:highlight w:val="none"/>
              </w:rPr>
              <w:t>社会效益指标</w:t>
            </w:r>
          </w:p>
        </w:tc>
        <w:tc>
          <w:tcPr>
            <w:tcW w:w="2324" w:type="dxa"/>
            <w:gridSpan w:val="3"/>
            <w:noWrap w:val="0"/>
            <w:vAlign w:val="top"/>
          </w:tcPr>
          <w:p w14:paraId="4969792D">
            <w:pPr>
              <w:pStyle w:val="65"/>
              <w:spacing w:before="81" w:line="220" w:lineRule="auto"/>
              <w:ind w:left="115"/>
              <w:rPr>
                <w:highlight w:val="none"/>
              </w:rPr>
            </w:pPr>
            <w:r>
              <w:rPr>
                <w:spacing w:val="-1"/>
                <w:highlight w:val="none"/>
              </w:rPr>
              <w:t>人居环境改善受惠人数</w:t>
            </w:r>
          </w:p>
        </w:tc>
        <w:tc>
          <w:tcPr>
            <w:tcW w:w="3103" w:type="dxa"/>
            <w:gridSpan w:val="2"/>
            <w:noWrap w:val="0"/>
            <w:vAlign w:val="top"/>
          </w:tcPr>
          <w:p w14:paraId="170BEECF">
            <w:pPr>
              <w:pStyle w:val="65"/>
              <w:spacing w:before="82" w:line="220" w:lineRule="auto"/>
              <w:ind w:left="1178"/>
              <w:rPr>
                <w:highlight w:val="none"/>
              </w:rPr>
            </w:pPr>
            <w:r>
              <w:rPr>
                <w:spacing w:val="-8"/>
                <w:highlight w:val="none"/>
              </w:rPr>
              <w:t>100</w:t>
            </w:r>
            <w:r>
              <w:rPr>
                <w:spacing w:val="-37"/>
                <w:highlight w:val="none"/>
              </w:rPr>
              <w:t xml:space="preserve"> </w:t>
            </w:r>
            <w:r>
              <w:rPr>
                <w:spacing w:val="-8"/>
                <w:highlight w:val="none"/>
              </w:rPr>
              <w:t>万人</w:t>
            </w:r>
          </w:p>
        </w:tc>
      </w:tr>
      <w:tr w14:paraId="1FDD9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72" w:hRule="atLeast"/>
        </w:trPr>
        <w:tc>
          <w:tcPr>
            <w:tcW w:w="914" w:type="dxa"/>
            <w:gridSpan w:val="2"/>
            <w:vMerge w:val="continue"/>
            <w:tcBorders>
              <w:top w:val="nil"/>
              <w:bottom w:val="nil"/>
            </w:tcBorders>
            <w:noWrap w:val="0"/>
            <w:vAlign w:val="top"/>
          </w:tcPr>
          <w:p w14:paraId="74B3E9EE">
            <w:pPr>
              <w:rPr>
                <w:rFonts w:ascii="Arial"/>
                <w:sz w:val="21"/>
                <w:highlight w:val="none"/>
              </w:rPr>
            </w:pPr>
          </w:p>
        </w:tc>
        <w:tc>
          <w:tcPr>
            <w:tcW w:w="1377" w:type="dxa"/>
            <w:gridSpan w:val="3"/>
            <w:vMerge w:val="continue"/>
            <w:tcBorders>
              <w:top w:val="nil"/>
              <w:bottom w:val="nil"/>
            </w:tcBorders>
            <w:noWrap w:val="0"/>
            <w:vAlign w:val="top"/>
          </w:tcPr>
          <w:p w14:paraId="7B016348">
            <w:pPr>
              <w:rPr>
                <w:rFonts w:ascii="Arial"/>
                <w:sz w:val="21"/>
                <w:highlight w:val="none"/>
              </w:rPr>
            </w:pPr>
          </w:p>
        </w:tc>
        <w:tc>
          <w:tcPr>
            <w:tcW w:w="1530" w:type="dxa"/>
            <w:gridSpan w:val="2"/>
            <w:vMerge w:val="continue"/>
            <w:tcBorders>
              <w:top w:val="nil"/>
            </w:tcBorders>
            <w:noWrap w:val="0"/>
            <w:vAlign w:val="top"/>
          </w:tcPr>
          <w:p w14:paraId="7BE125DF">
            <w:pPr>
              <w:rPr>
                <w:rFonts w:ascii="Arial"/>
                <w:sz w:val="21"/>
                <w:highlight w:val="none"/>
              </w:rPr>
            </w:pPr>
          </w:p>
        </w:tc>
        <w:tc>
          <w:tcPr>
            <w:tcW w:w="2324" w:type="dxa"/>
            <w:gridSpan w:val="3"/>
            <w:noWrap w:val="0"/>
            <w:vAlign w:val="top"/>
          </w:tcPr>
          <w:p w14:paraId="718B5BAB">
            <w:pPr>
              <w:pStyle w:val="65"/>
              <w:spacing w:before="77" w:line="220" w:lineRule="auto"/>
              <w:ind w:left="112"/>
              <w:rPr>
                <w:highlight w:val="none"/>
              </w:rPr>
            </w:pPr>
            <w:r>
              <w:rPr>
                <w:spacing w:val="-1"/>
                <w:highlight w:val="none"/>
              </w:rPr>
              <w:t>海洋防灾减灾能力</w:t>
            </w:r>
          </w:p>
        </w:tc>
        <w:tc>
          <w:tcPr>
            <w:tcW w:w="3103" w:type="dxa"/>
            <w:gridSpan w:val="2"/>
            <w:noWrap w:val="0"/>
            <w:vAlign w:val="top"/>
          </w:tcPr>
          <w:p w14:paraId="3C83DE89">
            <w:pPr>
              <w:pStyle w:val="65"/>
              <w:spacing w:before="78" w:line="220" w:lineRule="auto"/>
              <w:ind w:left="1347"/>
              <w:rPr>
                <w:highlight w:val="none"/>
              </w:rPr>
            </w:pPr>
            <w:r>
              <w:rPr>
                <w:spacing w:val="-3"/>
                <w:highlight w:val="none"/>
              </w:rPr>
              <w:t>提升</w:t>
            </w:r>
          </w:p>
        </w:tc>
      </w:tr>
      <w:tr w14:paraId="114AE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45" w:hRule="atLeast"/>
        </w:trPr>
        <w:tc>
          <w:tcPr>
            <w:tcW w:w="914" w:type="dxa"/>
            <w:gridSpan w:val="2"/>
            <w:vMerge w:val="continue"/>
            <w:tcBorders>
              <w:top w:val="nil"/>
              <w:bottom w:val="nil"/>
            </w:tcBorders>
            <w:noWrap w:val="0"/>
            <w:vAlign w:val="top"/>
          </w:tcPr>
          <w:p w14:paraId="5306C420">
            <w:pPr>
              <w:rPr>
                <w:rFonts w:ascii="Arial"/>
                <w:sz w:val="21"/>
                <w:highlight w:val="none"/>
              </w:rPr>
            </w:pPr>
          </w:p>
        </w:tc>
        <w:tc>
          <w:tcPr>
            <w:tcW w:w="1377" w:type="dxa"/>
            <w:gridSpan w:val="3"/>
            <w:vMerge w:val="continue"/>
            <w:tcBorders>
              <w:top w:val="nil"/>
              <w:bottom w:val="nil"/>
            </w:tcBorders>
            <w:noWrap w:val="0"/>
            <w:vAlign w:val="top"/>
          </w:tcPr>
          <w:p w14:paraId="4B68E8F8">
            <w:pPr>
              <w:rPr>
                <w:rFonts w:ascii="Arial"/>
                <w:sz w:val="21"/>
                <w:highlight w:val="none"/>
              </w:rPr>
            </w:pPr>
          </w:p>
        </w:tc>
        <w:tc>
          <w:tcPr>
            <w:tcW w:w="1530" w:type="dxa"/>
            <w:gridSpan w:val="2"/>
            <w:vMerge w:val="restart"/>
            <w:tcBorders>
              <w:bottom w:val="nil"/>
            </w:tcBorders>
            <w:noWrap w:val="0"/>
            <w:vAlign w:val="top"/>
          </w:tcPr>
          <w:p w14:paraId="17E40A2D">
            <w:pPr>
              <w:spacing w:line="329" w:lineRule="auto"/>
              <w:rPr>
                <w:rFonts w:ascii="Arial"/>
                <w:sz w:val="21"/>
                <w:highlight w:val="none"/>
              </w:rPr>
            </w:pPr>
          </w:p>
          <w:p w14:paraId="66BB9152">
            <w:pPr>
              <w:spacing w:line="329" w:lineRule="auto"/>
              <w:rPr>
                <w:rFonts w:ascii="Arial"/>
                <w:sz w:val="21"/>
                <w:highlight w:val="none"/>
              </w:rPr>
            </w:pPr>
          </w:p>
          <w:p w14:paraId="394A91F1">
            <w:pPr>
              <w:pStyle w:val="65"/>
              <w:spacing w:before="69" w:line="220" w:lineRule="auto"/>
              <w:ind w:left="113"/>
              <w:rPr>
                <w:highlight w:val="none"/>
              </w:rPr>
            </w:pPr>
            <w:r>
              <w:rPr>
                <w:spacing w:val="-2"/>
                <w:highlight w:val="none"/>
              </w:rPr>
              <w:t>生态效益指标</w:t>
            </w:r>
          </w:p>
        </w:tc>
        <w:tc>
          <w:tcPr>
            <w:tcW w:w="2324" w:type="dxa"/>
            <w:gridSpan w:val="3"/>
            <w:noWrap w:val="0"/>
            <w:vAlign w:val="top"/>
          </w:tcPr>
          <w:p w14:paraId="036C3516">
            <w:pPr>
              <w:pStyle w:val="65"/>
              <w:spacing w:before="78" w:line="230" w:lineRule="auto"/>
              <w:ind w:left="112" w:right="103"/>
              <w:rPr>
                <w:highlight w:val="none"/>
              </w:rPr>
            </w:pPr>
            <w:r>
              <w:rPr>
                <w:highlight w:val="none"/>
              </w:rPr>
              <w:t>滨海盐沼芦苇修复区盖</w:t>
            </w:r>
            <w:r>
              <w:rPr>
                <w:spacing w:val="2"/>
                <w:highlight w:val="none"/>
              </w:rPr>
              <w:t xml:space="preserve"> </w:t>
            </w:r>
            <w:r>
              <w:rPr>
                <w:highlight w:val="none"/>
              </w:rPr>
              <w:t>度</w:t>
            </w:r>
          </w:p>
        </w:tc>
        <w:tc>
          <w:tcPr>
            <w:tcW w:w="3103" w:type="dxa"/>
            <w:gridSpan w:val="2"/>
            <w:noWrap w:val="0"/>
            <w:vAlign w:val="top"/>
          </w:tcPr>
          <w:p w14:paraId="7683E132">
            <w:pPr>
              <w:pStyle w:val="65"/>
              <w:spacing w:before="215" w:line="238" w:lineRule="auto"/>
              <w:ind w:left="1262"/>
              <w:rPr>
                <w:highlight w:val="none"/>
              </w:rPr>
            </w:pPr>
            <w:r>
              <w:rPr>
                <w:spacing w:val="-8"/>
                <w:highlight w:val="none"/>
              </w:rPr>
              <w:t>≥80</w:t>
            </w:r>
            <w:r>
              <w:rPr>
                <w:spacing w:val="5"/>
                <w:highlight w:val="none"/>
              </w:rPr>
              <w:t xml:space="preserve"> </w:t>
            </w:r>
            <w:r>
              <w:rPr>
                <w:spacing w:val="-8"/>
                <w:highlight w:val="none"/>
              </w:rPr>
              <w:t>%</w:t>
            </w:r>
          </w:p>
        </w:tc>
      </w:tr>
      <w:tr w14:paraId="4777E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46" w:hRule="atLeast"/>
        </w:trPr>
        <w:tc>
          <w:tcPr>
            <w:tcW w:w="914" w:type="dxa"/>
            <w:gridSpan w:val="2"/>
            <w:vMerge w:val="continue"/>
            <w:tcBorders>
              <w:top w:val="nil"/>
              <w:bottom w:val="nil"/>
            </w:tcBorders>
            <w:noWrap w:val="0"/>
            <w:vAlign w:val="top"/>
          </w:tcPr>
          <w:p w14:paraId="65DA0555">
            <w:pPr>
              <w:rPr>
                <w:rFonts w:ascii="Arial"/>
                <w:sz w:val="21"/>
                <w:highlight w:val="none"/>
              </w:rPr>
            </w:pPr>
          </w:p>
        </w:tc>
        <w:tc>
          <w:tcPr>
            <w:tcW w:w="1377" w:type="dxa"/>
            <w:gridSpan w:val="3"/>
            <w:vMerge w:val="continue"/>
            <w:tcBorders>
              <w:top w:val="nil"/>
              <w:bottom w:val="nil"/>
            </w:tcBorders>
            <w:noWrap w:val="0"/>
            <w:vAlign w:val="top"/>
          </w:tcPr>
          <w:p w14:paraId="6820D7F3">
            <w:pPr>
              <w:rPr>
                <w:rFonts w:ascii="Arial"/>
                <w:sz w:val="21"/>
                <w:highlight w:val="none"/>
              </w:rPr>
            </w:pPr>
          </w:p>
        </w:tc>
        <w:tc>
          <w:tcPr>
            <w:tcW w:w="1530" w:type="dxa"/>
            <w:gridSpan w:val="2"/>
            <w:vMerge w:val="continue"/>
            <w:tcBorders>
              <w:top w:val="nil"/>
              <w:bottom w:val="nil"/>
            </w:tcBorders>
            <w:noWrap w:val="0"/>
            <w:vAlign w:val="top"/>
          </w:tcPr>
          <w:p w14:paraId="6C555C15">
            <w:pPr>
              <w:rPr>
                <w:rFonts w:ascii="Arial"/>
                <w:sz w:val="21"/>
                <w:highlight w:val="none"/>
              </w:rPr>
            </w:pPr>
          </w:p>
        </w:tc>
        <w:tc>
          <w:tcPr>
            <w:tcW w:w="2324" w:type="dxa"/>
            <w:gridSpan w:val="3"/>
            <w:noWrap w:val="0"/>
            <w:vAlign w:val="top"/>
          </w:tcPr>
          <w:p w14:paraId="525CBC3F">
            <w:pPr>
              <w:pStyle w:val="65"/>
              <w:spacing w:before="81" w:line="229" w:lineRule="auto"/>
              <w:ind w:left="115" w:right="103"/>
              <w:rPr>
                <w:highlight w:val="none"/>
              </w:rPr>
            </w:pPr>
            <w:r>
              <w:rPr>
                <w:highlight w:val="none"/>
              </w:rPr>
              <w:t>盐沼生态系统面积增加 率</w:t>
            </w:r>
          </w:p>
        </w:tc>
        <w:tc>
          <w:tcPr>
            <w:tcW w:w="3103" w:type="dxa"/>
            <w:gridSpan w:val="2"/>
            <w:noWrap w:val="0"/>
            <w:vAlign w:val="top"/>
          </w:tcPr>
          <w:p w14:paraId="0F2F8766">
            <w:pPr>
              <w:pStyle w:val="65"/>
              <w:spacing w:before="215" w:line="238" w:lineRule="auto"/>
              <w:ind w:left="1262"/>
              <w:rPr>
                <w:highlight w:val="none"/>
              </w:rPr>
            </w:pPr>
            <w:r>
              <w:rPr>
                <w:spacing w:val="-8"/>
                <w:highlight w:val="none"/>
              </w:rPr>
              <w:t>≥50</w:t>
            </w:r>
            <w:r>
              <w:rPr>
                <w:spacing w:val="5"/>
                <w:highlight w:val="none"/>
              </w:rPr>
              <w:t xml:space="preserve"> </w:t>
            </w:r>
            <w:r>
              <w:rPr>
                <w:spacing w:val="-8"/>
                <w:highlight w:val="none"/>
              </w:rPr>
              <w:t>%</w:t>
            </w:r>
          </w:p>
        </w:tc>
      </w:tr>
      <w:tr w14:paraId="2F136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73" w:hRule="atLeast"/>
        </w:trPr>
        <w:tc>
          <w:tcPr>
            <w:tcW w:w="914" w:type="dxa"/>
            <w:gridSpan w:val="2"/>
            <w:vMerge w:val="continue"/>
            <w:tcBorders>
              <w:top w:val="nil"/>
              <w:bottom w:val="nil"/>
            </w:tcBorders>
            <w:noWrap w:val="0"/>
            <w:vAlign w:val="top"/>
          </w:tcPr>
          <w:p w14:paraId="45F19668">
            <w:pPr>
              <w:rPr>
                <w:rFonts w:ascii="Arial"/>
                <w:sz w:val="21"/>
                <w:highlight w:val="none"/>
              </w:rPr>
            </w:pPr>
          </w:p>
        </w:tc>
        <w:tc>
          <w:tcPr>
            <w:tcW w:w="1377" w:type="dxa"/>
            <w:gridSpan w:val="3"/>
            <w:vMerge w:val="continue"/>
            <w:tcBorders>
              <w:top w:val="nil"/>
              <w:bottom w:val="nil"/>
            </w:tcBorders>
            <w:noWrap w:val="0"/>
            <w:vAlign w:val="top"/>
          </w:tcPr>
          <w:p w14:paraId="2F063344">
            <w:pPr>
              <w:rPr>
                <w:rFonts w:ascii="Arial"/>
                <w:sz w:val="21"/>
                <w:highlight w:val="none"/>
              </w:rPr>
            </w:pPr>
          </w:p>
        </w:tc>
        <w:tc>
          <w:tcPr>
            <w:tcW w:w="1530" w:type="dxa"/>
            <w:gridSpan w:val="2"/>
            <w:vMerge w:val="continue"/>
            <w:tcBorders>
              <w:top w:val="nil"/>
            </w:tcBorders>
            <w:noWrap w:val="0"/>
            <w:vAlign w:val="top"/>
          </w:tcPr>
          <w:p w14:paraId="1BBF3DD2">
            <w:pPr>
              <w:rPr>
                <w:rFonts w:ascii="Arial"/>
                <w:sz w:val="21"/>
                <w:highlight w:val="none"/>
              </w:rPr>
            </w:pPr>
          </w:p>
        </w:tc>
        <w:tc>
          <w:tcPr>
            <w:tcW w:w="2324" w:type="dxa"/>
            <w:gridSpan w:val="3"/>
            <w:noWrap w:val="0"/>
            <w:vAlign w:val="top"/>
          </w:tcPr>
          <w:p w14:paraId="6229E360">
            <w:pPr>
              <w:pStyle w:val="65"/>
              <w:spacing w:before="79" w:line="220" w:lineRule="auto"/>
              <w:ind w:left="115"/>
              <w:rPr>
                <w:highlight w:val="none"/>
              </w:rPr>
            </w:pPr>
            <w:r>
              <w:rPr>
                <w:spacing w:val="-2"/>
                <w:highlight w:val="none"/>
              </w:rPr>
              <w:t>盐沼碳汇能力</w:t>
            </w:r>
          </w:p>
        </w:tc>
        <w:tc>
          <w:tcPr>
            <w:tcW w:w="3103" w:type="dxa"/>
            <w:gridSpan w:val="2"/>
            <w:noWrap w:val="0"/>
            <w:vAlign w:val="top"/>
          </w:tcPr>
          <w:p w14:paraId="241943B5">
            <w:pPr>
              <w:pStyle w:val="65"/>
              <w:spacing w:before="80" w:line="220" w:lineRule="auto"/>
              <w:ind w:left="1347"/>
              <w:rPr>
                <w:highlight w:val="none"/>
              </w:rPr>
            </w:pPr>
            <w:r>
              <w:rPr>
                <w:spacing w:val="-3"/>
                <w:highlight w:val="none"/>
              </w:rPr>
              <w:t>提升</w:t>
            </w:r>
          </w:p>
        </w:tc>
      </w:tr>
      <w:tr w14:paraId="73883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72" w:hRule="atLeast"/>
        </w:trPr>
        <w:tc>
          <w:tcPr>
            <w:tcW w:w="914" w:type="dxa"/>
            <w:gridSpan w:val="2"/>
            <w:vMerge w:val="continue"/>
            <w:tcBorders>
              <w:top w:val="nil"/>
              <w:bottom w:val="nil"/>
            </w:tcBorders>
            <w:noWrap w:val="0"/>
            <w:vAlign w:val="top"/>
          </w:tcPr>
          <w:p w14:paraId="3701A2E9">
            <w:pPr>
              <w:rPr>
                <w:rFonts w:ascii="Arial"/>
                <w:sz w:val="21"/>
                <w:highlight w:val="none"/>
              </w:rPr>
            </w:pPr>
          </w:p>
        </w:tc>
        <w:tc>
          <w:tcPr>
            <w:tcW w:w="1377" w:type="dxa"/>
            <w:gridSpan w:val="3"/>
            <w:vMerge w:val="continue"/>
            <w:tcBorders>
              <w:top w:val="nil"/>
              <w:bottom w:val="nil"/>
            </w:tcBorders>
            <w:noWrap w:val="0"/>
            <w:vAlign w:val="top"/>
          </w:tcPr>
          <w:p w14:paraId="79D1522C">
            <w:pPr>
              <w:rPr>
                <w:rFonts w:ascii="Arial"/>
                <w:sz w:val="21"/>
                <w:highlight w:val="none"/>
              </w:rPr>
            </w:pPr>
          </w:p>
        </w:tc>
        <w:tc>
          <w:tcPr>
            <w:tcW w:w="1530" w:type="dxa"/>
            <w:gridSpan w:val="2"/>
            <w:vMerge w:val="restart"/>
            <w:tcBorders>
              <w:bottom w:val="nil"/>
            </w:tcBorders>
            <w:noWrap w:val="0"/>
            <w:vAlign w:val="top"/>
          </w:tcPr>
          <w:p w14:paraId="53754FA3">
            <w:pPr>
              <w:spacing w:line="387" w:lineRule="auto"/>
              <w:rPr>
                <w:rFonts w:ascii="Arial"/>
                <w:sz w:val="21"/>
                <w:highlight w:val="none"/>
              </w:rPr>
            </w:pPr>
          </w:p>
          <w:p w14:paraId="5B5497C0">
            <w:pPr>
              <w:pStyle w:val="65"/>
              <w:spacing w:before="68" w:line="230" w:lineRule="auto"/>
              <w:ind w:left="113" w:right="105"/>
              <w:rPr>
                <w:highlight w:val="none"/>
              </w:rPr>
            </w:pPr>
            <w:r>
              <w:rPr>
                <w:spacing w:val="7"/>
                <w:highlight w:val="none"/>
              </w:rPr>
              <w:t>可持续影响指</w:t>
            </w:r>
            <w:r>
              <w:rPr>
                <w:spacing w:val="2"/>
                <w:highlight w:val="none"/>
              </w:rPr>
              <w:t xml:space="preserve"> </w:t>
            </w:r>
            <w:r>
              <w:rPr>
                <w:highlight w:val="none"/>
              </w:rPr>
              <w:t>标</w:t>
            </w:r>
          </w:p>
        </w:tc>
        <w:tc>
          <w:tcPr>
            <w:tcW w:w="2324" w:type="dxa"/>
            <w:gridSpan w:val="3"/>
            <w:noWrap w:val="0"/>
            <w:vAlign w:val="top"/>
          </w:tcPr>
          <w:p w14:paraId="354D759E">
            <w:pPr>
              <w:pStyle w:val="65"/>
              <w:spacing w:before="79" w:line="220" w:lineRule="auto"/>
              <w:ind w:left="115"/>
              <w:rPr>
                <w:highlight w:val="none"/>
              </w:rPr>
            </w:pPr>
            <w:r>
              <w:rPr>
                <w:spacing w:val="-1"/>
                <w:highlight w:val="none"/>
              </w:rPr>
              <w:t>盐沼生态系统稳定性</w:t>
            </w:r>
          </w:p>
        </w:tc>
        <w:tc>
          <w:tcPr>
            <w:tcW w:w="3103" w:type="dxa"/>
            <w:gridSpan w:val="2"/>
            <w:noWrap w:val="0"/>
            <w:vAlign w:val="top"/>
          </w:tcPr>
          <w:p w14:paraId="4F4C570D">
            <w:pPr>
              <w:pStyle w:val="65"/>
              <w:spacing w:before="79" w:line="220" w:lineRule="auto"/>
              <w:ind w:left="1288"/>
              <w:rPr>
                <w:highlight w:val="none"/>
              </w:rPr>
            </w:pPr>
            <w:r>
              <w:rPr>
                <w:spacing w:val="-10"/>
                <w:highlight w:val="none"/>
              </w:rPr>
              <w:t>≥5</w:t>
            </w:r>
            <w:r>
              <w:rPr>
                <w:spacing w:val="-43"/>
                <w:highlight w:val="none"/>
              </w:rPr>
              <w:t xml:space="preserve"> </w:t>
            </w:r>
            <w:r>
              <w:rPr>
                <w:spacing w:val="-10"/>
                <w:highlight w:val="none"/>
              </w:rPr>
              <w:t>年</w:t>
            </w:r>
          </w:p>
        </w:tc>
      </w:tr>
      <w:tr w14:paraId="46AB4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45" w:hRule="atLeast"/>
        </w:trPr>
        <w:tc>
          <w:tcPr>
            <w:tcW w:w="914" w:type="dxa"/>
            <w:gridSpan w:val="2"/>
            <w:vMerge w:val="continue"/>
            <w:tcBorders>
              <w:top w:val="nil"/>
              <w:bottom w:val="nil"/>
            </w:tcBorders>
            <w:noWrap w:val="0"/>
            <w:vAlign w:val="top"/>
          </w:tcPr>
          <w:p w14:paraId="32F586A9">
            <w:pPr>
              <w:rPr>
                <w:rFonts w:ascii="Arial"/>
                <w:sz w:val="21"/>
                <w:highlight w:val="none"/>
              </w:rPr>
            </w:pPr>
          </w:p>
        </w:tc>
        <w:tc>
          <w:tcPr>
            <w:tcW w:w="1377" w:type="dxa"/>
            <w:gridSpan w:val="3"/>
            <w:vMerge w:val="continue"/>
            <w:tcBorders>
              <w:top w:val="nil"/>
              <w:bottom w:val="nil"/>
            </w:tcBorders>
            <w:noWrap w:val="0"/>
            <w:vAlign w:val="top"/>
          </w:tcPr>
          <w:p w14:paraId="1119CF32">
            <w:pPr>
              <w:rPr>
                <w:rFonts w:ascii="Arial"/>
                <w:sz w:val="21"/>
                <w:highlight w:val="none"/>
              </w:rPr>
            </w:pPr>
          </w:p>
        </w:tc>
        <w:tc>
          <w:tcPr>
            <w:tcW w:w="1530" w:type="dxa"/>
            <w:gridSpan w:val="2"/>
            <w:vMerge w:val="continue"/>
            <w:tcBorders>
              <w:top w:val="nil"/>
              <w:bottom w:val="nil"/>
            </w:tcBorders>
            <w:noWrap w:val="0"/>
            <w:vAlign w:val="top"/>
          </w:tcPr>
          <w:p w14:paraId="064C9FCB">
            <w:pPr>
              <w:rPr>
                <w:rFonts w:ascii="Arial"/>
                <w:sz w:val="21"/>
                <w:highlight w:val="none"/>
              </w:rPr>
            </w:pPr>
          </w:p>
        </w:tc>
        <w:tc>
          <w:tcPr>
            <w:tcW w:w="2324" w:type="dxa"/>
            <w:gridSpan w:val="3"/>
            <w:noWrap w:val="0"/>
            <w:vAlign w:val="top"/>
          </w:tcPr>
          <w:p w14:paraId="689F08FE">
            <w:pPr>
              <w:pStyle w:val="65"/>
              <w:spacing w:before="81" w:line="230" w:lineRule="auto"/>
              <w:ind w:left="115" w:right="103" w:hanging="3"/>
              <w:rPr>
                <w:highlight w:val="none"/>
              </w:rPr>
            </w:pPr>
            <w:r>
              <w:rPr>
                <w:highlight w:val="none"/>
              </w:rPr>
              <w:t>砂质海岸生态系统稳定</w:t>
            </w:r>
            <w:r>
              <w:rPr>
                <w:spacing w:val="2"/>
                <w:highlight w:val="none"/>
              </w:rPr>
              <w:t xml:space="preserve"> </w:t>
            </w:r>
            <w:r>
              <w:rPr>
                <w:highlight w:val="none"/>
              </w:rPr>
              <w:t>性</w:t>
            </w:r>
          </w:p>
        </w:tc>
        <w:tc>
          <w:tcPr>
            <w:tcW w:w="3103" w:type="dxa"/>
            <w:gridSpan w:val="2"/>
            <w:noWrap w:val="0"/>
            <w:vAlign w:val="top"/>
          </w:tcPr>
          <w:p w14:paraId="31F1A4CC">
            <w:pPr>
              <w:pStyle w:val="65"/>
              <w:spacing w:before="217" w:line="220" w:lineRule="auto"/>
              <w:ind w:left="1288"/>
              <w:rPr>
                <w:highlight w:val="none"/>
              </w:rPr>
            </w:pPr>
            <w:r>
              <w:rPr>
                <w:spacing w:val="-10"/>
                <w:highlight w:val="none"/>
              </w:rPr>
              <w:t>≥8</w:t>
            </w:r>
            <w:r>
              <w:rPr>
                <w:spacing w:val="-43"/>
                <w:highlight w:val="none"/>
              </w:rPr>
              <w:t xml:space="preserve"> </w:t>
            </w:r>
            <w:r>
              <w:rPr>
                <w:spacing w:val="-10"/>
                <w:highlight w:val="none"/>
              </w:rPr>
              <w:t>年</w:t>
            </w:r>
          </w:p>
        </w:tc>
      </w:tr>
      <w:tr w14:paraId="33C91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74" w:hRule="atLeast"/>
        </w:trPr>
        <w:tc>
          <w:tcPr>
            <w:tcW w:w="914" w:type="dxa"/>
            <w:gridSpan w:val="2"/>
            <w:vMerge w:val="continue"/>
            <w:tcBorders>
              <w:top w:val="nil"/>
              <w:bottom w:val="nil"/>
            </w:tcBorders>
            <w:noWrap w:val="0"/>
            <w:vAlign w:val="top"/>
          </w:tcPr>
          <w:p w14:paraId="245482D4">
            <w:pPr>
              <w:rPr>
                <w:rFonts w:ascii="Arial"/>
                <w:sz w:val="21"/>
                <w:highlight w:val="none"/>
              </w:rPr>
            </w:pPr>
          </w:p>
        </w:tc>
        <w:tc>
          <w:tcPr>
            <w:tcW w:w="1377" w:type="dxa"/>
            <w:gridSpan w:val="3"/>
            <w:vMerge w:val="continue"/>
            <w:tcBorders>
              <w:top w:val="nil"/>
            </w:tcBorders>
            <w:noWrap w:val="0"/>
            <w:vAlign w:val="top"/>
          </w:tcPr>
          <w:p w14:paraId="605E3C94">
            <w:pPr>
              <w:rPr>
                <w:rFonts w:ascii="Arial"/>
                <w:sz w:val="21"/>
                <w:highlight w:val="none"/>
              </w:rPr>
            </w:pPr>
          </w:p>
        </w:tc>
        <w:tc>
          <w:tcPr>
            <w:tcW w:w="1530" w:type="dxa"/>
            <w:gridSpan w:val="2"/>
            <w:vMerge w:val="continue"/>
            <w:tcBorders>
              <w:top w:val="nil"/>
            </w:tcBorders>
            <w:noWrap w:val="0"/>
            <w:vAlign w:val="top"/>
          </w:tcPr>
          <w:p w14:paraId="009F8AC5">
            <w:pPr>
              <w:rPr>
                <w:rFonts w:ascii="Arial"/>
                <w:sz w:val="21"/>
                <w:highlight w:val="none"/>
              </w:rPr>
            </w:pPr>
          </w:p>
        </w:tc>
        <w:tc>
          <w:tcPr>
            <w:tcW w:w="2324" w:type="dxa"/>
            <w:gridSpan w:val="3"/>
            <w:noWrap w:val="0"/>
            <w:vAlign w:val="top"/>
          </w:tcPr>
          <w:p w14:paraId="78C7790E">
            <w:pPr>
              <w:pStyle w:val="65"/>
              <w:spacing w:before="82" w:line="220" w:lineRule="auto"/>
              <w:ind w:left="115"/>
              <w:rPr>
                <w:highlight w:val="none"/>
              </w:rPr>
            </w:pPr>
            <w:r>
              <w:rPr>
                <w:spacing w:val="-2"/>
                <w:highlight w:val="none"/>
              </w:rPr>
              <w:t>后期管护持续时间</w:t>
            </w:r>
          </w:p>
        </w:tc>
        <w:tc>
          <w:tcPr>
            <w:tcW w:w="3103" w:type="dxa"/>
            <w:gridSpan w:val="2"/>
            <w:noWrap w:val="0"/>
            <w:vAlign w:val="top"/>
          </w:tcPr>
          <w:p w14:paraId="0B4CA15C">
            <w:pPr>
              <w:pStyle w:val="65"/>
              <w:spacing w:before="82" w:line="220" w:lineRule="auto"/>
              <w:ind w:left="1288"/>
              <w:rPr>
                <w:highlight w:val="none"/>
              </w:rPr>
            </w:pPr>
            <w:r>
              <w:rPr>
                <w:spacing w:val="-10"/>
                <w:highlight w:val="none"/>
              </w:rPr>
              <w:t>≥5</w:t>
            </w:r>
            <w:r>
              <w:rPr>
                <w:spacing w:val="-43"/>
                <w:highlight w:val="none"/>
              </w:rPr>
              <w:t xml:space="preserve"> </w:t>
            </w:r>
            <w:r>
              <w:rPr>
                <w:spacing w:val="-10"/>
                <w:highlight w:val="none"/>
              </w:rPr>
              <w:t>年</w:t>
            </w:r>
          </w:p>
        </w:tc>
      </w:tr>
      <w:tr w14:paraId="52874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49" w:hRule="atLeast"/>
        </w:trPr>
        <w:tc>
          <w:tcPr>
            <w:tcW w:w="914" w:type="dxa"/>
            <w:gridSpan w:val="2"/>
            <w:vMerge w:val="continue"/>
            <w:tcBorders>
              <w:top w:val="nil"/>
            </w:tcBorders>
            <w:noWrap w:val="0"/>
            <w:vAlign w:val="top"/>
          </w:tcPr>
          <w:p w14:paraId="1CAED98C">
            <w:pPr>
              <w:rPr>
                <w:rFonts w:ascii="Arial"/>
                <w:sz w:val="21"/>
                <w:highlight w:val="none"/>
              </w:rPr>
            </w:pPr>
          </w:p>
        </w:tc>
        <w:tc>
          <w:tcPr>
            <w:tcW w:w="1377" w:type="dxa"/>
            <w:gridSpan w:val="3"/>
            <w:noWrap w:val="0"/>
            <w:vAlign w:val="top"/>
          </w:tcPr>
          <w:p w14:paraId="2FFB1831">
            <w:pPr>
              <w:pStyle w:val="65"/>
              <w:spacing w:before="216" w:line="220" w:lineRule="auto"/>
              <w:ind w:left="110"/>
              <w:rPr>
                <w:highlight w:val="none"/>
              </w:rPr>
            </w:pPr>
            <w:r>
              <w:rPr>
                <w:spacing w:val="-2"/>
                <w:highlight w:val="none"/>
              </w:rPr>
              <w:t>满意度指标</w:t>
            </w:r>
          </w:p>
        </w:tc>
        <w:tc>
          <w:tcPr>
            <w:tcW w:w="1530" w:type="dxa"/>
            <w:gridSpan w:val="2"/>
            <w:noWrap w:val="0"/>
            <w:vAlign w:val="top"/>
          </w:tcPr>
          <w:p w14:paraId="45EC39B1">
            <w:pPr>
              <w:pStyle w:val="65"/>
              <w:spacing w:before="81" w:line="230" w:lineRule="auto"/>
              <w:ind w:left="111" w:right="105"/>
              <w:rPr>
                <w:highlight w:val="none"/>
              </w:rPr>
            </w:pPr>
            <w:r>
              <w:rPr>
                <w:spacing w:val="7"/>
                <w:highlight w:val="none"/>
              </w:rPr>
              <w:t>服务对象满意</w:t>
            </w:r>
            <w:r>
              <w:rPr>
                <w:spacing w:val="3"/>
                <w:highlight w:val="none"/>
              </w:rPr>
              <w:t xml:space="preserve"> </w:t>
            </w:r>
            <w:r>
              <w:rPr>
                <w:spacing w:val="-2"/>
                <w:highlight w:val="none"/>
              </w:rPr>
              <w:t>度指标</w:t>
            </w:r>
          </w:p>
        </w:tc>
        <w:tc>
          <w:tcPr>
            <w:tcW w:w="2324" w:type="dxa"/>
            <w:gridSpan w:val="3"/>
            <w:noWrap w:val="0"/>
            <w:vAlign w:val="top"/>
          </w:tcPr>
          <w:p w14:paraId="3640869D">
            <w:pPr>
              <w:pStyle w:val="65"/>
              <w:spacing w:before="217" w:line="219" w:lineRule="auto"/>
              <w:ind w:left="115"/>
              <w:rPr>
                <w:highlight w:val="none"/>
              </w:rPr>
            </w:pPr>
            <w:r>
              <w:rPr>
                <w:spacing w:val="-2"/>
                <w:highlight w:val="none"/>
              </w:rPr>
              <w:t>社会公众满意度</w:t>
            </w:r>
          </w:p>
        </w:tc>
        <w:tc>
          <w:tcPr>
            <w:tcW w:w="3103" w:type="dxa"/>
            <w:gridSpan w:val="2"/>
            <w:noWrap w:val="0"/>
            <w:vAlign w:val="top"/>
          </w:tcPr>
          <w:p w14:paraId="4FDC8638">
            <w:pPr>
              <w:pStyle w:val="65"/>
              <w:spacing w:before="216" w:line="238" w:lineRule="auto"/>
              <w:ind w:left="1314"/>
              <w:rPr>
                <w:highlight w:val="none"/>
              </w:rPr>
            </w:pPr>
            <w:r>
              <w:rPr>
                <w:spacing w:val="-6"/>
                <w:highlight w:val="none"/>
              </w:rPr>
              <w:t>≥90%</w:t>
            </w:r>
          </w:p>
        </w:tc>
      </w:tr>
    </w:tbl>
    <w:p w14:paraId="08EADAB4">
      <w:pPr>
        <w:spacing w:line="600" w:lineRule="exact"/>
        <w:rPr>
          <w:rFonts w:hint="default" w:ascii="Times New Roman" w:hAnsi="Times New Roman" w:cs="Times New Roman"/>
          <w:b/>
          <w:color w:val="000000"/>
          <w:kern w:val="2"/>
          <w:sz w:val="21"/>
          <w:szCs w:val="21"/>
          <w:highlight w:val="none"/>
        </w:rPr>
      </w:pPr>
    </w:p>
    <w:p w14:paraId="62BD7098">
      <w:pPr>
        <w:spacing w:line="600" w:lineRule="exact"/>
        <w:rPr>
          <w:rFonts w:hint="default" w:ascii="Times New Roman" w:hAnsi="Times New Roman" w:cs="Times New Roman"/>
          <w:b/>
          <w:color w:val="000000"/>
          <w:kern w:val="2"/>
          <w:sz w:val="21"/>
          <w:szCs w:val="21"/>
          <w:highlight w:val="none"/>
        </w:rPr>
      </w:pPr>
    </w:p>
    <w:p w14:paraId="2661BEE7">
      <w:pPr>
        <w:spacing w:line="600" w:lineRule="exact"/>
        <w:rPr>
          <w:rFonts w:hint="default" w:ascii="Times New Roman" w:hAnsi="Times New Roman" w:cs="Times New Roman"/>
          <w:b/>
          <w:color w:val="000000"/>
          <w:kern w:val="2"/>
          <w:sz w:val="21"/>
          <w:szCs w:val="21"/>
          <w:highlight w:val="none"/>
        </w:rPr>
      </w:pPr>
    </w:p>
    <w:p w14:paraId="7DD8697C">
      <w:pPr>
        <w:spacing w:line="600" w:lineRule="exact"/>
        <w:rPr>
          <w:rFonts w:hint="default" w:ascii="Times New Roman" w:hAnsi="Times New Roman" w:cs="Times New Roman"/>
          <w:b/>
          <w:color w:val="000000"/>
          <w:kern w:val="2"/>
          <w:sz w:val="21"/>
          <w:szCs w:val="21"/>
          <w:highlight w:val="none"/>
        </w:rPr>
      </w:pPr>
    </w:p>
    <w:p w14:paraId="493C2717">
      <w:pPr>
        <w:spacing w:line="600" w:lineRule="exact"/>
        <w:rPr>
          <w:rFonts w:hint="default" w:ascii="Times New Roman" w:hAnsi="Times New Roman" w:cs="Times New Roman"/>
          <w:b/>
          <w:color w:val="000000"/>
          <w:kern w:val="2"/>
          <w:sz w:val="21"/>
          <w:szCs w:val="21"/>
          <w:highlight w:val="none"/>
        </w:rPr>
      </w:pPr>
    </w:p>
    <w:p w14:paraId="450279CB">
      <w:pPr>
        <w:spacing w:line="600" w:lineRule="exact"/>
        <w:rPr>
          <w:rFonts w:hint="default" w:ascii="Times New Roman" w:hAnsi="Times New Roman" w:cs="Times New Roman"/>
          <w:b/>
          <w:color w:val="000000"/>
          <w:kern w:val="2"/>
          <w:sz w:val="21"/>
          <w:szCs w:val="21"/>
          <w:highlight w:val="none"/>
        </w:rPr>
      </w:pPr>
    </w:p>
    <w:p w14:paraId="7535E95A">
      <w:pPr>
        <w:spacing w:line="600" w:lineRule="exact"/>
        <w:rPr>
          <w:rFonts w:hint="default" w:ascii="Times New Roman" w:hAnsi="Times New Roman" w:cs="Times New Roman"/>
          <w:b/>
          <w:color w:val="000000"/>
          <w:kern w:val="2"/>
          <w:sz w:val="21"/>
          <w:szCs w:val="21"/>
          <w:highlight w:val="none"/>
        </w:rPr>
      </w:pPr>
    </w:p>
    <w:p w14:paraId="0511F01D">
      <w:pPr>
        <w:spacing w:line="600" w:lineRule="exact"/>
        <w:rPr>
          <w:rFonts w:hint="default" w:ascii="Times New Roman" w:hAnsi="Times New Roman" w:cs="Times New Roman"/>
          <w:b/>
          <w:color w:val="000000"/>
          <w:kern w:val="2"/>
          <w:sz w:val="21"/>
          <w:szCs w:val="21"/>
          <w:highlight w:val="none"/>
        </w:rPr>
      </w:pPr>
    </w:p>
    <w:p w14:paraId="18E0ACB9">
      <w:pPr>
        <w:spacing w:line="600" w:lineRule="exact"/>
        <w:rPr>
          <w:rFonts w:hint="default" w:ascii="Times New Roman" w:hAnsi="Times New Roman" w:cs="Times New Roman"/>
          <w:b/>
          <w:color w:val="000000"/>
          <w:kern w:val="2"/>
          <w:sz w:val="21"/>
          <w:szCs w:val="21"/>
          <w:highlight w:val="none"/>
        </w:rPr>
      </w:pPr>
    </w:p>
    <w:p w14:paraId="037EC732">
      <w:pPr>
        <w:spacing w:line="600" w:lineRule="exact"/>
        <w:rPr>
          <w:rFonts w:hint="eastAsia"/>
          <w:highlight w:val="none"/>
        </w:rPr>
      </w:pPr>
    </w:p>
    <w:p w14:paraId="7D6D6A83">
      <w:pPr>
        <w:pStyle w:val="3"/>
        <w:spacing w:before="120" w:after="120" w:line="400" w:lineRule="exact"/>
        <w:jc w:val="center"/>
        <w:rPr>
          <w:rFonts w:hint="eastAsia" w:ascii="黑体" w:hAnsi="黑体" w:eastAsia="黑体"/>
          <w:b w:val="0"/>
          <w:bCs w:val="0"/>
          <w:sz w:val="32"/>
          <w:highlight w:val="none"/>
        </w:rPr>
      </w:pPr>
      <w:bookmarkStart w:id="987" w:name="_Toc152042554"/>
      <w:bookmarkStart w:id="988" w:name="_Toc144974834"/>
      <w:bookmarkStart w:id="989" w:name="_Toc152045772"/>
      <w:bookmarkStart w:id="990" w:name="_Toc18742"/>
      <w:r>
        <w:rPr>
          <w:rFonts w:hint="eastAsia" w:ascii="黑体" w:hAnsi="黑体" w:eastAsia="黑体"/>
          <w:b w:val="0"/>
          <w:bCs w:val="0"/>
          <w:sz w:val="32"/>
          <w:highlight w:val="none"/>
        </w:rPr>
        <w:t>第五章  工程量清单</w:t>
      </w:r>
      <w:bookmarkEnd w:id="987"/>
      <w:bookmarkEnd w:id="988"/>
      <w:bookmarkEnd w:id="989"/>
      <w:bookmarkEnd w:id="990"/>
    </w:p>
    <w:p w14:paraId="68F68520">
      <w:pPr>
        <w:spacing w:line="400" w:lineRule="exact"/>
        <w:rPr>
          <w:highlight w:val="none"/>
        </w:rPr>
      </w:pPr>
    </w:p>
    <w:p w14:paraId="7526F2B5">
      <w:pPr>
        <w:spacing w:line="400" w:lineRule="exact"/>
        <w:rPr>
          <w:rFonts w:hint="eastAsia" w:ascii="Times New Roman" w:hAnsi="Times New Roman" w:eastAsia="宋体" w:cs="Times New Roman"/>
          <w:b/>
          <w:bCs/>
          <w:highlight w:val="none"/>
          <w:lang w:eastAsia="zh-CN"/>
        </w:rPr>
      </w:pPr>
      <w:bookmarkStart w:id="991" w:name="_Toc152042557"/>
      <w:bookmarkStart w:id="992" w:name="_Toc152045775"/>
      <w:bookmarkStart w:id="993" w:name="_Toc144974837"/>
      <w:r>
        <w:rPr>
          <w:rFonts w:hint="eastAsia" w:ascii="Times New Roman" w:hAnsi="Times New Roman" w:eastAsia="宋体" w:cs="Times New Roman"/>
          <w:b/>
          <w:bCs/>
          <w:highlight w:val="none"/>
          <w:lang w:val="en-US" w:eastAsia="zh-CN"/>
        </w:rPr>
        <w:t>工程量清单另附</w:t>
      </w:r>
      <w:bookmarkStart w:id="994" w:name="_Toc152045776"/>
      <w:bookmarkStart w:id="995" w:name="_Toc144974838"/>
      <w:bookmarkStart w:id="996" w:name="_Toc152042558"/>
    </w:p>
    <w:p w14:paraId="5B0DCB68">
      <w:pPr>
        <w:topLinePunct/>
        <w:spacing w:line="440" w:lineRule="exact"/>
        <w:jc w:val="center"/>
        <w:rPr>
          <w:rFonts w:hint="eastAsia"/>
          <w:highlight w:val="none"/>
        </w:rPr>
      </w:pPr>
      <w:r>
        <w:rPr>
          <w:rFonts w:hint="eastAsia"/>
          <w:highlight w:val="none"/>
        </w:rPr>
        <w:br w:type="page"/>
      </w:r>
      <w:bookmarkEnd w:id="991"/>
      <w:bookmarkEnd w:id="992"/>
      <w:bookmarkEnd w:id="993"/>
      <w:bookmarkEnd w:id="994"/>
      <w:bookmarkEnd w:id="995"/>
      <w:bookmarkEnd w:id="996"/>
    </w:p>
    <w:p w14:paraId="2FEE36B1">
      <w:pPr>
        <w:topLinePunct/>
        <w:spacing w:line="440" w:lineRule="exact"/>
        <w:jc w:val="center"/>
        <w:rPr>
          <w:rFonts w:hint="eastAsia"/>
          <w:highlight w:val="none"/>
        </w:rPr>
      </w:pPr>
    </w:p>
    <w:p w14:paraId="1ECB9969">
      <w:pPr>
        <w:topLinePunct/>
        <w:spacing w:line="440" w:lineRule="exact"/>
        <w:jc w:val="center"/>
        <w:rPr>
          <w:rFonts w:hint="eastAsia"/>
          <w:highlight w:val="none"/>
        </w:rPr>
      </w:pPr>
    </w:p>
    <w:p w14:paraId="1E749285">
      <w:pPr>
        <w:topLinePunct/>
        <w:spacing w:line="440" w:lineRule="exact"/>
        <w:jc w:val="center"/>
        <w:rPr>
          <w:rFonts w:hint="eastAsia"/>
          <w:highlight w:val="none"/>
        </w:rPr>
      </w:pPr>
    </w:p>
    <w:p w14:paraId="2F2283CB">
      <w:pPr>
        <w:topLinePunct/>
        <w:spacing w:line="440" w:lineRule="exact"/>
        <w:jc w:val="center"/>
        <w:rPr>
          <w:rFonts w:hint="eastAsia"/>
          <w:highlight w:val="none"/>
        </w:rPr>
      </w:pPr>
    </w:p>
    <w:p w14:paraId="3A19CF51">
      <w:pPr>
        <w:jc w:val="center"/>
        <w:rPr>
          <w:rFonts w:hint="eastAsia" w:ascii="黑体" w:hAnsi="黑体" w:eastAsia="黑体"/>
          <w:kern w:val="44"/>
          <w:sz w:val="32"/>
          <w:szCs w:val="44"/>
          <w:highlight w:val="none"/>
        </w:rPr>
      </w:pPr>
    </w:p>
    <w:p w14:paraId="4F734010">
      <w:pPr>
        <w:jc w:val="center"/>
        <w:rPr>
          <w:rFonts w:hint="eastAsia" w:ascii="黑体" w:hAnsi="黑体" w:eastAsia="黑体"/>
          <w:kern w:val="44"/>
          <w:sz w:val="32"/>
          <w:szCs w:val="44"/>
          <w:highlight w:val="none"/>
        </w:rPr>
      </w:pPr>
    </w:p>
    <w:p w14:paraId="6362A7E8">
      <w:pPr>
        <w:pStyle w:val="3"/>
        <w:spacing w:before="120" w:after="120" w:line="400" w:lineRule="exact"/>
        <w:jc w:val="center"/>
        <w:rPr>
          <w:rFonts w:hint="eastAsia"/>
          <w:sz w:val="20"/>
          <w:szCs w:val="20"/>
          <w:highlight w:val="none"/>
        </w:rPr>
      </w:pPr>
      <w:bookmarkStart w:id="997" w:name="_Toc13485"/>
      <w:r>
        <w:rPr>
          <w:rFonts w:hint="eastAsia" w:ascii="黑体" w:hAnsi="黑体" w:eastAsia="黑体"/>
          <w:b w:val="0"/>
          <w:bCs w:val="0"/>
          <w:sz w:val="32"/>
          <w:highlight w:val="none"/>
        </w:rPr>
        <w:t>第二卷</w:t>
      </w:r>
      <w:r>
        <w:rPr>
          <w:rFonts w:ascii="黑体" w:hAnsi="黑体" w:eastAsia="黑体"/>
          <w:b w:val="0"/>
          <w:bCs w:val="0"/>
          <w:sz w:val="32"/>
          <w:highlight w:val="none"/>
        </w:rPr>
        <w:br w:type="page"/>
      </w:r>
      <w:bookmarkEnd w:id="997"/>
    </w:p>
    <w:p w14:paraId="0F213252">
      <w:pPr>
        <w:spacing w:line="440" w:lineRule="exact"/>
        <w:jc w:val="center"/>
        <w:rPr>
          <w:rFonts w:hint="eastAsia"/>
          <w:sz w:val="20"/>
          <w:szCs w:val="20"/>
          <w:highlight w:val="none"/>
        </w:rPr>
      </w:pPr>
    </w:p>
    <w:p w14:paraId="57FCFEBB">
      <w:pPr>
        <w:pStyle w:val="3"/>
        <w:spacing w:before="120" w:after="120" w:line="400" w:lineRule="exact"/>
        <w:jc w:val="center"/>
        <w:rPr>
          <w:rFonts w:hint="eastAsia" w:ascii="黑体" w:hAnsi="黑体" w:eastAsia="黑体"/>
          <w:b w:val="0"/>
          <w:bCs w:val="0"/>
          <w:sz w:val="32"/>
          <w:highlight w:val="none"/>
        </w:rPr>
      </w:pPr>
      <w:bookmarkStart w:id="998" w:name="_Toc152042571"/>
      <w:bookmarkStart w:id="999" w:name="_Toc144974851"/>
      <w:bookmarkStart w:id="1000" w:name="_Toc152045782"/>
      <w:bookmarkStart w:id="1001" w:name="_Toc26724"/>
      <w:r>
        <w:rPr>
          <w:rFonts w:hint="eastAsia" w:ascii="黑体" w:hAnsi="黑体" w:eastAsia="黑体"/>
          <w:b w:val="0"/>
          <w:bCs w:val="0"/>
          <w:sz w:val="32"/>
          <w:highlight w:val="none"/>
        </w:rPr>
        <w:t>第六章  图  纸</w:t>
      </w:r>
      <w:bookmarkEnd w:id="998"/>
      <w:bookmarkEnd w:id="999"/>
      <w:bookmarkEnd w:id="1000"/>
      <w:bookmarkEnd w:id="1001"/>
    </w:p>
    <w:p w14:paraId="1DC3EFB8">
      <w:pPr>
        <w:topLinePunct/>
        <w:spacing w:line="440" w:lineRule="exact"/>
        <w:jc w:val="center"/>
        <w:rPr>
          <w:highlight w:val="none"/>
        </w:rPr>
      </w:pPr>
    </w:p>
    <w:p w14:paraId="090F4A48">
      <w:pPr>
        <w:spacing w:line="400" w:lineRule="exact"/>
        <w:rPr>
          <w:rFonts w:hint="eastAsia"/>
          <w:highlight w:val="none"/>
        </w:rPr>
      </w:pPr>
      <w:r>
        <w:rPr>
          <w:rFonts w:hint="eastAsia"/>
          <w:b/>
          <w:bCs/>
          <w:highlight w:val="none"/>
          <w:lang w:val="en-US" w:eastAsia="zh-CN"/>
        </w:rPr>
        <w:t>图纸另附</w:t>
      </w:r>
      <w:r>
        <w:rPr>
          <w:highlight w:val="none"/>
        </w:rPr>
        <w:br w:type="page"/>
      </w:r>
    </w:p>
    <w:p w14:paraId="077FA0C9">
      <w:pPr>
        <w:spacing w:line="400" w:lineRule="exact"/>
        <w:rPr>
          <w:rFonts w:hint="eastAsia"/>
          <w:highlight w:val="none"/>
        </w:rPr>
      </w:pPr>
    </w:p>
    <w:p w14:paraId="2FD5A6BC">
      <w:pPr>
        <w:spacing w:line="400" w:lineRule="exact"/>
        <w:rPr>
          <w:rFonts w:hint="eastAsia"/>
          <w:highlight w:val="none"/>
        </w:rPr>
      </w:pPr>
    </w:p>
    <w:p w14:paraId="2A215679">
      <w:pPr>
        <w:spacing w:line="400" w:lineRule="exact"/>
        <w:rPr>
          <w:rFonts w:hint="eastAsia"/>
          <w:highlight w:val="none"/>
        </w:rPr>
      </w:pPr>
    </w:p>
    <w:p w14:paraId="1B2C5A97">
      <w:pPr>
        <w:spacing w:line="400" w:lineRule="exact"/>
        <w:rPr>
          <w:rFonts w:hint="eastAsia"/>
          <w:highlight w:val="none"/>
        </w:rPr>
      </w:pPr>
    </w:p>
    <w:p w14:paraId="33EFDE52">
      <w:pPr>
        <w:spacing w:line="400" w:lineRule="exact"/>
        <w:jc w:val="center"/>
        <w:rPr>
          <w:rFonts w:hint="eastAsia"/>
          <w:highlight w:val="none"/>
        </w:rPr>
      </w:pPr>
    </w:p>
    <w:p w14:paraId="3A04394E">
      <w:pPr>
        <w:spacing w:line="400" w:lineRule="exact"/>
        <w:jc w:val="center"/>
        <w:rPr>
          <w:rFonts w:hint="eastAsia"/>
          <w:highlight w:val="none"/>
        </w:rPr>
      </w:pPr>
    </w:p>
    <w:p w14:paraId="33C46B0B">
      <w:pPr>
        <w:spacing w:line="400" w:lineRule="exact"/>
        <w:jc w:val="center"/>
        <w:rPr>
          <w:rFonts w:hint="eastAsia"/>
          <w:highlight w:val="none"/>
        </w:rPr>
      </w:pPr>
    </w:p>
    <w:p w14:paraId="3919FEF5">
      <w:pPr>
        <w:spacing w:line="400" w:lineRule="exact"/>
        <w:jc w:val="center"/>
        <w:rPr>
          <w:rFonts w:hint="eastAsia"/>
          <w:highlight w:val="none"/>
        </w:rPr>
      </w:pPr>
    </w:p>
    <w:p w14:paraId="04BC65E8">
      <w:pPr>
        <w:spacing w:line="400" w:lineRule="exact"/>
        <w:jc w:val="center"/>
        <w:rPr>
          <w:rFonts w:hint="eastAsia"/>
          <w:highlight w:val="none"/>
        </w:rPr>
      </w:pPr>
    </w:p>
    <w:p w14:paraId="614C42A7">
      <w:pPr>
        <w:spacing w:line="400" w:lineRule="exact"/>
        <w:jc w:val="center"/>
        <w:rPr>
          <w:rFonts w:hint="eastAsia"/>
          <w:highlight w:val="none"/>
        </w:rPr>
      </w:pPr>
    </w:p>
    <w:p w14:paraId="35FAA276">
      <w:pPr>
        <w:pStyle w:val="3"/>
        <w:spacing w:before="120" w:after="120" w:line="400" w:lineRule="exact"/>
        <w:jc w:val="center"/>
        <w:rPr>
          <w:rFonts w:hint="eastAsia" w:ascii="黑体" w:hAnsi="黑体" w:eastAsia="黑体"/>
          <w:b w:val="0"/>
          <w:bCs w:val="0"/>
          <w:sz w:val="32"/>
          <w:highlight w:val="none"/>
        </w:rPr>
      </w:pPr>
      <w:bookmarkStart w:id="1002" w:name="_Toc13271"/>
      <w:r>
        <w:rPr>
          <w:rFonts w:hint="eastAsia" w:ascii="黑体" w:hAnsi="黑体" w:eastAsia="黑体"/>
          <w:b w:val="0"/>
          <w:bCs w:val="0"/>
          <w:sz w:val="32"/>
          <w:highlight w:val="none"/>
        </w:rPr>
        <w:t>第三卷</w:t>
      </w:r>
      <w:bookmarkEnd w:id="1002"/>
    </w:p>
    <w:p w14:paraId="71E4D48B">
      <w:pPr>
        <w:spacing w:line="400" w:lineRule="exact"/>
        <w:jc w:val="center"/>
        <w:rPr>
          <w:rFonts w:hint="eastAsia"/>
          <w:highlight w:val="none"/>
        </w:rPr>
      </w:pPr>
      <w:bookmarkStart w:id="1003" w:name="_Toc152042574"/>
      <w:bookmarkStart w:id="1004" w:name="_Toc144974854"/>
      <w:bookmarkStart w:id="1005" w:name="_Toc152045785"/>
      <w:r>
        <w:rPr>
          <w:highlight w:val="none"/>
        </w:rPr>
        <w:br w:type="page"/>
      </w:r>
    </w:p>
    <w:p w14:paraId="104A5828">
      <w:pPr>
        <w:spacing w:line="400" w:lineRule="exact"/>
        <w:jc w:val="center"/>
        <w:rPr>
          <w:rFonts w:hint="eastAsia"/>
          <w:highlight w:val="none"/>
        </w:rPr>
      </w:pPr>
    </w:p>
    <w:p w14:paraId="710B954D">
      <w:pPr>
        <w:spacing w:line="400" w:lineRule="exact"/>
        <w:jc w:val="center"/>
        <w:rPr>
          <w:rFonts w:hint="eastAsia"/>
          <w:highlight w:val="none"/>
        </w:rPr>
      </w:pPr>
    </w:p>
    <w:p w14:paraId="60E46512">
      <w:pPr>
        <w:spacing w:line="400" w:lineRule="exact"/>
        <w:jc w:val="center"/>
        <w:rPr>
          <w:rFonts w:hint="eastAsia"/>
          <w:highlight w:val="none"/>
        </w:rPr>
      </w:pPr>
    </w:p>
    <w:p w14:paraId="64F3725A">
      <w:pPr>
        <w:spacing w:line="400" w:lineRule="exact"/>
        <w:jc w:val="center"/>
        <w:rPr>
          <w:rFonts w:hint="eastAsia"/>
          <w:highlight w:val="none"/>
        </w:rPr>
      </w:pPr>
    </w:p>
    <w:p w14:paraId="4F249CF3">
      <w:pPr>
        <w:pStyle w:val="3"/>
        <w:spacing w:before="120" w:after="120" w:line="400" w:lineRule="exact"/>
        <w:jc w:val="center"/>
        <w:rPr>
          <w:rFonts w:hint="eastAsia" w:ascii="黑体" w:hAnsi="黑体" w:eastAsia="黑体"/>
          <w:b w:val="0"/>
          <w:bCs w:val="0"/>
          <w:sz w:val="32"/>
          <w:highlight w:val="none"/>
        </w:rPr>
      </w:pPr>
      <w:bookmarkStart w:id="1006" w:name="_Toc743"/>
      <w:r>
        <w:rPr>
          <w:rFonts w:hint="eastAsia" w:ascii="黑体" w:hAnsi="黑体" w:eastAsia="黑体"/>
          <w:b w:val="0"/>
          <w:bCs w:val="0"/>
          <w:sz w:val="32"/>
          <w:highlight w:val="none"/>
        </w:rPr>
        <w:t>第七章  技术标准和要求</w:t>
      </w:r>
      <w:bookmarkEnd w:id="1003"/>
      <w:bookmarkEnd w:id="1004"/>
      <w:bookmarkEnd w:id="1005"/>
      <w:bookmarkEnd w:id="1006"/>
    </w:p>
    <w:p w14:paraId="050D7FC1">
      <w:pPr>
        <w:spacing w:line="400" w:lineRule="exact"/>
        <w:rPr>
          <w:highlight w:val="none"/>
        </w:rPr>
      </w:pPr>
    </w:p>
    <w:p w14:paraId="721BC4FA">
      <w:pPr>
        <w:spacing w:line="400" w:lineRule="exact"/>
        <w:rPr>
          <w:highlight w:val="none"/>
        </w:rPr>
      </w:pPr>
    </w:p>
    <w:p w14:paraId="754B3195">
      <w:pPr>
        <w:spacing w:line="500" w:lineRule="exact"/>
        <w:rPr>
          <w:rStyle w:val="56"/>
          <w:rFonts w:ascii="宋体" w:hAnsi="宋体"/>
          <w:b/>
          <w:color w:val="000000"/>
          <w:szCs w:val="21"/>
          <w:highlight w:val="none"/>
        </w:rPr>
      </w:pPr>
      <w:r>
        <w:rPr>
          <w:highlight w:val="none"/>
        </w:rPr>
        <w:br w:type="page"/>
      </w:r>
      <w:r>
        <w:rPr>
          <w:rStyle w:val="56"/>
          <w:rFonts w:hint="eastAsia"/>
          <w:b/>
          <w:color w:val="000000"/>
          <w:highlight w:val="none"/>
        </w:rPr>
        <w:t>一、适用的国家、行业以及地方规范、标准和规程</w:t>
      </w:r>
    </w:p>
    <w:p w14:paraId="3C1815CB">
      <w:pPr>
        <w:spacing w:line="500" w:lineRule="exact"/>
        <w:rPr>
          <w:rStyle w:val="56"/>
          <w:rFonts w:hint="eastAsia"/>
          <w:b/>
          <w:color w:val="000000"/>
          <w:highlight w:val="none"/>
        </w:rPr>
      </w:pPr>
      <w:r>
        <w:rPr>
          <w:rStyle w:val="56"/>
          <w:rFonts w:hint="eastAsia"/>
          <w:b/>
          <w:color w:val="000000"/>
          <w:highlight w:val="none"/>
        </w:rPr>
        <w:t>（一）工程建设标准</w:t>
      </w:r>
    </w:p>
    <w:p w14:paraId="1494B579">
      <w:pPr>
        <w:spacing w:line="360" w:lineRule="auto"/>
        <w:ind w:left="407" w:leftChars="194" w:firstLine="422" w:firstLineChars="200"/>
        <w:rPr>
          <w:rStyle w:val="56"/>
          <w:rFonts w:hint="eastAsia" w:eastAsia="宋体"/>
          <w:b/>
          <w:bCs/>
          <w:color w:val="000000"/>
          <w:highlight w:val="none"/>
          <w:lang w:val="en-US" w:eastAsia="zh-CN"/>
        </w:rPr>
      </w:pPr>
      <w:r>
        <w:rPr>
          <w:rStyle w:val="56"/>
          <w:rFonts w:hint="eastAsia"/>
          <w:b/>
          <w:bCs/>
          <w:color w:val="000000"/>
          <w:highlight w:val="none"/>
        </w:rPr>
        <w:t>1、有关国家法律</w:t>
      </w:r>
      <w:r>
        <w:rPr>
          <w:rStyle w:val="56"/>
          <w:rFonts w:hint="eastAsia"/>
          <w:b/>
          <w:bCs/>
          <w:color w:val="000000"/>
          <w:highlight w:val="none"/>
          <w:lang w:val="en-US" w:eastAsia="zh-CN"/>
        </w:rPr>
        <w:t>法规</w:t>
      </w:r>
    </w:p>
    <w:p w14:paraId="7D8188FC">
      <w:pPr>
        <w:spacing w:line="360" w:lineRule="auto"/>
        <w:ind w:left="407" w:leftChars="194" w:firstLine="420" w:firstLineChars="200"/>
        <w:rPr>
          <w:rStyle w:val="56"/>
          <w:rFonts w:hint="eastAsia"/>
          <w:highlight w:val="none"/>
        </w:rPr>
      </w:pPr>
      <w:r>
        <w:rPr>
          <w:rStyle w:val="56"/>
          <w:rFonts w:hint="eastAsia"/>
          <w:highlight w:val="none"/>
        </w:rPr>
        <w:t xml:space="preserve">（1）《中华人民共和国环境保护法》，2015.1.1（修订）； </w:t>
      </w:r>
    </w:p>
    <w:p w14:paraId="3C9B103D">
      <w:pPr>
        <w:spacing w:line="360" w:lineRule="auto"/>
        <w:ind w:left="407" w:leftChars="194" w:firstLine="420" w:firstLineChars="200"/>
        <w:rPr>
          <w:rStyle w:val="56"/>
          <w:rFonts w:hint="eastAsia"/>
          <w:highlight w:val="none"/>
        </w:rPr>
      </w:pPr>
      <w:r>
        <w:rPr>
          <w:rStyle w:val="56"/>
          <w:rFonts w:hint="eastAsia"/>
          <w:highlight w:val="none"/>
        </w:rPr>
        <w:t xml:space="preserve">（2）《中华人民共和国环境影响评价法》，2016.9.1； </w:t>
      </w:r>
    </w:p>
    <w:p w14:paraId="08E99CED">
      <w:pPr>
        <w:spacing w:line="360" w:lineRule="auto"/>
        <w:ind w:left="407" w:leftChars="194" w:firstLine="420" w:firstLineChars="200"/>
        <w:rPr>
          <w:rStyle w:val="56"/>
          <w:rFonts w:hint="eastAsia"/>
          <w:highlight w:val="none"/>
        </w:rPr>
      </w:pPr>
      <w:r>
        <w:rPr>
          <w:rStyle w:val="56"/>
          <w:rFonts w:hint="eastAsia"/>
          <w:highlight w:val="none"/>
        </w:rPr>
        <w:t xml:space="preserve">（3）《中华人民共和国海洋环境保护法》，2023.10.24（修订）； </w:t>
      </w:r>
    </w:p>
    <w:p w14:paraId="6F884165">
      <w:pPr>
        <w:spacing w:line="360" w:lineRule="auto"/>
        <w:ind w:left="407" w:leftChars="194" w:firstLine="420" w:firstLineChars="200"/>
        <w:rPr>
          <w:rStyle w:val="56"/>
          <w:rFonts w:hint="eastAsia"/>
          <w:highlight w:val="none"/>
        </w:rPr>
      </w:pPr>
      <w:r>
        <w:rPr>
          <w:rStyle w:val="56"/>
          <w:rFonts w:hint="eastAsia"/>
          <w:highlight w:val="none"/>
        </w:rPr>
        <w:t xml:space="preserve">（4）《中华人民共和国水污染防治法》，2017.6.27（修订）； </w:t>
      </w:r>
    </w:p>
    <w:p w14:paraId="4D6C6E72">
      <w:pPr>
        <w:spacing w:line="360" w:lineRule="auto"/>
        <w:ind w:left="407" w:leftChars="194" w:firstLine="420" w:firstLineChars="200"/>
        <w:rPr>
          <w:rStyle w:val="56"/>
          <w:rFonts w:hint="eastAsia"/>
          <w:highlight w:val="none"/>
        </w:rPr>
      </w:pPr>
      <w:r>
        <w:rPr>
          <w:rStyle w:val="56"/>
          <w:rFonts w:hint="eastAsia"/>
          <w:highlight w:val="none"/>
        </w:rPr>
        <w:t xml:space="preserve">（5）《中华人民共和国大气污染防治法》，2018.10.26（修订）； </w:t>
      </w:r>
    </w:p>
    <w:p w14:paraId="54E70023">
      <w:pPr>
        <w:spacing w:line="360" w:lineRule="auto"/>
        <w:ind w:left="407" w:leftChars="194" w:firstLine="420" w:firstLineChars="200"/>
        <w:rPr>
          <w:rStyle w:val="56"/>
          <w:rFonts w:hint="eastAsia"/>
          <w:highlight w:val="none"/>
        </w:rPr>
      </w:pPr>
      <w:r>
        <w:rPr>
          <w:rStyle w:val="56"/>
          <w:rFonts w:hint="eastAsia"/>
          <w:highlight w:val="none"/>
        </w:rPr>
        <w:t xml:space="preserve">（6）《中华人民共和国噪声污染防治法》，1997.3.1； </w:t>
      </w:r>
    </w:p>
    <w:p w14:paraId="72DC1A4C">
      <w:pPr>
        <w:spacing w:line="360" w:lineRule="auto"/>
        <w:ind w:left="407" w:leftChars="194" w:firstLine="420" w:firstLineChars="200"/>
        <w:rPr>
          <w:rStyle w:val="56"/>
          <w:rFonts w:hint="eastAsia"/>
          <w:highlight w:val="none"/>
        </w:rPr>
      </w:pPr>
      <w:r>
        <w:rPr>
          <w:rStyle w:val="56"/>
          <w:rFonts w:hint="eastAsia"/>
          <w:highlight w:val="none"/>
        </w:rPr>
        <w:t xml:space="preserve">（7）《中华人民共和国固体废物污染环境防治法》，2016.11.7（修订）； </w:t>
      </w:r>
    </w:p>
    <w:p w14:paraId="62A91F7A">
      <w:pPr>
        <w:spacing w:line="360" w:lineRule="auto"/>
        <w:ind w:left="407" w:leftChars="194" w:firstLine="420" w:firstLineChars="200"/>
        <w:rPr>
          <w:rStyle w:val="56"/>
          <w:rFonts w:hint="eastAsia"/>
          <w:highlight w:val="none"/>
        </w:rPr>
      </w:pPr>
      <w:r>
        <w:rPr>
          <w:rStyle w:val="56"/>
          <w:rFonts w:hint="eastAsia"/>
          <w:highlight w:val="none"/>
        </w:rPr>
        <w:t xml:space="preserve">（8）《中华人民共和国海域使用管理法》，2002.1.1； </w:t>
      </w:r>
    </w:p>
    <w:p w14:paraId="1DF3E539">
      <w:pPr>
        <w:spacing w:line="360" w:lineRule="auto"/>
        <w:ind w:left="407" w:leftChars="194" w:firstLine="420" w:firstLineChars="200"/>
        <w:rPr>
          <w:rStyle w:val="56"/>
          <w:rFonts w:hint="eastAsia"/>
          <w:highlight w:val="none"/>
        </w:rPr>
      </w:pPr>
      <w:r>
        <w:rPr>
          <w:rStyle w:val="56"/>
          <w:rFonts w:hint="eastAsia"/>
          <w:highlight w:val="none"/>
        </w:rPr>
        <w:t xml:space="preserve">（9）《中华人民共和国水土保持法》，2010.12； </w:t>
      </w:r>
    </w:p>
    <w:p w14:paraId="46C8D33F">
      <w:pPr>
        <w:spacing w:line="360" w:lineRule="auto"/>
        <w:ind w:left="407" w:leftChars="194" w:firstLine="420" w:firstLineChars="200"/>
        <w:rPr>
          <w:rStyle w:val="56"/>
          <w:rFonts w:hint="eastAsia"/>
          <w:highlight w:val="none"/>
        </w:rPr>
      </w:pPr>
      <w:r>
        <w:rPr>
          <w:rStyle w:val="56"/>
          <w:rFonts w:hint="eastAsia"/>
          <w:highlight w:val="none"/>
        </w:rPr>
        <w:t xml:space="preserve">（10）《中华人民共和国清洁生产促进法》，2012.2.29； </w:t>
      </w:r>
    </w:p>
    <w:p w14:paraId="365DC9F3">
      <w:pPr>
        <w:spacing w:line="360" w:lineRule="auto"/>
        <w:ind w:left="407" w:leftChars="194" w:firstLine="420" w:firstLineChars="200"/>
        <w:rPr>
          <w:rStyle w:val="56"/>
          <w:rFonts w:hint="eastAsia"/>
          <w:highlight w:val="none"/>
        </w:rPr>
      </w:pPr>
      <w:r>
        <w:rPr>
          <w:rStyle w:val="56"/>
          <w:rFonts w:hint="eastAsia"/>
          <w:highlight w:val="none"/>
        </w:rPr>
        <w:t>（11）《中华人民共和国渔业法》，2013.12.28（修订）；</w:t>
      </w:r>
    </w:p>
    <w:p w14:paraId="2A075A69">
      <w:pPr>
        <w:spacing w:line="360" w:lineRule="auto"/>
        <w:ind w:left="407" w:leftChars="194" w:firstLine="420" w:firstLineChars="200"/>
        <w:rPr>
          <w:rStyle w:val="56"/>
          <w:rFonts w:hint="eastAsia"/>
          <w:highlight w:val="none"/>
        </w:rPr>
      </w:pPr>
      <w:r>
        <w:rPr>
          <w:rStyle w:val="56"/>
          <w:rFonts w:hint="eastAsia"/>
          <w:highlight w:val="none"/>
        </w:rPr>
        <w:t xml:space="preserve">（12）《中华人民共和国港口法》，2014.1； </w:t>
      </w:r>
    </w:p>
    <w:p w14:paraId="5CE61E18">
      <w:pPr>
        <w:spacing w:line="360" w:lineRule="auto"/>
        <w:ind w:left="407" w:leftChars="194" w:firstLine="420" w:firstLineChars="200"/>
        <w:rPr>
          <w:rStyle w:val="56"/>
          <w:rFonts w:hint="eastAsia"/>
          <w:highlight w:val="none"/>
        </w:rPr>
      </w:pPr>
      <w:r>
        <w:rPr>
          <w:rStyle w:val="56"/>
          <w:rFonts w:hint="eastAsia"/>
          <w:highlight w:val="none"/>
        </w:rPr>
        <w:t xml:space="preserve">（13）《中华人民共和国湿地保护法》，2022.6； </w:t>
      </w:r>
    </w:p>
    <w:p w14:paraId="713AA16A">
      <w:pPr>
        <w:spacing w:line="360" w:lineRule="auto"/>
        <w:ind w:left="407" w:leftChars="194" w:firstLine="420" w:firstLineChars="200"/>
        <w:rPr>
          <w:rStyle w:val="56"/>
          <w:rFonts w:hint="eastAsia"/>
          <w:highlight w:val="none"/>
        </w:rPr>
      </w:pPr>
      <w:r>
        <w:rPr>
          <w:rStyle w:val="56"/>
          <w:rFonts w:hint="eastAsia"/>
          <w:highlight w:val="none"/>
        </w:rPr>
        <w:t xml:space="preserve">（14）《建设项目环境保护管理条例》，2018.5； </w:t>
      </w:r>
    </w:p>
    <w:p w14:paraId="1429D16D">
      <w:pPr>
        <w:spacing w:line="360" w:lineRule="auto"/>
        <w:ind w:left="407" w:leftChars="194" w:firstLine="420" w:firstLineChars="200"/>
        <w:rPr>
          <w:rStyle w:val="56"/>
          <w:rFonts w:hint="eastAsia"/>
          <w:highlight w:val="none"/>
        </w:rPr>
      </w:pPr>
      <w:r>
        <w:rPr>
          <w:rStyle w:val="56"/>
          <w:rFonts w:hint="eastAsia"/>
          <w:highlight w:val="none"/>
        </w:rPr>
        <w:t xml:space="preserve">（15）《防治陆源污染物污染损害海洋环境管理条例》，1990.8； </w:t>
      </w:r>
    </w:p>
    <w:p w14:paraId="21977CD5">
      <w:pPr>
        <w:spacing w:line="360" w:lineRule="auto"/>
        <w:ind w:left="407" w:leftChars="194" w:firstLine="420" w:firstLineChars="200"/>
        <w:rPr>
          <w:rStyle w:val="56"/>
          <w:rFonts w:hint="eastAsia"/>
          <w:highlight w:val="none"/>
        </w:rPr>
      </w:pPr>
      <w:r>
        <w:rPr>
          <w:rStyle w:val="56"/>
          <w:rFonts w:hint="eastAsia"/>
          <w:highlight w:val="none"/>
        </w:rPr>
        <w:t>（16）《防治海洋工程建设项目污染损害海洋环境管理条例》，2006.8。</w:t>
      </w:r>
    </w:p>
    <w:p w14:paraId="410E6852">
      <w:pPr>
        <w:spacing w:line="360" w:lineRule="auto"/>
        <w:ind w:left="407" w:leftChars="194" w:firstLine="422" w:firstLineChars="200"/>
        <w:rPr>
          <w:rStyle w:val="56"/>
          <w:rFonts w:hint="eastAsia"/>
          <w:b/>
          <w:bCs/>
          <w:color w:val="000000"/>
          <w:highlight w:val="none"/>
        </w:rPr>
      </w:pPr>
      <w:r>
        <w:rPr>
          <w:rStyle w:val="56"/>
          <w:rFonts w:hint="eastAsia"/>
          <w:b/>
          <w:bCs/>
          <w:color w:val="000000"/>
          <w:highlight w:val="none"/>
        </w:rPr>
        <w:t>2、国家、行业技术标准及管理规定</w:t>
      </w:r>
    </w:p>
    <w:p w14:paraId="301BA9BC">
      <w:pPr>
        <w:spacing w:line="360" w:lineRule="auto"/>
        <w:ind w:left="407" w:leftChars="194" w:firstLine="420" w:firstLineChars="200"/>
        <w:rPr>
          <w:rStyle w:val="56"/>
          <w:rFonts w:hint="eastAsia"/>
          <w:color w:val="000000"/>
          <w:highlight w:val="none"/>
        </w:rPr>
      </w:pPr>
      <w:r>
        <w:rPr>
          <w:rStyle w:val="56"/>
          <w:rFonts w:hint="eastAsia"/>
          <w:color w:val="000000"/>
          <w:highlight w:val="none"/>
        </w:rPr>
        <w:t>承包人应遵照下列（但不限于）技术标准、规程和规范，下列技术标准、规程和规范如有更新版本的，遵照新版本执行。</w:t>
      </w:r>
    </w:p>
    <w:p w14:paraId="52BB5753">
      <w:pPr>
        <w:spacing w:line="360" w:lineRule="auto"/>
        <w:ind w:left="407" w:leftChars="194" w:firstLine="420" w:firstLineChars="200"/>
        <w:rPr>
          <w:rStyle w:val="56"/>
          <w:rFonts w:hint="eastAsia"/>
          <w:color w:val="000000"/>
          <w:highlight w:val="none"/>
        </w:rPr>
      </w:pPr>
      <w:r>
        <w:rPr>
          <w:rStyle w:val="56"/>
          <w:rFonts w:hint="eastAsia"/>
          <w:color w:val="000000"/>
          <w:highlight w:val="none"/>
        </w:rPr>
        <w:t>本工程执行国家颁发的有关标准，主要有：</w:t>
      </w:r>
    </w:p>
    <w:p w14:paraId="1796C1DE">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（1）《海洋生态修复技术指南第1部分:总则》（GB/T 41339.1-2022）； </w:t>
      </w:r>
    </w:p>
    <w:p w14:paraId="6CBB084D">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（2）《海岸带生态系统现状调查与评估技术导则 第4部分：盐沼》（T/CAOE </w:t>
      </w:r>
    </w:p>
    <w:p w14:paraId="4590B59F">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20.4-2020）； </w:t>
      </w:r>
    </w:p>
    <w:p w14:paraId="0B953353">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（3）《海岸带生态系统现状调查与评估技术导则 第8部分：砂质海岸》（T/CAOE </w:t>
      </w:r>
    </w:p>
    <w:p w14:paraId="5BA71388">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20.8-2020）； </w:t>
      </w:r>
    </w:p>
    <w:p w14:paraId="0A7CE210">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（4）《海岸带生态系统现状调查与评估技术导则 第9部分：河口》（T/CAOE </w:t>
      </w:r>
    </w:p>
    <w:p w14:paraId="43DF131D">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20.9-2020）； </w:t>
      </w:r>
    </w:p>
    <w:p w14:paraId="637FC874">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（5）《海岸带生态减灾修复技术导则 第3部分：盐沼》（T/CAOE 21.3-2020）； </w:t>
      </w:r>
    </w:p>
    <w:p w14:paraId="1737F6C0">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（6）《海岸带生态减灾修复技术导则 第7部分：砂质海岸》（T/CAOE 21.7-2020）； </w:t>
      </w:r>
    </w:p>
    <w:p w14:paraId="6DD9A8AB">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（7）《海堤生态化建设技术指南（试行）》； </w:t>
      </w:r>
    </w:p>
    <w:p w14:paraId="7FC000B2">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（8）《河口潮滩湿地碱蓬景观生态工程构建技术规程》（DB21/T 2408—2015）； </w:t>
      </w:r>
    </w:p>
    <w:p w14:paraId="41EF70A2">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（9）《建设项目环境风险评价技术导则》（HJ/T69-2004）； </w:t>
      </w:r>
    </w:p>
    <w:p w14:paraId="293B348A">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（10）《海洋工程环境影响评价技术导则》（GB/T19485-2014）； </w:t>
      </w:r>
    </w:p>
    <w:p w14:paraId="3784AEA2">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（11）《建设项目对海洋生物资源影响评价技术规程》（SC/T9110-2007）； </w:t>
      </w:r>
    </w:p>
    <w:p w14:paraId="179F04BF">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（12）《海滩养护与修复技术指南》（HY/T 255-2018）； </w:t>
      </w:r>
    </w:p>
    <w:p w14:paraId="31D69921">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（13）《滨海盐土芦苇栽植技术规程》（DB13/T 1848—2013）； </w:t>
      </w:r>
    </w:p>
    <w:p w14:paraId="311133EC">
      <w:pPr>
        <w:spacing w:line="360" w:lineRule="auto"/>
        <w:ind w:left="407" w:leftChars="194" w:firstLine="420" w:firstLineChars="200"/>
        <w:rPr>
          <w:rStyle w:val="56"/>
          <w:rFonts w:hint="eastAsia"/>
          <w:color w:val="000000"/>
          <w:highlight w:val="none"/>
        </w:rPr>
      </w:pPr>
      <w:r>
        <w:rPr>
          <w:rStyle w:val="56"/>
          <w:rFonts w:hint="eastAsia"/>
          <w:color w:val="000000"/>
          <w:highlight w:val="none"/>
        </w:rPr>
        <w:t>（14）《滨海盐沼生态减灾修复手册（试行）》；</w:t>
      </w:r>
    </w:p>
    <w:p w14:paraId="64F9FF71">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（15）《建筑拆除工程安全技术规范》（JGJ147-2016）； </w:t>
      </w:r>
    </w:p>
    <w:p w14:paraId="5806AF53">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（16）《建筑物、构筑物拆除技术规程》（DBJ08-70-2016）； </w:t>
      </w:r>
    </w:p>
    <w:p w14:paraId="2376E905">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（17）《水运工程生态保护修复与景观设计指南》（JTS/T 183-2021）； </w:t>
      </w:r>
    </w:p>
    <w:p w14:paraId="5E0BCDD8">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（18）《海洋生态修复技术指南》（试行）（2021年7月）； </w:t>
      </w:r>
    </w:p>
    <w:p w14:paraId="24342931">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（19）《沿海防护林体系工程建设技术规程》（LY/T 1763-2008）； </w:t>
      </w:r>
    </w:p>
    <w:p w14:paraId="395CE4D9">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（20）《沿海防护林体系工程建设技术规程》（DB21/T 2733-2017）； </w:t>
      </w:r>
    </w:p>
    <w:p w14:paraId="3E02C519">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（21）《造林技术规程》（GB/T 15776-2016）； </w:t>
      </w:r>
    </w:p>
    <w:p w14:paraId="242145EC">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（22）《防风林体系设计技术规程》（LY/T2828-2017）； </w:t>
      </w:r>
    </w:p>
    <w:p w14:paraId="47B9E880">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（23）《生态公益林建设技术规程》（GB/T18337.3-2001）； </w:t>
      </w:r>
    </w:p>
    <w:p w14:paraId="22581A97">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（24）《堤防工程设计规范》（GB 50286-2013）； </w:t>
      </w:r>
    </w:p>
    <w:p w14:paraId="57E7D856">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（25）《海堤工程设计规范》（GB/T 51015-2014）； </w:t>
      </w:r>
    </w:p>
    <w:p w14:paraId="08E7B620">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（26）《农产品质量安全双齿围沙蚕人工育苗与养殖技术规程》（DB21/T </w:t>
      </w:r>
    </w:p>
    <w:p w14:paraId="75B4AB6E">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1874-2011）； </w:t>
      </w:r>
    </w:p>
    <w:p w14:paraId="7D01AB00">
      <w:pPr>
        <w:spacing w:line="360" w:lineRule="auto"/>
        <w:ind w:left="407" w:leftChars="194" w:firstLine="420" w:firstLineChars="200"/>
        <w:rPr>
          <w:rStyle w:val="56"/>
          <w:rFonts w:hint="eastAsia"/>
          <w:color w:val="000000"/>
          <w:highlight w:val="none"/>
        </w:rPr>
      </w:pPr>
      <w:r>
        <w:rPr>
          <w:rStyle w:val="56"/>
          <w:rFonts w:hint="eastAsia"/>
          <w:color w:val="000000"/>
          <w:highlight w:val="none"/>
        </w:rPr>
        <w:t xml:space="preserve">（27）《水生生物增殖放流技术规程》（SC/T 9401-2010）； </w:t>
      </w:r>
    </w:p>
    <w:p w14:paraId="3B224AEF">
      <w:pPr>
        <w:spacing w:line="360" w:lineRule="auto"/>
        <w:ind w:left="407" w:leftChars="194" w:firstLine="420" w:firstLineChars="200"/>
        <w:rPr>
          <w:rStyle w:val="56"/>
          <w:rFonts w:hint="eastAsia"/>
          <w:color w:val="000000"/>
          <w:highlight w:val="none"/>
        </w:rPr>
      </w:pPr>
      <w:r>
        <w:rPr>
          <w:rStyle w:val="56"/>
          <w:rFonts w:hint="eastAsia"/>
          <w:color w:val="000000"/>
          <w:highlight w:val="none"/>
        </w:rPr>
        <w:t>（28）《国土空间生态保护修复工程验收规范》（TD/T 1069-2022）； 2.18国家和地方政府颁布的其它有关技术法规和规范。</w:t>
      </w:r>
    </w:p>
    <w:p w14:paraId="1CFB3A68">
      <w:pPr>
        <w:spacing w:line="360" w:lineRule="auto"/>
        <w:ind w:left="407" w:leftChars="194" w:firstLine="420" w:firstLineChars="200"/>
        <w:rPr>
          <w:rStyle w:val="56"/>
          <w:rFonts w:hint="eastAsia"/>
          <w:color w:val="000000"/>
          <w:highlight w:val="none"/>
        </w:rPr>
      </w:pPr>
      <w:r>
        <w:rPr>
          <w:rStyle w:val="56"/>
          <w:rFonts w:hint="eastAsia"/>
          <w:color w:val="000000"/>
          <w:highlight w:val="none"/>
        </w:rPr>
        <w:t>（2</w:t>
      </w:r>
      <w:r>
        <w:rPr>
          <w:rStyle w:val="56"/>
          <w:rFonts w:hint="eastAsia"/>
          <w:color w:val="000000"/>
          <w:highlight w:val="none"/>
          <w:lang w:val="en-US" w:eastAsia="zh-CN"/>
        </w:rPr>
        <w:t>9</w:t>
      </w:r>
      <w:r>
        <w:rPr>
          <w:rStyle w:val="56"/>
          <w:rFonts w:hint="eastAsia"/>
          <w:color w:val="000000"/>
          <w:highlight w:val="none"/>
        </w:rPr>
        <w:t>）经招标人确认的施工企业标准、规程和规定。</w:t>
      </w:r>
    </w:p>
    <w:p w14:paraId="7D70FD1D">
      <w:pPr>
        <w:spacing w:line="360" w:lineRule="auto"/>
        <w:ind w:left="407" w:leftChars="194" w:firstLine="420" w:firstLineChars="200"/>
        <w:rPr>
          <w:rStyle w:val="56"/>
          <w:rFonts w:hint="eastAsia"/>
          <w:color w:val="000000"/>
          <w:highlight w:val="none"/>
        </w:rPr>
      </w:pPr>
      <w:r>
        <w:rPr>
          <w:rStyle w:val="56"/>
          <w:rFonts w:hint="eastAsia"/>
          <w:color w:val="000000"/>
          <w:highlight w:val="none"/>
        </w:rPr>
        <w:t>注：技术标准、规程和规范如有更新版本的，遵照新版本执行。</w:t>
      </w:r>
    </w:p>
    <w:p w14:paraId="6068549B">
      <w:pPr>
        <w:spacing w:line="360" w:lineRule="auto"/>
        <w:ind w:left="407" w:leftChars="194" w:firstLine="422" w:firstLineChars="200"/>
        <w:rPr>
          <w:rStyle w:val="56"/>
          <w:rFonts w:hint="eastAsia"/>
          <w:b/>
          <w:bCs/>
          <w:color w:val="000000"/>
          <w:highlight w:val="none"/>
        </w:rPr>
      </w:pPr>
      <w:r>
        <w:rPr>
          <w:rStyle w:val="56"/>
          <w:rFonts w:hint="eastAsia"/>
          <w:b/>
          <w:bCs/>
          <w:color w:val="000000"/>
          <w:highlight w:val="none"/>
        </w:rPr>
        <w:t>3、安全生产规范、规程标准</w:t>
      </w:r>
    </w:p>
    <w:p w14:paraId="0C67BC3A">
      <w:pPr>
        <w:spacing w:line="360" w:lineRule="auto"/>
        <w:ind w:left="407" w:leftChars="194" w:firstLine="420" w:firstLineChars="200"/>
        <w:rPr>
          <w:rStyle w:val="56"/>
          <w:rFonts w:hint="eastAsia"/>
          <w:color w:val="000000"/>
          <w:highlight w:val="none"/>
        </w:rPr>
      </w:pPr>
      <w:r>
        <w:rPr>
          <w:rStyle w:val="56"/>
          <w:rFonts w:hint="eastAsia"/>
          <w:color w:val="000000"/>
          <w:highlight w:val="none"/>
        </w:rPr>
        <w:t>《建筑施工工程安全技术规程》（国务院）</w:t>
      </w:r>
    </w:p>
    <w:p w14:paraId="365D0621">
      <w:pPr>
        <w:spacing w:line="360" w:lineRule="auto"/>
        <w:ind w:left="407" w:leftChars="194" w:firstLine="420" w:firstLineChars="200"/>
        <w:rPr>
          <w:rStyle w:val="56"/>
          <w:rFonts w:hint="eastAsia"/>
          <w:color w:val="000000"/>
          <w:highlight w:val="none"/>
        </w:rPr>
      </w:pPr>
      <w:r>
        <w:rPr>
          <w:rStyle w:val="56"/>
          <w:rFonts w:hint="eastAsia"/>
          <w:color w:val="000000"/>
          <w:highlight w:val="none"/>
        </w:rPr>
        <w:t>《建筑工程施工现场管理规定》（建设部15号令）</w:t>
      </w:r>
    </w:p>
    <w:p w14:paraId="5F211E6D">
      <w:pPr>
        <w:spacing w:line="360" w:lineRule="auto"/>
        <w:ind w:left="407" w:leftChars="194" w:firstLine="420" w:firstLineChars="200"/>
        <w:rPr>
          <w:rStyle w:val="56"/>
          <w:rFonts w:hint="eastAsia"/>
          <w:color w:val="000000"/>
          <w:highlight w:val="none"/>
        </w:rPr>
      </w:pPr>
      <w:r>
        <w:rPr>
          <w:rStyle w:val="56"/>
          <w:rFonts w:hint="eastAsia"/>
          <w:color w:val="000000"/>
          <w:highlight w:val="none"/>
        </w:rPr>
        <w:t>《建筑机械使用安全技术规程》（JGB33-86）</w:t>
      </w:r>
    </w:p>
    <w:p w14:paraId="1849FDA6">
      <w:pPr>
        <w:spacing w:line="360" w:lineRule="auto"/>
        <w:ind w:left="407" w:leftChars="194" w:firstLine="420" w:firstLineChars="200"/>
        <w:rPr>
          <w:rStyle w:val="56"/>
          <w:rFonts w:hint="eastAsia"/>
          <w:color w:val="000000"/>
          <w:highlight w:val="none"/>
        </w:rPr>
      </w:pPr>
      <w:r>
        <w:rPr>
          <w:rStyle w:val="56"/>
          <w:rFonts w:hint="eastAsia"/>
          <w:color w:val="000000"/>
          <w:highlight w:val="none"/>
        </w:rPr>
        <w:t>《建筑安全监督管理规定》（建设部13号令）</w:t>
      </w:r>
    </w:p>
    <w:p w14:paraId="56A31D35">
      <w:pPr>
        <w:spacing w:line="360" w:lineRule="auto"/>
        <w:ind w:firstLine="422" w:firstLineChars="200"/>
        <w:rPr>
          <w:rStyle w:val="56"/>
          <w:rFonts w:hint="eastAsia"/>
          <w:highlight w:val="none"/>
        </w:rPr>
      </w:pPr>
      <w:r>
        <w:rPr>
          <w:rStyle w:val="56"/>
          <w:rFonts w:hint="eastAsia"/>
          <w:b/>
          <w:color w:val="000000"/>
          <w:highlight w:val="none"/>
        </w:rPr>
        <w:t>说明：</w:t>
      </w:r>
      <w:r>
        <w:rPr>
          <w:rStyle w:val="56"/>
          <w:rFonts w:hint="eastAsia"/>
          <w:color w:val="000000"/>
          <w:highlight w:val="none"/>
        </w:rPr>
        <w:t>上述规范、标准、规程仅是本工程建设的最基本要求，并未包括实施中</w:t>
      </w:r>
      <w:r>
        <w:rPr>
          <w:rStyle w:val="56"/>
          <w:rFonts w:hint="eastAsia"/>
          <w:highlight w:val="none"/>
        </w:rPr>
        <w:t>所涉及到的所有规定、标准和规程。在施工中对于上述未尽事宜，按国家和地方现行的规定执行。如有最新工程建设标准，按最新标准执行。</w:t>
      </w:r>
    </w:p>
    <w:p w14:paraId="0F087838">
      <w:pPr>
        <w:spacing w:line="500" w:lineRule="exact"/>
        <w:rPr>
          <w:rStyle w:val="56"/>
          <w:rFonts w:hint="eastAsia"/>
          <w:b/>
          <w:color w:val="000000"/>
          <w:highlight w:val="none"/>
        </w:rPr>
      </w:pPr>
      <w:r>
        <w:rPr>
          <w:rStyle w:val="56"/>
          <w:rFonts w:hint="eastAsia"/>
          <w:b/>
          <w:color w:val="000000"/>
          <w:highlight w:val="none"/>
        </w:rPr>
        <w:t>（二）工程建设技术要求</w:t>
      </w:r>
    </w:p>
    <w:p w14:paraId="4B2CAB94">
      <w:pPr>
        <w:spacing w:line="360" w:lineRule="auto"/>
        <w:ind w:firstLine="420" w:firstLineChars="200"/>
        <w:rPr>
          <w:rStyle w:val="56"/>
          <w:rFonts w:hint="eastAsia"/>
          <w:highlight w:val="none"/>
        </w:rPr>
      </w:pPr>
      <w:r>
        <w:rPr>
          <w:rStyle w:val="56"/>
          <w:rFonts w:hint="eastAsia"/>
          <w:highlight w:val="none"/>
        </w:rPr>
        <w:t xml:space="preserve">（一）工程说明 </w:t>
      </w:r>
    </w:p>
    <w:p w14:paraId="6E150565">
      <w:pPr>
        <w:spacing w:line="360" w:lineRule="auto"/>
        <w:ind w:firstLine="420" w:firstLineChars="200"/>
        <w:rPr>
          <w:rStyle w:val="56"/>
          <w:rFonts w:hint="eastAsia"/>
          <w:highlight w:val="none"/>
        </w:rPr>
      </w:pPr>
      <w:r>
        <w:rPr>
          <w:rStyle w:val="56"/>
          <w:rFonts w:hint="eastAsia"/>
          <w:highlight w:val="none"/>
        </w:rPr>
        <w:t xml:space="preserve">1、工程概况 </w:t>
      </w:r>
    </w:p>
    <w:p w14:paraId="448EA139">
      <w:pPr>
        <w:spacing w:line="360" w:lineRule="auto"/>
        <w:ind w:firstLine="420" w:firstLineChars="200"/>
        <w:rPr>
          <w:rStyle w:val="56"/>
          <w:rFonts w:hint="eastAsia"/>
          <w:highlight w:val="none"/>
        </w:rPr>
      </w:pPr>
      <w:r>
        <w:rPr>
          <w:rStyle w:val="56"/>
          <w:rFonts w:hint="eastAsia"/>
          <w:highlight w:val="none"/>
        </w:rPr>
        <w:t>1.1 工程名称：辽宁省营口市海洋生态保护修复工程项目工程</w:t>
      </w:r>
      <w:r>
        <w:rPr>
          <w:rStyle w:val="56"/>
          <w:rFonts w:hint="eastAsia"/>
          <w:highlight w:val="none"/>
          <w:lang w:eastAsia="zh-CN"/>
        </w:rPr>
        <w:t>施工</w:t>
      </w:r>
      <w:r>
        <w:rPr>
          <w:rStyle w:val="56"/>
          <w:rFonts w:hint="eastAsia"/>
          <w:highlight w:val="none"/>
        </w:rPr>
        <w:t xml:space="preserve"> </w:t>
      </w:r>
    </w:p>
    <w:p w14:paraId="3734D0E6">
      <w:pPr>
        <w:spacing w:line="360" w:lineRule="auto"/>
        <w:ind w:firstLine="420" w:firstLineChars="200"/>
        <w:rPr>
          <w:rStyle w:val="56"/>
          <w:rFonts w:hint="eastAsia"/>
          <w:highlight w:val="none"/>
        </w:rPr>
      </w:pPr>
      <w:r>
        <w:rPr>
          <w:rStyle w:val="56"/>
          <w:rFonts w:hint="eastAsia"/>
          <w:highlight w:val="none"/>
        </w:rPr>
        <w:t>1.2 有关单位和机构</w:t>
      </w:r>
      <w:r>
        <w:rPr>
          <w:rStyle w:val="56"/>
          <w:rFonts w:hint="eastAsia"/>
          <w:highlight w:val="none"/>
          <w:lang w:eastAsia="zh-CN"/>
        </w:rPr>
        <w:t>：</w:t>
      </w:r>
      <w:r>
        <w:rPr>
          <w:rStyle w:val="56"/>
          <w:rFonts w:hint="eastAsia"/>
          <w:highlight w:val="none"/>
        </w:rPr>
        <w:t xml:space="preserve"> </w:t>
      </w:r>
    </w:p>
    <w:p w14:paraId="0A3C8973">
      <w:pPr>
        <w:spacing w:line="360" w:lineRule="auto"/>
        <w:ind w:firstLine="420" w:firstLineChars="200"/>
        <w:rPr>
          <w:rStyle w:val="56"/>
          <w:rFonts w:hint="eastAsia"/>
          <w:highlight w:val="none"/>
        </w:rPr>
      </w:pPr>
      <w:r>
        <w:rPr>
          <w:rStyle w:val="56"/>
          <w:rFonts w:hint="eastAsia"/>
          <w:highlight w:val="none"/>
        </w:rPr>
        <w:t xml:space="preserve">1.2.1 建设单位：营口市海洋与渔业局 </w:t>
      </w:r>
    </w:p>
    <w:p w14:paraId="54688EC1">
      <w:pPr>
        <w:spacing w:line="360" w:lineRule="auto"/>
        <w:ind w:firstLine="420" w:firstLineChars="200"/>
        <w:rPr>
          <w:rStyle w:val="56"/>
          <w:rFonts w:hint="eastAsia"/>
          <w:highlight w:val="none"/>
        </w:rPr>
      </w:pPr>
      <w:r>
        <w:rPr>
          <w:rStyle w:val="56"/>
          <w:rFonts w:hint="eastAsia"/>
          <w:highlight w:val="none"/>
        </w:rPr>
        <w:t xml:space="preserve">2、工程概况 </w:t>
      </w:r>
    </w:p>
    <w:p w14:paraId="3BFEFC0C">
      <w:pPr>
        <w:spacing w:line="360" w:lineRule="auto"/>
        <w:ind w:firstLine="420" w:firstLineChars="200"/>
        <w:rPr>
          <w:rStyle w:val="56"/>
          <w:rFonts w:hint="eastAsia"/>
          <w:highlight w:val="none"/>
        </w:rPr>
      </w:pPr>
      <w:r>
        <w:rPr>
          <w:rStyle w:val="56"/>
          <w:rFonts w:hint="eastAsia"/>
          <w:highlight w:val="none"/>
        </w:rPr>
        <w:t>2.1.1 本工程基本情况如下：</w:t>
      </w:r>
    </w:p>
    <w:p w14:paraId="718BED24">
      <w:pPr>
        <w:spacing w:line="360" w:lineRule="auto"/>
        <w:ind w:firstLine="420" w:firstLineChars="200"/>
        <w:rPr>
          <w:rStyle w:val="56"/>
          <w:rFonts w:hint="eastAsia"/>
          <w:highlight w:val="none"/>
        </w:rPr>
      </w:pPr>
      <w:r>
        <w:rPr>
          <w:rStyle w:val="56"/>
          <w:rFonts w:hint="eastAsia"/>
          <w:highlight w:val="none"/>
        </w:rPr>
        <w:t xml:space="preserve">2.2 建设规模：本项目拟完成生态修复总面积 1655.91ha，岸线整治修复长度 2960.90m，砂质岸线整治修复长度 1296m，生态护岸长度 1664.9m，海岸侵蚀防护长度 2960.9m，滨海湿地整治修复面积 1580.79ha，保育修复芦苇/碱蓬面积143.75ha，新种植芦苇/碱蓬面积 139.14ha，底栖生物修复面积 260.91ha，浒苔防治面积 1006.83ha，潮沟疏通面积 25.63ha，海岸湿地修复面积 69.87ha，设置海洋生态状况调查监测站点数量 32，完成海洋生态状况调查≥4 次。 </w:t>
      </w:r>
    </w:p>
    <w:p w14:paraId="1375906C">
      <w:pPr>
        <w:spacing w:line="360" w:lineRule="auto"/>
        <w:ind w:firstLine="420" w:firstLineChars="200"/>
        <w:rPr>
          <w:rStyle w:val="56"/>
          <w:rFonts w:hint="eastAsia"/>
          <w:highlight w:val="none"/>
        </w:rPr>
      </w:pPr>
      <w:r>
        <w:rPr>
          <w:rStyle w:val="56"/>
          <w:rFonts w:hint="eastAsia"/>
          <w:highlight w:val="none"/>
        </w:rPr>
        <w:t>2.1.2 本工程施工场地（现场）具体地理位置如下：</w:t>
      </w:r>
      <w:r>
        <w:rPr>
          <w:rStyle w:val="56"/>
          <w:rFonts w:hint="eastAsia"/>
          <w:highlight w:val="none"/>
          <w:u w:val="single"/>
        </w:rPr>
        <w:t xml:space="preserve">  大辽河口滨海湿地带保护修复、团山国家级自然保护地生态修复、月亮湾综合治理3个部分，分别位于大辽河口、团山以及月亮湾海域。  </w:t>
      </w:r>
    </w:p>
    <w:p w14:paraId="40C43C10">
      <w:pPr>
        <w:spacing w:line="360" w:lineRule="auto"/>
        <w:ind w:firstLine="420" w:firstLineChars="200"/>
        <w:rPr>
          <w:rStyle w:val="56"/>
          <w:rFonts w:hint="eastAsia"/>
          <w:highlight w:val="none"/>
        </w:rPr>
      </w:pPr>
      <w:r>
        <w:rPr>
          <w:rStyle w:val="56"/>
          <w:rFonts w:hint="eastAsia"/>
          <w:highlight w:val="none"/>
        </w:rPr>
        <w:t xml:space="preserve">2.2 现场条件和周围环境 </w:t>
      </w:r>
    </w:p>
    <w:p w14:paraId="59815ADA">
      <w:pPr>
        <w:spacing w:line="360" w:lineRule="auto"/>
        <w:ind w:firstLine="420" w:firstLineChars="200"/>
        <w:rPr>
          <w:rStyle w:val="56"/>
          <w:rFonts w:hint="eastAsia"/>
          <w:highlight w:val="none"/>
          <w:u w:val="single"/>
        </w:rPr>
      </w:pPr>
      <w:r>
        <w:rPr>
          <w:rStyle w:val="56"/>
          <w:rFonts w:hint="eastAsia"/>
          <w:highlight w:val="none"/>
        </w:rPr>
        <w:t>2.2.1 （1）施工所需的水、电、电讯线路接至施工场地的时间、地点和供应要求：</w:t>
      </w:r>
      <w:r>
        <w:rPr>
          <w:rStyle w:val="56"/>
          <w:rFonts w:hint="eastAsia"/>
          <w:highlight w:val="none"/>
          <w:u w:val="single"/>
        </w:rPr>
        <w:t xml:space="preserve"> 由承包人自行解决，以满足施工要求，并承担相关费用。 </w:t>
      </w:r>
    </w:p>
    <w:p w14:paraId="005698B8">
      <w:pPr>
        <w:spacing w:line="360" w:lineRule="auto"/>
        <w:ind w:firstLine="420" w:firstLineChars="200"/>
        <w:rPr>
          <w:rStyle w:val="56"/>
          <w:rFonts w:hint="eastAsia"/>
          <w:highlight w:val="none"/>
        </w:rPr>
      </w:pPr>
      <w:r>
        <w:rPr>
          <w:rStyle w:val="56"/>
          <w:rFonts w:hint="eastAsia"/>
          <w:highlight w:val="none"/>
        </w:rPr>
        <w:t xml:space="preserve">（2） 施工场地与公共道路的通道开通时间和要求：由承包人自行解决，以满足施工要求，并承担相关费用。 </w:t>
      </w:r>
    </w:p>
    <w:p w14:paraId="54CDE042">
      <w:pPr>
        <w:spacing w:line="360" w:lineRule="auto"/>
        <w:ind w:firstLine="420" w:firstLineChars="200"/>
        <w:rPr>
          <w:rStyle w:val="56"/>
          <w:rFonts w:hint="eastAsia"/>
          <w:highlight w:val="none"/>
        </w:rPr>
      </w:pPr>
      <w:r>
        <w:rPr>
          <w:rStyle w:val="56"/>
          <w:rFonts w:hint="eastAsia"/>
          <w:highlight w:val="none"/>
        </w:rPr>
        <w:t>2.2.2 施工场地（现场）临时供水管径</w:t>
      </w:r>
      <w:r>
        <w:rPr>
          <w:rStyle w:val="56"/>
          <w:rFonts w:hint="eastAsia"/>
          <w:highlight w:val="none"/>
          <w:u w:val="single"/>
        </w:rPr>
        <w:t xml:space="preserve">                </w:t>
      </w:r>
      <w:r>
        <w:rPr>
          <w:rStyle w:val="56"/>
          <w:rFonts w:hint="eastAsia"/>
          <w:highlight w:val="none"/>
        </w:rPr>
        <w:t xml:space="preserve">。 </w:t>
      </w:r>
    </w:p>
    <w:p w14:paraId="3CAAEE28">
      <w:pPr>
        <w:spacing w:line="360" w:lineRule="auto"/>
        <w:ind w:firstLine="420" w:firstLineChars="200"/>
        <w:rPr>
          <w:rStyle w:val="56"/>
          <w:rFonts w:hint="eastAsia"/>
          <w:highlight w:val="none"/>
        </w:rPr>
      </w:pPr>
      <w:r>
        <w:rPr>
          <w:rStyle w:val="56"/>
          <w:rFonts w:hint="eastAsia"/>
          <w:highlight w:val="none"/>
        </w:rPr>
        <w:t>施工场地（现场）临时排污管径</w:t>
      </w:r>
      <w:r>
        <w:rPr>
          <w:rStyle w:val="56"/>
          <w:rFonts w:hint="eastAsia"/>
          <w:highlight w:val="none"/>
          <w:u w:val="single"/>
        </w:rPr>
        <w:t xml:space="preserve">               </w:t>
      </w:r>
      <w:r>
        <w:rPr>
          <w:rStyle w:val="56"/>
          <w:rFonts w:hint="eastAsia"/>
          <w:highlight w:val="none"/>
        </w:rPr>
        <w:t xml:space="preserve">。 </w:t>
      </w:r>
    </w:p>
    <w:p w14:paraId="5901BE12">
      <w:pPr>
        <w:spacing w:line="360" w:lineRule="auto"/>
        <w:ind w:firstLine="420" w:firstLineChars="200"/>
        <w:rPr>
          <w:rStyle w:val="56"/>
          <w:rFonts w:hint="eastAsia"/>
          <w:highlight w:val="none"/>
        </w:rPr>
      </w:pPr>
      <w:r>
        <w:rPr>
          <w:rStyle w:val="56"/>
          <w:rFonts w:hint="eastAsia"/>
          <w:highlight w:val="none"/>
        </w:rPr>
        <w:t>施工场地（现场）临时雨水管径</w:t>
      </w:r>
      <w:r>
        <w:rPr>
          <w:rStyle w:val="56"/>
          <w:rFonts w:hint="eastAsia"/>
          <w:highlight w:val="none"/>
          <w:u w:val="single"/>
        </w:rPr>
        <w:t xml:space="preserve">                 </w:t>
      </w:r>
      <w:r>
        <w:rPr>
          <w:rStyle w:val="56"/>
          <w:rFonts w:hint="eastAsia"/>
          <w:highlight w:val="none"/>
        </w:rPr>
        <w:t xml:space="preserve">。 </w:t>
      </w:r>
    </w:p>
    <w:p w14:paraId="6D690CF0">
      <w:pPr>
        <w:spacing w:line="360" w:lineRule="auto"/>
        <w:ind w:firstLine="420" w:firstLineChars="200"/>
        <w:rPr>
          <w:rStyle w:val="56"/>
          <w:rFonts w:hint="eastAsia"/>
          <w:highlight w:val="none"/>
        </w:rPr>
      </w:pPr>
      <w:r>
        <w:rPr>
          <w:rStyle w:val="56"/>
          <w:rFonts w:hint="eastAsia"/>
          <w:highlight w:val="none"/>
        </w:rPr>
        <w:t>施工现场临时供电容量（变压器输出功率）</w:t>
      </w:r>
      <w:r>
        <w:rPr>
          <w:rStyle w:val="56"/>
          <w:rFonts w:hint="eastAsia"/>
          <w:highlight w:val="none"/>
          <w:u w:val="single"/>
        </w:rPr>
        <w:t xml:space="preserve">                </w:t>
      </w:r>
      <w:r>
        <w:rPr>
          <w:rStyle w:val="56"/>
          <w:rFonts w:hint="eastAsia"/>
          <w:highlight w:val="none"/>
        </w:rPr>
        <w:t xml:space="preserve">。 </w:t>
      </w:r>
    </w:p>
    <w:p w14:paraId="572C3DB0">
      <w:pPr>
        <w:spacing w:line="360" w:lineRule="auto"/>
        <w:ind w:firstLine="420" w:firstLineChars="200"/>
        <w:rPr>
          <w:rStyle w:val="56"/>
          <w:rFonts w:hint="eastAsia"/>
          <w:highlight w:val="none"/>
        </w:rPr>
      </w:pPr>
      <w:r>
        <w:rPr>
          <w:rStyle w:val="56"/>
          <w:rFonts w:hint="eastAsia"/>
          <w:highlight w:val="none"/>
        </w:rPr>
        <w:t>2.2.3 现场条件和周围环境的其他资料和信息数据如下：</w:t>
      </w:r>
      <w:r>
        <w:rPr>
          <w:rStyle w:val="56"/>
          <w:rFonts w:hint="eastAsia"/>
          <w:highlight w:val="none"/>
          <w:u w:val="single"/>
        </w:rPr>
        <w:t xml:space="preserve">                </w:t>
      </w:r>
      <w:r>
        <w:rPr>
          <w:rStyle w:val="56"/>
          <w:rFonts w:hint="eastAsia"/>
          <w:highlight w:val="none"/>
        </w:rPr>
        <w:t xml:space="preserve">。 </w:t>
      </w:r>
    </w:p>
    <w:p w14:paraId="0D7BA6FF">
      <w:pPr>
        <w:spacing w:line="360" w:lineRule="auto"/>
        <w:ind w:firstLine="420" w:firstLineChars="200"/>
        <w:rPr>
          <w:rStyle w:val="56"/>
          <w:rFonts w:hint="eastAsia"/>
          <w:highlight w:val="none"/>
        </w:rPr>
      </w:pPr>
      <w:r>
        <w:rPr>
          <w:rStyle w:val="56"/>
          <w:rFonts w:hint="eastAsia"/>
          <w:highlight w:val="none"/>
        </w:rPr>
        <w:t xml:space="preserve">2.2.4 承包人被认为已在本工程投标阶段踏勘现场时充分了解本工程现场条件和周围环境，并已在其投标时就此给予了充分的考虑。 </w:t>
      </w:r>
    </w:p>
    <w:p w14:paraId="406CC22D">
      <w:pPr>
        <w:spacing w:line="360" w:lineRule="auto"/>
        <w:ind w:firstLine="420" w:firstLineChars="200"/>
        <w:rPr>
          <w:rStyle w:val="56"/>
          <w:rFonts w:hint="eastAsia"/>
          <w:highlight w:val="none"/>
        </w:rPr>
      </w:pPr>
      <w:r>
        <w:rPr>
          <w:rStyle w:val="56"/>
          <w:rFonts w:hint="eastAsia"/>
          <w:highlight w:val="none"/>
        </w:rPr>
        <w:t xml:space="preserve">2.3 地质及水文资料 </w:t>
      </w:r>
    </w:p>
    <w:p w14:paraId="078A5964">
      <w:pPr>
        <w:spacing w:line="360" w:lineRule="auto"/>
        <w:ind w:firstLine="420" w:firstLineChars="200"/>
        <w:rPr>
          <w:rStyle w:val="56"/>
          <w:rFonts w:hint="eastAsia"/>
          <w:highlight w:val="none"/>
        </w:rPr>
      </w:pPr>
      <w:r>
        <w:rPr>
          <w:rStyle w:val="56"/>
          <w:rFonts w:hint="eastAsia"/>
          <w:highlight w:val="none"/>
        </w:rPr>
        <w:t>2.3.1 现场地质及水文资料和信息数据如下：</w:t>
      </w:r>
      <w:r>
        <w:rPr>
          <w:rStyle w:val="56"/>
          <w:rFonts w:hint="eastAsia"/>
          <w:highlight w:val="none"/>
          <w:u w:val="single"/>
        </w:rPr>
        <w:t xml:space="preserve">                 。</w:t>
      </w:r>
      <w:r>
        <w:rPr>
          <w:rStyle w:val="56"/>
          <w:rFonts w:hint="eastAsia"/>
          <w:highlight w:val="none"/>
        </w:rPr>
        <w:t xml:space="preserve"> </w:t>
      </w:r>
    </w:p>
    <w:p w14:paraId="050305EE">
      <w:pPr>
        <w:spacing w:line="360" w:lineRule="auto"/>
        <w:ind w:firstLine="420" w:firstLineChars="200"/>
        <w:rPr>
          <w:rStyle w:val="56"/>
          <w:rFonts w:hint="eastAsia"/>
          <w:highlight w:val="none"/>
        </w:rPr>
      </w:pPr>
      <w:r>
        <w:rPr>
          <w:rStyle w:val="56"/>
          <w:rFonts w:hint="eastAsia"/>
          <w:highlight w:val="none"/>
        </w:rPr>
        <w:t xml:space="preserve">2.4 资料和信息的使用 </w:t>
      </w:r>
    </w:p>
    <w:p w14:paraId="64648624">
      <w:pPr>
        <w:spacing w:line="360" w:lineRule="auto"/>
        <w:ind w:firstLine="420" w:firstLineChars="200"/>
        <w:rPr>
          <w:rStyle w:val="56"/>
          <w:rFonts w:hint="eastAsia"/>
          <w:highlight w:val="none"/>
        </w:rPr>
      </w:pPr>
      <w:r>
        <w:rPr>
          <w:rStyle w:val="56"/>
          <w:rFonts w:hint="eastAsia"/>
          <w:highlight w:val="none"/>
        </w:rPr>
        <w:t xml:space="preserve">2.4.1 合同文件中载明的涉及本工程现场条件、周围环境、地质及水文等情况的资料和信息数据，是发包人现有的和客观的，发包人保证有关资料和信息数据的真实、准确。但承包人据此作出的推论、判断和决策，由承包人自行负责。 </w:t>
      </w:r>
    </w:p>
    <w:p w14:paraId="4E5949DC">
      <w:pPr>
        <w:spacing w:line="360" w:lineRule="auto"/>
        <w:ind w:firstLine="420" w:firstLineChars="200"/>
        <w:rPr>
          <w:rStyle w:val="56"/>
          <w:rFonts w:hint="eastAsia"/>
          <w:highlight w:val="none"/>
        </w:rPr>
      </w:pPr>
      <w:r>
        <w:rPr>
          <w:rStyle w:val="56"/>
          <w:rFonts w:hint="eastAsia"/>
          <w:highlight w:val="none"/>
        </w:rPr>
        <w:t xml:space="preserve">3、 承包范围 </w:t>
      </w:r>
    </w:p>
    <w:p w14:paraId="0E7B23EB">
      <w:pPr>
        <w:spacing w:line="360" w:lineRule="auto"/>
        <w:ind w:firstLine="420" w:firstLineChars="200"/>
        <w:rPr>
          <w:rStyle w:val="56"/>
          <w:rFonts w:hint="eastAsia"/>
          <w:highlight w:val="none"/>
        </w:rPr>
      </w:pPr>
      <w:r>
        <w:rPr>
          <w:rStyle w:val="56"/>
          <w:rFonts w:hint="eastAsia"/>
          <w:highlight w:val="none"/>
        </w:rPr>
        <w:t xml:space="preserve">3.1 承包范围(如分标段，须按标段分别描述，并明确界面责任分工) </w:t>
      </w:r>
    </w:p>
    <w:p w14:paraId="0388556C">
      <w:pPr>
        <w:spacing w:line="360" w:lineRule="auto"/>
        <w:ind w:firstLine="420" w:firstLineChars="200"/>
        <w:rPr>
          <w:rStyle w:val="56"/>
          <w:rFonts w:hint="eastAsia"/>
          <w:highlight w:val="none"/>
        </w:rPr>
      </w:pPr>
      <w:r>
        <w:rPr>
          <w:rStyle w:val="56"/>
          <w:rFonts w:hint="eastAsia"/>
          <w:highlight w:val="none"/>
        </w:rPr>
        <w:t xml:space="preserve">3.1.1 承包人自行施工范围 </w:t>
      </w:r>
    </w:p>
    <w:p w14:paraId="253F3226">
      <w:pPr>
        <w:spacing w:line="360" w:lineRule="auto"/>
        <w:ind w:firstLine="420" w:firstLineChars="200"/>
        <w:rPr>
          <w:rStyle w:val="56"/>
          <w:rFonts w:hint="eastAsia"/>
          <w:highlight w:val="none"/>
        </w:rPr>
      </w:pPr>
      <w:r>
        <w:rPr>
          <w:rStyle w:val="56"/>
          <w:rFonts w:hint="eastAsia"/>
          <w:highlight w:val="none"/>
        </w:rPr>
        <w:t xml:space="preserve">本工程承包人自行施工的工程范围如下： </w:t>
      </w:r>
    </w:p>
    <w:p w14:paraId="0E8EE13D">
      <w:pPr>
        <w:spacing w:line="360" w:lineRule="auto"/>
        <w:ind w:firstLine="420" w:firstLineChars="200"/>
        <w:rPr>
          <w:rStyle w:val="56"/>
          <w:rFonts w:hint="eastAsia"/>
          <w:highlight w:val="none"/>
        </w:rPr>
      </w:pPr>
      <w:r>
        <w:rPr>
          <w:rStyle w:val="56"/>
          <w:rFonts w:hint="eastAsia"/>
          <w:highlight w:val="none"/>
          <w:u w:val="single"/>
        </w:rPr>
        <w:t>本招标文件、工程量清单及设计图纸等所包含的所有内容 。</w:t>
      </w:r>
      <w:r>
        <w:rPr>
          <w:rStyle w:val="56"/>
          <w:rFonts w:hint="eastAsia"/>
          <w:highlight w:val="none"/>
        </w:rPr>
        <w:t xml:space="preserve"> </w:t>
      </w:r>
    </w:p>
    <w:p w14:paraId="2FA33561">
      <w:pPr>
        <w:spacing w:line="360" w:lineRule="auto"/>
        <w:ind w:firstLine="420" w:firstLineChars="200"/>
        <w:rPr>
          <w:rStyle w:val="56"/>
          <w:rFonts w:hint="eastAsia"/>
          <w:highlight w:val="none"/>
        </w:rPr>
      </w:pPr>
      <w:r>
        <w:rPr>
          <w:rStyle w:val="56"/>
          <w:rFonts w:hint="eastAsia"/>
          <w:highlight w:val="none"/>
        </w:rPr>
        <w:t>各标段界面责任分工如下：</w:t>
      </w:r>
      <w:r>
        <w:rPr>
          <w:rStyle w:val="56"/>
          <w:rFonts w:hint="eastAsia"/>
          <w:highlight w:val="none"/>
          <w:u w:val="single"/>
        </w:rPr>
        <w:t xml:space="preserve">                     。</w:t>
      </w:r>
      <w:r>
        <w:rPr>
          <w:rStyle w:val="56"/>
          <w:rFonts w:hint="eastAsia"/>
          <w:highlight w:val="none"/>
        </w:rPr>
        <w:t xml:space="preserve"> </w:t>
      </w:r>
    </w:p>
    <w:p w14:paraId="78B110BB">
      <w:pPr>
        <w:spacing w:line="360" w:lineRule="auto"/>
        <w:ind w:firstLine="420" w:firstLineChars="200"/>
        <w:rPr>
          <w:rStyle w:val="56"/>
          <w:rFonts w:hint="eastAsia"/>
          <w:highlight w:val="none"/>
        </w:rPr>
      </w:pPr>
      <w:r>
        <w:rPr>
          <w:rStyle w:val="56"/>
          <w:rFonts w:hint="eastAsia"/>
          <w:highlight w:val="none"/>
        </w:rPr>
        <w:t xml:space="preserve">4、 工期要求 </w:t>
      </w:r>
    </w:p>
    <w:p w14:paraId="478BE0B8">
      <w:pPr>
        <w:spacing w:line="360" w:lineRule="auto"/>
        <w:ind w:firstLine="420" w:firstLineChars="200"/>
        <w:rPr>
          <w:rStyle w:val="56"/>
          <w:rFonts w:hint="eastAsia"/>
          <w:highlight w:val="none"/>
        </w:rPr>
      </w:pPr>
      <w:r>
        <w:rPr>
          <w:rStyle w:val="56"/>
          <w:rFonts w:hint="eastAsia"/>
          <w:highlight w:val="none"/>
        </w:rPr>
        <w:t xml:space="preserve">4.1 合同工期 </w:t>
      </w:r>
    </w:p>
    <w:p w14:paraId="4F9496F0">
      <w:pPr>
        <w:spacing w:line="360" w:lineRule="auto"/>
        <w:ind w:firstLine="420" w:firstLineChars="200"/>
        <w:rPr>
          <w:rStyle w:val="56"/>
          <w:rFonts w:hint="eastAsia"/>
          <w:highlight w:val="none"/>
        </w:rPr>
      </w:pPr>
      <w:r>
        <w:rPr>
          <w:rStyle w:val="56"/>
          <w:rFonts w:hint="eastAsia"/>
          <w:highlight w:val="none"/>
        </w:rPr>
        <w:t xml:space="preserve">本工程合同工期和计划开、竣工日期为承包人在投标函附录中承诺的工期和计划开、竣工日期，并在合同协议书中载明。 </w:t>
      </w:r>
    </w:p>
    <w:p w14:paraId="435B0712">
      <w:pPr>
        <w:spacing w:line="360" w:lineRule="auto"/>
        <w:ind w:firstLine="420" w:firstLineChars="200"/>
        <w:rPr>
          <w:rStyle w:val="56"/>
          <w:rFonts w:hint="eastAsia"/>
          <w:highlight w:val="none"/>
        </w:rPr>
      </w:pPr>
      <w:r>
        <w:rPr>
          <w:rStyle w:val="56"/>
          <w:rFonts w:hint="eastAsia"/>
          <w:highlight w:val="none"/>
        </w:rPr>
        <w:t xml:space="preserve">4.2 关于工期的一般规定 </w:t>
      </w:r>
    </w:p>
    <w:p w14:paraId="3D1EB195">
      <w:pPr>
        <w:spacing w:line="360" w:lineRule="auto"/>
        <w:ind w:firstLine="420" w:firstLineChars="200"/>
        <w:rPr>
          <w:rStyle w:val="56"/>
          <w:rFonts w:hint="eastAsia"/>
          <w:highlight w:val="none"/>
        </w:rPr>
      </w:pPr>
      <w:r>
        <w:rPr>
          <w:rStyle w:val="56"/>
          <w:rFonts w:hint="eastAsia"/>
          <w:highlight w:val="none"/>
        </w:rPr>
        <w:t xml:space="preserve">4.2.1 天： 除特别指明外，均指日历天。合同中按天计算时间的，开始当天不计入，从次日开始计算，期限最后一天的截止时间为当天 24:00 时。 </w:t>
      </w:r>
    </w:p>
    <w:p w14:paraId="287D6316">
      <w:pPr>
        <w:spacing w:line="360" w:lineRule="auto"/>
        <w:ind w:firstLine="420" w:firstLineChars="200"/>
        <w:rPr>
          <w:rStyle w:val="56"/>
          <w:rFonts w:hint="eastAsia"/>
          <w:highlight w:val="none"/>
        </w:rPr>
      </w:pPr>
      <w:r>
        <w:rPr>
          <w:rStyle w:val="56"/>
          <w:rFonts w:hint="eastAsia"/>
          <w:highlight w:val="none"/>
        </w:rPr>
        <w:t xml:space="preserve">4.2.2 承包人在投标函中承诺的工期和计划开、竣工日期之间发生矛盾或者不一致时，以承包人承诺的工期为准。实际开工日期以通用合同条款约定的监理人发出的开工通知中载明的开工日期为准。 </w:t>
      </w:r>
    </w:p>
    <w:p w14:paraId="515DA51E">
      <w:pPr>
        <w:spacing w:line="360" w:lineRule="auto"/>
        <w:ind w:firstLine="420" w:firstLineChars="200"/>
        <w:rPr>
          <w:rStyle w:val="56"/>
          <w:rFonts w:hint="eastAsia"/>
          <w:highlight w:val="none"/>
        </w:rPr>
      </w:pPr>
      <w:r>
        <w:rPr>
          <w:rStyle w:val="56"/>
          <w:rFonts w:hint="eastAsia"/>
          <w:highlight w:val="none"/>
        </w:rPr>
        <w:t xml:space="preserve">5. 质量要求 </w:t>
      </w:r>
    </w:p>
    <w:p w14:paraId="6F033C1A">
      <w:pPr>
        <w:spacing w:line="360" w:lineRule="auto"/>
        <w:ind w:firstLine="420" w:firstLineChars="200"/>
        <w:rPr>
          <w:rStyle w:val="56"/>
          <w:rFonts w:hint="eastAsia"/>
          <w:highlight w:val="none"/>
        </w:rPr>
      </w:pPr>
      <w:r>
        <w:rPr>
          <w:rStyle w:val="56"/>
          <w:rFonts w:hint="eastAsia"/>
          <w:highlight w:val="none"/>
        </w:rPr>
        <w:t xml:space="preserve">5.1 质量标准 </w:t>
      </w:r>
    </w:p>
    <w:p w14:paraId="3BC352F7">
      <w:pPr>
        <w:spacing w:line="360" w:lineRule="auto"/>
        <w:ind w:firstLine="420" w:firstLineChars="200"/>
        <w:rPr>
          <w:rStyle w:val="56"/>
          <w:rFonts w:hint="eastAsia"/>
          <w:highlight w:val="none"/>
        </w:rPr>
      </w:pPr>
      <w:r>
        <w:rPr>
          <w:rStyle w:val="56"/>
          <w:rFonts w:hint="eastAsia"/>
          <w:highlight w:val="none"/>
        </w:rPr>
        <w:t xml:space="preserve">5.1.1 本工程要求的质量标准为符合现行国家有关工程施工验收规范和标准 </w:t>
      </w:r>
    </w:p>
    <w:p w14:paraId="4ACFEDB6">
      <w:pPr>
        <w:spacing w:line="360" w:lineRule="auto"/>
        <w:ind w:firstLine="420" w:firstLineChars="200"/>
        <w:rPr>
          <w:rStyle w:val="56"/>
          <w:rFonts w:hint="eastAsia"/>
          <w:highlight w:val="none"/>
        </w:rPr>
      </w:pPr>
      <w:r>
        <w:rPr>
          <w:rStyle w:val="56"/>
          <w:rFonts w:hint="eastAsia"/>
          <w:highlight w:val="none"/>
        </w:rPr>
        <w:t xml:space="preserve">的要求（合格）。 </w:t>
      </w:r>
    </w:p>
    <w:p w14:paraId="63E300F7">
      <w:pPr>
        <w:spacing w:line="360" w:lineRule="auto"/>
        <w:ind w:firstLine="420" w:firstLineChars="200"/>
        <w:rPr>
          <w:rStyle w:val="56"/>
          <w:rFonts w:hint="eastAsia"/>
          <w:highlight w:val="none"/>
        </w:rPr>
      </w:pPr>
      <w:r>
        <w:rPr>
          <w:rStyle w:val="56"/>
          <w:rFonts w:hint="eastAsia"/>
          <w:highlight w:val="none"/>
        </w:rPr>
        <w:t xml:space="preserve">6. 安全文明施工 </w:t>
      </w:r>
    </w:p>
    <w:p w14:paraId="792F675F">
      <w:pPr>
        <w:spacing w:line="360" w:lineRule="auto"/>
        <w:ind w:firstLine="420" w:firstLineChars="200"/>
        <w:rPr>
          <w:rStyle w:val="56"/>
          <w:rFonts w:hint="eastAsia"/>
          <w:highlight w:val="none"/>
        </w:rPr>
      </w:pPr>
      <w:r>
        <w:rPr>
          <w:rStyle w:val="56"/>
          <w:rFonts w:hint="eastAsia"/>
          <w:highlight w:val="none"/>
        </w:rPr>
        <w:t xml:space="preserve">6.1 安全防护 </w:t>
      </w:r>
    </w:p>
    <w:p w14:paraId="4078F123">
      <w:pPr>
        <w:spacing w:line="360" w:lineRule="auto"/>
        <w:ind w:firstLine="420" w:firstLineChars="200"/>
        <w:rPr>
          <w:rStyle w:val="56"/>
          <w:rFonts w:hint="eastAsia"/>
          <w:highlight w:val="none"/>
        </w:rPr>
      </w:pPr>
      <w:r>
        <w:rPr>
          <w:rStyle w:val="56"/>
          <w:rFonts w:hint="eastAsia"/>
          <w:highlight w:val="none"/>
        </w:rPr>
        <w:t xml:space="preserve">6.1.1 在工程施工、竣工、交付及修补任何缺陷的过程中，承包人应当始终遵守国家和地方有关安全生产的法律、法规、规范、标准和规程等，按照通用合同条款第 9.2 款的约定履行其安全施工职责。 </w:t>
      </w:r>
    </w:p>
    <w:p w14:paraId="10C947FF">
      <w:pPr>
        <w:spacing w:line="360" w:lineRule="auto"/>
        <w:ind w:firstLine="420" w:firstLineChars="200"/>
        <w:rPr>
          <w:rStyle w:val="56"/>
          <w:rFonts w:hint="eastAsia"/>
          <w:highlight w:val="none"/>
        </w:rPr>
      </w:pPr>
      <w:r>
        <w:rPr>
          <w:rStyle w:val="56"/>
          <w:rFonts w:hint="eastAsia"/>
          <w:highlight w:val="none"/>
        </w:rPr>
        <w:t xml:space="preserve">6.1.2 承包人应坚持“安全第一，预防为主”的方针，建立、健全安全生产责任制度和安全生产教育培训制度。在整个工程施工期间，承包人应在施工场地（现场）设立、提供和维护并在有关工作完成或竣工后撤除。 </w:t>
      </w:r>
    </w:p>
    <w:p w14:paraId="63ADCE99">
      <w:pPr>
        <w:spacing w:line="360" w:lineRule="auto"/>
        <w:ind w:firstLine="420" w:firstLineChars="200"/>
        <w:rPr>
          <w:rStyle w:val="56"/>
          <w:rFonts w:hint="eastAsia"/>
          <w:highlight w:val="none"/>
        </w:rPr>
      </w:pPr>
      <w:r>
        <w:rPr>
          <w:rStyle w:val="56"/>
          <w:rFonts w:hint="eastAsia"/>
          <w:highlight w:val="none"/>
        </w:rPr>
        <w:t xml:space="preserve">6.1.3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 </w:t>
      </w:r>
    </w:p>
    <w:p w14:paraId="2F417976">
      <w:pPr>
        <w:spacing w:line="360" w:lineRule="auto"/>
        <w:ind w:firstLine="420" w:firstLineChars="200"/>
        <w:rPr>
          <w:rStyle w:val="56"/>
          <w:rFonts w:hint="eastAsia"/>
          <w:highlight w:val="none"/>
        </w:rPr>
      </w:pPr>
      <w:r>
        <w:rPr>
          <w:rStyle w:val="56"/>
          <w:rFonts w:hint="eastAsia"/>
          <w:highlight w:val="none"/>
        </w:rPr>
        <w:t xml:space="preserve">6.2 临时消防 </w:t>
      </w:r>
    </w:p>
    <w:p w14:paraId="383C0C47">
      <w:pPr>
        <w:spacing w:line="360" w:lineRule="auto"/>
        <w:ind w:firstLine="420" w:firstLineChars="200"/>
        <w:rPr>
          <w:rStyle w:val="56"/>
          <w:rFonts w:hint="eastAsia"/>
          <w:highlight w:val="none"/>
        </w:rPr>
      </w:pPr>
      <w:r>
        <w:rPr>
          <w:rStyle w:val="56"/>
          <w:rFonts w:hint="eastAsia"/>
          <w:highlight w:val="none"/>
        </w:rPr>
        <w:t xml:space="preserve">6.2.1 承包人应建立消防安全责任制度，制定用火、用电和使用易燃易爆等危险品的消防安全管理制度和操作规程。各项制度和规程等应满足相关法律法规和政府消防管理机构的要求。 </w:t>
      </w:r>
    </w:p>
    <w:p w14:paraId="2A2781EB">
      <w:pPr>
        <w:spacing w:line="360" w:lineRule="auto"/>
        <w:ind w:firstLine="420" w:firstLineChars="200"/>
        <w:rPr>
          <w:rStyle w:val="56"/>
          <w:rFonts w:hint="eastAsia"/>
          <w:highlight w:val="none"/>
        </w:rPr>
      </w:pPr>
      <w:r>
        <w:rPr>
          <w:rStyle w:val="56"/>
          <w:rFonts w:hint="eastAsia"/>
          <w:highlight w:val="none"/>
        </w:rPr>
        <w:t xml:space="preserve">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 </w:t>
      </w:r>
    </w:p>
    <w:p w14:paraId="0C3D36DF">
      <w:pPr>
        <w:spacing w:line="360" w:lineRule="auto"/>
        <w:ind w:firstLine="420" w:firstLineChars="200"/>
        <w:rPr>
          <w:rStyle w:val="56"/>
          <w:rFonts w:hint="eastAsia"/>
          <w:highlight w:val="none"/>
        </w:rPr>
      </w:pPr>
      <w:r>
        <w:rPr>
          <w:rStyle w:val="56"/>
          <w:rFonts w:hint="eastAsia"/>
          <w:highlight w:val="none"/>
        </w:rPr>
        <w:t xml:space="preserve">6.2.3 承包人应当成立由项目主要负责人担任组长的临时消防组或消防队，宣传消防基本知识和基本操作培训，组织消防演练，保证一旦发生火灾，能够组织有效的自救，保护生命和财产安全。 </w:t>
      </w:r>
    </w:p>
    <w:p w14:paraId="232CA1A7">
      <w:pPr>
        <w:spacing w:line="360" w:lineRule="auto"/>
        <w:ind w:firstLine="420" w:firstLineChars="200"/>
        <w:rPr>
          <w:rStyle w:val="56"/>
          <w:rFonts w:hint="eastAsia"/>
          <w:highlight w:val="none"/>
        </w:rPr>
      </w:pPr>
      <w:r>
        <w:rPr>
          <w:rStyle w:val="56"/>
          <w:rFonts w:hint="eastAsia"/>
          <w:highlight w:val="none"/>
        </w:rPr>
        <w:t xml:space="preserve">6.2.4 施工场地（现场）内的易燃、易爆物品应单独和安全地存放，设专人进行存放和领用管理。施工场地（现场）储有或正在使用易燃、易爆或可燃材料时或有明火施工的工序，应当实行严格的“用火证”管理制度。 </w:t>
      </w:r>
    </w:p>
    <w:p w14:paraId="64E16BF0">
      <w:pPr>
        <w:spacing w:line="360" w:lineRule="auto"/>
        <w:ind w:firstLine="420" w:firstLineChars="200"/>
        <w:rPr>
          <w:rStyle w:val="56"/>
          <w:rFonts w:hint="eastAsia"/>
          <w:highlight w:val="none"/>
        </w:rPr>
      </w:pPr>
      <w:r>
        <w:rPr>
          <w:rStyle w:val="56"/>
          <w:rFonts w:hint="eastAsia"/>
          <w:highlight w:val="none"/>
        </w:rPr>
        <w:t xml:space="preserve">6.3 临时供电 </w:t>
      </w:r>
    </w:p>
    <w:p w14:paraId="601DA188">
      <w:pPr>
        <w:spacing w:line="360" w:lineRule="auto"/>
        <w:ind w:firstLine="420" w:firstLineChars="200"/>
        <w:rPr>
          <w:rStyle w:val="56"/>
          <w:rFonts w:hint="eastAsia"/>
          <w:highlight w:val="none"/>
        </w:rPr>
      </w:pPr>
      <w:r>
        <w:rPr>
          <w:rStyle w:val="56"/>
          <w:rFonts w:hint="eastAsia"/>
          <w:highlight w:val="none"/>
        </w:rPr>
        <w:t xml:space="preserve">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 </w:t>
      </w:r>
    </w:p>
    <w:p w14:paraId="1D333825">
      <w:pPr>
        <w:spacing w:line="360" w:lineRule="auto"/>
        <w:ind w:firstLine="420" w:firstLineChars="200"/>
        <w:rPr>
          <w:rStyle w:val="56"/>
          <w:rFonts w:hint="eastAsia"/>
          <w:highlight w:val="none"/>
        </w:rPr>
      </w:pPr>
      <w:r>
        <w:rPr>
          <w:rStyle w:val="56"/>
          <w:rFonts w:hint="eastAsia"/>
          <w:highlight w:val="none"/>
        </w:rPr>
        <w:t xml:space="preserve">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 </w:t>
      </w:r>
    </w:p>
    <w:p w14:paraId="2B218B0E">
      <w:pPr>
        <w:spacing w:line="360" w:lineRule="auto"/>
        <w:ind w:firstLine="420" w:firstLineChars="200"/>
        <w:rPr>
          <w:rStyle w:val="56"/>
          <w:rFonts w:hint="eastAsia"/>
          <w:highlight w:val="none"/>
        </w:rPr>
      </w:pPr>
      <w:r>
        <w:rPr>
          <w:rStyle w:val="56"/>
          <w:rFonts w:hint="eastAsia"/>
          <w:highlight w:val="none"/>
        </w:rPr>
        <w:t xml:space="preserve">6.4 劳动保护 </w:t>
      </w:r>
    </w:p>
    <w:p w14:paraId="72B9F7C8">
      <w:pPr>
        <w:spacing w:line="360" w:lineRule="auto"/>
        <w:ind w:firstLine="420" w:firstLineChars="200"/>
        <w:rPr>
          <w:rStyle w:val="56"/>
          <w:rFonts w:hint="eastAsia"/>
          <w:highlight w:val="none"/>
        </w:rPr>
      </w:pPr>
      <w:r>
        <w:rPr>
          <w:rStyle w:val="56"/>
          <w:rFonts w:hint="eastAsia"/>
          <w:highlight w:val="none"/>
        </w:rPr>
        <w:t xml:space="preserve">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 </w:t>
      </w:r>
    </w:p>
    <w:p w14:paraId="6F793A5E">
      <w:pPr>
        <w:spacing w:line="360" w:lineRule="auto"/>
        <w:ind w:firstLine="420" w:firstLineChars="200"/>
        <w:rPr>
          <w:rStyle w:val="56"/>
          <w:rFonts w:hint="eastAsia"/>
          <w:highlight w:val="none"/>
        </w:rPr>
      </w:pPr>
      <w:r>
        <w:rPr>
          <w:rStyle w:val="56"/>
          <w:rFonts w:hint="eastAsia"/>
          <w:highlight w:val="none"/>
        </w:rPr>
        <w:t xml:space="preserve">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 </w:t>
      </w:r>
    </w:p>
    <w:p w14:paraId="2837A7C9">
      <w:pPr>
        <w:spacing w:line="360" w:lineRule="auto"/>
        <w:ind w:firstLine="420" w:firstLineChars="200"/>
        <w:rPr>
          <w:rStyle w:val="56"/>
          <w:rFonts w:hint="eastAsia"/>
          <w:highlight w:val="none"/>
        </w:rPr>
      </w:pPr>
      <w:r>
        <w:rPr>
          <w:rStyle w:val="56"/>
          <w:rFonts w:hint="eastAsia"/>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7A535971">
      <w:pPr>
        <w:spacing w:line="360" w:lineRule="auto"/>
        <w:ind w:firstLine="420" w:firstLineChars="200"/>
        <w:rPr>
          <w:rStyle w:val="56"/>
          <w:rFonts w:hint="eastAsia"/>
          <w:highlight w:val="none"/>
        </w:rPr>
      </w:pPr>
      <w:r>
        <w:rPr>
          <w:rStyle w:val="56"/>
          <w:rFonts w:hint="eastAsia"/>
          <w:highlight w:val="none"/>
        </w:rPr>
        <w:t xml:space="preserve">6.5 环境保护 </w:t>
      </w:r>
    </w:p>
    <w:p w14:paraId="6CA68DE1">
      <w:pPr>
        <w:spacing w:line="360" w:lineRule="auto"/>
        <w:ind w:firstLine="420" w:firstLineChars="200"/>
        <w:rPr>
          <w:rStyle w:val="56"/>
          <w:rFonts w:hint="eastAsia"/>
          <w:highlight w:val="none"/>
        </w:rPr>
      </w:pPr>
      <w:r>
        <w:rPr>
          <w:rStyle w:val="56"/>
          <w:rFonts w:hint="eastAsia"/>
          <w:highlight w:val="none"/>
        </w:rPr>
        <w:t>6.5.1 在工程施工、完工及修补任何缺陷的过程中，承包人应当始终遵守国家和工程所在地有关环境保护、水土保护和污染防治的法律、法规、规章、规范、标准和规程等。</w:t>
      </w:r>
    </w:p>
    <w:p w14:paraId="659B4920">
      <w:pPr>
        <w:spacing w:line="360" w:lineRule="auto"/>
        <w:ind w:firstLine="420" w:firstLineChars="200"/>
        <w:rPr>
          <w:rStyle w:val="56"/>
          <w:rFonts w:hint="eastAsia"/>
          <w:highlight w:val="none"/>
        </w:rPr>
      </w:pPr>
      <w:r>
        <w:rPr>
          <w:rStyle w:val="56"/>
          <w:rFonts w:hint="eastAsia"/>
          <w:highlight w:val="none"/>
        </w:rPr>
        <w:t xml:space="preserve">（二）特殊技术标准和要求 </w:t>
      </w:r>
    </w:p>
    <w:p w14:paraId="125D4F06">
      <w:pPr>
        <w:spacing w:line="360" w:lineRule="auto"/>
        <w:ind w:firstLine="420" w:firstLineChars="200"/>
        <w:rPr>
          <w:rStyle w:val="56"/>
          <w:rFonts w:hint="eastAsia"/>
          <w:highlight w:val="none"/>
        </w:rPr>
      </w:pPr>
      <w:r>
        <w:rPr>
          <w:rStyle w:val="56"/>
          <w:rFonts w:hint="eastAsia"/>
          <w:highlight w:val="none"/>
        </w:rPr>
        <w:t xml:space="preserve">1、材料和工程设备技术要求 </w:t>
      </w:r>
    </w:p>
    <w:p w14:paraId="0FAC06D6">
      <w:pPr>
        <w:spacing w:line="360" w:lineRule="auto"/>
        <w:ind w:firstLine="420" w:firstLineChars="200"/>
        <w:rPr>
          <w:rStyle w:val="56"/>
          <w:rFonts w:hint="eastAsia"/>
          <w:highlight w:val="none"/>
        </w:rPr>
      </w:pPr>
      <w:r>
        <w:rPr>
          <w:rStyle w:val="56"/>
          <w:rFonts w:hint="eastAsia"/>
          <w:highlight w:val="none"/>
        </w:rPr>
        <w:t xml:space="preserve">1.1 承包人自行施工范围内的部分材料和工程设备技术要求如下： </w:t>
      </w:r>
    </w:p>
    <w:p w14:paraId="1CC4FE12">
      <w:pPr>
        <w:spacing w:line="360" w:lineRule="auto"/>
        <w:ind w:firstLine="420" w:firstLineChars="200"/>
        <w:rPr>
          <w:rStyle w:val="56"/>
          <w:rFonts w:hint="eastAsia"/>
          <w:highlight w:val="none"/>
        </w:rPr>
      </w:pPr>
      <w:r>
        <w:rPr>
          <w:rStyle w:val="56"/>
          <w:rFonts w:hint="eastAsia"/>
          <w:highlight w:val="none"/>
        </w:rPr>
        <w:t xml:space="preserve">投标人必须选用满足国家、省、市技术标准要求，符合设计图纸技术参数要求，产品生产许可证和合格证等证书齐全，具有建材质检部门出具有效期检测合格报告的工程材料。 </w:t>
      </w:r>
    </w:p>
    <w:p w14:paraId="08C35E1A">
      <w:pPr>
        <w:spacing w:line="360" w:lineRule="auto"/>
        <w:ind w:firstLine="420" w:firstLineChars="200"/>
        <w:rPr>
          <w:rStyle w:val="56"/>
          <w:rFonts w:hint="eastAsia" w:eastAsia="宋体"/>
          <w:highlight w:val="none"/>
        </w:rPr>
      </w:pPr>
      <w:r>
        <w:rPr>
          <w:rStyle w:val="56"/>
          <w:rFonts w:hint="eastAsia" w:eastAsia="宋体"/>
          <w:highlight w:val="none"/>
        </w:rPr>
        <w:t>投标人须按照招标人提供的主要材料清单及技术标准要求逐项注明材料品牌、产地、生产厂家、规格（型号）、数量、单价、质量标准及总价。</w:t>
      </w:r>
    </w:p>
    <w:p w14:paraId="3AEC4887">
      <w:pPr>
        <w:spacing w:line="360" w:lineRule="auto"/>
        <w:ind w:firstLine="420" w:firstLineChars="200"/>
        <w:rPr>
          <w:rFonts w:hint="eastAsia"/>
          <w:highlight w:val="none"/>
        </w:rPr>
      </w:pPr>
      <w:r>
        <w:rPr>
          <w:rStyle w:val="56"/>
          <w:rFonts w:hint="eastAsia" w:eastAsia="宋体"/>
          <w:highlight w:val="none"/>
        </w:rPr>
        <w:br w:type="page"/>
      </w:r>
    </w:p>
    <w:p w14:paraId="2590D0B5">
      <w:pPr>
        <w:spacing w:line="400" w:lineRule="exact"/>
        <w:rPr>
          <w:rFonts w:hint="eastAsia"/>
          <w:highlight w:val="none"/>
        </w:rPr>
      </w:pPr>
    </w:p>
    <w:p w14:paraId="66553E5C">
      <w:pPr>
        <w:spacing w:line="400" w:lineRule="exact"/>
        <w:rPr>
          <w:rFonts w:hint="eastAsia"/>
          <w:highlight w:val="none"/>
        </w:rPr>
      </w:pPr>
    </w:p>
    <w:p w14:paraId="3E326E18">
      <w:pPr>
        <w:spacing w:line="400" w:lineRule="exact"/>
        <w:rPr>
          <w:rFonts w:hint="eastAsia"/>
          <w:highlight w:val="none"/>
        </w:rPr>
      </w:pPr>
    </w:p>
    <w:p w14:paraId="6BE720A2">
      <w:pPr>
        <w:spacing w:line="400" w:lineRule="exact"/>
        <w:rPr>
          <w:rFonts w:hint="eastAsia"/>
          <w:highlight w:val="none"/>
        </w:rPr>
      </w:pPr>
    </w:p>
    <w:p w14:paraId="36B52C08">
      <w:pPr>
        <w:spacing w:line="400" w:lineRule="exact"/>
        <w:rPr>
          <w:rFonts w:hint="eastAsia"/>
          <w:highlight w:val="none"/>
        </w:rPr>
      </w:pPr>
    </w:p>
    <w:p w14:paraId="162341BA">
      <w:pPr>
        <w:spacing w:line="400" w:lineRule="exact"/>
        <w:rPr>
          <w:rFonts w:hint="eastAsia"/>
          <w:highlight w:val="none"/>
        </w:rPr>
      </w:pPr>
    </w:p>
    <w:p w14:paraId="75684C52">
      <w:pPr>
        <w:spacing w:line="400" w:lineRule="exact"/>
        <w:rPr>
          <w:rFonts w:hint="eastAsia"/>
          <w:highlight w:val="none"/>
        </w:rPr>
      </w:pPr>
    </w:p>
    <w:p w14:paraId="7B63FED2">
      <w:pPr>
        <w:spacing w:line="400" w:lineRule="exact"/>
        <w:rPr>
          <w:rFonts w:hint="eastAsia"/>
          <w:highlight w:val="none"/>
        </w:rPr>
      </w:pPr>
    </w:p>
    <w:p w14:paraId="36A7EC4C">
      <w:pPr>
        <w:spacing w:line="400" w:lineRule="exact"/>
        <w:rPr>
          <w:rFonts w:hint="eastAsia"/>
          <w:highlight w:val="none"/>
        </w:rPr>
      </w:pPr>
    </w:p>
    <w:p w14:paraId="2EF51C71">
      <w:pPr>
        <w:spacing w:line="400" w:lineRule="exact"/>
        <w:rPr>
          <w:rFonts w:hint="eastAsia"/>
          <w:highlight w:val="none"/>
        </w:rPr>
      </w:pPr>
    </w:p>
    <w:p w14:paraId="138C7B30">
      <w:pPr>
        <w:pStyle w:val="3"/>
        <w:spacing w:before="120" w:after="120" w:line="400" w:lineRule="exact"/>
        <w:jc w:val="center"/>
        <w:rPr>
          <w:rFonts w:hint="eastAsia" w:ascii="黑体" w:hAnsi="黑体" w:eastAsia="黑体"/>
          <w:b w:val="0"/>
          <w:bCs w:val="0"/>
          <w:sz w:val="32"/>
          <w:highlight w:val="none"/>
        </w:rPr>
      </w:pPr>
      <w:bookmarkStart w:id="1007" w:name="_Toc4588"/>
      <w:bookmarkStart w:id="1008" w:name="_Toc144974855"/>
      <w:bookmarkStart w:id="1009" w:name="_Toc152045786"/>
      <w:bookmarkStart w:id="1010" w:name="_Toc152042575"/>
      <w:r>
        <w:rPr>
          <w:rFonts w:hint="eastAsia" w:ascii="黑体" w:hAnsi="黑体" w:eastAsia="黑体"/>
          <w:b w:val="0"/>
          <w:bCs w:val="0"/>
          <w:sz w:val="32"/>
          <w:highlight w:val="none"/>
        </w:rPr>
        <w:t>第四卷</w:t>
      </w:r>
      <w:bookmarkEnd w:id="1007"/>
    </w:p>
    <w:p w14:paraId="431FEFCC">
      <w:pPr>
        <w:spacing w:line="400" w:lineRule="exact"/>
        <w:jc w:val="center"/>
        <w:rPr>
          <w:rFonts w:hint="eastAsia"/>
          <w:highlight w:val="none"/>
        </w:rPr>
      </w:pPr>
      <w:r>
        <w:rPr>
          <w:rFonts w:ascii="黑体" w:hAnsi="黑体" w:eastAsia="黑体"/>
          <w:b/>
          <w:bCs/>
          <w:sz w:val="32"/>
          <w:highlight w:val="none"/>
        </w:rPr>
        <w:br w:type="page"/>
      </w:r>
    </w:p>
    <w:p w14:paraId="43A08CA9">
      <w:pPr>
        <w:spacing w:line="400" w:lineRule="exact"/>
        <w:jc w:val="center"/>
        <w:rPr>
          <w:rFonts w:hint="eastAsia"/>
          <w:highlight w:val="none"/>
        </w:rPr>
      </w:pPr>
    </w:p>
    <w:p w14:paraId="6F2515EE">
      <w:pPr>
        <w:spacing w:line="400" w:lineRule="exact"/>
        <w:jc w:val="center"/>
        <w:rPr>
          <w:rFonts w:hint="eastAsia"/>
          <w:highlight w:val="none"/>
        </w:rPr>
      </w:pPr>
    </w:p>
    <w:p w14:paraId="3D460E38">
      <w:pPr>
        <w:spacing w:line="400" w:lineRule="exact"/>
        <w:jc w:val="center"/>
        <w:rPr>
          <w:rFonts w:hint="eastAsia"/>
          <w:highlight w:val="none"/>
        </w:rPr>
      </w:pPr>
    </w:p>
    <w:p w14:paraId="603D2034">
      <w:pPr>
        <w:pStyle w:val="3"/>
        <w:spacing w:before="120" w:after="120" w:line="400" w:lineRule="exact"/>
        <w:jc w:val="center"/>
        <w:rPr>
          <w:rFonts w:hint="eastAsia" w:ascii="黑体" w:hAnsi="黑体" w:eastAsia="黑体"/>
          <w:b w:val="0"/>
          <w:bCs w:val="0"/>
          <w:sz w:val="32"/>
          <w:highlight w:val="none"/>
        </w:rPr>
      </w:pPr>
      <w:bookmarkStart w:id="1011" w:name="_Toc32498"/>
      <w:r>
        <w:rPr>
          <w:rFonts w:hint="eastAsia" w:ascii="黑体" w:hAnsi="黑体" w:eastAsia="黑体"/>
          <w:b w:val="0"/>
          <w:bCs w:val="0"/>
          <w:sz w:val="32"/>
          <w:highlight w:val="none"/>
        </w:rPr>
        <w:t>第八章  投标文件格式</w:t>
      </w:r>
      <w:bookmarkEnd w:id="1008"/>
      <w:bookmarkEnd w:id="1009"/>
      <w:bookmarkEnd w:id="1010"/>
      <w:bookmarkEnd w:id="1011"/>
    </w:p>
    <w:p w14:paraId="3B31648E">
      <w:pPr>
        <w:spacing w:line="400" w:lineRule="exact"/>
        <w:rPr>
          <w:rFonts w:hint="eastAsia"/>
          <w:highlight w:val="none"/>
        </w:rPr>
      </w:pPr>
    </w:p>
    <w:p w14:paraId="13006AEC">
      <w:pPr>
        <w:spacing w:line="400" w:lineRule="exact"/>
        <w:rPr>
          <w:rFonts w:hint="eastAsia"/>
          <w:highlight w:val="none"/>
        </w:rPr>
      </w:pPr>
      <w:r>
        <w:rPr>
          <w:highlight w:val="none"/>
        </w:rPr>
        <w:br w:type="page"/>
      </w:r>
    </w:p>
    <w:p w14:paraId="5C3CE627">
      <w:pPr>
        <w:spacing w:line="440" w:lineRule="exact"/>
        <w:rPr>
          <w:rFonts w:eastAsia="黑体"/>
          <w:sz w:val="20"/>
          <w:szCs w:val="20"/>
          <w:highlight w:val="none"/>
        </w:rPr>
      </w:pPr>
    </w:p>
    <w:p w14:paraId="1E9C1D3F">
      <w:pPr>
        <w:spacing w:line="440" w:lineRule="exact"/>
        <w:rPr>
          <w:rFonts w:eastAsia="黑体"/>
          <w:sz w:val="20"/>
          <w:szCs w:val="20"/>
          <w:highlight w:val="none"/>
        </w:rPr>
      </w:pPr>
    </w:p>
    <w:p w14:paraId="74E5D7DF">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（项目名称）</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标段施工招标</w:t>
      </w:r>
    </w:p>
    <w:p w14:paraId="3A45E0EE">
      <w:pPr>
        <w:rPr>
          <w:rFonts w:hint="eastAsia" w:eastAsia="黑体"/>
          <w:sz w:val="20"/>
          <w:szCs w:val="20"/>
          <w:highlight w:val="none"/>
        </w:rPr>
      </w:pPr>
    </w:p>
    <w:p w14:paraId="5B4BF568">
      <w:pPr>
        <w:rPr>
          <w:rFonts w:hint="eastAsia" w:eastAsia="黑体"/>
          <w:sz w:val="20"/>
          <w:szCs w:val="20"/>
          <w:highlight w:val="none"/>
        </w:rPr>
      </w:pPr>
    </w:p>
    <w:p w14:paraId="503872DF">
      <w:pPr>
        <w:jc w:val="center"/>
        <w:rPr>
          <w:rFonts w:eastAsia="黑体"/>
          <w:sz w:val="44"/>
          <w:szCs w:val="44"/>
          <w:highlight w:val="none"/>
        </w:rPr>
      </w:pPr>
      <w:r>
        <w:rPr>
          <w:rFonts w:eastAsia="黑体"/>
          <w:sz w:val="44"/>
          <w:szCs w:val="44"/>
          <w:highlight w:val="none"/>
        </w:rPr>
        <w:t>投  标  文  件</w:t>
      </w:r>
    </w:p>
    <w:p w14:paraId="403F04A3">
      <w:pPr>
        <w:rPr>
          <w:rFonts w:eastAsia="黑体"/>
          <w:sz w:val="28"/>
          <w:szCs w:val="28"/>
          <w:highlight w:val="none"/>
        </w:rPr>
      </w:pPr>
    </w:p>
    <w:p w14:paraId="6ADB913F">
      <w:pPr>
        <w:rPr>
          <w:rFonts w:eastAsia="黑体"/>
          <w:sz w:val="28"/>
          <w:szCs w:val="28"/>
          <w:highlight w:val="none"/>
        </w:rPr>
      </w:pPr>
    </w:p>
    <w:p w14:paraId="44D7CB2B">
      <w:pPr>
        <w:rPr>
          <w:rFonts w:eastAsia="黑体"/>
          <w:sz w:val="28"/>
          <w:szCs w:val="28"/>
          <w:highlight w:val="none"/>
        </w:rPr>
      </w:pPr>
    </w:p>
    <w:p w14:paraId="071EFC33">
      <w:pPr>
        <w:rPr>
          <w:rFonts w:eastAsia="黑体"/>
          <w:sz w:val="28"/>
          <w:szCs w:val="28"/>
          <w:highlight w:val="none"/>
        </w:rPr>
      </w:pPr>
    </w:p>
    <w:p w14:paraId="50DDBB32">
      <w:pPr>
        <w:rPr>
          <w:rFonts w:eastAsia="黑体"/>
          <w:sz w:val="28"/>
          <w:szCs w:val="28"/>
          <w:highlight w:val="none"/>
        </w:rPr>
      </w:pPr>
    </w:p>
    <w:p w14:paraId="44A35B78">
      <w:pPr>
        <w:rPr>
          <w:rFonts w:eastAsia="黑体"/>
          <w:sz w:val="28"/>
          <w:szCs w:val="28"/>
          <w:highlight w:val="none"/>
        </w:rPr>
      </w:pPr>
    </w:p>
    <w:p w14:paraId="5D69F061">
      <w:pPr>
        <w:rPr>
          <w:rFonts w:eastAsia="黑体"/>
          <w:sz w:val="28"/>
          <w:szCs w:val="28"/>
          <w:highlight w:val="none"/>
        </w:rPr>
      </w:pPr>
    </w:p>
    <w:p w14:paraId="0FD6E90B">
      <w:pPr>
        <w:rPr>
          <w:rFonts w:eastAsia="黑体"/>
          <w:sz w:val="28"/>
          <w:szCs w:val="28"/>
          <w:highlight w:val="none"/>
        </w:rPr>
      </w:pPr>
    </w:p>
    <w:p w14:paraId="5DBC0ACC">
      <w:pPr>
        <w:rPr>
          <w:rFonts w:eastAsia="黑体"/>
          <w:sz w:val="28"/>
          <w:szCs w:val="28"/>
          <w:highlight w:val="none"/>
        </w:rPr>
      </w:pPr>
    </w:p>
    <w:p w14:paraId="0034ECC3">
      <w:pPr>
        <w:rPr>
          <w:rFonts w:eastAsia="黑体"/>
          <w:sz w:val="28"/>
          <w:szCs w:val="28"/>
          <w:highlight w:val="none"/>
        </w:rPr>
      </w:pPr>
    </w:p>
    <w:p w14:paraId="5B65F614">
      <w:pPr>
        <w:rPr>
          <w:rFonts w:eastAsia="黑体"/>
          <w:sz w:val="28"/>
          <w:szCs w:val="28"/>
          <w:highlight w:val="none"/>
        </w:rPr>
      </w:pPr>
    </w:p>
    <w:p w14:paraId="45EEFA27">
      <w:pPr>
        <w:jc w:val="center"/>
        <w:rPr>
          <w:rFonts w:eastAsia="黑体"/>
          <w:sz w:val="28"/>
          <w:szCs w:val="28"/>
          <w:highlight w:val="none"/>
          <w:u w:val="single"/>
        </w:rPr>
      </w:pPr>
      <w:r>
        <w:rPr>
          <w:rFonts w:eastAsia="黑体"/>
          <w:sz w:val="28"/>
          <w:szCs w:val="28"/>
          <w:highlight w:val="none"/>
        </w:rPr>
        <w:t>投标人：</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（盖单位章）</w:t>
      </w:r>
    </w:p>
    <w:p w14:paraId="46BB2805">
      <w:pPr>
        <w:jc w:val="center"/>
        <w:rPr>
          <w:rFonts w:eastAsia="黑体"/>
          <w:sz w:val="28"/>
          <w:szCs w:val="28"/>
          <w:highlight w:val="none"/>
        </w:rPr>
      </w:pPr>
      <w:r>
        <w:rPr>
          <w:rFonts w:eastAsia="黑体"/>
          <w:sz w:val="28"/>
          <w:szCs w:val="28"/>
          <w:highlight w:val="none"/>
        </w:rPr>
        <w:t>法定代表人或其委托代理人：</w:t>
      </w:r>
      <w:r>
        <w:rPr>
          <w:rFonts w:eastAsia="黑体"/>
          <w:sz w:val="28"/>
          <w:szCs w:val="28"/>
          <w:highlight w:val="none"/>
          <w:u w:val="single"/>
        </w:rPr>
        <w:t xml:space="preserve">                </w:t>
      </w:r>
      <w:r>
        <w:rPr>
          <w:rFonts w:eastAsia="黑体"/>
          <w:sz w:val="28"/>
          <w:szCs w:val="28"/>
          <w:highlight w:val="none"/>
        </w:rPr>
        <w:t>（签字）</w:t>
      </w:r>
    </w:p>
    <w:p w14:paraId="3769F388">
      <w:pPr>
        <w:jc w:val="center"/>
        <w:rPr>
          <w:rFonts w:eastAsia="黑体"/>
          <w:sz w:val="28"/>
          <w:szCs w:val="28"/>
          <w:highlight w:val="none"/>
        </w:rPr>
      </w:pPr>
      <w:r>
        <w:rPr>
          <w:rFonts w:eastAsia="黑体"/>
          <w:sz w:val="28"/>
          <w:szCs w:val="28"/>
          <w:highlight w:val="none"/>
          <w:u w:val="single"/>
        </w:rPr>
        <w:t xml:space="preserve">        </w:t>
      </w:r>
      <w:r>
        <w:rPr>
          <w:rFonts w:eastAsia="黑体"/>
          <w:sz w:val="28"/>
          <w:szCs w:val="28"/>
          <w:highlight w:val="none"/>
        </w:rPr>
        <w:t>年</w:t>
      </w:r>
      <w:r>
        <w:rPr>
          <w:rFonts w:eastAsia="黑体"/>
          <w:sz w:val="28"/>
          <w:szCs w:val="28"/>
          <w:highlight w:val="none"/>
          <w:u w:val="single"/>
        </w:rPr>
        <w:t xml:space="preserve">        </w:t>
      </w:r>
      <w:r>
        <w:rPr>
          <w:rFonts w:eastAsia="黑体"/>
          <w:sz w:val="28"/>
          <w:szCs w:val="28"/>
          <w:highlight w:val="none"/>
        </w:rPr>
        <w:t>月</w:t>
      </w:r>
      <w:r>
        <w:rPr>
          <w:rFonts w:eastAsia="黑体"/>
          <w:sz w:val="28"/>
          <w:szCs w:val="28"/>
          <w:highlight w:val="none"/>
          <w:u w:val="single"/>
        </w:rPr>
        <w:t xml:space="preserve">        </w:t>
      </w:r>
      <w:r>
        <w:rPr>
          <w:rFonts w:eastAsia="黑体"/>
          <w:sz w:val="28"/>
          <w:szCs w:val="28"/>
          <w:highlight w:val="none"/>
        </w:rPr>
        <w:t>日</w:t>
      </w:r>
    </w:p>
    <w:p w14:paraId="71090080">
      <w:pPr>
        <w:spacing w:line="440" w:lineRule="exact"/>
        <w:rPr>
          <w:rFonts w:eastAsia="黑体"/>
          <w:sz w:val="20"/>
          <w:szCs w:val="20"/>
          <w:highlight w:val="none"/>
        </w:rPr>
      </w:pPr>
    </w:p>
    <w:p w14:paraId="43EC3874">
      <w:pPr>
        <w:spacing w:line="540" w:lineRule="exact"/>
        <w:rPr>
          <w:rFonts w:eastAsia="黑体"/>
          <w:sz w:val="20"/>
          <w:szCs w:val="20"/>
          <w:highlight w:val="none"/>
        </w:rPr>
      </w:pPr>
      <w:r>
        <w:rPr>
          <w:highlight w:val="none"/>
        </w:rPr>
        <w:br w:type="page"/>
      </w:r>
    </w:p>
    <w:p w14:paraId="68C5A965">
      <w:pPr>
        <w:pStyle w:val="46"/>
        <w:jc w:val="center"/>
        <w:rPr>
          <w:highlight w:val="none"/>
        </w:rPr>
      </w:pPr>
      <w:bookmarkStart w:id="1012" w:name="_Toc152045788"/>
      <w:bookmarkStart w:id="1013" w:name="_Toc152042577"/>
      <w:bookmarkStart w:id="1014" w:name="_Toc144974857"/>
      <w:bookmarkStart w:id="1015" w:name="_Toc32146"/>
      <w:r>
        <w:rPr>
          <w:highlight w:val="none"/>
        </w:rPr>
        <w:t>一、投标函</w:t>
      </w:r>
      <w:bookmarkEnd w:id="1012"/>
      <w:bookmarkEnd w:id="1013"/>
      <w:bookmarkEnd w:id="1014"/>
      <w:bookmarkEnd w:id="1015"/>
    </w:p>
    <w:p w14:paraId="0AE3EAA8">
      <w:pPr>
        <w:spacing w:line="440" w:lineRule="exact"/>
        <w:ind w:firstLine="2700" w:firstLineChars="1350"/>
        <w:rPr>
          <w:rFonts w:eastAsia="黑体"/>
          <w:sz w:val="20"/>
          <w:szCs w:val="20"/>
          <w:highlight w:val="none"/>
        </w:rPr>
      </w:pPr>
    </w:p>
    <w:p w14:paraId="0A6A0B17">
      <w:pPr>
        <w:spacing w:line="440" w:lineRule="exact"/>
        <w:rPr>
          <w:sz w:val="20"/>
          <w:szCs w:val="20"/>
          <w:highlight w:val="none"/>
        </w:rPr>
      </w:pPr>
    </w:p>
    <w:p w14:paraId="43EED29F">
      <w:pPr>
        <w:spacing w:line="440" w:lineRule="exact"/>
        <w:rPr>
          <w:szCs w:val="21"/>
          <w:highlight w:val="none"/>
        </w:rPr>
      </w:pPr>
      <w:r>
        <w:rPr>
          <w:szCs w:val="21"/>
          <w:highlight w:val="none"/>
          <w:u w:val="single"/>
        </w:rPr>
        <w:t xml:space="preserve">                        </w:t>
      </w:r>
      <w:r>
        <w:rPr>
          <w:szCs w:val="21"/>
          <w:highlight w:val="none"/>
        </w:rPr>
        <w:t>（招标人名称）：</w:t>
      </w:r>
    </w:p>
    <w:p w14:paraId="69F4A796">
      <w:pPr>
        <w:spacing w:line="440" w:lineRule="exact"/>
        <w:rPr>
          <w:szCs w:val="21"/>
          <w:highlight w:val="none"/>
        </w:rPr>
      </w:pPr>
    </w:p>
    <w:p w14:paraId="25758E8E">
      <w:pPr>
        <w:spacing w:line="440" w:lineRule="exact"/>
        <w:ind w:firstLine="420" w:firstLineChars="200"/>
        <w:rPr>
          <w:szCs w:val="21"/>
          <w:highlight w:val="none"/>
        </w:rPr>
      </w:pPr>
      <w:r>
        <w:rPr>
          <w:szCs w:val="21"/>
          <w:highlight w:val="none"/>
        </w:rPr>
        <w:t>1．我方已仔细研究了</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（项目名称）招标文件的全部内容，愿意以人民币（大写）</w:t>
      </w:r>
      <w:r>
        <w:rPr>
          <w:szCs w:val="21"/>
          <w:highlight w:val="none"/>
          <w:u w:val="single"/>
        </w:rPr>
        <w:t xml:space="preserve">         </w:t>
      </w:r>
      <w:r>
        <w:rPr>
          <w:szCs w:val="21"/>
          <w:highlight w:val="none"/>
        </w:rPr>
        <w:t>元（¥</w:t>
      </w:r>
      <w:r>
        <w:rPr>
          <w:szCs w:val="21"/>
          <w:highlight w:val="none"/>
          <w:u w:val="single"/>
        </w:rPr>
        <w:t xml:space="preserve">           </w:t>
      </w:r>
      <w:r>
        <w:rPr>
          <w:szCs w:val="21"/>
          <w:highlight w:val="none"/>
        </w:rPr>
        <w:t>）的投标总报价，</w:t>
      </w:r>
      <w:r>
        <w:rPr>
          <w:rFonts w:hint="eastAsia"/>
          <w:szCs w:val="21"/>
          <w:highlight w:val="none"/>
        </w:rPr>
        <w:t>工期</w:t>
      </w:r>
      <w:r>
        <w:rPr>
          <w:rFonts w:hint="eastAsia"/>
          <w:szCs w:val="21"/>
          <w:highlight w:val="none"/>
          <w:u w:val="single"/>
        </w:rPr>
        <w:t xml:space="preserve">          </w:t>
      </w:r>
      <w:r>
        <w:rPr>
          <w:rFonts w:hint="eastAsia"/>
          <w:szCs w:val="21"/>
          <w:highlight w:val="none"/>
        </w:rPr>
        <w:t xml:space="preserve"> 日历天，</w:t>
      </w:r>
      <w:r>
        <w:rPr>
          <w:szCs w:val="21"/>
          <w:highlight w:val="none"/>
        </w:rPr>
        <w:t>按合同约定实施和完成承包工程，修补工程中的任何缺陷，工程质量达到</w:t>
      </w:r>
      <w:r>
        <w:rPr>
          <w:szCs w:val="21"/>
          <w:highlight w:val="none"/>
          <w:u w:val="single"/>
        </w:rPr>
        <w:t xml:space="preserve">           </w:t>
      </w:r>
      <w:r>
        <w:rPr>
          <w:szCs w:val="21"/>
          <w:highlight w:val="none"/>
        </w:rPr>
        <w:t xml:space="preserve"> 。</w:t>
      </w:r>
    </w:p>
    <w:p w14:paraId="47C0D4BD">
      <w:pPr>
        <w:spacing w:line="440" w:lineRule="exact"/>
        <w:ind w:firstLine="420" w:firstLineChars="200"/>
        <w:rPr>
          <w:szCs w:val="21"/>
          <w:highlight w:val="none"/>
        </w:rPr>
      </w:pPr>
      <w:r>
        <w:rPr>
          <w:szCs w:val="21"/>
          <w:highlight w:val="none"/>
        </w:rPr>
        <w:t>2．我方承诺在投标有效期内不修改、撤销投标文件。</w:t>
      </w:r>
    </w:p>
    <w:p w14:paraId="515B5241">
      <w:pPr>
        <w:spacing w:line="440" w:lineRule="exact"/>
        <w:ind w:firstLine="420" w:firstLineChars="200"/>
        <w:rPr>
          <w:szCs w:val="21"/>
          <w:highlight w:val="none"/>
        </w:rPr>
      </w:pPr>
      <w:r>
        <w:rPr>
          <w:szCs w:val="21"/>
          <w:highlight w:val="none"/>
        </w:rPr>
        <w:t>3．随同本投标函提交投标保证金一份，金额为人民币（大写）</w:t>
      </w:r>
      <w:r>
        <w:rPr>
          <w:szCs w:val="21"/>
          <w:highlight w:val="none"/>
          <w:u w:val="single"/>
        </w:rPr>
        <w:t xml:space="preserve">        </w:t>
      </w:r>
      <w:r>
        <w:rPr>
          <w:szCs w:val="21"/>
          <w:highlight w:val="none"/>
        </w:rPr>
        <w:t>元（¥</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14:paraId="5B0412EA">
      <w:pPr>
        <w:spacing w:line="440" w:lineRule="exact"/>
        <w:ind w:firstLine="420" w:firstLineChars="200"/>
        <w:rPr>
          <w:szCs w:val="21"/>
          <w:highlight w:val="none"/>
        </w:rPr>
      </w:pPr>
      <w:r>
        <w:rPr>
          <w:szCs w:val="21"/>
          <w:highlight w:val="none"/>
        </w:rPr>
        <w:t>4．如我方中标：</w:t>
      </w:r>
    </w:p>
    <w:p w14:paraId="322F67D5">
      <w:pPr>
        <w:spacing w:line="440" w:lineRule="exact"/>
        <w:ind w:firstLine="718" w:firstLineChars="342"/>
        <w:rPr>
          <w:szCs w:val="21"/>
          <w:highlight w:val="none"/>
        </w:rPr>
      </w:pPr>
      <w:r>
        <w:rPr>
          <w:szCs w:val="21"/>
          <w:highlight w:val="none"/>
        </w:rPr>
        <w:t>（1）我方承诺在收到中标通知书后，在中标通知书规定的期限内与你方签订合同。</w:t>
      </w:r>
    </w:p>
    <w:p w14:paraId="680FFC85">
      <w:pPr>
        <w:spacing w:line="440" w:lineRule="exact"/>
        <w:ind w:firstLine="718" w:firstLineChars="342"/>
        <w:rPr>
          <w:szCs w:val="21"/>
          <w:highlight w:val="none"/>
        </w:rPr>
      </w:pPr>
      <w:r>
        <w:rPr>
          <w:szCs w:val="21"/>
          <w:highlight w:val="none"/>
        </w:rPr>
        <w:t>（2）随同本投标函递交的投标函附录属于合同文件的组成部分。</w:t>
      </w:r>
    </w:p>
    <w:p w14:paraId="33D0638A">
      <w:pPr>
        <w:spacing w:line="440" w:lineRule="exact"/>
        <w:ind w:firstLine="718" w:firstLineChars="342"/>
        <w:rPr>
          <w:szCs w:val="21"/>
          <w:highlight w:val="none"/>
        </w:rPr>
      </w:pPr>
      <w:r>
        <w:rPr>
          <w:szCs w:val="21"/>
          <w:highlight w:val="none"/>
        </w:rPr>
        <w:t>（3）我方承诺按照招标文件规定向你方递交履约担保。</w:t>
      </w:r>
    </w:p>
    <w:p w14:paraId="6C29DF46">
      <w:pPr>
        <w:spacing w:line="440" w:lineRule="exact"/>
        <w:ind w:firstLine="718" w:firstLineChars="342"/>
        <w:rPr>
          <w:szCs w:val="21"/>
          <w:highlight w:val="none"/>
        </w:rPr>
      </w:pPr>
      <w:r>
        <w:rPr>
          <w:szCs w:val="21"/>
          <w:highlight w:val="none"/>
        </w:rPr>
        <w:t>（4）我方承诺在合同约定的期限内完成并移交全部合同工程。</w:t>
      </w:r>
    </w:p>
    <w:p w14:paraId="6A149641">
      <w:pPr>
        <w:spacing w:line="440" w:lineRule="exact"/>
        <w:ind w:firstLine="420" w:firstLineChars="200"/>
        <w:rPr>
          <w:rFonts w:hint="eastAsia"/>
          <w:szCs w:val="21"/>
          <w:highlight w:val="none"/>
        </w:rPr>
      </w:pPr>
      <w:r>
        <w:rPr>
          <w:szCs w:val="21"/>
          <w:highlight w:val="none"/>
        </w:rPr>
        <w:t>5．</w:t>
      </w:r>
      <w:r>
        <w:rPr>
          <w:rFonts w:hint="eastAsia"/>
          <w:highlight w:val="none"/>
        </w:rPr>
        <w:t>我方在此声明，所递交的投标文件及有关资料内容完整、真实和准确，且不存在第二章“投标人须知”第1.4.3项规定的任何一种情形。</w:t>
      </w:r>
    </w:p>
    <w:p w14:paraId="33C463C1">
      <w:pPr>
        <w:spacing w:line="440" w:lineRule="exact"/>
        <w:ind w:firstLine="420" w:firstLineChars="200"/>
        <w:rPr>
          <w:szCs w:val="21"/>
          <w:highlight w:val="none"/>
        </w:rPr>
      </w:pPr>
      <w:r>
        <w:rPr>
          <w:rFonts w:hint="eastAsia"/>
          <w:szCs w:val="21"/>
          <w:highlight w:val="none"/>
        </w:rPr>
        <w:t>6．</w:t>
      </w:r>
      <w:r>
        <w:rPr>
          <w:szCs w:val="21"/>
          <w:highlight w:val="none"/>
          <w:u w:val="single"/>
        </w:rPr>
        <w:t xml:space="preserve">                                       </w:t>
      </w:r>
      <w:r>
        <w:rPr>
          <w:szCs w:val="21"/>
          <w:highlight w:val="none"/>
        </w:rPr>
        <w:t>（</w:t>
      </w:r>
      <w:r>
        <w:rPr>
          <w:rFonts w:hint="eastAsia"/>
          <w:szCs w:val="21"/>
          <w:highlight w:val="none"/>
        </w:rPr>
        <w:t>其他</w:t>
      </w:r>
      <w:r>
        <w:rPr>
          <w:szCs w:val="21"/>
          <w:highlight w:val="none"/>
        </w:rPr>
        <w:t>补充说明）。</w:t>
      </w:r>
    </w:p>
    <w:p w14:paraId="25459A96">
      <w:pPr>
        <w:spacing w:line="440" w:lineRule="exact"/>
        <w:rPr>
          <w:szCs w:val="21"/>
          <w:highlight w:val="none"/>
        </w:rPr>
      </w:pPr>
    </w:p>
    <w:p w14:paraId="6D46AF0B">
      <w:pPr>
        <w:spacing w:line="440" w:lineRule="exact"/>
        <w:ind w:firstLine="3675" w:firstLineChars="1750"/>
        <w:rPr>
          <w:szCs w:val="21"/>
          <w:highlight w:val="none"/>
        </w:rPr>
      </w:pPr>
      <w:r>
        <w:rPr>
          <w:szCs w:val="21"/>
          <w:highlight w:val="none"/>
        </w:rPr>
        <w:t>投 标 人：</w:t>
      </w:r>
      <w:r>
        <w:rPr>
          <w:szCs w:val="21"/>
          <w:highlight w:val="none"/>
          <w:u w:val="single"/>
        </w:rPr>
        <w:t xml:space="preserve">                      </w:t>
      </w:r>
      <w:r>
        <w:rPr>
          <w:szCs w:val="21"/>
          <w:highlight w:val="none"/>
        </w:rPr>
        <w:t>（盖单位章）</w:t>
      </w:r>
    </w:p>
    <w:p w14:paraId="2606C0C3">
      <w:pPr>
        <w:spacing w:line="440" w:lineRule="exact"/>
        <w:ind w:firstLine="3675" w:firstLineChars="1750"/>
        <w:rPr>
          <w:szCs w:val="21"/>
          <w:highlight w:val="none"/>
        </w:rPr>
      </w:pPr>
      <w:r>
        <w:rPr>
          <w:szCs w:val="21"/>
          <w:highlight w:val="none"/>
        </w:rPr>
        <w:t>法定代表人或其委托代理人：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p>
    <w:p w14:paraId="5F9FF760">
      <w:pPr>
        <w:spacing w:line="440" w:lineRule="exact"/>
        <w:ind w:firstLine="3675" w:firstLineChars="1750"/>
        <w:rPr>
          <w:rFonts w:hint="eastAsia"/>
          <w:szCs w:val="21"/>
          <w:highlight w:val="none"/>
        </w:rPr>
      </w:pPr>
      <w:r>
        <w:rPr>
          <w:szCs w:val="21"/>
          <w:highlight w:val="none"/>
        </w:rPr>
        <w:t>地址：</w:t>
      </w:r>
      <w:r>
        <w:rPr>
          <w:szCs w:val="21"/>
          <w:highlight w:val="none"/>
          <w:u w:val="single"/>
        </w:rPr>
        <w:t xml:space="preserve">                                     </w:t>
      </w:r>
    </w:p>
    <w:p w14:paraId="247D4393">
      <w:pPr>
        <w:spacing w:line="440" w:lineRule="exact"/>
        <w:ind w:firstLine="3675" w:firstLineChars="1750"/>
        <w:rPr>
          <w:szCs w:val="21"/>
          <w:highlight w:val="none"/>
        </w:rPr>
      </w:pPr>
      <w:r>
        <w:rPr>
          <w:szCs w:val="21"/>
          <w:highlight w:val="none"/>
        </w:rPr>
        <w:t>网址：</w:t>
      </w:r>
      <w:r>
        <w:rPr>
          <w:szCs w:val="21"/>
          <w:highlight w:val="none"/>
          <w:u w:val="single"/>
        </w:rPr>
        <w:t xml:space="preserve">                                     </w:t>
      </w:r>
    </w:p>
    <w:p w14:paraId="40CF34DF">
      <w:pPr>
        <w:spacing w:line="440" w:lineRule="exact"/>
        <w:ind w:firstLine="3675" w:firstLineChars="1750"/>
        <w:rPr>
          <w:rFonts w:hint="eastAsia"/>
          <w:szCs w:val="21"/>
          <w:highlight w:val="none"/>
        </w:rPr>
      </w:pPr>
      <w:r>
        <w:rPr>
          <w:szCs w:val="21"/>
          <w:highlight w:val="none"/>
        </w:rPr>
        <w:t>电话：</w:t>
      </w:r>
      <w:r>
        <w:rPr>
          <w:szCs w:val="21"/>
          <w:highlight w:val="none"/>
          <w:u w:val="single"/>
        </w:rPr>
        <w:t xml:space="preserve">                                     </w:t>
      </w:r>
    </w:p>
    <w:p w14:paraId="17D1F412">
      <w:pPr>
        <w:spacing w:line="440" w:lineRule="exact"/>
        <w:ind w:firstLine="3675" w:firstLineChars="1750"/>
        <w:rPr>
          <w:rFonts w:hint="eastAsia"/>
          <w:szCs w:val="21"/>
          <w:highlight w:val="none"/>
        </w:rPr>
      </w:pPr>
      <w:r>
        <w:rPr>
          <w:szCs w:val="21"/>
          <w:highlight w:val="none"/>
        </w:rPr>
        <w:t>传真：</w:t>
      </w:r>
      <w:r>
        <w:rPr>
          <w:szCs w:val="21"/>
          <w:highlight w:val="none"/>
          <w:u w:val="single"/>
        </w:rPr>
        <w:t xml:space="preserve">                                     </w:t>
      </w:r>
    </w:p>
    <w:p w14:paraId="7C49D348">
      <w:pPr>
        <w:spacing w:line="440" w:lineRule="exact"/>
        <w:ind w:firstLine="3675" w:firstLineChars="1750"/>
        <w:rPr>
          <w:rFonts w:hint="eastAsia"/>
          <w:szCs w:val="21"/>
          <w:highlight w:val="none"/>
        </w:rPr>
      </w:pPr>
      <w:r>
        <w:rPr>
          <w:szCs w:val="21"/>
          <w:highlight w:val="none"/>
        </w:rPr>
        <w:t>邮政编码：</w:t>
      </w:r>
      <w:r>
        <w:rPr>
          <w:szCs w:val="21"/>
          <w:highlight w:val="none"/>
          <w:u w:val="single"/>
        </w:rPr>
        <w:t xml:space="preserve">                                 </w:t>
      </w:r>
    </w:p>
    <w:p w14:paraId="1C0AF032">
      <w:pPr>
        <w:spacing w:line="440" w:lineRule="exact"/>
        <w:ind w:firstLine="3675" w:firstLineChars="1750"/>
        <w:rPr>
          <w:szCs w:val="21"/>
          <w:highlight w:val="none"/>
        </w:rPr>
      </w:pPr>
    </w:p>
    <w:p w14:paraId="201F4E9C">
      <w:pPr>
        <w:spacing w:line="440" w:lineRule="exact"/>
        <w:ind w:firstLine="5040" w:firstLineChars="2400"/>
        <w:rPr>
          <w:szCs w:val="21"/>
          <w:highlight w:val="none"/>
        </w:rPr>
      </w:pP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14:paraId="67D88367">
      <w:pPr>
        <w:spacing w:line="440" w:lineRule="exact"/>
        <w:rPr>
          <w:rFonts w:eastAsia="黑体"/>
          <w:szCs w:val="21"/>
          <w:highlight w:val="none"/>
        </w:rPr>
      </w:pPr>
    </w:p>
    <w:p w14:paraId="142B60FC">
      <w:pPr>
        <w:spacing w:line="440" w:lineRule="exact"/>
        <w:rPr>
          <w:rFonts w:eastAsia="黑体"/>
          <w:sz w:val="20"/>
          <w:szCs w:val="20"/>
          <w:highlight w:val="none"/>
        </w:rPr>
      </w:pPr>
      <w:r>
        <w:rPr>
          <w:rFonts w:eastAsia="黑体"/>
          <w:sz w:val="20"/>
          <w:szCs w:val="20"/>
          <w:highlight w:val="none"/>
        </w:rPr>
        <w:br w:type="page"/>
      </w:r>
    </w:p>
    <w:p w14:paraId="3B44090A">
      <w:pPr>
        <w:pStyle w:val="46"/>
        <w:jc w:val="center"/>
        <w:rPr>
          <w:highlight w:val="none"/>
        </w:rPr>
      </w:pPr>
      <w:bookmarkStart w:id="1016" w:name="_Toc152045791"/>
      <w:bookmarkStart w:id="1017" w:name="_Toc152042580"/>
      <w:bookmarkStart w:id="1018" w:name="_Toc144974860"/>
      <w:bookmarkStart w:id="1019" w:name="_Toc13512"/>
      <w:r>
        <w:rPr>
          <w:highlight w:val="none"/>
        </w:rPr>
        <w:t>二、法定代表人身份证明</w:t>
      </w:r>
      <w:bookmarkEnd w:id="1016"/>
      <w:bookmarkEnd w:id="1017"/>
      <w:bookmarkEnd w:id="1018"/>
      <w:bookmarkEnd w:id="1019"/>
    </w:p>
    <w:p w14:paraId="6EEFDD95">
      <w:pPr>
        <w:spacing w:line="440" w:lineRule="exact"/>
        <w:rPr>
          <w:sz w:val="20"/>
          <w:szCs w:val="20"/>
          <w:highlight w:val="none"/>
        </w:rPr>
      </w:pPr>
    </w:p>
    <w:p w14:paraId="12DCCDB1">
      <w:pPr>
        <w:spacing w:line="440" w:lineRule="exact"/>
        <w:rPr>
          <w:szCs w:val="21"/>
          <w:highlight w:val="none"/>
        </w:rPr>
      </w:pPr>
    </w:p>
    <w:p w14:paraId="5AA5C891">
      <w:pPr>
        <w:spacing w:line="440" w:lineRule="exact"/>
        <w:rPr>
          <w:szCs w:val="21"/>
          <w:highlight w:val="none"/>
        </w:rPr>
      </w:pPr>
      <w:r>
        <w:rPr>
          <w:szCs w:val="21"/>
          <w:highlight w:val="none"/>
        </w:rPr>
        <w:t>投标人名称：</w:t>
      </w:r>
      <w:r>
        <w:rPr>
          <w:szCs w:val="21"/>
          <w:highlight w:val="none"/>
          <w:u w:val="single"/>
        </w:rPr>
        <w:t xml:space="preserve">                            </w:t>
      </w:r>
      <w:r>
        <w:rPr>
          <w:szCs w:val="21"/>
          <w:highlight w:val="none"/>
        </w:rPr>
        <w:t xml:space="preserve"> </w:t>
      </w:r>
    </w:p>
    <w:p w14:paraId="334B30D8">
      <w:pPr>
        <w:spacing w:line="440" w:lineRule="exact"/>
        <w:rPr>
          <w:szCs w:val="21"/>
          <w:highlight w:val="none"/>
        </w:rPr>
      </w:pPr>
      <w:r>
        <w:rPr>
          <w:szCs w:val="21"/>
          <w:highlight w:val="none"/>
        </w:rPr>
        <w:t>单位性质：</w:t>
      </w:r>
      <w:r>
        <w:rPr>
          <w:szCs w:val="21"/>
          <w:highlight w:val="none"/>
          <w:u w:val="single"/>
        </w:rPr>
        <w:t xml:space="preserve">                               </w:t>
      </w:r>
      <w:r>
        <w:rPr>
          <w:szCs w:val="21"/>
          <w:highlight w:val="none"/>
        </w:rPr>
        <w:t xml:space="preserve"> </w:t>
      </w:r>
    </w:p>
    <w:p w14:paraId="77C674D8">
      <w:pPr>
        <w:spacing w:line="440" w:lineRule="exact"/>
        <w:rPr>
          <w:szCs w:val="21"/>
          <w:highlight w:val="none"/>
        </w:rPr>
      </w:pPr>
      <w:r>
        <w:rPr>
          <w:szCs w:val="21"/>
          <w:highlight w:val="none"/>
        </w:rPr>
        <w:t>地址：</w:t>
      </w:r>
      <w:r>
        <w:rPr>
          <w:szCs w:val="21"/>
          <w:highlight w:val="none"/>
          <w:u w:val="single"/>
        </w:rPr>
        <w:t xml:space="preserve">                                   </w:t>
      </w:r>
    </w:p>
    <w:p w14:paraId="37141120">
      <w:pPr>
        <w:spacing w:line="440" w:lineRule="exact"/>
        <w:rPr>
          <w:szCs w:val="21"/>
          <w:highlight w:val="none"/>
        </w:rPr>
      </w:pPr>
      <w:r>
        <w:rPr>
          <w:szCs w:val="21"/>
          <w:highlight w:val="none"/>
        </w:rPr>
        <w:t>成立时间：</w:t>
      </w:r>
      <w:r>
        <w:rPr>
          <w:szCs w:val="21"/>
          <w:highlight w:val="none"/>
          <w:u w:val="single"/>
        </w:rPr>
        <w:t xml:space="preserve">         </w:t>
      </w:r>
      <w:r>
        <w:rPr>
          <w:szCs w:val="21"/>
          <w:highlight w:val="none"/>
        </w:rPr>
        <w:t xml:space="preserve"> 年</w:t>
      </w:r>
      <w:r>
        <w:rPr>
          <w:szCs w:val="21"/>
          <w:highlight w:val="none"/>
          <w:u w:val="single"/>
        </w:rPr>
        <w:t xml:space="preserve">       </w:t>
      </w:r>
      <w:r>
        <w:rPr>
          <w:szCs w:val="21"/>
          <w:highlight w:val="none"/>
        </w:rPr>
        <w:t xml:space="preserve"> 月</w:t>
      </w:r>
      <w:r>
        <w:rPr>
          <w:szCs w:val="21"/>
          <w:highlight w:val="none"/>
          <w:u w:val="single"/>
        </w:rPr>
        <w:t xml:space="preserve">       </w:t>
      </w:r>
      <w:r>
        <w:rPr>
          <w:szCs w:val="21"/>
          <w:highlight w:val="none"/>
        </w:rPr>
        <w:t xml:space="preserve"> 日</w:t>
      </w:r>
    </w:p>
    <w:p w14:paraId="7821F5AC">
      <w:pPr>
        <w:spacing w:line="440" w:lineRule="exact"/>
        <w:rPr>
          <w:szCs w:val="21"/>
          <w:highlight w:val="none"/>
        </w:rPr>
      </w:pPr>
      <w:r>
        <w:rPr>
          <w:szCs w:val="21"/>
          <w:highlight w:val="none"/>
        </w:rPr>
        <w:t>经营期限：</w:t>
      </w:r>
      <w:r>
        <w:rPr>
          <w:szCs w:val="21"/>
          <w:highlight w:val="none"/>
          <w:u w:val="single"/>
        </w:rPr>
        <w:t xml:space="preserve">                               </w:t>
      </w:r>
    </w:p>
    <w:p w14:paraId="5C7115C1">
      <w:pPr>
        <w:spacing w:line="440" w:lineRule="exact"/>
        <w:rPr>
          <w:szCs w:val="21"/>
          <w:highlight w:val="none"/>
        </w:rPr>
      </w:pPr>
      <w:r>
        <w:rPr>
          <w:szCs w:val="21"/>
          <w:highlight w:val="none"/>
        </w:rPr>
        <w:t>姓名：</w:t>
      </w:r>
      <w:r>
        <w:rPr>
          <w:szCs w:val="21"/>
          <w:highlight w:val="none"/>
          <w:u w:val="single"/>
        </w:rPr>
        <w:t xml:space="preserve">        </w:t>
      </w:r>
      <w:r>
        <w:rPr>
          <w:szCs w:val="21"/>
          <w:highlight w:val="none"/>
        </w:rPr>
        <w:t xml:space="preserve"> 性别：</w:t>
      </w:r>
      <w:r>
        <w:rPr>
          <w:szCs w:val="21"/>
          <w:highlight w:val="none"/>
          <w:u w:val="single"/>
        </w:rPr>
        <w:t xml:space="preserve">         </w:t>
      </w:r>
      <w:r>
        <w:rPr>
          <w:szCs w:val="21"/>
          <w:highlight w:val="none"/>
        </w:rPr>
        <w:t xml:space="preserve"> 年龄：</w:t>
      </w:r>
      <w:r>
        <w:rPr>
          <w:szCs w:val="21"/>
          <w:highlight w:val="none"/>
          <w:u w:val="single"/>
        </w:rPr>
        <w:t xml:space="preserve">        </w:t>
      </w:r>
      <w:r>
        <w:rPr>
          <w:szCs w:val="21"/>
          <w:highlight w:val="none"/>
        </w:rPr>
        <w:t>职务：</w:t>
      </w:r>
      <w:r>
        <w:rPr>
          <w:szCs w:val="21"/>
          <w:highlight w:val="none"/>
          <w:u w:val="single"/>
        </w:rPr>
        <w:t xml:space="preserve">        </w:t>
      </w:r>
    </w:p>
    <w:p w14:paraId="297AB800">
      <w:pPr>
        <w:spacing w:line="440" w:lineRule="exact"/>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w:t>
      </w:r>
      <w:r>
        <w:rPr>
          <w:szCs w:val="21"/>
          <w:highlight w:val="none"/>
        </w:rPr>
        <w:t>投标人名称</w:t>
      </w:r>
      <w:r>
        <w:rPr>
          <w:rFonts w:hint="eastAsia"/>
          <w:szCs w:val="21"/>
          <w:highlight w:val="none"/>
        </w:rPr>
        <w:t>）</w:t>
      </w:r>
      <w:r>
        <w:rPr>
          <w:szCs w:val="21"/>
          <w:highlight w:val="none"/>
        </w:rPr>
        <w:t>的法定代表人。</w:t>
      </w:r>
    </w:p>
    <w:p w14:paraId="0DBA5E78">
      <w:pPr>
        <w:spacing w:line="440" w:lineRule="exact"/>
        <w:ind w:firstLine="420" w:firstLineChars="200"/>
        <w:rPr>
          <w:szCs w:val="21"/>
          <w:highlight w:val="none"/>
        </w:rPr>
      </w:pPr>
      <w:r>
        <w:rPr>
          <w:szCs w:val="21"/>
          <w:highlight w:val="none"/>
        </w:rPr>
        <w:t>特此证明。</w:t>
      </w:r>
    </w:p>
    <w:p w14:paraId="195CE4A2">
      <w:pPr>
        <w:spacing w:line="440" w:lineRule="exact"/>
        <w:rPr>
          <w:szCs w:val="21"/>
          <w:highlight w:val="none"/>
        </w:rPr>
      </w:pPr>
    </w:p>
    <w:p w14:paraId="1F4BA5CE">
      <w:pPr>
        <w:spacing w:line="440" w:lineRule="exact"/>
        <w:rPr>
          <w:szCs w:val="21"/>
          <w:highlight w:val="none"/>
        </w:rPr>
      </w:pPr>
    </w:p>
    <w:p w14:paraId="6169B36F">
      <w:pPr>
        <w:spacing w:line="440" w:lineRule="exact"/>
        <w:rPr>
          <w:szCs w:val="21"/>
          <w:highlight w:val="none"/>
        </w:rPr>
      </w:pPr>
      <w:r>
        <w:rPr>
          <w:szCs w:val="21"/>
          <w:highlight w:val="none"/>
        </w:rPr>
        <w:t xml:space="preserve">                          投标人：</w:t>
      </w:r>
      <w:r>
        <w:rPr>
          <w:szCs w:val="21"/>
          <w:highlight w:val="none"/>
          <w:u w:val="single"/>
        </w:rPr>
        <w:t xml:space="preserve">                 </w:t>
      </w:r>
      <w:r>
        <w:rPr>
          <w:szCs w:val="21"/>
          <w:highlight w:val="none"/>
        </w:rPr>
        <w:t>（盖单位章）</w:t>
      </w:r>
    </w:p>
    <w:p w14:paraId="63B42A8A">
      <w:pPr>
        <w:spacing w:line="440" w:lineRule="exact"/>
        <w:rPr>
          <w:szCs w:val="21"/>
          <w:highlight w:val="none"/>
        </w:rPr>
      </w:pPr>
      <w:r>
        <w:rPr>
          <w:szCs w:val="21"/>
          <w:highlight w:val="none"/>
        </w:rPr>
        <w:t xml:space="preserve">                                </w:t>
      </w:r>
      <w:r>
        <w:rPr>
          <w:rFonts w:hint="eastAsia"/>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 xml:space="preserve">日           </w:t>
      </w:r>
    </w:p>
    <w:p w14:paraId="2CB21681">
      <w:pPr>
        <w:spacing w:line="440" w:lineRule="exact"/>
        <w:jc w:val="center"/>
        <w:rPr>
          <w:rFonts w:eastAsia="黑体"/>
          <w:sz w:val="20"/>
          <w:szCs w:val="20"/>
          <w:highlight w:val="none"/>
        </w:rPr>
      </w:pPr>
      <w:r>
        <w:rPr>
          <w:rFonts w:eastAsia="黑体"/>
          <w:sz w:val="20"/>
          <w:szCs w:val="20"/>
          <w:highlight w:val="none"/>
        </w:rPr>
        <w:br w:type="page"/>
      </w:r>
    </w:p>
    <w:p w14:paraId="74723E4D">
      <w:pPr>
        <w:pStyle w:val="46"/>
        <w:jc w:val="center"/>
        <w:rPr>
          <w:highlight w:val="none"/>
        </w:rPr>
      </w:pPr>
      <w:bookmarkStart w:id="1020" w:name="_Toc152042581"/>
      <w:bookmarkStart w:id="1021" w:name="_Toc152045792"/>
      <w:bookmarkStart w:id="1022" w:name="_Toc144974861"/>
      <w:bookmarkStart w:id="1023" w:name="_Toc10581"/>
      <w:r>
        <w:rPr>
          <w:rFonts w:hint="eastAsia"/>
          <w:highlight w:val="none"/>
          <w:lang w:val="en-US" w:eastAsia="zh-CN"/>
        </w:rPr>
        <w:t>三</w:t>
      </w:r>
      <w:r>
        <w:rPr>
          <w:highlight w:val="none"/>
        </w:rPr>
        <w:t>、授权委托书</w:t>
      </w:r>
      <w:bookmarkEnd w:id="1020"/>
      <w:bookmarkEnd w:id="1021"/>
      <w:bookmarkEnd w:id="1022"/>
      <w:bookmarkEnd w:id="1023"/>
    </w:p>
    <w:p w14:paraId="3D9CA294">
      <w:pPr>
        <w:spacing w:line="440" w:lineRule="exact"/>
        <w:rPr>
          <w:rFonts w:eastAsia="黑体"/>
          <w:szCs w:val="21"/>
          <w:highlight w:val="none"/>
        </w:rPr>
      </w:pPr>
    </w:p>
    <w:p w14:paraId="1EC6F938">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（项目名称）投标文件、签订合同和处理有关事宜，其法律后果由我方承担。</w:t>
      </w:r>
    </w:p>
    <w:p w14:paraId="61264B81">
      <w:pPr>
        <w:spacing w:line="440" w:lineRule="exact"/>
        <w:rPr>
          <w:szCs w:val="21"/>
          <w:highlight w:val="none"/>
        </w:rPr>
      </w:pPr>
      <w:r>
        <w:rPr>
          <w:szCs w:val="21"/>
          <w:highlight w:val="none"/>
        </w:rPr>
        <w:t xml:space="preserve">    委托期限：</w:t>
      </w:r>
      <w:r>
        <w:rPr>
          <w:szCs w:val="21"/>
          <w:highlight w:val="none"/>
          <w:u w:val="single"/>
        </w:rPr>
        <w:t xml:space="preserve">             </w:t>
      </w:r>
      <w:r>
        <w:rPr>
          <w:rFonts w:hint="eastAsia"/>
          <w:szCs w:val="21"/>
          <w:highlight w:val="none"/>
        </w:rPr>
        <w:t>。</w:t>
      </w:r>
    </w:p>
    <w:p w14:paraId="13F584AD">
      <w:pPr>
        <w:spacing w:line="440" w:lineRule="exact"/>
        <w:ind w:firstLine="420" w:firstLineChars="200"/>
        <w:rPr>
          <w:rFonts w:hint="eastAsia"/>
          <w:szCs w:val="21"/>
          <w:highlight w:val="none"/>
        </w:rPr>
      </w:pPr>
      <w:r>
        <w:rPr>
          <w:szCs w:val="21"/>
          <w:highlight w:val="none"/>
        </w:rPr>
        <w:t>代理人无转委托权。</w:t>
      </w:r>
    </w:p>
    <w:p w14:paraId="229A015E">
      <w:pPr>
        <w:spacing w:line="440" w:lineRule="exact"/>
        <w:ind w:firstLine="420" w:firstLineChars="200"/>
        <w:rPr>
          <w:rFonts w:hint="eastAsia"/>
          <w:szCs w:val="21"/>
          <w:highlight w:val="none"/>
        </w:rPr>
      </w:pPr>
      <w:r>
        <w:rPr>
          <w:rFonts w:hint="eastAsia"/>
          <w:szCs w:val="21"/>
          <w:highlight w:val="none"/>
        </w:rPr>
        <w:t>附：法定代表人身份证明</w:t>
      </w:r>
    </w:p>
    <w:p w14:paraId="5BE71631">
      <w:pPr>
        <w:spacing w:line="440" w:lineRule="exact"/>
        <w:rPr>
          <w:szCs w:val="21"/>
          <w:highlight w:val="none"/>
        </w:rPr>
      </w:pPr>
    </w:p>
    <w:p w14:paraId="74ED3102">
      <w:pPr>
        <w:spacing w:line="440" w:lineRule="exact"/>
        <w:rPr>
          <w:szCs w:val="21"/>
          <w:highlight w:val="none"/>
        </w:rPr>
      </w:pPr>
    </w:p>
    <w:p w14:paraId="3BD2BCDB">
      <w:pPr>
        <w:spacing w:line="440" w:lineRule="exact"/>
        <w:rPr>
          <w:szCs w:val="21"/>
          <w:highlight w:val="none"/>
        </w:rPr>
      </w:pPr>
      <w:r>
        <w:rPr>
          <w:szCs w:val="21"/>
          <w:highlight w:val="none"/>
        </w:rPr>
        <w:t>投标人：</w:t>
      </w:r>
      <w:r>
        <w:rPr>
          <w:szCs w:val="21"/>
          <w:highlight w:val="none"/>
          <w:u w:val="single"/>
        </w:rPr>
        <w:t xml:space="preserve">                               </w:t>
      </w:r>
      <w:r>
        <w:rPr>
          <w:szCs w:val="21"/>
          <w:highlight w:val="none"/>
        </w:rPr>
        <w:t>（盖单位章）</w:t>
      </w:r>
    </w:p>
    <w:p w14:paraId="3A5E4CE7">
      <w:pPr>
        <w:spacing w:line="440" w:lineRule="exact"/>
        <w:rPr>
          <w:szCs w:val="21"/>
          <w:highlight w:val="none"/>
        </w:rPr>
      </w:pPr>
    </w:p>
    <w:p w14:paraId="0BEB177F">
      <w:pPr>
        <w:spacing w:line="440" w:lineRule="exact"/>
        <w:rPr>
          <w:szCs w:val="21"/>
          <w:highlight w:val="none"/>
        </w:rPr>
      </w:pPr>
      <w:r>
        <w:rPr>
          <w:szCs w:val="21"/>
          <w:highlight w:val="none"/>
        </w:rPr>
        <w:t>法定代表人：</w:t>
      </w:r>
      <w:r>
        <w:rPr>
          <w:szCs w:val="21"/>
          <w:highlight w:val="none"/>
          <w:u w:val="single"/>
        </w:rPr>
        <w:t xml:space="preserve">                               </w:t>
      </w:r>
      <w:r>
        <w:rPr>
          <w:szCs w:val="21"/>
          <w:highlight w:val="none"/>
        </w:rPr>
        <w:t>（签字）</w:t>
      </w:r>
    </w:p>
    <w:p w14:paraId="3FDA245A">
      <w:pPr>
        <w:spacing w:line="440" w:lineRule="exact"/>
        <w:rPr>
          <w:szCs w:val="21"/>
          <w:highlight w:val="none"/>
        </w:rPr>
      </w:pPr>
    </w:p>
    <w:p w14:paraId="5B0EEA1B">
      <w:pPr>
        <w:spacing w:line="440" w:lineRule="exact"/>
        <w:rPr>
          <w:szCs w:val="21"/>
          <w:highlight w:val="none"/>
        </w:rPr>
      </w:pPr>
      <w:r>
        <w:rPr>
          <w:szCs w:val="21"/>
          <w:highlight w:val="none"/>
        </w:rPr>
        <w:t>身份证号码：</w:t>
      </w:r>
      <w:r>
        <w:rPr>
          <w:szCs w:val="21"/>
          <w:highlight w:val="none"/>
          <w:u w:val="single"/>
        </w:rPr>
        <w:t xml:space="preserve">                                     </w:t>
      </w:r>
    </w:p>
    <w:p w14:paraId="04FC90AB">
      <w:pPr>
        <w:spacing w:line="440" w:lineRule="exact"/>
        <w:rPr>
          <w:szCs w:val="21"/>
          <w:highlight w:val="none"/>
        </w:rPr>
      </w:pPr>
    </w:p>
    <w:p w14:paraId="3EE56A8D">
      <w:pPr>
        <w:spacing w:line="440" w:lineRule="exact"/>
        <w:rPr>
          <w:szCs w:val="21"/>
          <w:highlight w:val="none"/>
        </w:rPr>
      </w:pPr>
      <w:r>
        <w:rPr>
          <w:szCs w:val="21"/>
          <w:highlight w:val="none"/>
        </w:rPr>
        <w:t>委托代理人：</w:t>
      </w:r>
      <w:r>
        <w:rPr>
          <w:szCs w:val="21"/>
          <w:highlight w:val="none"/>
          <w:u w:val="single"/>
        </w:rPr>
        <w:t xml:space="preserve">                                   </w:t>
      </w:r>
      <w:r>
        <w:rPr>
          <w:szCs w:val="21"/>
          <w:highlight w:val="none"/>
        </w:rPr>
        <w:t xml:space="preserve">（签字） </w:t>
      </w:r>
    </w:p>
    <w:p w14:paraId="665C455B">
      <w:pPr>
        <w:spacing w:line="440" w:lineRule="exact"/>
        <w:rPr>
          <w:szCs w:val="21"/>
          <w:highlight w:val="none"/>
        </w:rPr>
      </w:pPr>
    </w:p>
    <w:p w14:paraId="5A6AE482">
      <w:pPr>
        <w:spacing w:line="440" w:lineRule="exact"/>
        <w:rPr>
          <w:szCs w:val="21"/>
          <w:highlight w:val="none"/>
        </w:rPr>
      </w:pPr>
      <w:r>
        <w:rPr>
          <w:szCs w:val="21"/>
          <w:highlight w:val="none"/>
        </w:rPr>
        <w:t>身份证号码：</w:t>
      </w:r>
      <w:r>
        <w:rPr>
          <w:szCs w:val="21"/>
          <w:highlight w:val="none"/>
          <w:u w:val="single"/>
        </w:rPr>
        <w:t xml:space="preserve">                                      </w:t>
      </w:r>
    </w:p>
    <w:p w14:paraId="091625BD">
      <w:pPr>
        <w:spacing w:line="440" w:lineRule="exact"/>
        <w:rPr>
          <w:szCs w:val="21"/>
          <w:highlight w:val="none"/>
        </w:rPr>
      </w:pPr>
    </w:p>
    <w:p w14:paraId="495723C6">
      <w:pPr>
        <w:spacing w:line="440" w:lineRule="exact"/>
        <w:rPr>
          <w:szCs w:val="21"/>
          <w:highlight w:val="none"/>
        </w:rPr>
      </w:pPr>
    </w:p>
    <w:p w14:paraId="3A3E92D2">
      <w:pPr>
        <w:spacing w:line="440" w:lineRule="exact"/>
        <w:ind w:firstLine="2310" w:firstLineChars="1100"/>
        <w:rPr>
          <w:rFonts w:eastAsia="黑体"/>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3C46738A">
      <w:pPr>
        <w:pStyle w:val="46"/>
        <w:jc w:val="center"/>
        <w:rPr>
          <w:rFonts w:hint="eastAsia" w:ascii="Times New Roman" w:hAnsi="Times New Roman" w:cs="宋体"/>
          <w:b w:val="0"/>
          <w:bCs w:val="0"/>
          <w:highlight w:val="none"/>
          <w:lang w:val="en-US" w:eastAsia="zh-CN"/>
        </w:rPr>
      </w:pPr>
      <w:r>
        <w:rPr>
          <w:rFonts w:eastAsia="黑体"/>
          <w:sz w:val="20"/>
          <w:szCs w:val="20"/>
          <w:highlight w:val="none"/>
        </w:rPr>
        <w:br w:type="page"/>
      </w:r>
      <w:bookmarkStart w:id="1024" w:name="_Toc152042583"/>
      <w:bookmarkStart w:id="1025" w:name="_Toc152045794"/>
      <w:bookmarkStart w:id="1026" w:name="_Toc144974862"/>
      <w:bookmarkStart w:id="1027" w:name="_Toc8916"/>
      <w:r>
        <w:rPr>
          <w:rFonts w:hint="eastAsia" w:ascii="Times New Roman" w:hAnsi="Times New Roman" w:cs="宋体"/>
          <w:b w:val="0"/>
          <w:bCs w:val="0"/>
          <w:highlight w:val="none"/>
          <w:lang w:val="en-US" w:eastAsia="zh-CN"/>
        </w:rPr>
        <w:t>四、投标保证金</w:t>
      </w:r>
      <w:bookmarkEnd w:id="1024"/>
      <w:bookmarkEnd w:id="1025"/>
      <w:bookmarkEnd w:id="1026"/>
      <w:bookmarkEnd w:id="1027"/>
    </w:p>
    <w:p w14:paraId="47B3D4E1">
      <w:pPr>
        <w:spacing w:line="440" w:lineRule="exact"/>
        <w:rPr>
          <w:szCs w:val="21"/>
          <w:highlight w:val="none"/>
        </w:rPr>
      </w:pPr>
    </w:p>
    <w:p w14:paraId="4EE0DA70">
      <w:pPr>
        <w:spacing w:line="440" w:lineRule="exact"/>
        <w:jc w:val="center"/>
        <w:rPr>
          <w:rFonts w:hint="default" w:eastAsia="宋体"/>
          <w:szCs w:val="21"/>
          <w:highlight w:val="none"/>
          <w:lang w:val="en-US" w:eastAsia="zh-CN"/>
        </w:rPr>
      </w:pPr>
      <w:r>
        <w:rPr>
          <w:rFonts w:hint="eastAsia"/>
          <w:highlight w:val="none"/>
          <w:lang w:val="en-US" w:eastAsia="zh-CN"/>
        </w:rPr>
        <w:t>按</w:t>
      </w:r>
      <w:r>
        <w:rPr>
          <w:rFonts w:hint="eastAsia"/>
          <w:highlight w:val="none"/>
        </w:rPr>
        <w:t>投标人须知前附表</w:t>
      </w:r>
      <w:r>
        <w:rPr>
          <w:rFonts w:hint="eastAsia"/>
          <w:highlight w:val="none"/>
          <w:lang w:val="en-US" w:eastAsia="zh-CN"/>
        </w:rPr>
        <w:t>要求附相关证明材料</w:t>
      </w:r>
    </w:p>
    <w:p w14:paraId="654ECD71">
      <w:pPr>
        <w:spacing w:line="440" w:lineRule="exact"/>
        <w:jc w:val="center"/>
        <w:rPr>
          <w:rFonts w:eastAsia="黑体"/>
          <w:sz w:val="27"/>
          <w:szCs w:val="27"/>
          <w:highlight w:val="none"/>
        </w:rPr>
      </w:pPr>
      <w:r>
        <w:rPr>
          <w:rFonts w:eastAsia="黑体"/>
          <w:sz w:val="20"/>
          <w:szCs w:val="20"/>
          <w:highlight w:val="none"/>
        </w:rPr>
        <w:br w:type="page"/>
      </w:r>
    </w:p>
    <w:p w14:paraId="6B66A056">
      <w:pPr>
        <w:pStyle w:val="46"/>
        <w:jc w:val="center"/>
        <w:rPr>
          <w:highlight w:val="none"/>
        </w:rPr>
      </w:pPr>
      <w:bookmarkStart w:id="1028" w:name="_Toc152042584"/>
      <w:bookmarkStart w:id="1029" w:name="_Toc32722"/>
      <w:bookmarkStart w:id="1030" w:name="_Toc152045795"/>
      <w:bookmarkStart w:id="1031" w:name="_Toc144974863"/>
      <w:r>
        <w:rPr>
          <w:rFonts w:hint="eastAsia"/>
          <w:highlight w:val="none"/>
        </w:rPr>
        <w:t>五</w:t>
      </w:r>
      <w:r>
        <w:rPr>
          <w:highlight w:val="none"/>
        </w:rPr>
        <w:t>、已标价工程量清单</w:t>
      </w:r>
      <w:bookmarkEnd w:id="1028"/>
      <w:bookmarkEnd w:id="1029"/>
      <w:bookmarkEnd w:id="1030"/>
      <w:bookmarkEnd w:id="1031"/>
    </w:p>
    <w:p w14:paraId="6FE0D90D">
      <w:pPr>
        <w:spacing w:line="440" w:lineRule="exact"/>
        <w:jc w:val="center"/>
        <w:rPr>
          <w:rFonts w:eastAsia="黑体"/>
          <w:sz w:val="20"/>
          <w:szCs w:val="20"/>
          <w:highlight w:val="none"/>
        </w:rPr>
      </w:pPr>
      <w:r>
        <w:rPr>
          <w:rFonts w:eastAsia="黑体"/>
          <w:sz w:val="20"/>
          <w:szCs w:val="20"/>
          <w:highlight w:val="none"/>
        </w:rPr>
        <w:br w:type="page"/>
      </w:r>
    </w:p>
    <w:p w14:paraId="70010934">
      <w:pPr>
        <w:pStyle w:val="46"/>
        <w:ind w:firstLine="420" w:firstLineChars="0"/>
        <w:jc w:val="center"/>
        <w:rPr>
          <w:highlight w:val="none"/>
        </w:rPr>
      </w:pPr>
      <w:bookmarkStart w:id="1032" w:name="_Toc24472"/>
      <w:bookmarkStart w:id="1033" w:name="_Toc152042585"/>
      <w:bookmarkStart w:id="1034" w:name="_Toc152045796"/>
      <w:bookmarkStart w:id="1035" w:name="_Toc144974864"/>
      <w:r>
        <w:rPr>
          <w:rFonts w:hint="eastAsia"/>
          <w:highlight w:val="none"/>
        </w:rPr>
        <w:t>六</w:t>
      </w:r>
      <w:r>
        <w:rPr>
          <w:highlight w:val="none"/>
        </w:rPr>
        <w:t>、施工组织设计</w:t>
      </w:r>
      <w:bookmarkEnd w:id="1032"/>
      <w:bookmarkEnd w:id="1033"/>
      <w:bookmarkEnd w:id="1034"/>
      <w:bookmarkEnd w:id="1035"/>
    </w:p>
    <w:p w14:paraId="27443FE6">
      <w:pPr>
        <w:spacing w:before="91" w:line="360" w:lineRule="auto"/>
        <w:ind w:left="40" w:firstLine="492" w:firstLineChars="200"/>
        <w:jc w:val="center"/>
        <w:rPr>
          <w:rFonts w:hint="default" w:ascii="宋体" w:hAnsi="宋体" w:eastAsia="宋体" w:cs="宋体"/>
          <w:b w:val="0"/>
          <w:bCs w:val="0"/>
          <w:spacing w:val="3"/>
          <w:sz w:val="24"/>
          <w:szCs w:val="24"/>
          <w:highlight w:val="none"/>
          <w:lang w:val="en-US" w:eastAsia="zh-CN"/>
        </w:rPr>
      </w:pPr>
      <w:bookmarkStart w:id="1036" w:name="_Toc8825"/>
      <w:r>
        <w:rPr>
          <w:rFonts w:hint="eastAsia" w:ascii="宋体" w:hAnsi="宋体" w:eastAsia="宋体" w:cs="宋体"/>
          <w:b w:val="0"/>
          <w:bCs w:val="0"/>
          <w:spacing w:val="3"/>
          <w:sz w:val="24"/>
          <w:szCs w:val="24"/>
          <w:highlight w:val="none"/>
          <w:lang w:val="en-US" w:eastAsia="zh-CN"/>
        </w:rPr>
        <w:t>技术标内容请结合评标办法编制。</w:t>
      </w:r>
    </w:p>
    <w:p w14:paraId="4A763065">
      <w:pPr>
        <w:pStyle w:val="46"/>
        <w:jc w:val="center"/>
        <w:rPr>
          <w:highlight w:val="none"/>
        </w:rPr>
      </w:pPr>
      <w:r>
        <w:rPr>
          <w:rFonts w:eastAsia="黑体"/>
          <w:sz w:val="20"/>
          <w:szCs w:val="20"/>
          <w:highlight w:val="none"/>
        </w:rPr>
        <w:br w:type="page"/>
      </w:r>
      <w:bookmarkStart w:id="1037" w:name="_Toc144974871"/>
      <w:bookmarkStart w:id="1038" w:name="_Toc152045803"/>
      <w:bookmarkStart w:id="1039" w:name="_Toc152042592"/>
      <w:r>
        <w:rPr>
          <w:rFonts w:hint="eastAsia"/>
          <w:highlight w:val="none"/>
        </w:rPr>
        <w:t>七</w:t>
      </w:r>
      <w:r>
        <w:rPr>
          <w:highlight w:val="none"/>
        </w:rPr>
        <w:t>、项目管理机构</w:t>
      </w:r>
      <w:bookmarkEnd w:id="1036"/>
      <w:bookmarkEnd w:id="1037"/>
      <w:bookmarkEnd w:id="1038"/>
      <w:bookmarkEnd w:id="1039"/>
    </w:p>
    <w:p w14:paraId="739EC562">
      <w:pPr>
        <w:spacing w:line="440" w:lineRule="exact"/>
        <w:jc w:val="center"/>
        <w:rPr>
          <w:rFonts w:eastAsia="黑体"/>
          <w:sz w:val="23"/>
          <w:szCs w:val="23"/>
          <w:highlight w:val="none"/>
        </w:rPr>
      </w:pPr>
    </w:p>
    <w:p w14:paraId="621A25B0">
      <w:pPr>
        <w:pStyle w:val="45"/>
        <w:rPr>
          <w:szCs w:val="23"/>
          <w:highlight w:val="none"/>
        </w:rPr>
      </w:pPr>
      <w:bookmarkStart w:id="1040" w:name="_Toc152042593"/>
      <w:bookmarkStart w:id="1041" w:name="_Toc8172"/>
      <w:bookmarkStart w:id="1042" w:name="_Toc144974872"/>
      <w:bookmarkStart w:id="1043" w:name="_Toc152045804"/>
      <w:r>
        <w:rPr>
          <w:szCs w:val="23"/>
          <w:highlight w:val="none"/>
        </w:rPr>
        <w:t>（一）项目管理机构组成表</w:t>
      </w:r>
      <w:bookmarkEnd w:id="1040"/>
      <w:bookmarkEnd w:id="1041"/>
      <w:bookmarkEnd w:id="1042"/>
      <w:bookmarkEnd w:id="1043"/>
    </w:p>
    <w:p w14:paraId="10E8A8C5">
      <w:pPr>
        <w:spacing w:line="440" w:lineRule="exact"/>
        <w:jc w:val="center"/>
        <w:rPr>
          <w:rFonts w:eastAsia="黑体"/>
          <w:sz w:val="23"/>
          <w:szCs w:val="23"/>
          <w:highlight w:val="none"/>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640C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vMerge w:val="restart"/>
            <w:noWrap w:val="0"/>
            <w:vAlign w:val="center"/>
          </w:tcPr>
          <w:p w14:paraId="535B1E0C">
            <w:pPr>
              <w:spacing w:line="440" w:lineRule="exact"/>
              <w:jc w:val="center"/>
              <w:rPr>
                <w:szCs w:val="21"/>
                <w:highlight w:val="none"/>
              </w:rPr>
            </w:pPr>
            <w:r>
              <w:rPr>
                <w:szCs w:val="21"/>
                <w:highlight w:val="none"/>
              </w:rPr>
              <w:t>职务</w:t>
            </w:r>
          </w:p>
        </w:tc>
        <w:tc>
          <w:tcPr>
            <w:tcW w:w="423" w:type="pct"/>
            <w:vMerge w:val="restart"/>
            <w:noWrap w:val="0"/>
            <w:vAlign w:val="center"/>
          </w:tcPr>
          <w:p w14:paraId="755B3ED4">
            <w:pPr>
              <w:spacing w:line="440" w:lineRule="exact"/>
              <w:jc w:val="center"/>
              <w:rPr>
                <w:szCs w:val="21"/>
                <w:highlight w:val="none"/>
              </w:rPr>
            </w:pPr>
            <w:r>
              <w:rPr>
                <w:szCs w:val="21"/>
                <w:highlight w:val="none"/>
              </w:rPr>
              <w:t>姓名</w:t>
            </w:r>
          </w:p>
        </w:tc>
        <w:tc>
          <w:tcPr>
            <w:tcW w:w="422" w:type="pct"/>
            <w:vMerge w:val="restart"/>
            <w:noWrap w:val="0"/>
            <w:vAlign w:val="center"/>
          </w:tcPr>
          <w:p w14:paraId="0D65C917">
            <w:pPr>
              <w:spacing w:line="440" w:lineRule="exact"/>
              <w:jc w:val="center"/>
              <w:rPr>
                <w:szCs w:val="21"/>
                <w:highlight w:val="none"/>
              </w:rPr>
            </w:pPr>
            <w:r>
              <w:rPr>
                <w:szCs w:val="21"/>
                <w:highlight w:val="none"/>
              </w:rPr>
              <w:t>职称</w:t>
            </w:r>
          </w:p>
        </w:tc>
        <w:tc>
          <w:tcPr>
            <w:tcW w:w="3381" w:type="pct"/>
            <w:gridSpan w:val="5"/>
            <w:noWrap w:val="0"/>
            <w:vAlign w:val="center"/>
          </w:tcPr>
          <w:p w14:paraId="01706D87">
            <w:pPr>
              <w:spacing w:line="440" w:lineRule="exact"/>
              <w:jc w:val="center"/>
              <w:rPr>
                <w:szCs w:val="21"/>
                <w:highlight w:val="none"/>
              </w:rPr>
            </w:pPr>
            <w:r>
              <w:rPr>
                <w:szCs w:val="21"/>
                <w:highlight w:val="none"/>
              </w:rPr>
              <w:t>执业或职业资格证明</w:t>
            </w:r>
          </w:p>
        </w:tc>
        <w:tc>
          <w:tcPr>
            <w:tcW w:w="394" w:type="pct"/>
            <w:noWrap w:val="0"/>
            <w:vAlign w:val="center"/>
          </w:tcPr>
          <w:p w14:paraId="4B9B95B2">
            <w:pPr>
              <w:spacing w:line="440" w:lineRule="exact"/>
              <w:jc w:val="center"/>
              <w:rPr>
                <w:szCs w:val="21"/>
                <w:highlight w:val="none"/>
              </w:rPr>
            </w:pPr>
            <w:r>
              <w:rPr>
                <w:szCs w:val="21"/>
                <w:highlight w:val="none"/>
              </w:rPr>
              <w:t>备注</w:t>
            </w:r>
          </w:p>
        </w:tc>
      </w:tr>
      <w:tr w14:paraId="7139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vMerge w:val="continue"/>
            <w:noWrap w:val="0"/>
            <w:vAlign w:val="center"/>
          </w:tcPr>
          <w:p w14:paraId="4A86F5D6">
            <w:pPr>
              <w:spacing w:line="440" w:lineRule="exact"/>
              <w:jc w:val="center"/>
              <w:rPr>
                <w:szCs w:val="21"/>
                <w:highlight w:val="none"/>
              </w:rPr>
            </w:pPr>
          </w:p>
        </w:tc>
        <w:tc>
          <w:tcPr>
            <w:tcW w:w="423" w:type="pct"/>
            <w:vMerge w:val="continue"/>
            <w:noWrap w:val="0"/>
            <w:vAlign w:val="center"/>
          </w:tcPr>
          <w:p w14:paraId="3B18C4F4">
            <w:pPr>
              <w:spacing w:line="440" w:lineRule="exact"/>
              <w:jc w:val="center"/>
              <w:rPr>
                <w:szCs w:val="21"/>
                <w:highlight w:val="none"/>
              </w:rPr>
            </w:pPr>
          </w:p>
        </w:tc>
        <w:tc>
          <w:tcPr>
            <w:tcW w:w="422" w:type="pct"/>
            <w:vMerge w:val="continue"/>
            <w:noWrap w:val="0"/>
            <w:vAlign w:val="center"/>
          </w:tcPr>
          <w:p w14:paraId="7378E610">
            <w:pPr>
              <w:spacing w:line="440" w:lineRule="exact"/>
              <w:jc w:val="center"/>
              <w:rPr>
                <w:szCs w:val="21"/>
                <w:highlight w:val="none"/>
              </w:rPr>
            </w:pPr>
          </w:p>
        </w:tc>
        <w:tc>
          <w:tcPr>
            <w:tcW w:w="634" w:type="pct"/>
            <w:noWrap w:val="0"/>
            <w:vAlign w:val="center"/>
          </w:tcPr>
          <w:p w14:paraId="4097C037">
            <w:pPr>
              <w:spacing w:line="440" w:lineRule="exact"/>
              <w:jc w:val="center"/>
              <w:rPr>
                <w:szCs w:val="21"/>
                <w:highlight w:val="none"/>
              </w:rPr>
            </w:pPr>
            <w:r>
              <w:rPr>
                <w:szCs w:val="21"/>
                <w:highlight w:val="none"/>
              </w:rPr>
              <w:t>证书名称</w:t>
            </w:r>
          </w:p>
        </w:tc>
        <w:tc>
          <w:tcPr>
            <w:tcW w:w="422" w:type="pct"/>
            <w:noWrap w:val="0"/>
            <w:vAlign w:val="center"/>
          </w:tcPr>
          <w:p w14:paraId="6FF7694B">
            <w:pPr>
              <w:spacing w:line="440" w:lineRule="exact"/>
              <w:jc w:val="center"/>
              <w:rPr>
                <w:szCs w:val="21"/>
                <w:highlight w:val="none"/>
              </w:rPr>
            </w:pPr>
            <w:r>
              <w:rPr>
                <w:szCs w:val="21"/>
                <w:highlight w:val="none"/>
              </w:rPr>
              <w:t>级别</w:t>
            </w:r>
          </w:p>
        </w:tc>
        <w:tc>
          <w:tcPr>
            <w:tcW w:w="423" w:type="pct"/>
            <w:noWrap w:val="0"/>
            <w:vAlign w:val="center"/>
          </w:tcPr>
          <w:p w14:paraId="066DC4E1">
            <w:pPr>
              <w:spacing w:line="440" w:lineRule="exact"/>
              <w:jc w:val="center"/>
              <w:rPr>
                <w:szCs w:val="21"/>
                <w:highlight w:val="none"/>
              </w:rPr>
            </w:pPr>
            <w:r>
              <w:rPr>
                <w:szCs w:val="21"/>
                <w:highlight w:val="none"/>
              </w:rPr>
              <w:t>证号</w:t>
            </w:r>
          </w:p>
        </w:tc>
        <w:tc>
          <w:tcPr>
            <w:tcW w:w="422" w:type="pct"/>
            <w:noWrap w:val="0"/>
            <w:vAlign w:val="center"/>
          </w:tcPr>
          <w:p w14:paraId="628E57E4">
            <w:pPr>
              <w:spacing w:line="440" w:lineRule="exact"/>
              <w:jc w:val="center"/>
              <w:rPr>
                <w:szCs w:val="21"/>
                <w:highlight w:val="none"/>
              </w:rPr>
            </w:pPr>
            <w:r>
              <w:rPr>
                <w:szCs w:val="21"/>
                <w:highlight w:val="none"/>
              </w:rPr>
              <w:t>专业</w:t>
            </w:r>
          </w:p>
        </w:tc>
        <w:tc>
          <w:tcPr>
            <w:tcW w:w="1480" w:type="pct"/>
            <w:noWrap w:val="0"/>
            <w:vAlign w:val="center"/>
          </w:tcPr>
          <w:p w14:paraId="3D0154C6">
            <w:pPr>
              <w:spacing w:line="440" w:lineRule="exact"/>
              <w:jc w:val="center"/>
              <w:rPr>
                <w:szCs w:val="21"/>
                <w:highlight w:val="none"/>
              </w:rPr>
            </w:pPr>
            <w:r>
              <w:rPr>
                <w:szCs w:val="21"/>
                <w:highlight w:val="none"/>
              </w:rPr>
              <w:t>养老保险</w:t>
            </w:r>
          </w:p>
        </w:tc>
        <w:tc>
          <w:tcPr>
            <w:tcW w:w="394" w:type="pct"/>
            <w:noWrap w:val="0"/>
            <w:vAlign w:val="center"/>
          </w:tcPr>
          <w:p w14:paraId="1FA5E981">
            <w:pPr>
              <w:spacing w:line="440" w:lineRule="exact"/>
              <w:jc w:val="center"/>
              <w:rPr>
                <w:szCs w:val="21"/>
                <w:highlight w:val="none"/>
              </w:rPr>
            </w:pPr>
          </w:p>
        </w:tc>
      </w:tr>
      <w:tr w14:paraId="7B65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center"/>
          </w:tcPr>
          <w:p w14:paraId="772DE44E">
            <w:pPr>
              <w:spacing w:line="440" w:lineRule="exact"/>
              <w:jc w:val="center"/>
              <w:rPr>
                <w:szCs w:val="21"/>
                <w:highlight w:val="none"/>
              </w:rPr>
            </w:pPr>
          </w:p>
        </w:tc>
        <w:tc>
          <w:tcPr>
            <w:tcW w:w="423" w:type="pct"/>
            <w:noWrap w:val="0"/>
            <w:vAlign w:val="center"/>
          </w:tcPr>
          <w:p w14:paraId="6531AC84">
            <w:pPr>
              <w:spacing w:line="440" w:lineRule="exact"/>
              <w:jc w:val="center"/>
              <w:rPr>
                <w:szCs w:val="21"/>
                <w:highlight w:val="none"/>
              </w:rPr>
            </w:pPr>
          </w:p>
        </w:tc>
        <w:tc>
          <w:tcPr>
            <w:tcW w:w="422" w:type="pct"/>
            <w:noWrap w:val="0"/>
            <w:vAlign w:val="center"/>
          </w:tcPr>
          <w:p w14:paraId="4C207E4C">
            <w:pPr>
              <w:spacing w:line="440" w:lineRule="exact"/>
              <w:jc w:val="center"/>
              <w:rPr>
                <w:szCs w:val="21"/>
                <w:highlight w:val="none"/>
              </w:rPr>
            </w:pPr>
          </w:p>
        </w:tc>
        <w:tc>
          <w:tcPr>
            <w:tcW w:w="634" w:type="pct"/>
            <w:noWrap w:val="0"/>
            <w:vAlign w:val="center"/>
          </w:tcPr>
          <w:p w14:paraId="35C1EB3C">
            <w:pPr>
              <w:spacing w:line="440" w:lineRule="exact"/>
              <w:jc w:val="center"/>
              <w:rPr>
                <w:szCs w:val="21"/>
                <w:highlight w:val="none"/>
              </w:rPr>
            </w:pPr>
          </w:p>
        </w:tc>
        <w:tc>
          <w:tcPr>
            <w:tcW w:w="422" w:type="pct"/>
            <w:noWrap w:val="0"/>
            <w:vAlign w:val="center"/>
          </w:tcPr>
          <w:p w14:paraId="04DCADD8">
            <w:pPr>
              <w:spacing w:line="440" w:lineRule="exact"/>
              <w:jc w:val="center"/>
              <w:rPr>
                <w:szCs w:val="21"/>
                <w:highlight w:val="none"/>
              </w:rPr>
            </w:pPr>
          </w:p>
        </w:tc>
        <w:tc>
          <w:tcPr>
            <w:tcW w:w="423" w:type="pct"/>
            <w:noWrap w:val="0"/>
            <w:vAlign w:val="center"/>
          </w:tcPr>
          <w:p w14:paraId="010FB6DF">
            <w:pPr>
              <w:spacing w:line="440" w:lineRule="exact"/>
              <w:jc w:val="center"/>
              <w:rPr>
                <w:szCs w:val="21"/>
                <w:highlight w:val="none"/>
              </w:rPr>
            </w:pPr>
          </w:p>
        </w:tc>
        <w:tc>
          <w:tcPr>
            <w:tcW w:w="422" w:type="pct"/>
            <w:noWrap w:val="0"/>
            <w:vAlign w:val="center"/>
          </w:tcPr>
          <w:p w14:paraId="4838CFB3">
            <w:pPr>
              <w:spacing w:line="440" w:lineRule="exact"/>
              <w:jc w:val="center"/>
              <w:rPr>
                <w:szCs w:val="21"/>
                <w:highlight w:val="none"/>
              </w:rPr>
            </w:pPr>
          </w:p>
        </w:tc>
        <w:tc>
          <w:tcPr>
            <w:tcW w:w="1480" w:type="pct"/>
            <w:noWrap w:val="0"/>
            <w:vAlign w:val="center"/>
          </w:tcPr>
          <w:p w14:paraId="5131B162">
            <w:pPr>
              <w:spacing w:line="440" w:lineRule="exact"/>
              <w:jc w:val="center"/>
              <w:rPr>
                <w:szCs w:val="21"/>
                <w:highlight w:val="none"/>
              </w:rPr>
            </w:pPr>
          </w:p>
        </w:tc>
        <w:tc>
          <w:tcPr>
            <w:tcW w:w="394" w:type="pct"/>
            <w:noWrap w:val="0"/>
            <w:vAlign w:val="center"/>
          </w:tcPr>
          <w:p w14:paraId="6B07991C">
            <w:pPr>
              <w:spacing w:line="440" w:lineRule="exact"/>
              <w:jc w:val="center"/>
              <w:rPr>
                <w:szCs w:val="21"/>
                <w:highlight w:val="none"/>
              </w:rPr>
            </w:pPr>
          </w:p>
        </w:tc>
      </w:tr>
      <w:tr w14:paraId="3BB7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7601ED33">
            <w:pPr>
              <w:spacing w:line="440" w:lineRule="exact"/>
              <w:jc w:val="center"/>
              <w:rPr>
                <w:szCs w:val="21"/>
                <w:highlight w:val="none"/>
              </w:rPr>
            </w:pPr>
          </w:p>
        </w:tc>
        <w:tc>
          <w:tcPr>
            <w:tcW w:w="423" w:type="pct"/>
            <w:noWrap w:val="0"/>
            <w:vAlign w:val="top"/>
          </w:tcPr>
          <w:p w14:paraId="597F976E">
            <w:pPr>
              <w:spacing w:line="440" w:lineRule="exact"/>
              <w:jc w:val="center"/>
              <w:rPr>
                <w:szCs w:val="21"/>
                <w:highlight w:val="none"/>
              </w:rPr>
            </w:pPr>
          </w:p>
        </w:tc>
        <w:tc>
          <w:tcPr>
            <w:tcW w:w="422" w:type="pct"/>
            <w:noWrap w:val="0"/>
            <w:vAlign w:val="top"/>
          </w:tcPr>
          <w:p w14:paraId="5006CE81">
            <w:pPr>
              <w:spacing w:line="440" w:lineRule="exact"/>
              <w:jc w:val="center"/>
              <w:rPr>
                <w:szCs w:val="21"/>
                <w:highlight w:val="none"/>
              </w:rPr>
            </w:pPr>
          </w:p>
        </w:tc>
        <w:tc>
          <w:tcPr>
            <w:tcW w:w="634" w:type="pct"/>
            <w:noWrap w:val="0"/>
            <w:vAlign w:val="top"/>
          </w:tcPr>
          <w:p w14:paraId="5F5110D9">
            <w:pPr>
              <w:spacing w:line="440" w:lineRule="exact"/>
              <w:jc w:val="center"/>
              <w:rPr>
                <w:szCs w:val="21"/>
                <w:highlight w:val="none"/>
              </w:rPr>
            </w:pPr>
          </w:p>
        </w:tc>
        <w:tc>
          <w:tcPr>
            <w:tcW w:w="422" w:type="pct"/>
            <w:noWrap w:val="0"/>
            <w:vAlign w:val="top"/>
          </w:tcPr>
          <w:p w14:paraId="5E4F50F4">
            <w:pPr>
              <w:spacing w:line="440" w:lineRule="exact"/>
              <w:jc w:val="center"/>
              <w:rPr>
                <w:szCs w:val="21"/>
                <w:highlight w:val="none"/>
              </w:rPr>
            </w:pPr>
          </w:p>
        </w:tc>
        <w:tc>
          <w:tcPr>
            <w:tcW w:w="423" w:type="pct"/>
            <w:noWrap w:val="0"/>
            <w:vAlign w:val="top"/>
          </w:tcPr>
          <w:p w14:paraId="62B24259">
            <w:pPr>
              <w:spacing w:line="440" w:lineRule="exact"/>
              <w:jc w:val="center"/>
              <w:rPr>
                <w:szCs w:val="21"/>
                <w:highlight w:val="none"/>
              </w:rPr>
            </w:pPr>
          </w:p>
        </w:tc>
        <w:tc>
          <w:tcPr>
            <w:tcW w:w="422" w:type="pct"/>
            <w:noWrap w:val="0"/>
            <w:vAlign w:val="top"/>
          </w:tcPr>
          <w:p w14:paraId="3BFEECFA">
            <w:pPr>
              <w:spacing w:line="440" w:lineRule="exact"/>
              <w:jc w:val="center"/>
              <w:rPr>
                <w:szCs w:val="21"/>
                <w:highlight w:val="none"/>
              </w:rPr>
            </w:pPr>
          </w:p>
        </w:tc>
        <w:tc>
          <w:tcPr>
            <w:tcW w:w="1480" w:type="pct"/>
            <w:noWrap w:val="0"/>
            <w:vAlign w:val="top"/>
          </w:tcPr>
          <w:p w14:paraId="40F28D69">
            <w:pPr>
              <w:spacing w:line="440" w:lineRule="exact"/>
              <w:jc w:val="center"/>
              <w:rPr>
                <w:szCs w:val="21"/>
                <w:highlight w:val="none"/>
              </w:rPr>
            </w:pPr>
          </w:p>
        </w:tc>
        <w:tc>
          <w:tcPr>
            <w:tcW w:w="394" w:type="pct"/>
            <w:noWrap w:val="0"/>
            <w:vAlign w:val="top"/>
          </w:tcPr>
          <w:p w14:paraId="730536F7">
            <w:pPr>
              <w:spacing w:line="440" w:lineRule="exact"/>
              <w:jc w:val="center"/>
              <w:rPr>
                <w:szCs w:val="21"/>
                <w:highlight w:val="none"/>
              </w:rPr>
            </w:pPr>
          </w:p>
        </w:tc>
      </w:tr>
      <w:tr w14:paraId="0CE3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5501434A">
            <w:pPr>
              <w:spacing w:line="440" w:lineRule="exact"/>
              <w:jc w:val="center"/>
              <w:rPr>
                <w:szCs w:val="21"/>
                <w:highlight w:val="none"/>
              </w:rPr>
            </w:pPr>
          </w:p>
        </w:tc>
        <w:tc>
          <w:tcPr>
            <w:tcW w:w="423" w:type="pct"/>
            <w:noWrap w:val="0"/>
            <w:vAlign w:val="top"/>
          </w:tcPr>
          <w:p w14:paraId="65C26143">
            <w:pPr>
              <w:spacing w:line="440" w:lineRule="exact"/>
              <w:jc w:val="center"/>
              <w:rPr>
                <w:szCs w:val="21"/>
                <w:highlight w:val="none"/>
              </w:rPr>
            </w:pPr>
          </w:p>
        </w:tc>
        <w:tc>
          <w:tcPr>
            <w:tcW w:w="422" w:type="pct"/>
            <w:noWrap w:val="0"/>
            <w:vAlign w:val="top"/>
          </w:tcPr>
          <w:p w14:paraId="07ED3F19">
            <w:pPr>
              <w:spacing w:line="440" w:lineRule="exact"/>
              <w:jc w:val="center"/>
              <w:rPr>
                <w:szCs w:val="21"/>
                <w:highlight w:val="none"/>
              </w:rPr>
            </w:pPr>
          </w:p>
        </w:tc>
        <w:tc>
          <w:tcPr>
            <w:tcW w:w="634" w:type="pct"/>
            <w:noWrap w:val="0"/>
            <w:vAlign w:val="top"/>
          </w:tcPr>
          <w:p w14:paraId="10EA6C88">
            <w:pPr>
              <w:spacing w:line="440" w:lineRule="exact"/>
              <w:jc w:val="center"/>
              <w:rPr>
                <w:szCs w:val="21"/>
                <w:highlight w:val="none"/>
              </w:rPr>
            </w:pPr>
          </w:p>
        </w:tc>
        <w:tc>
          <w:tcPr>
            <w:tcW w:w="422" w:type="pct"/>
            <w:noWrap w:val="0"/>
            <w:vAlign w:val="top"/>
          </w:tcPr>
          <w:p w14:paraId="2CC2C2F4">
            <w:pPr>
              <w:spacing w:line="440" w:lineRule="exact"/>
              <w:jc w:val="center"/>
              <w:rPr>
                <w:szCs w:val="21"/>
                <w:highlight w:val="none"/>
              </w:rPr>
            </w:pPr>
          </w:p>
        </w:tc>
        <w:tc>
          <w:tcPr>
            <w:tcW w:w="423" w:type="pct"/>
            <w:noWrap w:val="0"/>
            <w:vAlign w:val="top"/>
          </w:tcPr>
          <w:p w14:paraId="1FE78198">
            <w:pPr>
              <w:spacing w:line="440" w:lineRule="exact"/>
              <w:jc w:val="center"/>
              <w:rPr>
                <w:szCs w:val="21"/>
                <w:highlight w:val="none"/>
              </w:rPr>
            </w:pPr>
          </w:p>
        </w:tc>
        <w:tc>
          <w:tcPr>
            <w:tcW w:w="422" w:type="pct"/>
            <w:noWrap w:val="0"/>
            <w:vAlign w:val="top"/>
          </w:tcPr>
          <w:p w14:paraId="27DBC840">
            <w:pPr>
              <w:spacing w:line="440" w:lineRule="exact"/>
              <w:jc w:val="center"/>
              <w:rPr>
                <w:szCs w:val="21"/>
                <w:highlight w:val="none"/>
              </w:rPr>
            </w:pPr>
          </w:p>
        </w:tc>
        <w:tc>
          <w:tcPr>
            <w:tcW w:w="1480" w:type="pct"/>
            <w:noWrap w:val="0"/>
            <w:vAlign w:val="top"/>
          </w:tcPr>
          <w:p w14:paraId="7A16846E">
            <w:pPr>
              <w:spacing w:line="440" w:lineRule="exact"/>
              <w:jc w:val="center"/>
              <w:rPr>
                <w:szCs w:val="21"/>
                <w:highlight w:val="none"/>
              </w:rPr>
            </w:pPr>
          </w:p>
        </w:tc>
        <w:tc>
          <w:tcPr>
            <w:tcW w:w="394" w:type="pct"/>
            <w:noWrap w:val="0"/>
            <w:vAlign w:val="top"/>
          </w:tcPr>
          <w:p w14:paraId="621D3401">
            <w:pPr>
              <w:spacing w:line="440" w:lineRule="exact"/>
              <w:jc w:val="center"/>
              <w:rPr>
                <w:szCs w:val="21"/>
                <w:highlight w:val="none"/>
              </w:rPr>
            </w:pPr>
          </w:p>
        </w:tc>
      </w:tr>
      <w:tr w14:paraId="3292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74569F50">
            <w:pPr>
              <w:spacing w:line="440" w:lineRule="exact"/>
              <w:jc w:val="center"/>
              <w:rPr>
                <w:szCs w:val="21"/>
                <w:highlight w:val="none"/>
              </w:rPr>
            </w:pPr>
          </w:p>
        </w:tc>
        <w:tc>
          <w:tcPr>
            <w:tcW w:w="423" w:type="pct"/>
            <w:noWrap w:val="0"/>
            <w:vAlign w:val="top"/>
          </w:tcPr>
          <w:p w14:paraId="493C7FC2">
            <w:pPr>
              <w:spacing w:line="440" w:lineRule="exact"/>
              <w:jc w:val="center"/>
              <w:rPr>
                <w:szCs w:val="21"/>
                <w:highlight w:val="none"/>
              </w:rPr>
            </w:pPr>
          </w:p>
        </w:tc>
        <w:tc>
          <w:tcPr>
            <w:tcW w:w="422" w:type="pct"/>
            <w:noWrap w:val="0"/>
            <w:vAlign w:val="top"/>
          </w:tcPr>
          <w:p w14:paraId="6D224EFC">
            <w:pPr>
              <w:spacing w:line="440" w:lineRule="exact"/>
              <w:jc w:val="center"/>
              <w:rPr>
                <w:szCs w:val="21"/>
                <w:highlight w:val="none"/>
              </w:rPr>
            </w:pPr>
          </w:p>
        </w:tc>
        <w:tc>
          <w:tcPr>
            <w:tcW w:w="634" w:type="pct"/>
            <w:noWrap w:val="0"/>
            <w:vAlign w:val="top"/>
          </w:tcPr>
          <w:p w14:paraId="60EC8A4C">
            <w:pPr>
              <w:spacing w:line="440" w:lineRule="exact"/>
              <w:jc w:val="center"/>
              <w:rPr>
                <w:szCs w:val="21"/>
                <w:highlight w:val="none"/>
              </w:rPr>
            </w:pPr>
          </w:p>
        </w:tc>
        <w:tc>
          <w:tcPr>
            <w:tcW w:w="422" w:type="pct"/>
            <w:noWrap w:val="0"/>
            <w:vAlign w:val="top"/>
          </w:tcPr>
          <w:p w14:paraId="429C4CB7">
            <w:pPr>
              <w:spacing w:line="440" w:lineRule="exact"/>
              <w:jc w:val="center"/>
              <w:rPr>
                <w:szCs w:val="21"/>
                <w:highlight w:val="none"/>
              </w:rPr>
            </w:pPr>
          </w:p>
        </w:tc>
        <w:tc>
          <w:tcPr>
            <w:tcW w:w="423" w:type="pct"/>
            <w:noWrap w:val="0"/>
            <w:vAlign w:val="top"/>
          </w:tcPr>
          <w:p w14:paraId="58076046">
            <w:pPr>
              <w:spacing w:line="440" w:lineRule="exact"/>
              <w:jc w:val="center"/>
              <w:rPr>
                <w:szCs w:val="21"/>
                <w:highlight w:val="none"/>
              </w:rPr>
            </w:pPr>
          </w:p>
        </w:tc>
        <w:tc>
          <w:tcPr>
            <w:tcW w:w="422" w:type="pct"/>
            <w:noWrap w:val="0"/>
            <w:vAlign w:val="top"/>
          </w:tcPr>
          <w:p w14:paraId="31255EA7">
            <w:pPr>
              <w:spacing w:line="440" w:lineRule="exact"/>
              <w:jc w:val="center"/>
              <w:rPr>
                <w:szCs w:val="21"/>
                <w:highlight w:val="none"/>
              </w:rPr>
            </w:pPr>
          </w:p>
        </w:tc>
        <w:tc>
          <w:tcPr>
            <w:tcW w:w="1480" w:type="pct"/>
            <w:noWrap w:val="0"/>
            <w:vAlign w:val="top"/>
          </w:tcPr>
          <w:p w14:paraId="7DD3A553">
            <w:pPr>
              <w:spacing w:line="440" w:lineRule="exact"/>
              <w:jc w:val="center"/>
              <w:rPr>
                <w:szCs w:val="21"/>
                <w:highlight w:val="none"/>
              </w:rPr>
            </w:pPr>
          </w:p>
        </w:tc>
        <w:tc>
          <w:tcPr>
            <w:tcW w:w="394" w:type="pct"/>
            <w:noWrap w:val="0"/>
            <w:vAlign w:val="top"/>
          </w:tcPr>
          <w:p w14:paraId="31528508">
            <w:pPr>
              <w:spacing w:line="440" w:lineRule="exact"/>
              <w:jc w:val="center"/>
              <w:rPr>
                <w:szCs w:val="21"/>
                <w:highlight w:val="none"/>
              </w:rPr>
            </w:pPr>
          </w:p>
        </w:tc>
      </w:tr>
      <w:tr w14:paraId="4B14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57D27417">
            <w:pPr>
              <w:spacing w:line="440" w:lineRule="exact"/>
              <w:jc w:val="center"/>
              <w:rPr>
                <w:szCs w:val="21"/>
                <w:highlight w:val="none"/>
              </w:rPr>
            </w:pPr>
          </w:p>
        </w:tc>
        <w:tc>
          <w:tcPr>
            <w:tcW w:w="423" w:type="pct"/>
            <w:noWrap w:val="0"/>
            <w:vAlign w:val="top"/>
          </w:tcPr>
          <w:p w14:paraId="106CE47E">
            <w:pPr>
              <w:spacing w:line="440" w:lineRule="exact"/>
              <w:jc w:val="center"/>
              <w:rPr>
                <w:szCs w:val="21"/>
                <w:highlight w:val="none"/>
              </w:rPr>
            </w:pPr>
          </w:p>
        </w:tc>
        <w:tc>
          <w:tcPr>
            <w:tcW w:w="422" w:type="pct"/>
            <w:noWrap w:val="0"/>
            <w:vAlign w:val="top"/>
          </w:tcPr>
          <w:p w14:paraId="4CD67FD8">
            <w:pPr>
              <w:spacing w:line="440" w:lineRule="exact"/>
              <w:jc w:val="center"/>
              <w:rPr>
                <w:szCs w:val="21"/>
                <w:highlight w:val="none"/>
              </w:rPr>
            </w:pPr>
          </w:p>
        </w:tc>
        <w:tc>
          <w:tcPr>
            <w:tcW w:w="634" w:type="pct"/>
            <w:noWrap w:val="0"/>
            <w:vAlign w:val="top"/>
          </w:tcPr>
          <w:p w14:paraId="56C4FBB8">
            <w:pPr>
              <w:spacing w:line="440" w:lineRule="exact"/>
              <w:jc w:val="center"/>
              <w:rPr>
                <w:szCs w:val="21"/>
                <w:highlight w:val="none"/>
              </w:rPr>
            </w:pPr>
          </w:p>
        </w:tc>
        <w:tc>
          <w:tcPr>
            <w:tcW w:w="422" w:type="pct"/>
            <w:noWrap w:val="0"/>
            <w:vAlign w:val="top"/>
          </w:tcPr>
          <w:p w14:paraId="1377323F">
            <w:pPr>
              <w:spacing w:line="440" w:lineRule="exact"/>
              <w:jc w:val="center"/>
              <w:rPr>
                <w:szCs w:val="21"/>
                <w:highlight w:val="none"/>
              </w:rPr>
            </w:pPr>
          </w:p>
        </w:tc>
        <w:tc>
          <w:tcPr>
            <w:tcW w:w="423" w:type="pct"/>
            <w:noWrap w:val="0"/>
            <w:vAlign w:val="top"/>
          </w:tcPr>
          <w:p w14:paraId="39D4E5B1">
            <w:pPr>
              <w:spacing w:line="440" w:lineRule="exact"/>
              <w:jc w:val="center"/>
              <w:rPr>
                <w:szCs w:val="21"/>
                <w:highlight w:val="none"/>
              </w:rPr>
            </w:pPr>
          </w:p>
        </w:tc>
        <w:tc>
          <w:tcPr>
            <w:tcW w:w="422" w:type="pct"/>
            <w:noWrap w:val="0"/>
            <w:vAlign w:val="top"/>
          </w:tcPr>
          <w:p w14:paraId="3BE6B6B6">
            <w:pPr>
              <w:spacing w:line="440" w:lineRule="exact"/>
              <w:jc w:val="center"/>
              <w:rPr>
                <w:szCs w:val="21"/>
                <w:highlight w:val="none"/>
              </w:rPr>
            </w:pPr>
          </w:p>
        </w:tc>
        <w:tc>
          <w:tcPr>
            <w:tcW w:w="1480" w:type="pct"/>
            <w:noWrap w:val="0"/>
            <w:vAlign w:val="top"/>
          </w:tcPr>
          <w:p w14:paraId="50BB8D2B">
            <w:pPr>
              <w:spacing w:line="440" w:lineRule="exact"/>
              <w:jc w:val="center"/>
              <w:rPr>
                <w:szCs w:val="21"/>
                <w:highlight w:val="none"/>
              </w:rPr>
            </w:pPr>
          </w:p>
        </w:tc>
        <w:tc>
          <w:tcPr>
            <w:tcW w:w="394" w:type="pct"/>
            <w:noWrap w:val="0"/>
            <w:vAlign w:val="top"/>
          </w:tcPr>
          <w:p w14:paraId="13F583DC">
            <w:pPr>
              <w:spacing w:line="440" w:lineRule="exact"/>
              <w:jc w:val="center"/>
              <w:rPr>
                <w:szCs w:val="21"/>
                <w:highlight w:val="none"/>
              </w:rPr>
            </w:pPr>
          </w:p>
        </w:tc>
      </w:tr>
      <w:tr w14:paraId="3605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3E4C0189">
            <w:pPr>
              <w:spacing w:line="440" w:lineRule="exact"/>
              <w:jc w:val="center"/>
              <w:rPr>
                <w:szCs w:val="21"/>
                <w:highlight w:val="none"/>
              </w:rPr>
            </w:pPr>
          </w:p>
        </w:tc>
        <w:tc>
          <w:tcPr>
            <w:tcW w:w="423" w:type="pct"/>
            <w:noWrap w:val="0"/>
            <w:vAlign w:val="top"/>
          </w:tcPr>
          <w:p w14:paraId="79FE27A5">
            <w:pPr>
              <w:spacing w:line="440" w:lineRule="exact"/>
              <w:jc w:val="center"/>
              <w:rPr>
                <w:szCs w:val="21"/>
                <w:highlight w:val="none"/>
              </w:rPr>
            </w:pPr>
          </w:p>
        </w:tc>
        <w:tc>
          <w:tcPr>
            <w:tcW w:w="422" w:type="pct"/>
            <w:noWrap w:val="0"/>
            <w:vAlign w:val="top"/>
          </w:tcPr>
          <w:p w14:paraId="36753013">
            <w:pPr>
              <w:spacing w:line="440" w:lineRule="exact"/>
              <w:jc w:val="center"/>
              <w:rPr>
                <w:szCs w:val="21"/>
                <w:highlight w:val="none"/>
              </w:rPr>
            </w:pPr>
          </w:p>
        </w:tc>
        <w:tc>
          <w:tcPr>
            <w:tcW w:w="634" w:type="pct"/>
            <w:noWrap w:val="0"/>
            <w:vAlign w:val="top"/>
          </w:tcPr>
          <w:p w14:paraId="301DB095">
            <w:pPr>
              <w:spacing w:line="440" w:lineRule="exact"/>
              <w:jc w:val="center"/>
              <w:rPr>
                <w:szCs w:val="21"/>
                <w:highlight w:val="none"/>
              </w:rPr>
            </w:pPr>
          </w:p>
        </w:tc>
        <w:tc>
          <w:tcPr>
            <w:tcW w:w="422" w:type="pct"/>
            <w:noWrap w:val="0"/>
            <w:vAlign w:val="top"/>
          </w:tcPr>
          <w:p w14:paraId="08C4A397">
            <w:pPr>
              <w:spacing w:line="440" w:lineRule="exact"/>
              <w:jc w:val="center"/>
              <w:rPr>
                <w:szCs w:val="21"/>
                <w:highlight w:val="none"/>
              </w:rPr>
            </w:pPr>
          </w:p>
        </w:tc>
        <w:tc>
          <w:tcPr>
            <w:tcW w:w="423" w:type="pct"/>
            <w:noWrap w:val="0"/>
            <w:vAlign w:val="top"/>
          </w:tcPr>
          <w:p w14:paraId="6EC32A71">
            <w:pPr>
              <w:spacing w:line="440" w:lineRule="exact"/>
              <w:jc w:val="center"/>
              <w:rPr>
                <w:szCs w:val="21"/>
                <w:highlight w:val="none"/>
              </w:rPr>
            </w:pPr>
          </w:p>
        </w:tc>
        <w:tc>
          <w:tcPr>
            <w:tcW w:w="422" w:type="pct"/>
            <w:noWrap w:val="0"/>
            <w:vAlign w:val="top"/>
          </w:tcPr>
          <w:p w14:paraId="7B81BBDF">
            <w:pPr>
              <w:spacing w:line="440" w:lineRule="exact"/>
              <w:jc w:val="center"/>
              <w:rPr>
                <w:szCs w:val="21"/>
                <w:highlight w:val="none"/>
              </w:rPr>
            </w:pPr>
          </w:p>
        </w:tc>
        <w:tc>
          <w:tcPr>
            <w:tcW w:w="1480" w:type="pct"/>
            <w:noWrap w:val="0"/>
            <w:vAlign w:val="top"/>
          </w:tcPr>
          <w:p w14:paraId="2450805B">
            <w:pPr>
              <w:spacing w:line="440" w:lineRule="exact"/>
              <w:jc w:val="center"/>
              <w:rPr>
                <w:szCs w:val="21"/>
                <w:highlight w:val="none"/>
              </w:rPr>
            </w:pPr>
          </w:p>
        </w:tc>
        <w:tc>
          <w:tcPr>
            <w:tcW w:w="394" w:type="pct"/>
            <w:noWrap w:val="0"/>
            <w:vAlign w:val="top"/>
          </w:tcPr>
          <w:p w14:paraId="14B9EFC6">
            <w:pPr>
              <w:spacing w:line="440" w:lineRule="exact"/>
              <w:jc w:val="center"/>
              <w:rPr>
                <w:szCs w:val="21"/>
                <w:highlight w:val="none"/>
              </w:rPr>
            </w:pPr>
          </w:p>
        </w:tc>
      </w:tr>
      <w:tr w14:paraId="2164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466F5BE9">
            <w:pPr>
              <w:spacing w:line="440" w:lineRule="exact"/>
              <w:jc w:val="center"/>
              <w:rPr>
                <w:szCs w:val="21"/>
                <w:highlight w:val="none"/>
              </w:rPr>
            </w:pPr>
          </w:p>
        </w:tc>
        <w:tc>
          <w:tcPr>
            <w:tcW w:w="423" w:type="pct"/>
            <w:noWrap w:val="0"/>
            <w:vAlign w:val="top"/>
          </w:tcPr>
          <w:p w14:paraId="64A0D777">
            <w:pPr>
              <w:spacing w:line="440" w:lineRule="exact"/>
              <w:jc w:val="center"/>
              <w:rPr>
                <w:szCs w:val="21"/>
                <w:highlight w:val="none"/>
              </w:rPr>
            </w:pPr>
          </w:p>
        </w:tc>
        <w:tc>
          <w:tcPr>
            <w:tcW w:w="422" w:type="pct"/>
            <w:noWrap w:val="0"/>
            <w:vAlign w:val="top"/>
          </w:tcPr>
          <w:p w14:paraId="69858827">
            <w:pPr>
              <w:spacing w:line="440" w:lineRule="exact"/>
              <w:jc w:val="center"/>
              <w:rPr>
                <w:szCs w:val="21"/>
                <w:highlight w:val="none"/>
              </w:rPr>
            </w:pPr>
          </w:p>
        </w:tc>
        <w:tc>
          <w:tcPr>
            <w:tcW w:w="634" w:type="pct"/>
            <w:noWrap w:val="0"/>
            <w:vAlign w:val="top"/>
          </w:tcPr>
          <w:p w14:paraId="33509371">
            <w:pPr>
              <w:spacing w:line="440" w:lineRule="exact"/>
              <w:jc w:val="center"/>
              <w:rPr>
                <w:szCs w:val="21"/>
                <w:highlight w:val="none"/>
              </w:rPr>
            </w:pPr>
          </w:p>
        </w:tc>
        <w:tc>
          <w:tcPr>
            <w:tcW w:w="422" w:type="pct"/>
            <w:noWrap w:val="0"/>
            <w:vAlign w:val="top"/>
          </w:tcPr>
          <w:p w14:paraId="05917DA9">
            <w:pPr>
              <w:spacing w:line="440" w:lineRule="exact"/>
              <w:jc w:val="center"/>
              <w:rPr>
                <w:szCs w:val="21"/>
                <w:highlight w:val="none"/>
              </w:rPr>
            </w:pPr>
          </w:p>
        </w:tc>
        <w:tc>
          <w:tcPr>
            <w:tcW w:w="423" w:type="pct"/>
            <w:noWrap w:val="0"/>
            <w:vAlign w:val="top"/>
          </w:tcPr>
          <w:p w14:paraId="699F5C40">
            <w:pPr>
              <w:spacing w:line="440" w:lineRule="exact"/>
              <w:jc w:val="center"/>
              <w:rPr>
                <w:szCs w:val="21"/>
                <w:highlight w:val="none"/>
              </w:rPr>
            </w:pPr>
          </w:p>
        </w:tc>
        <w:tc>
          <w:tcPr>
            <w:tcW w:w="422" w:type="pct"/>
            <w:noWrap w:val="0"/>
            <w:vAlign w:val="top"/>
          </w:tcPr>
          <w:p w14:paraId="1AC7B822">
            <w:pPr>
              <w:spacing w:line="440" w:lineRule="exact"/>
              <w:jc w:val="center"/>
              <w:rPr>
                <w:szCs w:val="21"/>
                <w:highlight w:val="none"/>
              </w:rPr>
            </w:pPr>
          </w:p>
        </w:tc>
        <w:tc>
          <w:tcPr>
            <w:tcW w:w="1480" w:type="pct"/>
            <w:noWrap w:val="0"/>
            <w:vAlign w:val="top"/>
          </w:tcPr>
          <w:p w14:paraId="3BC65267">
            <w:pPr>
              <w:spacing w:line="440" w:lineRule="exact"/>
              <w:jc w:val="center"/>
              <w:rPr>
                <w:szCs w:val="21"/>
                <w:highlight w:val="none"/>
              </w:rPr>
            </w:pPr>
          </w:p>
        </w:tc>
        <w:tc>
          <w:tcPr>
            <w:tcW w:w="394" w:type="pct"/>
            <w:noWrap w:val="0"/>
            <w:vAlign w:val="top"/>
          </w:tcPr>
          <w:p w14:paraId="198D3C01">
            <w:pPr>
              <w:spacing w:line="440" w:lineRule="exact"/>
              <w:jc w:val="center"/>
              <w:rPr>
                <w:szCs w:val="21"/>
                <w:highlight w:val="none"/>
              </w:rPr>
            </w:pPr>
          </w:p>
        </w:tc>
      </w:tr>
      <w:tr w14:paraId="7012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2637943A">
            <w:pPr>
              <w:spacing w:line="440" w:lineRule="exact"/>
              <w:jc w:val="center"/>
              <w:rPr>
                <w:szCs w:val="21"/>
                <w:highlight w:val="none"/>
              </w:rPr>
            </w:pPr>
          </w:p>
        </w:tc>
        <w:tc>
          <w:tcPr>
            <w:tcW w:w="423" w:type="pct"/>
            <w:noWrap w:val="0"/>
            <w:vAlign w:val="top"/>
          </w:tcPr>
          <w:p w14:paraId="33AED638">
            <w:pPr>
              <w:spacing w:line="440" w:lineRule="exact"/>
              <w:jc w:val="center"/>
              <w:rPr>
                <w:szCs w:val="21"/>
                <w:highlight w:val="none"/>
              </w:rPr>
            </w:pPr>
          </w:p>
        </w:tc>
        <w:tc>
          <w:tcPr>
            <w:tcW w:w="422" w:type="pct"/>
            <w:noWrap w:val="0"/>
            <w:vAlign w:val="top"/>
          </w:tcPr>
          <w:p w14:paraId="55C5F991">
            <w:pPr>
              <w:spacing w:line="440" w:lineRule="exact"/>
              <w:jc w:val="center"/>
              <w:rPr>
                <w:szCs w:val="21"/>
                <w:highlight w:val="none"/>
              </w:rPr>
            </w:pPr>
          </w:p>
        </w:tc>
        <w:tc>
          <w:tcPr>
            <w:tcW w:w="634" w:type="pct"/>
            <w:noWrap w:val="0"/>
            <w:vAlign w:val="top"/>
          </w:tcPr>
          <w:p w14:paraId="35B7C73A">
            <w:pPr>
              <w:spacing w:line="440" w:lineRule="exact"/>
              <w:jc w:val="center"/>
              <w:rPr>
                <w:szCs w:val="21"/>
                <w:highlight w:val="none"/>
              </w:rPr>
            </w:pPr>
          </w:p>
        </w:tc>
        <w:tc>
          <w:tcPr>
            <w:tcW w:w="422" w:type="pct"/>
            <w:noWrap w:val="0"/>
            <w:vAlign w:val="top"/>
          </w:tcPr>
          <w:p w14:paraId="2F44BE91">
            <w:pPr>
              <w:spacing w:line="440" w:lineRule="exact"/>
              <w:jc w:val="center"/>
              <w:rPr>
                <w:szCs w:val="21"/>
                <w:highlight w:val="none"/>
              </w:rPr>
            </w:pPr>
          </w:p>
        </w:tc>
        <w:tc>
          <w:tcPr>
            <w:tcW w:w="423" w:type="pct"/>
            <w:noWrap w:val="0"/>
            <w:vAlign w:val="top"/>
          </w:tcPr>
          <w:p w14:paraId="54DE3D41">
            <w:pPr>
              <w:spacing w:line="440" w:lineRule="exact"/>
              <w:jc w:val="center"/>
              <w:rPr>
                <w:szCs w:val="21"/>
                <w:highlight w:val="none"/>
              </w:rPr>
            </w:pPr>
          </w:p>
        </w:tc>
        <w:tc>
          <w:tcPr>
            <w:tcW w:w="422" w:type="pct"/>
            <w:noWrap w:val="0"/>
            <w:vAlign w:val="top"/>
          </w:tcPr>
          <w:p w14:paraId="0F00B64B">
            <w:pPr>
              <w:spacing w:line="440" w:lineRule="exact"/>
              <w:jc w:val="center"/>
              <w:rPr>
                <w:szCs w:val="21"/>
                <w:highlight w:val="none"/>
              </w:rPr>
            </w:pPr>
          </w:p>
        </w:tc>
        <w:tc>
          <w:tcPr>
            <w:tcW w:w="1480" w:type="pct"/>
            <w:noWrap w:val="0"/>
            <w:vAlign w:val="top"/>
          </w:tcPr>
          <w:p w14:paraId="04D7689E">
            <w:pPr>
              <w:spacing w:line="440" w:lineRule="exact"/>
              <w:jc w:val="center"/>
              <w:rPr>
                <w:szCs w:val="21"/>
                <w:highlight w:val="none"/>
              </w:rPr>
            </w:pPr>
          </w:p>
        </w:tc>
        <w:tc>
          <w:tcPr>
            <w:tcW w:w="394" w:type="pct"/>
            <w:noWrap w:val="0"/>
            <w:vAlign w:val="top"/>
          </w:tcPr>
          <w:p w14:paraId="776813DB">
            <w:pPr>
              <w:spacing w:line="440" w:lineRule="exact"/>
              <w:jc w:val="center"/>
              <w:rPr>
                <w:szCs w:val="21"/>
                <w:highlight w:val="none"/>
              </w:rPr>
            </w:pPr>
          </w:p>
        </w:tc>
      </w:tr>
      <w:tr w14:paraId="4A0F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2712F030">
            <w:pPr>
              <w:spacing w:line="440" w:lineRule="exact"/>
              <w:jc w:val="center"/>
              <w:rPr>
                <w:szCs w:val="21"/>
                <w:highlight w:val="none"/>
              </w:rPr>
            </w:pPr>
          </w:p>
        </w:tc>
        <w:tc>
          <w:tcPr>
            <w:tcW w:w="423" w:type="pct"/>
            <w:noWrap w:val="0"/>
            <w:vAlign w:val="top"/>
          </w:tcPr>
          <w:p w14:paraId="365F0AEC">
            <w:pPr>
              <w:spacing w:line="440" w:lineRule="exact"/>
              <w:jc w:val="center"/>
              <w:rPr>
                <w:szCs w:val="21"/>
                <w:highlight w:val="none"/>
              </w:rPr>
            </w:pPr>
          </w:p>
        </w:tc>
        <w:tc>
          <w:tcPr>
            <w:tcW w:w="422" w:type="pct"/>
            <w:noWrap w:val="0"/>
            <w:vAlign w:val="top"/>
          </w:tcPr>
          <w:p w14:paraId="5FCAEC74">
            <w:pPr>
              <w:spacing w:line="440" w:lineRule="exact"/>
              <w:jc w:val="center"/>
              <w:rPr>
                <w:szCs w:val="21"/>
                <w:highlight w:val="none"/>
              </w:rPr>
            </w:pPr>
          </w:p>
        </w:tc>
        <w:tc>
          <w:tcPr>
            <w:tcW w:w="634" w:type="pct"/>
            <w:noWrap w:val="0"/>
            <w:vAlign w:val="top"/>
          </w:tcPr>
          <w:p w14:paraId="240431E3">
            <w:pPr>
              <w:spacing w:line="440" w:lineRule="exact"/>
              <w:jc w:val="center"/>
              <w:rPr>
                <w:szCs w:val="21"/>
                <w:highlight w:val="none"/>
              </w:rPr>
            </w:pPr>
          </w:p>
        </w:tc>
        <w:tc>
          <w:tcPr>
            <w:tcW w:w="422" w:type="pct"/>
            <w:noWrap w:val="0"/>
            <w:vAlign w:val="top"/>
          </w:tcPr>
          <w:p w14:paraId="067EC423">
            <w:pPr>
              <w:spacing w:line="440" w:lineRule="exact"/>
              <w:jc w:val="center"/>
              <w:rPr>
                <w:szCs w:val="21"/>
                <w:highlight w:val="none"/>
              </w:rPr>
            </w:pPr>
          </w:p>
        </w:tc>
        <w:tc>
          <w:tcPr>
            <w:tcW w:w="423" w:type="pct"/>
            <w:noWrap w:val="0"/>
            <w:vAlign w:val="top"/>
          </w:tcPr>
          <w:p w14:paraId="0BDBDB8B">
            <w:pPr>
              <w:spacing w:line="440" w:lineRule="exact"/>
              <w:jc w:val="center"/>
              <w:rPr>
                <w:szCs w:val="21"/>
                <w:highlight w:val="none"/>
              </w:rPr>
            </w:pPr>
          </w:p>
        </w:tc>
        <w:tc>
          <w:tcPr>
            <w:tcW w:w="422" w:type="pct"/>
            <w:noWrap w:val="0"/>
            <w:vAlign w:val="top"/>
          </w:tcPr>
          <w:p w14:paraId="49F84020">
            <w:pPr>
              <w:spacing w:line="440" w:lineRule="exact"/>
              <w:jc w:val="center"/>
              <w:rPr>
                <w:szCs w:val="21"/>
                <w:highlight w:val="none"/>
              </w:rPr>
            </w:pPr>
          </w:p>
        </w:tc>
        <w:tc>
          <w:tcPr>
            <w:tcW w:w="1480" w:type="pct"/>
            <w:noWrap w:val="0"/>
            <w:vAlign w:val="top"/>
          </w:tcPr>
          <w:p w14:paraId="2719D545">
            <w:pPr>
              <w:spacing w:line="440" w:lineRule="exact"/>
              <w:jc w:val="center"/>
              <w:rPr>
                <w:szCs w:val="21"/>
                <w:highlight w:val="none"/>
              </w:rPr>
            </w:pPr>
          </w:p>
        </w:tc>
        <w:tc>
          <w:tcPr>
            <w:tcW w:w="394" w:type="pct"/>
            <w:noWrap w:val="0"/>
            <w:vAlign w:val="top"/>
          </w:tcPr>
          <w:p w14:paraId="7AB0E8C9">
            <w:pPr>
              <w:spacing w:line="440" w:lineRule="exact"/>
              <w:jc w:val="center"/>
              <w:rPr>
                <w:szCs w:val="21"/>
                <w:highlight w:val="none"/>
              </w:rPr>
            </w:pPr>
          </w:p>
        </w:tc>
      </w:tr>
      <w:tr w14:paraId="75CB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5C99A15E">
            <w:pPr>
              <w:spacing w:line="440" w:lineRule="exact"/>
              <w:jc w:val="center"/>
              <w:rPr>
                <w:szCs w:val="21"/>
                <w:highlight w:val="none"/>
              </w:rPr>
            </w:pPr>
          </w:p>
        </w:tc>
        <w:tc>
          <w:tcPr>
            <w:tcW w:w="423" w:type="pct"/>
            <w:noWrap w:val="0"/>
            <w:vAlign w:val="top"/>
          </w:tcPr>
          <w:p w14:paraId="4C6DF896">
            <w:pPr>
              <w:spacing w:line="440" w:lineRule="exact"/>
              <w:jc w:val="center"/>
              <w:rPr>
                <w:szCs w:val="21"/>
                <w:highlight w:val="none"/>
              </w:rPr>
            </w:pPr>
          </w:p>
        </w:tc>
        <w:tc>
          <w:tcPr>
            <w:tcW w:w="422" w:type="pct"/>
            <w:noWrap w:val="0"/>
            <w:vAlign w:val="top"/>
          </w:tcPr>
          <w:p w14:paraId="071FE7BD">
            <w:pPr>
              <w:spacing w:line="440" w:lineRule="exact"/>
              <w:jc w:val="center"/>
              <w:rPr>
                <w:szCs w:val="21"/>
                <w:highlight w:val="none"/>
              </w:rPr>
            </w:pPr>
          </w:p>
        </w:tc>
        <w:tc>
          <w:tcPr>
            <w:tcW w:w="634" w:type="pct"/>
            <w:noWrap w:val="0"/>
            <w:vAlign w:val="top"/>
          </w:tcPr>
          <w:p w14:paraId="77F2D7E5">
            <w:pPr>
              <w:spacing w:line="440" w:lineRule="exact"/>
              <w:jc w:val="center"/>
              <w:rPr>
                <w:szCs w:val="21"/>
                <w:highlight w:val="none"/>
              </w:rPr>
            </w:pPr>
          </w:p>
        </w:tc>
        <w:tc>
          <w:tcPr>
            <w:tcW w:w="422" w:type="pct"/>
            <w:noWrap w:val="0"/>
            <w:vAlign w:val="top"/>
          </w:tcPr>
          <w:p w14:paraId="622EA302">
            <w:pPr>
              <w:spacing w:line="440" w:lineRule="exact"/>
              <w:jc w:val="center"/>
              <w:rPr>
                <w:szCs w:val="21"/>
                <w:highlight w:val="none"/>
              </w:rPr>
            </w:pPr>
          </w:p>
        </w:tc>
        <w:tc>
          <w:tcPr>
            <w:tcW w:w="423" w:type="pct"/>
            <w:noWrap w:val="0"/>
            <w:vAlign w:val="top"/>
          </w:tcPr>
          <w:p w14:paraId="219AC3C2">
            <w:pPr>
              <w:spacing w:line="440" w:lineRule="exact"/>
              <w:jc w:val="center"/>
              <w:rPr>
                <w:szCs w:val="21"/>
                <w:highlight w:val="none"/>
              </w:rPr>
            </w:pPr>
          </w:p>
        </w:tc>
        <w:tc>
          <w:tcPr>
            <w:tcW w:w="422" w:type="pct"/>
            <w:noWrap w:val="0"/>
            <w:vAlign w:val="top"/>
          </w:tcPr>
          <w:p w14:paraId="4155E769">
            <w:pPr>
              <w:spacing w:line="440" w:lineRule="exact"/>
              <w:jc w:val="center"/>
              <w:rPr>
                <w:szCs w:val="21"/>
                <w:highlight w:val="none"/>
              </w:rPr>
            </w:pPr>
          </w:p>
        </w:tc>
        <w:tc>
          <w:tcPr>
            <w:tcW w:w="1480" w:type="pct"/>
            <w:noWrap w:val="0"/>
            <w:vAlign w:val="top"/>
          </w:tcPr>
          <w:p w14:paraId="693F07CD">
            <w:pPr>
              <w:spacing w:line="440" w:lineRule="exact"/>
              <w:jc w:val="center"/>
              <w:rPr>
                <w:szCs w:val="21"/>
                <w:highlight w:val="none"/>
              </w:rPr>
            </w:pPr>
          </w:p>
        </w:tc>
        <w:tc>
          <w:tcPr>
            <w:tcW w:w="394" w:type="pct"/>
            <w:noWrap w:val="0"/>
            <w:vAlign w:val="top"/>
          </w:tcPr>
          <w:p w14:paraId="494CA386">
            <w:pPr>
              <w:spacing w:line="440" w:lineRule="exact"/>
              <w:jc w:val="center"/>
              <w:rPr>
                <w:szCs w:val="21"/>
                <w:highlight w:val="none"/>
              </w:rPr>
            </w:pPr>
          </w:p>
        </w:tc>
      </w:tr>
      <w:tr w14:paraId="4D2C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046A0C88">
            <w:pPr>
              <w:spacing w:line="440" w:lineRule="exact"/>
              <w:jc w:val="center"/>
              <w:rPr>
                <w:szCs w:val="21"/>
                <w:highlight w:val="none"/>
              </w:rPr>
            </w:pPr>
          </w:p>
        </w:tc>
        <w:tc>
          <w:tcPr>
            <w:tcW w:w="423" w:type="pct"/>
            <w:noWrap w:val="0"/>
            <w:vAlign w:val="top"/>
          </w:tcPr>
          <w:p w14:paraId="1F59D018">
            <w:pPr>
              <w:spacing w:line="440" w:lineRule="exact"/>
              <w:jc w:val="center"/>
              <w:rPr>
                <w:szCs w:val="21"/>
                <w:highlight w:val="none"/>
              </w:rPr>
            </w:pPr>
          </w:p>
        </w:tc>
        <w:tc>
          <w:tcPr>
            <w:tcW w:w="422" w:type="pct"/>
            <w:noWrap w:val="0"/>
            <w:vAlign w:val="top"/>
          </w:tcPr>
          <w:p w14:paraId="3C622F9A">
            <w:pPr>
              <w:spacing w:line="440" w:lineRule="exact"/>
              <w:jc w:val="center"/>
              <w:rPr>
                <w:szCs w:val="21"/>
                <w:highlight w:val="none"/>
              </w:rPr>
            </w:pPr>
          </w:p>
        </w:tc>
        <w:tc>
          <w:tcPr>
            <w:tcW w:w="634" w:type="pct"/>
            <w:noWrap w:val="0"/>
            <w:vAlign w:val="top"/>
          </w:tcPr>
          <w:p w14:paraId="74A08235">
            <w:pPr>
              <w:spacing w:line="440" w:lineRule="exact"/>
              <w:jc w:val="center"/>
              <w:rPr>
                <w:szCs w:val="21"/>
                <w:highlight w:val="none"/>
              </w:rPr>
            </w:pPr>
          </w:p>
        </w:tc>
        <w:tc>
          <w:tcPr>
            <w:tcW w:w="422" w:type="pct"/>
            <w:noWrap w:val="0"/>
            <w:vAlign w:val="top"/>
          </w:tcPr>
          <w:p w14:paraId="70B1BD96">
            <w:pPr>
              <w:spacing w:line="440" w:lineRule="exact"/>
              <w:jc w:val="center"/>
              <w:rPr>
                <w:szCs w:val="21"/>
                <w:highlight w:val="none"/>
              </w:rPr>
            </w:pPr>
          </w:p>
        </w:tc>
        <w:tc>
          <w:tcPr>
            <w:tcW w:w="423" w:type="pct"/>
            <w:noWrap w:val="0"/>
            <w:vAlign w:val="top"/>
          </w:tcPr>
          <w:p w14:paraId="3BD04F0A">
            <w:pPr>
              <w:spacing w:line="440" w:lineRule="exact"/>
              <w:jc w:val="center"/>
              <w:rPr>
                <w:szCs w:val="21"/>
                <w:highlight w:val="none"/>
              </w:rPr>
            </w:pPr>
          </w:p>
        </w:tc>
        <w:tc>
          <w:tcPr>
            <w:tcW w:w="422" w:type="pct"/>
            <w:noWrap w:val="0"/>
            <w:vAlign w:val="top"/>
          </w:tcPr>
          <w:p w14:paraId="370CD3DE">
            <w:pPr>
              <w:spacing w:line="440" w:lineRule="exact"/>
              <w:jc w:val="center"/>
              <w:rPr>
                <w:szCs w:val="21"/>
                <w:highlight w:val="none"/>
              </w:rPr>
            </w:pPr>
          </w:p>
        </w:tc>
        <w:tc>
          <w:tcPr>
            <w:tcW w:w="1480" w:type="pct"/>
            <w:noWrap w:val="0"/>
            <w:vAlign w:val="top"/>
          </w:tcPr>
          <w:p w14:paraId="2531BF9A">
            <w:pPr>
              <w:spacing w:line="440" w:lineRule="exact"/>
              <w:jc w:val="center"/>
              <w:rPr>
                <w:szCs w:val="21"/>
                <w:highlight w:val="none"/>
              </w:rPr>
            </w:pPr>
          </w:p>
        </w:tc>
        <w:tc>
          <w:tcPr>
            <w:tcW w:w="394" w:type="pct"/>
            <w:noWrap w:val="0"/>
            <w:vAlign w:val="top"/>
          </w:tcPr>
          <w:p w14:paraId="1E5DF0C4">
            <w:pPr>
              <w:spacing w:line="440" w:lineRule="exact"/>
              <w:jc w:val="center"/>
              <w:rPr>
                <w:szCs w:val="21"/>
                <w:highlight w:val="none"/>
              </w:rPr>
            </w:pPr>
          </w:p>
        </w:tc>
      </w:tr>
      <w:tr w14:paraId="4FD2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07000A78">
            <w:pPr>
              <w:spacing w:line="440" w:lineRule="exact"/>
              <w:jc w:val="center"/>
              <w:rPr>
                <w:szCs w:val="21"/>
                <w:highlight w:val="none"/>
              </w:rPr>
            </w:pPr>
          </w:p>
        </w:tc>
        <w:tc>
          <w:tcPr>
            <w:tcW w:w="423" w:type="pct"/>
            <w:noWrap w:val="0"/>
            <w:vAlign w:val="top"/>
          </w:tcPr>
          <w:p w14:paraId="09FEA13B">
            <w:pPr>
              <w:spacing w:line="440" w:lineRule="exact"/>
              <w:jc w:val="center"/>
              <w:rPr>
                <w:szCs w:val="21"/>
                <w:highlight w:val="none"/>
              </w:rPr>
            </w:pPr>
          </w:p>
        </w:tc>
        <w:tc>
          <w:tcPr>
            <w:tcW w:w="422" w:type="pct"/>
            <w:noWrap w:val="0"/>
            <w:vAlign w:val="top"/>
          </w:tcPr>
          <w:p w14:paraId="569FDE9E">
            <w:pPr>
              <w:spacing w:line="440" w:lineRule="exact"/>
              <w:jc w:val="center"/>
              <w:rPr>
                <w:szCs w:val="21"/>
                <w:highlight w:val="none"/>
              </w:rPr>
            </w:pPr>
          </w:p>
        </w:tc>
        <w:tc>
          <w:tcPr>
            <w:tcW w:w="634" w:type="pct"/>
            <w:noWrap w:val="0"/>
            <w:vAlign w:val="top"/>
          </w:tcPr>
          <w:p w14:paraId="70CD3629">
            <w:pPr>
              <w:spacing w:line="440" w:lineRule="exact"/>
              <w:jc w:val="center"/>
              <w:rPr>
                <w:szCs w:val="21"/>
                <w:highlight w:val="none"/>
              </w:rPr>
            </w:pPr>
          </w:p>
        </w:tc>
        <w:tc>
          <w:tcPr>
            <w:tcW w:w="422" w:type="pct"/>
            <w:noWrap w:val="0"/>
            <w:vAlign w:val="top"/>
          </w:tcPr>
          <w:p w14:paraId="303C6517">
            <w:pPr>
              <w:spacing w:line="440" w:lineRule="exact"/>
              <w:jc w:val="center"/>
              <w:rPr>
                <w:szCs w:val="21"/>
                <w:highlight w:val="none"/>
              </w:rPr>
            </w:pPr>
          </w:p>
        </w:tc>
        <w:tc>
          <w:tcPr>
            <w:tcW w:w="423" w:type="pct"/>
            <w:noWrap w:val="0"/>
            <w:vAlign w:val="top"/>
          </w:tcPr>
          <w:p w14:paraId="7860715C">
            <w:pPr>
              <w:spacing w:line="440" w:lineRule="exact"/>
              <w:jc w:val="center"/>
              <w:rPr>
                <w:szCs w:val="21"/>
                <w:highlight w:val="none"/>
              </w:rPr>
            </w:pPr>
          </w:p>
        </w:tc>
        <w:tc>
          <w:tcPr>
            <w:tcW w:w="422" w:type="pct"/>
            <w:noWrap w:val="0"/>
            <w:vAlign w:val="top"/>
          </w:tcPr>
          <w:p w14:paraId="7F270815">
            <w:pPr>
              <w:spacing w:line="440" w:lineRule="exact"/>
              <w:jc w:val="center"/>
              <w:rPr>
                <w:szCs w:val="21"/>
                <w:highlight w:val="none"/>
              </w:rPr>
            </w:pPr>
          </w:p>
        </w:tc>
        <w:tc>
          <w:tcPr>
            <w:tcW w:w="1480" w:type="pct"/>
            <w:noWrap w:val="0"/>
            <w:vAlign w:val="top"/>
          </w:tcPr>
          <w:p w14:paraId="1365BF0B">
            <w:pPr>
              <w:spacing w:line="440" w:lineRule="exact"/>
              <w:jc w:val="center"/>
              <w:rPr>
                <w:szCs w:val="21"/>
                <w:highlight w:val="none"/>
              </w:rPr>
            </w:pPr>
          </w:p>
        </w:tc>
        <w:tc>
          <w:tcPr>
            <w:tcW w:w="394" w:type="pct"/>
            <w:noWrap w:val="0"/>
            <w:vAlign w:val="top"/>
          </w:tcPr>
          <w:p w14:paraId="050AADBC">
            <w:pPr>
              <w:spacing w:line="440" w:lineRule="exact"/>
              <w:jc w:val="center"/>
              <w:rPr>
                <w:szCs w:val="21"/>
                <w:highlight w:val="none"/>
              </w:rPr>
            </w:pPr>
          </w:p>
        </w:tc>
      </w:tr>
      <w:tr w14:paraId="26CF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07465755">
            <w:pPr>
              <w:spacing w:line="440" w:lineRule="exact"/>
              <w:jc w:val="center"/>
              <w:rPr>
                <w:szCs w:val="21"/>
                <w:highlight w:val="none"/>
              </w:rPr>
            </w:pPr>
          </w:p>
        </w:tc>
        <w:tc>
          <w:tcPr>
            <w:tcW w:w="423" w:type="pct"/>
            <w:noWrap w:val="0"/>
            <w:vAlign w:val="top"/>
          </w:tcPr>
          <w:p w14:paraId="602188DA">
            <w:pPr>
              <w:spacing w:line="440" w:lineRule="exact"/>
              <w:jc w:val="center"/>
              <w:rPr>
                <w:szCs w:val="21"/>
                <w:highlight w:val="none"/>
              </w:rPr>
            </w:pPr>
          </w:p>
        </w:tc>
        <w:tc>
          <w:tcPr>
            <w:tcW w:w="422" w:type="pct"/>
            <w:noWrap w:val="0"/>
            <w:vAlign w:val="top"/>
          </w:tcPr>
          <w:p w14:paraId="0440F939">
            <w:pPr>
              <w:spacing w:line="440" w:lineRule="exact"/>
              <w:jc w:val="center"/>
              <w:rPr>
                <w:szCs w:val="21"/>
                <w:highlight w:val="none"/>
              </w:rPr>
            </w:pPr>
          </w:p>
        </w:tc>
        <w:tc>
          <w:tcPr>
            <w:tcW w:w="634" w:type="pct"/>
            <w:noWrap w:val="0"/>
            <w:vAlign w:val="top"/>
          </w:tcPr>
          <w:p w14:paraId="7D5F5942">
            <w:pPr>
              <w:spacing w:line="440" w:lineRule="exact"/>
              <w:jc w:val="center"/>
              <w:rPr>
                <w:szCs w:val="21"/>
                <w:highlight w:val="none"/>
              </w:rPr>
            </w:pPr>
          </w:p>
        </w:tc>
        <w:tc>
          <w:tcPr>
            <w:tcW w:w="422" w:type="pct"/>
            <w:noWrap w:val="0"/>
            <w:vAlign w:val="top"/>
          </w:tcPr>
          <w:p w14:paraId="77CEC695">
            <w:pPr>
              <w:spacing w:line="440" w:lineRule="exact"/>
              <w:jc w:val="center"/>
              <w:rPr>
                <w:szCs w:val="21"/>
                <w:highlight w:val="none"/>
              </w:rPr>
            </w:pPr>
          </w:p>
        </w:tc>
        <w:tc>
          <w:tcPr>
            <w:tcW w:w="423" w:type="pct"/>
            <w:noWrap w:val="0"/>
            <w:vAlign w:val="top"/>
          </w:tcPr>
          <w:p w14:paraId="1AE48983">
            <w:pPr>
              <w:spacing w:line="440" w:lineRule="exact"/>
              <w:jc w:val="center"/>
              <w:rPr>
                <w:szCs w:val="21"/>
                <w:highlight w:val="none"/>
              </w:rPr>
            </w:pPr>
          </w:p>
        </w:tc>
        <w:tc>
          <w:tcPr>
            <w:tcW w:w="422" w:type="pct"/>
            <w:noWrap w:val="0"/>
            <w:vAlign w:val="top"/>
          </w:tcPr>
          <w:p w14:paraId="7F1C1BF9">
            <w:pPr>
              <w:spacing w:line="440" w:lineRule="exact"/>
              <w:jc w:val="center"/>
              <w:rPr>
                <w:szCs w:val="21"/>
                <w:highlight w:val="none"/>
              </w:rPr>
            </w:pPr>
          </w:p>
        </w:tc>
        <w:tc>
          <w:tcPr>
            <w:tcW w:w="1480" w:type="pct"/>
            <w:noWrap w:val="0"/>
            <w:vAlign w:val="top"/>
          </w:tcPr>
          <w:p w14:paraId="32AE7664">
            <w:pPr>
              <w:spacing w:line="440" w:lineRule="exact"/>
              <w:jc w:val="center"/>
              <w:rPr>
                <w:szCs w:val="21"/>
                <w:highlight w:val="none"/>
              </w:rPr>
            </w:pPr>
          </w:p>
        </w:tc>
        <w:tc>
          <w:tcPr>
            <w:tcW w:w="394" w:type="pct"/>
            <w:noWrap w:val="0"/>
            <w:vAlign w:val="top"/>
          </w:tcPr>
          <w:p w14:paraId="460CD042">
            <w:pPr>
              <w:spacing w:line="440" w:lineRule="exact"/>
              <w:jc w:val="center"/>
              <w:rPr>
                <w:szCs w:val="21"/>
                <w:highlight w:val="none"/>
              </w:rPr>
            </w:pPr>
          </w:p>
        </w:tc>
      </w:tr>
      <w:tr w14:paraId="058E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5C71C8DF">
            <w:pPr>
              <w:spacing w:line="440" w:lineRule="exact"/>
              <w:jc w:val="center"/>
              <w:rPr>
                <w:szCs w:val="21"/>
                <w:highlight w:val="none"/>
              </w:rPr>
            </w:pPr>
          </w:p>
        </w:tc>
        <w:tc>
          <w:tcPr>
            <w:tcW w:w="423" w:type="pct"/>
            <w:noWrap w:val="0"/>
            <w:vAlign w:val="top"/>
          </w:tcPr>
          <w:p w14:paraId="624D8120">
            <w:pPr>
              <w:spacing w:line="440" w:lineRule="exact"/>
              <w:jc w:val="center"/>
              <w:rPr>
                <w:szCs w:val="21"/>
                <w:highlight w:val="none"/>
              </w:rPr>
            </w:pPr>
          </w:p>
        </w:tc>
        <w:tc>
          <w:tcPr>
            <w:tcW w:w="422" w:type="pct"/>
            <w:noWrap w:val="0"/>
            <w:vAlign w:val="top"/>
          </w:tcPr>
          <w:p w14:paraId="3FD5108E">
            <w:pPr>
              <w:spacing w:line="440" w:lineRule="exact"/>
              <w:jc w:val="center"/>
              <w:rPr>
                <w:szCs w:val="21"/>
                <w:highlight w:val="none"/>
              </w:rPr>
            </w:pPr>
          </w:p>
        </w:tc>
        <w:tc>
          <w:tcPr>
            <w:tcW w:w="634" w:type="pct"/>
            <w:noWrap w:val="0"/>
            <w:vAlign w:val="top"/>
          </w:tcPr>
          <w:p w14:paraId="0F31EF71">
            <w:pPr>
              <w:spacing w:line="440" w:lineRule="exact"/>
              <w:jc w:val="center"/>
              <w:rPr>
                <w:szCs w:val="21"/>
                <w:highlight w:val="none"/>
              </w:rPr>
            </w:pPr>
          </w:p>
        </w:tc>
        <w:tc>
          <w:tcPr>
            <w:tcW w:w="422" w:type="pct"/>
            <w:noWrap w:val="0"/>
            <w:vAlign w:val="top"/>
          </w:tcPr>
          <w:p w14:paraId="05D0FA97">
            <w:pPr>
              <w:spacing w:line="440" w:lineRule="exact"/>
              <w:jc w:val="center"/>
              <w:rPr>
                <w:szCs w:val="21"/>
                <w:highlight w:val="none"/>
              </w:rPr>
            </w:pPr>
          </w:p>
        </w:tc>
        <w:tc>
          <w:tcPr>
            <w:tcW w:w="423" w:type="pct"/>
            <w:noWrap w:val="0"/>
            <w:vAlign w:val="top"/>
          </w:tcPr>
          <w:p w14:paraId="5A43685F">
            <w:pPr>
              <w:spacing w:line="440" w:lineRule="exact"/>
              <w:jc w:val="center"/>
              <w:rPr>
                <w:szCs w:val="21"/>
                <w:highlight w:val="none"/>
              </w:rPr>
            </w:pPr>
          </w:p>
        </w:tc>
        <w:tc>
          <w:tcPr>
            <w:tcW w:w="422" w:type="pct"/>
            <w:noWrap w:val="0"/>
            <w:vAlign w:val="top"/>
          </w:tcPr>
          <w:p w14:paraId="2FF37F70">
            <w:pPr>
              <w:spacing w:line="440" w:lineRule="exact"/>
              <w:jc w:val="center"/>
              <w:rPr>
                <w:szCs w:val="21"/>
                <w:highlight w:val="none"/>
              </w:rPr>
            </w:pPr>
          </w:p>
        </w:tc>
        <w:tc>
          <w:tcPr>
            <w:tcW w:w="1480" w:type="pct"/>
            <w:noWrap w:val="0"/>
            <w:vAlign w:val="top"/>
          </w:tcPr>
          <w:p w14:paraId="5BB44819">
            <w:pPr>
              <w:spacing w:line="440" w:lineRule="exact"/>
              <w:jc w:val="center"/>
              <w:rPr>
                <w:szCs w:val="21"/>
                <w:highlight w:val="none"/>
              </w:rPr>
            </w:pPr>
          </w:p>
        </w:tc>
        <w:tc>
          <w:tcPr>
            <w:tcW w:w="394" w:type="pct"/>
            <w:noWrap w:val="0"/>
            <w:vAlign w:val="top"/>
          </w:tcPr>
          <w:p w14:paraId="63FDD17A">
            <w:pPr>
              <w:spacing w:line="440" w:lineRule="exact"/>
              <w:jc w:val="center"/>
              <w:rPr>
                <w:szCs w:val="21"/>
                <w:highlight w:val="none"/>
              </w:rPr>
            </w:pPr>
          </w:p>
        </w:tc>
      </w:tr>
      <w:tr w14:paraId="56A1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132A695C">
            <w:pPr>
              <w:spacing w:line="440" w:lineRule="exact"/>
              <w:jc w:val="center"/>
              <w:rPr>
                <w:szCs w:val="21"/>
                <w:highlight w:val="none"/>
              </w:rPr>
            </w:pPr>
          </w:p>
        </w:tc>
        <w:tc>
          <w:tcPr>
            <w:tcW w:w="423" w:type="pct"/>
            <w:noWrap w:val="0"/>
            <w:vAlign w:val="top"/>
          </w:tcPr>
          <w:p w14:paraId="1BC1ABFC">
            <w:pPr>
              <w:spacing w:line="440" w:lineRule="exact"/>
              <w:jc w:val="center"/>
              <w:rPr>
                <w:szCs w:val="21"/>
                <w:highlight w:val="none"/>
              </w:rPr>
            </w:pPr>
          </w:p>
        </w:tc>
        <w:tc>
          <w:tcPr>
            <w:tcW w:w="422" w:type="pct"/>
            <w:noWrap w:val="0"/>
            <w:vAlign w:val="top"/>
          </w:tcPr>
          <w:p w14:paraId="2FE73836">
            <w:pPr>
              <w:spacing w:line="440" w:lineRule="exact"/>
              <w:jc w:val="center"/>
              <w:rPr>
                <w:szCs w:val="21"/>
                <w:highlight w:val="none"/>
              </w:rPr>
            </w:pPr>
          </w:p>
        </w:tc>
        <w:tc>
          <w:tcPr>
            <w:tcW w:w="634" w:type="pct"/>
            <w:noWrap w:val="0"/>
            <w:vAlign w:val="top"/>
          </w:tcPr>
          <w:p w14:paraId="03E682BD">
            <w:pPr>
              <w:spacing w:line="440" w:lineRule="exact"/>
              <w:jc w:val="center"/>
              <w:rPr>
                <w:szCs w:val="21"/>
                <w:highlight w:val="none"/>
              </w:rPr>
            </w:pPr>
          </w:p>
        </w:tc>
        <w:tc>
          <w:tcPr>
            <w:tcW w:w="422" w:type="pct"/>
            <w:noWrap w:val="0"/>
            <w:vAlign w:val="top"/>
          </w:tcPr>
          <w:p w14:paraId="06C8CC41">
            <w:pPr>
              <w:spacing w:line="440" w:lineRule="exact"/>
              <w:jc w:val="center"/>
              <w:rPr>
                <w:szCs w:val="21"/>
                <w:highlight w:val="none"/>
              </w:rPr>
            </w:pPr>
          </w:p>
        </w:tc>
        <w:tc>
          <w:tcPr>
            <w:tcW w:w="423" w:type="pct"/>
            <w:noWrap w:val="0"/>
            <w:vAlign w:val="top"/>
          </w:tcPr>
          <w:p w14:paraId="19303530">
            <w:pPr>
              <w:spacing w:line="440" w:lineRule="exact"/>
              <w:jc w:val="center"/>
              <w:rPr>
                <w:szCs w:val="21"/>
                <w:highlight w:val="none"/>
              </w:rPr>
            </w:pPr>
          </w:p>
        </w:tc>
        <w:tc>
          <w:tcPr>
            <w:tcW w:w="422" w:type="pct"/>
            <w:noWrap w:val="0"/>
            <w:vAlign w:val="top"/>
          </w:tcPr>
          <w:p w14:paraId="53AB499A">
            <w:pPr>
              <w:spacing w:line="440" w:lineRule="exact"/>
              <w:jc w:val="center"/>
              <w:rPr>
                <w:szCs w:val="21"/>
                <w:highlight w:val="none"/>
              </w:rPr>
            </w:pPr>
          </w:p>
        </w:tc>
        <w:tc>
          <w:tcPr>
            <w:tcW w:w="1480" w:type="pct"/>
            <w:noWrap w:val="0"/>
            <w:vAlign w:val="top"/>
          </w:tcPr>
          <w:p w14:paraId="18118D68">
            <w:pPr>
              <w:spacing w:line="440" w:lineRule="exact"/>
              <w:jc w:val="center"/>
              <w:rPr>
                <w:szCs w:val="21"/>
                <w:highlight w:val="none"/>
              </w:rPr>
            </w:pPr>
          </w:p>
        </w:tc>
        <w:tc>
          <w:tcPr>
            <w:tcW w:w="394" w:type="pct"/>
            <w:noWrap w:val="0"/>
            <w:vAlign w:val="top"/>
          </w:tcPr>
          <w:p w14:paraId="426A85CA">
            <w:pPr>
              <w:spacing w:line="440" w:lineRule="exact"/>
              <w:jc w:val="center"/>
              <w:rPr>
                <w:szCs w:val="21"/>
                <w:highlight w:val="none"/>
              </w:rPr>
            </w:pPr>
          </w:p>
        </w:tc>
      </w:tr>
      <w:tr w14:paraId="3C13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02A9FC8E">
            <w:pPr>
              <w:spacing w:line="440" w:lineRule="exact"/>
              <w:jc w:val="center"/>
              <w:rPr>
                <w:szCs w:val="21"/>
                <w:highlight w:val="none"/>
              </w:rPr>
            </w:pPr>
          </w:p>
        </w:tc>
        <w:tc>
          <w:tcPr>
            <w:tcW w:w="423" w:type="pct"/>
            <w:noWrap w:val="0"/>
            <w:vAlign w:val="top"/>
          </w:tcPr>
          <w:p w14:paraId="457C73CF">
            <w:pPr>
              <w:spacing w:line="440" w:lineRule="exact"/>
              <w:jc w:val="center"/>
              <w:rPr>
                <w:szCs w:val="21"/>
                <w:highlight w:val="none"/>
              </w:rPr>
            </w:pPr>
          </w:p>
        </w:tc>
        <w:tc>
          <w:tcPr>
            <w:tcW w:w="422" w:type="pct"/>
            <w:noWrap w:val="0"/>
            <w:vAlign w:val="top"/>
          </w:tcPr>
          <w:p w14:paraId="158E4CCF">
            <w:pPr>
              <w:spacing w:line="440" w:lineRule="exact"/>
              <w:jc w:val="center"/>
              <w:rPr>
                <w:szCs w:val="21"/>
                <w:highlight w:val="none"/>
              </w:rPr>
            </w:pPr>
          </w:p>
        </w:tc>
        <w:tc>
          <w:tcPr>
            <w:tcW w:w="634" w:type="pct"/>
            <w:noWrap w:val="0"/>
            <w:vAlign w:val="top"/>
          </w:tcPr>
          <w:p w14:paraId="460652F1">
            <w:pPr>
              <w:spacing w:line="440" w:lineRule="exact"/>
              <w:jc w:val="center"/>
              <w:rPr>
                <w:szCs w:val="21"/>
                <w:highlight w:val="none"/>
              </w:rPr>
            </w:pPr>
          </w:p>
        </w:tc>
        <w:tc>
          <w:tcPr>
            <w:tcW w:w="422" w:type="pct"/>
            <w:noWrap w:val="0"/>
            <w:vAlign w:val="top"/>
          </w:tcPr>
          <w:p w14:paraId="5918D6F7">
            <w:pPr>
              <w:spacing w:line="440" w:lineRule="exact"/>
              <w:jc w:val="center"/>
              <w:rPr>
                <w:szCs w:val="21"/>
                <w:highlight w:val="none"/>
              </w:rPr>
            </w:pPr>
          </w:p>
        </w:tc>
        <w:tc>
          <w:tcPr>
            <w:tcW w:w="423" w:type="pct"/>
            <w:noWrap w:val="0"/>
            <w:vAlign w:val="top"/>
          </w:tcPr>
          <w:p w14:paraId="50B0B621">
            <w:pPr>
              <w:spacing w:line="440" w:lineRule="exact"/>
              <w:jc w:val="center"/>
              <w:rPr>
                <w:szCs w:val="21"/>
                <w:highlight w:val="none"/>
              </w:rPr>
            </w:pPr>
          </w:p>
        </w:tc>
        <w:tc>
          <w:tcPr>
            <w:tcW w:w="422" w:type="pct"/>
            <w:noWrap w:val="0"/>
            <w:vAlign w:val="top"/>
          </w:tcPr>
          <w:p w14:paraId="5FC944DE">
            <w:pPr>
              <w:spacing w:line="440" w:lineRule="exact"/>
              <w:jc w:val="center"/>
              <w:rPr>
                <w:szCs w:val="21"/>
                <w:highlight w:val="none"/>
              </w:rPr>
            </w:pPr>
          </w:p>
        </w:tc>
        <w:tc>
          <w:tcPr>
            <w:tcW w:w="1480" w:type="pct"/>
            <w:noWrap w:val="0"/>
            <w:vAlign w:val="top"/>
          </w:tcPr>
          <w:p w14:paraId="3F0E9CD9">
            <w:pPr>
              <w:spacing w:line="440" w:lineRule="exact"/>
              <w:jc w:val="center"/>
              <w:rPr>
                <w:szCs w:val="21"/>
                <w:highlight w:val="none"/>
              </w:rPr>
            </w:pPr>
          </w:p>
        </w:tc>
        <w:tc>
          <w:tcPr>
            <w:tcW w:w="394" w:type="pct"/>
            <w:noWrap w:val="0"/>
            <w:vAlign w:val="top"/>
          </w:tcPr>
          <w:p w14:paraId="696858D0">
            <w:pPr>
              <w:spacing w:line="440" w:lineRule="exact"/>
              <w:jc w:val="center"/>
              <w:rPr>
                <w:szCs w:val="21"/>
                <w:highlight w:val="none"/>
              </w:rPr>
            </w:pPr>
          </w:p>
        </w:tc>
      </w:tr>
      <w:tr w14:paraId="50B8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3D87553A">
            <w:pPr>
              <w:spacing w:line="440" w:lineRule="exact"/>
              <w:jc w:val="center"/>
              <w:rPr>
                <w:szCs w:val="21"/>
                <w:highlight w:val="none"/>
              </w:rPr>
            </w:pPr>
          </w:p>
        </w:tc>
        <w:tc>
          <w:tcPr>
            <w:tcW w:w="423" w:type="pct"/>
            <w:noWrap w:val="0"/>
            <w:vAlign w:val="top"/>
          </w:tcPr>
          <w:p w14:paraId="13EA9BAF">
            <w:pPr>
              <w:spacing w:line="440" w:lineRule="exact"/>
              <w:jc w:val="center"/>
              <w:rPr>
                <w:szCs w:val="21"/>
                <w:highlight w:val="none"/>
              </w:rPr>
            </w:pPr>
          </w:p>
        </w:tc>
        <w:tc>
          <w:tcPr>
            <w:tcW w:w="422" w:type="pct"/>
            <w:noWrap w:val="0"/>
            <w:vAlign w:val="top"/>
          </w:tcPr>
          <w:p w14:paraId="643079C7">
            <w:pPr>
              <w:spacing w:line="440" w:lineRule="exact"/>
              <w:jc w:val="center"/>
              <w:rPr>
                <w:szCs w:val="21"/>
                <w:highlight w:val="none"/>
              </w:rPr>
            </w:pPr>
          </w:p>
        </w:tc>
        <w:tc>
          <w:tcPr>
            <w:tcW w:w="634" w:type="pct"/>
            <w:noWrap w:val="0"/>
            <w:vAlign w:val="top"/>
          </w:tcPr>
          <w:p w14:paraId="3AC00D87">
            <w:pPr>
              <w:spacing w:line="440" w:lineRule="exact"/>
              <w:jc w:val="center"/>
              <w:rPr>
                <w:szCs w:val="21"/>
                <w:highlight w:val="none"/>
              </w:rPr>
            </w:pPr>
          </w:p>
        </w:tc>
        <w:tc>
          <w:tcPr>
            <w:tcW w:w="422" w:type="pct"/>
            <w:noWrap w:val="0"/>
            <w:vAlign w:val="top"/>
          </w:tcPr>
          <w:p w14:paraId="6154E6E2">
            <w:pPr>
              <w:spacing w:line="440" w:lineRule="exact"/>
              <w:jc w:val="center"/>
              <w:rPr>
                <w:szCs w:val="21"/>
                <w:highlight w:val="none"/>
              </w:rPr>
            </w:pPr>
          </w:p>
        </w:tc>
        <w:tc>
          <w:tcPr>
            <w:tcW w:w="423" w:type="pct"/>
            <w:noWrap w:val="0"/>
            <w:vAlign w:val="top"/>
          </w:tcPr>
          <w:p w14:paraId="104B053B">
            <w:pPr>
              <w:spacing w:line="440" w:lineRule="exact"/>
              <w:jc w:val="center"/>
              <w:rPr>
                <w:szCs w:val="21"/>
                <w:highlight w:val="none"/>
              </w:rPr>
            </w:pPr>
          </w:p>
        </w:tc>
        <w:tc>
          <w:tcPr>
            <w:tcW w:w="422" w:type="pct"/>
            <w:noWrap w:val="0"/>
            <w:vAlign w:val="top"/>
          </w:tcPr>
          <w:p w14:paraId="5A3D717A">
            <w:pPr>
              <w:spacing w:line="440" w:lineRule="exact"/>
              <w:jc w:val="center"/>
              <w:rPr>
                <w:szCs w:val="21"/>
                <w:highlight w:val="none"/>
              </w:rPr>
            </w:pPr>
          </w:p>
        </w:tc>
        <w:tc>
          <w:tcPr>
            <w:tcW w:w="1480" w:type="pct"/>
            <w:noWrap w:val="0"/>
            <w:vAlign w:val="top"/>
          </w:tcPr>
          <w:p w14:paraId="405519AE">
            <w:pPr>
              <w:spacing w:line="440" w:lineRule="exact"/>
              <w:jc w:val="center"/>
              <w:rPr>
                <w:szCs w:val="21"/>
                <w:highlight w:val="none"/>
              </w:rPr>
            </w:pPr>
          </w:p>
        </w:tc>
        <w:tc>
          <w:tcPr>
            <w:tcW w:w="394" w:type="pct"/>
            <w:noWrap w:val="0"/>
            <w:vAlign w:val="top"/>
          </w:tcPr>
          <w:p w14:paraId="0B09142C">
            <w:pPr>
              <w:spacing w:line="440" w:lineRule="exact"/>
              <w:jc w:val="center"/>
              <w:rPr>
                <w:szCs w:val="21"/>
                <w:highlight w:val="none"/>
              </w:rPr>
            </w:pPr>
          </w:p>
        </w:tc>
      </w:tr>
      <w:tr w14:paraId="28D6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4452746A">
            <w:pPr>
              <w:spacing w:line="440" w:lineRule="exact"/>
              <w:jc w:val="center"/>
              <w:rPr>
                <w:szCs w:val="21"/>
                <w:highlight w:val="none"/>
              </w:rPr>
            </w:pPr>
          </w:p>
        </w:tc>
        <w:tc>
          <w:tcPr>
            <w:tcW w:w="423" w:type="pct"/>
            <w:noWrap w:val="0"/>
            <w:vAlign w:val="top"/>
          </w:tcPr>
          <w:p w14:paraId="6C2DA18D">
            <w:pPr>
              <w:spacing w:line="440" w:lineRule="exact"/>
              <w:jc w:val="center"/>
              <w:rPr>
                <w:szCs w:val="21"/>
                <w:highlight w:val="none"/>
              </w:rPr>
            </w:pPr>
          </w:p>
        </w:tc>
        <w:tc>
          <w:tcPr>
            <w:tcW w:w="422" w:type="pct"/>
            <w:noWrap w:val="0"/>
            <w:vAlign w:val="top"/>
          </w:tcPr>
          <w:p w14:paraId="3C73ED97">
            <w:pPr>
              <w:spacing w:line="440" w:lineRule="exact"/>
              <w:jc w:val="center"/>
              <w:rPr>
                <w:szCs w:val="21"/>
                <w:highlight w:val="none"/>
              </w:rPr>
            </w:pPr>
          </w:p>
        </w:tc>
        <w:tc>
          <w:tcPr>
            <w:tcW w:w="634" w:type="pct"/>
            <w:noWrap w:val="0"/>
            <w:vAlign w:val="top"/>
          </w:tcPr>
          <w:p w14:paraId="5C32EF7E">
            <w:pPr>
              <w:spacing w:line="440" w:lineRule="exact"/>
              <w:jc w:val="center"/>
              <w:rPr>
                <w:szCs w:val="21"/>
                <w:highlight w:val="none"/>
              </w:rPr>
            </w:pPr>
          </w:p>
        </w:tc>
        <w:tc>
          <w:tcPr>
            <w:tcW w:w="422" w:type="pct"/>
            <w:noWrap w:val="0"/>
            <w:vAlign w:val="top"/>
          </w:tcPr>
          <w:p w14:paraId="61E62C55">
            <w:pPr>
              <w:spacing w:line="440" w:lineRule="exact"/>
              <w:jc w:val="center"/>
              <w:rPr>
                <w:szCs w:val="21"/>
                <w:highlight w:val="none"/>
              </w:rPr>
            </w:pPr>
          </w:p>
        </w:tc>
        <w:tc>
          <w:tcPr>
            <w:tcW w:w="423" w:type="pct"/>
            <w:noWrap w:val="0"/>
            <w:vAlign w:val="top"/>
          </w:tcPr>
          <w:p w14:paraId="6EC03D99">
            <w:pPr>
              <w:spacing w:line="440" w:lineRule="exact"/>
              <w:jc w:val="center"/>
              <w:rPr>
                <w:szCs w:val="21"/>
                <w:highlight w:val="none"/>
              </w:rPr>
            </w:pPr>
          </w:p>
        </w:tc>
        <w:tc>
          <w:tcPr>
            <w:tcW w:w="422" w:type="pct"/>
            <w:noWrap w:val="0"/>
            <w:vAlign w:val="top"/>
          </w:tcPr>
          <w:p w14:paraId="30BE4482">
            <w:pPr>
              <w:spacing w:line="440" w:lineRule="exact"/>
              <w:jc w:val="center"/>
              <w:rPr>
                <w:szCs w:val="21"/>
                <w:highlight w:val="none"/>
              </w:rPr>
            </w:pPr>
          </w:p>
        </w:tc>
        <w:tc>
          <w:tcPr>
            <w:tcW w:w="1480" w:type="pct"/>
            <w:noWrap w:val="0"/>
            <w:vAlign w:val="top"/>
          </w:tcPr>
          <w:p w14:paraId="7CAE9E92">
            <w:pPr>
              <w:spacing w:line="440" w:lineRule="exact"/>
              <w:jc w:val="center"/>
              <w:rPr>
                <w:szCs w:val="21"/>
                <w:highlight w:val="none"/>
              </w:rPr>
            </w:pPr>
          </w:p>
        </w:tc>
        <w:tc>
          <w:tcPr>
            <w:tcW w:w="394" w:type="pct"/>
            <w:noWrap w:val="0"/>
            <w:vAlign w:val="top"/>
          </w:tcPr>
          <w:p w14:paraId="4771914E">
            <w:pPr>
              <w:spacing w:line="440" w:lineRule="exact"/>
              <w:jc w:val="center"/>
              <w:rPr>
                <w:szCs w:val="21"/>
                <w:highlight w:val="none"/>
              </w:rPr>
            </w:pPr>
          </w:p>
        </w:tc>
      </w:tr>
      <w:tr w14:paraId="351E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562608CF">
            <w:pPr>
              <w:spacing w:line="440" w:lineRule="exact"/>
              <w:jc w:val="center"/>
              <w:rPr>
                <w:szCs w:val="21"/>
                <w:highlight w:val="none"/>
              </w:rPr>
            </w:pPr>
          </w:p>
        </w:tc>
        <w:tc>
          <w:tcPr>
            <w:tcW w:w="423" w:type="pct"/>
            <w:noWrap w:val="0"/>
            <w:vAlign w:val="top"/>
          </w:tcPr>
          <w:p w14:paraId="1173CF78">
            <w:pPr>
              <w:spacing w:line="440" w:lineRule="exact"/>
              <w:jc w:val="center"/>
              <w:rPr>
                <w:szCs w:val="21"/>
                <w:highlight w:val="none"/>
              </w:rPr>
            </w:pPr>
          </w:p>
        </w:tc>
        <w:tc>
          <w:tcPr>
            <w:tcW w:w="422" w:type="pct"/>
            <w:noWrap w:val="0"/>
            <w:vAlign w:val="top"/>
          </w:tcPr>
          <w:p w14:paraId="431C8A85">
            <w:pPr>
              <w:spacing w:line="440" w:lineRule="exact"/>
              <w:jc w:val="center"/>
              <w:rPr>
                <w:szCs w:val="21"/>
                <w:highlight w:val="none"/>
              </w:rPr>
            </w:pPr>
          </w:p>
        </w:tc>
        <w:tc>
          <w:tcPr>
            <w:tcW w:w="634" w:type="pct"/>
            <w:noWrap w:val="0"/>
            <w:vAlign w:val="top"/>
          </w:tcPr>
          <w:p w14:paraId="3C878C8C">
            <w:pPr>
              <w:spacing w:line="440" w:lineRule="exact"/>
              <w:jc w:val="center"/>
              <w:rPr>
                <w:szCs w:val="21"/>
                <w:highlight w:val="none"/>
              </w:rPr>
            </w:pPr>
          </w:p>
        </w:tc>
        <w:tc>
          <w:tcPr>
            <w:tcW w:w="422" w:type="pct"/>
            <w:noWrap w:val="0"/>
            <w:vAlign w:val="top"/>
          </w:tcPr>
          <w:p w14:paraId="07AFF824">
            <w:pPr>
              <w:spacing w:line="440" w:lineRule="exact"/>
              <w:jc w:val="center"/>
              <w:rPr>
                <w:szCs w:val="21"/>
                <w:highlight w:val="none"/>
              </w:rPr>
            </w:pPr>
          </w:p>
        </w:tc>
        <w:tc>
          <w:tcPr>
            <w:tcW w:w="423" w:type="pct"/>
            <w:noWrap w:val="0"/>
            <w:vAlign w:val="top"/>
          </w:tcPr>
          <w:p w14:paraId="4FA9E5FA">
            <w:pPr>
              <w:spacing w:line="440" w:lineRule="exact"/>
              <w:jc w:val="center"/>
              <w:rPr>
                <w:szCs w:val="21"/>
                <w:highlight w:val="none"/>
              </w:rPr>
            </w:pPr>
          </w:p>
        </w:tc>
        <w:tc>
          <w:tcPr>
            <w:tcW w:w="422" w:type="pct"/>
            <w:noWrap w:val="0"/>
            <w:vAlign w:val="top"/>
          </w:tcPr>
          <w:p w14:paraId="63680EC7">
            <w:pPr>
              <w:spacing w:line="440" w:lineRule="exact"/>
              <w:jc w:val="center"/>
              <w:rPr>
                <w:szCs w:val="21"/>
                <w:highlight w:val="none"/>
              </w:rPr>
            </w:pPr>
          </w:p>
        </w:tc>
        <w:tc>
          <w:tcPr>
            <w:tcW w:w="1480" w:type="pct"/>
            <w:noWrap w:val="0"/>
            <w:vAlign w:val="top"/>
          </w:tcPr>
          <w:p w14:paraId="3276455D">
            <w:pPr>
              <w:spacing w:line="440" w:lineRule="exact"/>
              <w:jc w:val="center"/>
              <w:rPr>
                <w:szCs w:val="21"/>
                <w:highlight w:val="none"/>
              </w:rPr>
            </w:pPr>
          </w:p>
        </w:tc>
        <w:tc>
          <w:tcPr>
            <w:tcW w:w="394" w:type="pct"/>
            <w:noWrap w:val="0"/>
            <w:vAlign w:val="top"/>
          </w:tcPr>
          <w:p w14:paraId="44ACBBFF">
            <w:pPr>
              <w:spacing w:line="440" w:lineRule="exact"/>
              <w:jc w:val="center"/>
              <w:rPr>
                <w:szCs w:val="21"/>
                <w:highlight w:val="none"/>
              </w:rPr>
            </w:pPr>
          </w:p>
        </w:tc>
      </w:tr>
      <w:tr w14:paraId="48E4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78BACA4A">
            <w:pPr>
              <w:spacing w:line="440" w:lineRule="exact"/>
              <w:jc w:val="center"/>
              <w:rPr>
                <w:szCs w:val="21"/>
                <w:highlight w:val="none"/>
              </w:rPr>
            </w:pPr>
          </w:p>
        </w:tc>
        <w:tc>
          <w:tcPr>
            <w:tcW w:w="423" w:type="pct"/>
            <w:noWrap w:val="0"/>
            <w:vAlign w:val="top"/>
          </w:tcPr>
          <w:p w14:paraId="69544542">
            <w:pPr>
              <w:spacing w:line="440" w:lineRule="exact"/>
              <w:jc w:val="center"/>
              <w:rPr>
                <w:szCs w:val="21"/>
                <w:highlight w:val="none"/>
              </w:rPr>
            </w:pPr>
          </w:p>
        </w:tc>
        <w:tc>
          <w:tcPr>
            <w:tcW w:w="422" w:type="pct"/>
            <w:noWrap w:val="0"/>
            <w:vAlign w:val="top"/>
          </w:tcPr>
          <w:p w14:paraId="2DF746D0">
            <w:pPr>
              <w:spacing w:line="440" w:lineRule="exact"/>
              <w:jc w:val="center"/>
              <w:rPr>
                <w:szCs w:val="21"/>
                <w:highlight w:val="none"/>
              </w:rPr>
            </w:pPr>
          </w:p>
        </w:tc>
        <w:tc>
          <w:tcPr>
            <w:tcW w:w="634" w:type="pct"/>
            <w:noWrap w:val="0"/>
            <w:vAlign w:val="top"/>
          </w:tcPr>
          <w:p w14:paraId="35A2AD0C">
            <w:pPr>
              <w:spacing w:line="440" w:lineRule="exact"/>
              <w:jc w:val="center"/>
              <w:rPr>
                <w:szCs w:val="21"/>
                <w:highlight w:val="none"/>
              </w:rPr>
            </w:pPr>
          </w:p>
        </w:tc>
        <w:tc>
          <w:tcPr>
            <w:tcW w:w="422" w:type="pct"/>
            <w:noWrap w:val="0"/>
            <w:vAlign w:val="top"/>
          </w:tcPr>
          <w:p w14:paraId="042984AA">
            <w:pPr>
              <w:spacing w:line="440" w:lineRule="exact"/>
              <w:jc w:val="center"/>
              <w:rPr>
                <w:szCs w:val="21"/>
                <w:highlight w:val="none"/>
              </w:rPr>
            </w:pPr>
          </w:p>
        </w:tc>
        <w:tc>
          <w:tcPr>
            <w:tcW w:w="423" w:type="pct"/>
            <w:noWrap w:val="0"/>
            <w:vAlign w:val="top"/>
          </w:tcPr>
          <w:p w14:paraId="1AA16B6D">
            <w:pPr>
              <w:spacing w:line="440" w:lineRule="exact"/>
              <w:jc w:val="center"/>
              <w:rPr>
                <w:szCs w:val="21"/>
                <w:highlight w:val="none"/>
              </w:rPr>
            </w:pPr>
          </w:p>
        </w:tc>
        <w:tc>
          <w:tcPr>
            <w:tcW w:w="422" w:type="pct"/>
            <w:noWrap w:val="0"/>
            <w:vAlign w:val="top"/>
          </w:tcPr>
          <w:p w14:paraId="2178FDE6">
            <w:pPr>
              <w:spacing w:line="440" w:lineRule="exact"/>
              <w:jc w:val="center"/>
              <w:rPr>
                <w:szCs w:val="21"/>
                <w:highlight w:val="none"/>
              </w:rPr>
            </w:pPr>
          </w:p>
        </w:tc>
        <w:tc>
          <w:tcPr>
            <w:tcW w:w="1480" w:type="pct"/>
            <w:noWrap w:val="0"/>
            <w:vAlign w:val="top"/>
          </w:tcPr>
          <w:p w14:paraId="4FF06CCC">
            <w:pPr>
              <w:spacing w:line="440" w:lineRule="exact"/>
              <w:jc w:val="center"/>
              <w:rPr>
                <w:szCs w:val="21"/>
                <w:highlight w:val="none"/>
              </w:rPr>
            </w:pPr>
          </w:p>
        </w:tc>
        <w:tc>
          <w:tcPr>
            <w:tcW w:w="394" w:type="pct"/>
            <w:noWrap w:val="0"/>
            <w:vAlign w:val="top"/>
          </w:tcPr>
          <w:p w14:paraId="7F78517E">
            <w:pPr>
              <w:spacing w:line="440" w:lineRule="exact"/>
              <w:jc w:val="center"/>
              <w:rPr>
                <w:szCs w:val="21"/>
                <w:highlight w:val="none"/>
              </w:rPr>
            </w:pPr>
          </w:p>
        </w:tc>
      </w:tr>
      <w:tr w14:paraId="4785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7775BB8F">
            <w:pPr>
              <w:spacing w:line="440" w:lineRule="exact"/>
              <w:jc w:val="center"/>
              <w:rPr>
                <w:szCs w:val="21"/>
                <w:highlight w:val="none"/>
              </w:rPr>
            </w:pPr>
          </w:p>
        </w:tc>
        <w:tc>
          <w:tcPr>
            <w:tcW w:w="423" w:type="pct"/>
            <w:noWrap w:val="0"/>
            <w:vAlign w:val="top"/>
          </w:tcPr>
          <w:p w14:paraId="7665DC91">
            <w:pPr>
              <w:spacing w:line="440" w:lineRule="exact"/>
              <w:jc w:val="center"/>
              <w:rPr>
                <w:szCs w:val="21"/>
                <w:highlight w:val="none"/>
              </w:rPr>
            </w:pPr>
          </w:p>
        </w:tc>
        <w:tc>
          <w:tcPr>
            <w:tcW w:w="422" w:type="pct"/>
            <w:noWrap w:val="0"/>
            <w:vAlign w:val="top"/>
          </w:tcPr>
          <w:p w14:paraId="10EDBA7E">
            <w:pPr>
              <w:spacing w:line="440" w:lineRule="exact"/>
              <w:jc w:val="center"/>
              <w:rPr>
                <w:szCs w:val="21"/>
                <w:highlight w:val="none"/>
              </w:rPr>
            </w:pPr>
          </w:p>
        </w:tc>
        <w:tc>
          <w:tcPr>
            <w:tcW w:w="634" w:type="pct"/>
            <w:noWrap w:val="0"/>
            <w:vAlign w:val="top"/>
          </w:tcPr>
          <w:p w14:paraId="17BC745E">
            <w:pPr>
              <w:spacing w:line="440" w:lineRule="exact"/>
              <w:jc w:val="center"/>
              <w:rPr>
                <w:szCs w:val="21"/>
                <w:highlight w:val="none"/>
              </w:rPr>
            </w:pPr>
          </w:p>
        </w:tc>
        <w:tc>
          <w:tcPr>
            <w:tcW w:w="422" w:type="pct"/>
            <w:noWrap w:val="0"/>
            <w:vAlign w:val="top"/>
          </w:tcPr>
          <w:p w14:paraId="1D3850E4">
            <w:pPr>
              <w:spacing w:line="440" w:lineRule="exact"/>
              <w:jc w:val="center"/>
              <w:rPr>
                <w:szCs w:val="21"/>
                <w:highlight w:val="none"/>
              </w:rPr>
            </w:pPr>
          </w:p>
        </w:tc>
        <w:tc>
          <w:tcPr>
            <w:tcW w:w="423" w:type="pct"/>
            <w:noWrap w:val="0"/>
            <w:vAlign w:val="top"/>
          </w:tcPr>
          <w:p w14:paraId="702E2287">
            <w:pPr>
              <w:spacing w:line="440" w:lineRule="exact"/>
              <w:jc w:val="center"/>
              <w:rPr>
                <w:szCs w:val="21"/>
                <w:highlight w:val="none"/>
              </w:rPr>
            </w:pPr>
          </w:p>
        </w:tc>
        <w:tc>
          <w:tcPr>
            <w:tcW w:w="422" w:type="pct"/>
            <w:noWrap w:val="0"/>
            <w:vAlign w:val="top"/>
          </w:tcPr>
          <w:p w14:paraId="72E4CAB9">
            <w:pPr>
              <w:spacing w:line="440" w:lineRule="exact"/>
              <w:jc w:val="center"/>
              <w:rPr>
                <w:szCs w:val="21"/>
                <w:highlight w:val="none"/>
              </w:rPr>
            </w:pPr>
          </w:p>
        </w:tc>
        <w:tc>
          <w:tcPr>
            <w:tcW w:w="1480" w:type="pct"/>
            <w:noWrap w:val="0"/>
            <w:vAlign w:val="top"/>
          </w:tcPr>
          <w:p w14:paraId="639FC22A">
            <w:pPr>
              <w:spacing w:line="440" w:lineRule="exact"/>
              <w:jc w:val="center"/>
              <w:rPr>
                <w:szCs w:val="21"/>
                <w:highlight w:val="none"/>
              </w:rPr>
            </w:pPr>
          </w:p>
        </w:tc>
        <w:tc>
          <w:tcPr>
            <w:tcW w:w="394" w:type="pct"/>
            <w:noWrap w:val="0"/>
            <w:vAlign w:val="top"/>
          </w:tcPr>
          <w:p w14:paraId="4F5B67CE">
            <w:pPr>
              <w:spacing w:line="440" w:lineRule="exact"/>
              <w:jc w:val="center"/>
              <w:rPr>
                <w:szCs w:val="21"/>
                <w:highlight w:val="none"/>
              </w:rPr>
            </w:pPr>
          </w:p>
        </w:tc>
      </w:tr>
      <w:tr w14:paraId="33D2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1633D112">
            <w:pPr>
              <w:spacing w:line="440" w:lineRule="exact"/>
              <w:jc w:val="center"/>
              <w:rPr>
                <w:szCs w:val="21"/>
                <w:highlight w:val="none"/>
              </w:rPr>
            </w:pPr>
          </w:p>
        </w:tc>
        <w:tc>
          <w:tcPr>
            <w:tcW w:w="423" w:type="pct"/>
            <w:noWrap w:val="0"/>
            <w:vAlign w:val="top"/>
          </w:tcPr>
          <w:p w14:paraId="3930D03E">
            <w:pPr>
              <w:spacing w:line="440" w:lineRule="exact"/>
              <w:jc w:val="center"/>
              <w:rPr>
                <w:szCs w:val="21"/>
                <w:highlight w:val="none"/>
              </w:rPr>
            </w:pPr>
          </w:p>
        </w:tc>
        <w:tc>
          <w:tcPr>
            <w:tcW w:w="422" w:type="pct"/>
            <w:noWrap w:val="0"/>
            <w:vAlign w:val="top"/>
          </w:tcPr>
          <w:p w14:paraId="608BDEB4">
            <w:pPr>
              <w:spacing w:line="440" w:lineRule="exact"/>
              <w:jc w:val="center"/>
              <w:rPr>
                <w:szCs w:val="21"/>
                <w:highlight w:val="none"/>
              </w:rPr>
            </w:pPr>
          </w:p>
        </w:tc>
        <w:tc>
          <w:tcPr>
            <w:tcW w:w="634" w:type="pct"/>
            <w:noWrap w:val="0"/>
            <w:vAlign w:val="top"/>
          </w:tcPr>
          <w:p w14:paraId="0F6C5176">
            <w:pPr>
              <w:spacing w:line="440" w:lineRule="exact"/>
              <w:jc w:val="center"/>
              <w:rPr>
                <w:szCs w:val="21"/>
                <w:highlight w:val="none"/>
              </w:rPr>
            </w:pPr>
          </w:p>
        </w:tc>
        <w:tc>
          <w:tcPr>
            <w:tcW w:w="422" w:type="pct"/>
            <w:noWrap w:val="0"/>
            <w:vAlign w:val="top"/>
          </w:tcPr>
          <w:p w14:paraId="65957AB9">
            <w:pPr>
              <w:spacing w:line="440" w:lineRule="exact"/>
              <w:jc w:val="center"/>
              <w:rPr>
                <w:szCs w:val="21"/>
                <w:highlight w:val="none"/>
              </w:rPr>
            </w:pPr>
          </w:p>
        </w:tc>
        <w:tc>
          <w:tcPr>
            <w:tcW w:w="423" w:type="pct"/>
            <w:noWrap w:val="0"/>
            <w:vAlign w:val="top"/>
          </w:tcPr>
          <w:p w14:paraId="251D97CB">
            <w:pPr>
              <w:spacing w:line="440" w:lineRule="exact"/>
              <w:jc w:val="center"/>
              <w:rPr>
                <w:szCs w:val="21"/>
                <w:highlight w:val="none"/>
              </w:rPr>
            </w:pPr>
          </w:p>
        </w:tc>
        <w:tc>
          <w:tcPr>
            <w:tcW w:w="422" w:type="pct"/>
            <w:noWrap w:val="0"/>
            <w:vAlign w:val="top"/>
          </w:tcPr>
          <w:p w14:paraId="0D86DBEF">
            <w:pPr>
              <w:spacing w:line="440" w:lineRule="exact"/>
              <w:jc w:val="center"/>
              <w:rPr>
                <w:szCs w:val="21"/>
                <w:highlight w:val="none"/>
              </w:rPr>
            </w:pPr>
          </w:p>
        </w:tc>
        <w:tc>
          <w:tcPr>
            <w:tcW w:w="1480" w:type="pct"/>
            <w:noWrap w:val="0"/>
            <w:vAlign w:val="top"/>
          </w:tcPr>
          <w:p w14:paraId="04017FFA">
            <w:pPr>
              <w:spacing w:line="440" w:lineRule="exact"/>
              <w:jc w:val="center"/>
              <w:rPr>
                <w:szCs w:val="21"/>
                <w:highlight w:val="none"/>
              </w:rPr>
            </w:pPr>
          </w:p>
        </w:tc>
        <w:tc>
          <w:tcPr>
            <w:tcW w:w="394" w:type="pct"/>
            <w:noWrap w:val="0"/>
            <w:vAlign w:val="top"/>
          </w:tcPr>
          <w:p w14:paraId="501E8358">
            <w:pPr>
              <w:spacing w:line="440" w:lineRule="exact"/>
              <w:jc w:val="center"/>
              <w:rPr>
                <w:szCs w:val="21"/>
                <w:highlight w:val="none"/>
              </w:rPr>
            </w:pPr>
          </w:p>
        </w:tc>
      </w:tr>
      <w:tr w14:paraId="6370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0" w:type="pct"/>
            <w:noWrap w:val="0"/>
            <w:vAlign w:val="top"/>
          </w:tcPr>
          <w:p w14:paraId="73528970">
            <w:pPr>
              <w:spacing w:line="440" w:lineRule="exact"/>
              <w:jc w:val="center"/>
              <w:rPr>
                <w:szCs w:val="21"/>
                <w:highlight w:val="none"/>
              </w:rPr>
            </w:pPr>
          </w:p>
        </w:tc>
        <w:tc>
          <w:tcPr>
            <w:tcW w:w="423" w:type="pct"/>
            <w:noWrap w:val="0"/>
            <w:vAlign w:val="top"/>
          </w:tcPr>
          <w:p w14:paraId="0FA7CE7F">
            <w:pPr>
              <w:spacing w:line="440" w:lineRule="exact"/>
              <w:jc w:val="center"/>
              <w:rPr>
                <w:szCs w:val="21"/>
                <w:highlight w:val="none"/>
              </w:rPr>
            </w:pPr>
          </w:p>
        </w:tc>
        <w:tc>
          <w:tcPr>
            <w:tcW w:w="422" w:type="pct"/>
            <w:noWrap w:val="0"/>
            <w:vAlign w:val="top"/>
          </w:tcPr>
          <w:p w14:paraId="18C6CEA8">
            <w:pPr>
              <w:spacing w:line="440" w:lineRule="exact"/>
              <w:jc w:val="center"/>
              <w:rPr>
                <w:szCs w:val="21"/>
                <w:highlight w:val="none"/>
              </w:rPr>
            </w:pPr>
          </w:p>
        </w:tc>
        <w:tc>
          <w:tcPr>
            <w:tcW w:w="634" w:type="pct"/>
            <w:noWrap w:val="0"/>
            <w:vAlign w:val="top"/>
          </w:tcPr>
          <w:p w14:paraId="1884515F">
            <w:pPr>
              <w:spacing w:line="440" w:lineRule="exact"/>
              <w:jc w:val="center"/>
              <w:rPr>
                <w:szCs w:val="21"/>
                <w:highlight w:val="none"/>
              </w:rPr>
            </w:pPr>
          </w:p>
        </w:tc>
        <w:tc>
          <w:tcPr>
            <w:tcW w:w="422" w:type="pct"/>
            <w:noWrap w:val="0"/>
            <w:vAlign w:val="top"/>
          </w:tcPr>
          <w:p w14:paraId="518870A2">
            <w:pPr>
              <w:spacing w:line="440" w:lineRule="exact"/>
              <w:jc w:val="center"/>
              <w:rPr>
                <w:szCs w:val="21"/>
                <w:highlight w:val="none"/>
              </w:rPr>
            </w:pPr>
          </w:p>
        </w:tc>
        <w:tc>
          <w:tcPr>
            <w:tcW w:w="423" w:type="pct"/>
            <w:noWrap w:val="0"/>
            <w:vAlign w:val="top"/>
          </w:tcPr>
          <w:p w14:paraId="5A8B3044">
            <w:pPr>
              <w:spacing w:line="440" w:lineRule="exact"/>
              <w:jc w:val="center"/>
              <w:rPr>
                <w:szCs w:val="21"/>
                <w:highlight w:val="none"/>
              </w:rPr>
            </w:pPr>
          </w:p>
        </w:tc>
        <w:tc>
          <w:tcPr>
            <w:tcW w:w="422" w:type="pct"/>
            <w:noWrap w:val="0"/>
            <w:vAlign w:val="top"/>
          </w:tcPr>
          <w:p w14:paraId="6C448BC1">
            <w:pPr>
              <w:spacing w:line="440" w:lineRule="exact"/>
              <w:jc w:val="center"/>
              <w:rPr>
                <w:szCs w:val="21"/>
                <w:highlight w:val="none"/>
              </w:rPr>
            </w:pPr>
          </w:p>
        </w:tc>
        <w:tc>
          <w:tcPr>
            <w:tcW w:w="1480" w:type="pct"/>
            <w:noWrap w:val="0"/>
            <w:vAlign w:val="top"/>
          </w:tcPr>
          <w:p w14:paraId="65706EC9">
            <w:pPr>
              <w:spacing w:line="440" w:lineRule="exact"/>
              <w:jc w:val="center"/>
              <w:rPr>
                <w:szCs w:val="21"/>
                <w:highlight w:val="none"/>
              </w:rPr>
            </w:pPr>
          </w:p>
        </w:tc>
        <w:tc>
          <w:tcPr>
            <w:tcW w:w="394" w:type="pct"/>
            <w:noWrap w:val="0"/>
            <w:vAlign w:val="top"/>
          </w:tcPr>
          <w:p w14:paraId="5013EA5D">
            <w:pPr>
              <w:spacing w:line="440" w:lineRule="exact"/>
              <w:jc w:val="center"/>
              <w:rPr>
                <w:szCs w:val="21"/>
                <w:highlight w:val="none"/>
              </w:rPr>
            </w:pPr>
          </w:p>
        </w:tc>
      </w:tr>
    </w:tbl>
    <w:p w14:paraId="5943EFB1">
      <w:pPr>
        <w:spacing w:line="440" w:lineRule="exact"/>
        <w:ind w:left="210" w:leftChars="10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注：详见</w:t>
      </w:r>
      <w:r>
        <w:rPr>
          <w:rFonts w:hint="eastAsia" w:ascii="Times New Roman" w:hAnsi="Times New Roman" w:eastAsia="宋体" w:cs="Times New Roman"/>
          <w:highlight w:val="none"/>
        </w:rPr>
        <w:t>评标办法</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表格可根据实际情况调整。</w:t>
      </w:r>
    </w:p>
    <w:p w14:paraId="3B038F85">
      <w:pPr>
        <w:topLinePunct/>
        <w:spacing w:line="440" w:lineRule="exact"/>
        <w:jc w:val="center"/>
        <w:rPr>
          <w:rFonts w:hint="eastAsia"/>
          <w:sz w:val="20"/>
          <w:highlight w:val="none"/>
        </w:rPr>
      </w:pPr>
      <w:r>
        <w:rPr>
          <w:sz w:val="20"/>
          <w:highlight w:val="none"/>
        </w:rPr>
        <w:br w:type="page"/>
      </w:r>
    </w:p>
    <w:p w14:paraId="5372580E">
      <w:pPr>
        <w:pStyle w:val="45"/>
        <w:rPr>
          <w:szCs w:val="23"/>
          <w:highlight w:val="none"/>
        </w:rPr>
      </w:pPr>
      <w:bookmarkStart w:id="1044" w:name="_Toc152042594"/>
      <w:bookmarkStart w:id="1045" w:name="_Toc144974873"/>
      <w:bookmarkStart w:id="1046" w:name="_Toc20288"/>
      <w:bookmarkStart w:id="1047" w:name="_Toc152045805"/>
      <w:r>
        <w:rPr>
          <w:szCs w:val="23"/>
          <w:highlight w:val="none"/>
        </w:rPr>
        <w:t>（二）主要人员简历表</w:t>
      </w:r>
      <w:bookmarkEnd w:id="1044"/>
      <w:bookmarkEnd w:id="1045"/>
      <w:bookmarkEnd w:id="1046"/>
      <w:bookmarkEnd w:id="1047"/>
    </w:p>
    <w:p w14:paraId="1E392911">
      <w:pPr>
        <w:spacing w:line="400" w:lineRule="exact"/>
        <w:ind w:firstLine="420" w:firstLineChars="200"/>
        <w:rPr>
          <w:rFonts w:hint="eastAsia"/>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6455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7B391756">
            <w:pPr>
              <w:spacing w:line="440" w:lineRule="exact"/>
              <w:rPr>
                <w:rFonts w:ascii="宋体" w:hAnsi="宋体"/>
                <w:szCs w:val="21"/>
                <w:highlight w:val="none"/>
              </w:rPr>
            </w:pPr>
            <w:r>
              <w:rPr>
                <w:rFonts w:ascii="宋体" w:hAnsi="宋体"/>
                <w:szCs w:val="21"/>
                <w:highlight w:val="none"/>
              </w:rPr>
              <w:t>姓  名</w:t>
            </w:r>
          </w:p>
        </w:tc>
        <w:tc>
          <w:tcPr>
            <w:tcW w:w="1079" w:type="dxa"/>
            <w:gridSpan w:val="2"/>
            <w:noWrap w:val="0"/>
            <w:vAlign w:val="center"/>
          </w:tcPr>
          <w:p w14:paraId="5F342D07">
            <w:pPr>
              <w:spacing w:line="440" w:lineRule="exact"/>
              <w:rPr>
                <w:rFonts w:ascii="宋体" w:hAnsi="宋体"/>
                <w:szCs w:val="21"/>
                <w:highlight w:val="none"/>
              </w:rPr>
            </w:pPr>
          </w:p>
        </w:tc>
        <w:tc>
          <w:tcPr>
            <w:tcW w:w="927" w:type="dxa"/>
            <w:noWrap w:val="0"/>
            <w:vAlign w:val="center"/>
          </w:tcPr>
          <w:p w14:paraId="6CA8F449">
            <w:pPr>
              <w:spacing w:line="440" w:lineRule="exact"/>
              <w:rPr>
                <w:rFonts w:ascii="宋体" w:hAnsi="宋体"/>
                <w:szCs w:val="21"/>
                <w:highlight w:val="none"/>
              </w:rPr>
            </w:pPr>
            <w:r>
              <w:rPr>
                <w:rFonts w:ascii="宋体" w:hAnsi="宋体"/>
                <w:szCs w:val="21"/>
                <w:highlight w:val="none"/>
              </w:rPr>
              <w:t>年 龄</w:t>
            </w:r>
          </w:p>
        </w:tc>
        <w:tc>
          <w:tcPr>
            <w:tcW w:w="1065" w:type="dxa"/>
            <w:noWrap w:val="0"/>
            <w:vAlign w:val="center"/>
          </w:tcPr>
          <w:p w14:paraId="3840C6C6">
            <w:pPr>
              <w:spacing w:line="440" w:lineRule="exact"/>
              <w:rPr>
                <w:rFonts w:ascii="宋体" w:hAnsi="宋体"/>
                <w:szCs w:val="21"/>
                <w:highlight w:val="none"/>
              </w:rPr>
            </w:pPr>
          </w:p>
        </w:tc>
        <w:tc>
          <w:tcPr>
            <w:tcW w:w="2130" w:type="dxa"/>
            <w:gridSpan w:val="3"/>
            <w:noWrap w:val="0"/>
            <w:vAlign w:val="center"/>
          </w:tcPr>
          <w:p w14:paraId="2EF41393">
            <w:pPr>
              <w:spacing w:line="440" w:lineRule="exact"/>
              <w:rPr>
                <w:rFonts w:ascii="宋体" w:hAnsi="宋体"/>
                <w:szCs w:val="21"/>
                <w:highlight w:val="none"/>
              </w:rPr>
            </w:pPr>
            <w:r>
              <w:rPr>
                <w:rFonts w:ascii="宋体" w:hAnsi="宋体"/>
                <w:szCs w:val="21"/>
                <w:highlight w:val="none"/>
              </w:rPr>
              <w:t>学历</w:t>
            </w:r>
          </w:p>
        </w:tc>
        <w:tc>
          <w:tcPr>
            <w:tcW w:w="2135" w:type="dxa"/>
            <w:noWrap w:val="0"/>
            <w:vAlign w:val="center"/>
          </w:tcPr>
          <w:p w14:paraId="44AB5F2D">
            <w:pPr>
              <w:spacing w:line="440" w:lineRule="exact"/>
              <w:rPr>
                <w:rFonts w:ascii="宋体" w:hAnsi="宋体"/>
                <w:szCs w:val="21"/>
                <w:highlight w:val="none"/>
              </w:rPr>
            </w:pPr>
          </w:p>
        </w:tc>
      </w:tr>
      <w:tr w14:paraId="56B5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5359A9D0">
            <w:pPr>
              <w:spacing w:line="440" w:lineRule="exact"/>
              <w:rPr>
                <w:rFonts w:ascii="宋体" w:hAnsi="宋体"/>
                <w:szCs w:val="21"/>
                <w:highlight w:val="none"/>
              </w:rPr>
            </w:pPr>
            <w:r>
              <w:rPr>
                <w:rFonts w:ascii="宋体" w:hAnsi="宋体"/>
                <w:szCs w:val="21"/>
                <w:highlight w:val="none"/>
              </w:rPr>
              <w:t>职  称</w:t>
            </w:r>
          </w:p>
        </w:tc>
        <w:tc>
          <w:tcPr>
            <w:tcW w:w="1079" w:type="dxa"/>
            <w:gridSpan w:val="2"/>
            <w:noWrap w:val="0"/>
            <w:vAlign w:val="center"/>
          </w:tcPr>
          <w:p w14:paraId="7CC37889">
            <w:pPr>
              <w:spacing w:line="440" w:lineRule="exact"/>
              <w:rPr>
                <w:rFonts w:ascii="宋体" w:hAnsi="宋体"/>
                <w:szCs w:val="21"/>
                <w:highlight w:val="none"/>
              </w:rPr>
            </w:pPr>
          </w:p>
        </w:tc>
        <w:tc>
          <w:tcPr>
            <w:tcW w:w="927" w:type="dxa"/>
            <w:noWrap w:val="0"/>
            <w:vAlign w:val="center"/>
          </w:tcPr>
          <w:p w14:paraId="25F513BF">
            <w:pPr>
              <w:spacing w:line="440" w:lineRule="exact"/>
              <w:rPr>
                <w:rFonts w:ascii="宋体" w:hAnsi="宋体"/>
                <w:szCs w:val="21"/>
                <w:highlight w:val="none"/>
              </w:rPr>
            </w:pPr>
            <w:r>
              <w:rPr>
                <w:rFonts w:ascii="宋体" w:hAnsi="宋体"/>
                <w:szCs w:val="21"/>
                <w:highlight w:val="none"/>
              </w:rPr>
              <w:t>职 务</w:t>
            </w:r>
          </w:p>
        </w:tc>
        <w:tc>
          <w:tcPr>
            <w:tcW w:w="1065" w:type="dxa"/>
            <w:noWrap w:val="0"/>
            <w:vAlign w:val="center"/>
          </w:tcPr>
          <w:p w14:paraId="7BA1EE48">
            <w:pPr>
              <w:spacing w:line="440" w:lineRule="exact"/>
              <w:rPr>
                <w:rFonts w:ascii="宋体" w:hAnsi="宋体"/>
                <w:szCs w:val="21"/>
                <w:highlight w:val="none"/>
              </w:rPr>
            </w:pPr>
          </w:p>
        </w:tc>
        <w:tc>
          <w:tcPr>
            <w:tcW w:w="2130" w:type="dxa"/>
            <w:gridSpan w:val="3"/>
            <w:noWrap w:val="0"/>
            <w:vAlign w:val="center"/>
          </w:tcPr>
          <w:p w14:paraId="79E24A9D">
            <w:pPr>
              <w:spacing w:line="440" w:lineRule="exact"/>
              <w:rPr>
                <w:rFonts w:ascii="宋体" w:hAnsi="宋体"/>
                <w:szCs w:val="21"/>
                <w:highlight w:val="none"/>
              </w:rPr>
            </w:pPr>
            <w:r>
              <w:rPr>
                <w:rFonts w:ascii="宋体" w:hAnsi="宋体"/>
                <w:szCs w:val="21"/>
                <w:highlight w:val="none"/>
              </w:rPr>
              <w:t>拟在本合同任职</w:t>
            </w:r>
          </w:p>
        </w:tc>
        <w:tc>
          <w:tcPr>
            <w:tcW w:w="2135" w:type="dxa"/>
            <w:noWrap w:val="0"/>
            <w:vAlign w:val="center"/>
          </w:tcPr>
          <w:p w14:paraId="1BC8C8ED">
            <w:pPr>
              <w:spacing w:line="440" w:lineRule="exact"/>
              <w:rPr>
                <w:rFonts w:ascii="宋体" w:hAnsi="宋体"/>
                <w:szCs w:val="21"/>
                <w:highlight w:val="none"/>
              </w:rPr>
            </w:pPr>
          </w:p>
        </w:tc>
      </w:tr>
      <w:tr w14:paraId="791B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3C41EA4F">
            <w:pPr>
              <w:spacing w:line="440" w:lineRule="exact"/>
              <w:rPr>
                <w:rFonts w:ascii="宋体" w:hAnsi="宋体"/>
                <w:szCs w:val="21"/>
                <w:highlight w:val="none"/>
              </w:rPr>
            </w:pPr>
            <w:r>
              <w:rPr>
                <w:rFonts w:ascii="宋体" w:hAnsi="宋体"/>
                <w:szCs w:val="21"/>
                <w:highlight w:val="none"/>
              </w:rPr>
              <w:t>毕业学校</w:t>
            </w:r>
          </w:p>
        </w:tc>
        <w:tc>
          <w:tcPr>
            <w:tcW w:w="7336" w:type="dxa"/>
            <w:gridSpan w:val="8"/>
            <w:noWrap w:val="0"/>
            <w:vAlign w:val="top"/>
          </w:tcPr>
          <w:p w14:paraId="0F9C3741">
            <w:pPr>
              <w:spacing w:line="440" w:lineRule="exact"/>
              <w:rPr>
                <w:rFonts w:ascii="宋体" w:hAnsi="宋体"/>
                <w:szCs w:val="21"/>
                <w:highlight w:val="none"/>
              </w:rPr>
            </w:pPr>
            <w:r>
              <w:rPr>
                <w:rFonts w:ascii="宋体" w:hAnsi="宋体"/>
                <w:szCs w:val="21"/>
                <w:highlight w:val="none"/>
              </w:rPr>
              <w:t xml:space="preserve">      年毕业于            学校        专业</w:t>
            </w:r>
          </w:p>
        </w:tc>
      </w:tr>
      <w:tr w14:paraId="3853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522" w:type="dxa"/>
            <w:gridSpan w:val="9"/>
            <w:noWrap w:val="0"/>
            <w:vAlign w:val="center"/>
          </w:tcPr>
          <w:p w14:paraId="6BEF68AB">
            <w:pPr>
              <w:spacing w:line="440" w:lineRule="exact"/>
              <w:rPr>
                <w:rFonts w:ascii="宋体" w:hAnsi="宋体"/>
                <w:szCs w:val="21"/>
                <w:highlight w:val="none"/>
              </w:rPr>
            </w:pPr>
            <w:r>
              <w:rPr>
                <w:rFonts w:ascii="宋体" w:hAnsi="宋体"/>
                <w:szCs w:val="21"/>
                <w:highlight w:val="none"/>
              </w:rPr>
              <w:t>主要工作经历</w:t>
            </w:r>
          </w:p>
        </w:tc>
      </w:tr>
      <w:tr w14:paraId="692C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545" w:type="dxa"/>
            <w:gridSpan w:val="2"/>
            <w:noWrap w:val="0"/>
            <w:vAlign w:val="center"/>
          </w:tcPr>
          <w:p w14:paraId="6D276C15">
            <w:pPr>
              <w:spacing w:line="440" w:lineRule="exact"/>
              <w:rPr>
                <w:rFonts w:ascii="宋体" w:hAnsi="宋体"/>
                <w:szCs w:val="21"/>
                <w:highlight w:val="none"/>
              </w:rPr>
            </w:pPr>
            <w:r>
              <w:rPr>
                <w:rFonts w:ascii="宋体" w:hAnsi="宋体"/>
                <w:szCs w:val="21"/>
                <w:highlight w:val="none"/>
              </w:rPr>
              <w:t>时  间</w:t>
            </w:r>
          </w:p>
        </w:tc>
        <w:tc>
          <w:tcPr>
            <w:tcW w:w="3420" w:type="dxa"/>
            <w:gridSpan w:val="4"/>
            <w:noWrap w:val="0"/>
            <w:vAlign w:val="center"/>
          </w:tcPr>
          <w:p w14:paraId="7928E994">
            <w:pPr>
              <w:spacing w:line="440" w:lineRule="exact"/>
              <w:rPr>
                <w:rFonts w:ascii="宋体" w:hAnsi="宋体"/>
                <w:szCs w:val="21"/>
                <w:highlight w:val="none"/>
              </w:rPr>
            </w:pPr>
            <w:r>
              <w:rPr>
                <w:rFonts w:ascii="宋体" w:hAnsi="宋体"/>
                <w:szCs w:val="21"/>
                <w:highlight w:val="none"/>
              </w:rPr>
              <w:t>参加过的类似项目</w:t>
            </w:r>
          </w:p>
        </w:tc>
        <w:tc>
          <w:tcPr>
            <w:tcW w:w="1261" w:type="dxa"/>
            <w:noWrap w:val="0"/>
            <w:vAlign w:val="center"/>
          </w:tcPr>
          <w:p w14:paraId="15303832">
            <w:pPr>
              <w:spacing w:line="440" w:lineRule="exact"/>
              <w:rPr>
                <w:rFonts w:ascii="宋体" w:hAnsi="宋体"/>
                <w:szCs w:val="21"/>
                <w:highlight w:val="none"/>
              </w:rPr>
            </w:pPr>
            <w:r>
              <w:rPr>
                <w:rFonts w:ascii="宋体" w:hAnsi="宋体"/>
                <w:szCs w:val="21"/>
                <w:highlight w:val="none"/>
              </w:rPr>
              <w:t>担任职务</w:t>
            </w:r>
          </w:p>
        </w:tc>
        <w:tc>
          <w:tcPr>
            <w:tcW w:w="2296" w:type="dxa"/>
            <w:gridSpan w:val="2"/>
            <w:noWrap w:val="0"/>
            <w:vAlign w:val="center"/>
          </w:tcPr>
          <w:p w14:paraId="4C2BC59B">
            <w:pPr>
              <w:spacing w:line="440" w:lineRule="exact"/>
              <w:rPr>
                <w:rFonts w:ascii="宋体" w:hAnsi="宋体"/>
                <w:szCs w:val="21"/>
                <w:highlight w:val="none"/>
              </w:rPr>
            </w:pPr>
            <w:r>
              <w:rPr>
                <w:rFonts w:ascii="宋体" w:hAnsi="宋体"/>
                <w:szCs w:val="21"/>
                <w:highlight w:val="none"/>
              </w:rPr>
              <w:t>发包人及联系电话</w:t>
            </w:r>
          </w:p>
        </w:tc>
      </w:tr>
      <w:tr w14:paraId="200F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60768758">
            <w:pPr>
              <w:spacing w:line="440" w:lineRule="exact"/>
              <w:rPr>
                <w:rFonts w:eastAsia="黑体"/>
                <w:szCs w:val="21"/>
                <w:highlight w:val="none"/>
              </w:rPr>
            </w:pPr>
          </w:p>
        </w:tc>
        <w:tc>
          <w:tcPr>
            <w:tcW w:w="3420" w:type="dxa"/>
            <w:gridSpan w:val="4"/>
            <w:noWrap w:val="0"/>
            <w:vAlign w:val="top"/>
          </w:tcPr>
          <w:p w14:paraId="1BCE4524">
            <w:pPr>
              <w:spacing w:line="440" w:lineRule="exact"/>
              <w:rPr>
                <w:rFonts w:eastAsia="黑体"/>
                <w:szCs w:val="21"/>
                <w:highlight w:val="none"/>
              </w:rPr>
            </w:pPr>
          </w:p>
        </w:tc>
        <w:tc>
          <w:tcPr>
            <w:tcW w:w="1261" w:type="dxa"/>
            <w:noWrap w:val="0"/>
            <w:vAlign w:val="top"/>
          </w:tcPr>
          <w:p w14:paraId="028AFAC2">
            <w:pPr>
              <w:spacing w:line="440" w:lineRule="exact"/>
              <w:rPr>
                <w:rFonts w:eastAsia="黑体"/>
                <w:szCs w:val="21"/>
                <w:highlight w:val="none"/>
              </w:rPr>
            </w:pPr>
          </w:p>
        </w:tc>
        <w:tc>
          <w:tcPr>
            <w:tcW w:w="2296" w:type="dxa"/>
            <w:gridSpan w:val="2"/>
            <w:noWrap w:val="0"/>
            <w:vAlign w:val="top"/>
          </w:tcPr>
          <w:p w14:paraId="0E1552A8">
            <w:pPr>
              <w:spacing w:line="440" w:lineRule="exact"/>
              <w:rPr>
                <w:rFonts w:eastAsia="黑体"/>
                <w:szCs w:val="21"/>
                <w:highlight w:val="none"/>
              </w:rPr>
            </w:pPr>
          </w:p>
        </w:tc>
      </w:tr>
      <w:tr w14:paraId="495C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157E2B92">
            <w:pPr>
              <w:spacing w:line="440" w:lineRule="exact"/>
              <w:rPr>
                <w:rFonts w:eastAsia="黑体"/>
                <w:szCs w:val="21"/>
                <w:highlight w:val="none"/>
              </w:rPr>
            </w:pPr>
          </w:p>
        </w:tc>
        <w:tc>
          <w:tcPr>
            <w:tcW w:w="3420" w:type="dxa"/>
            <w:gridSpan w:val="4"/>
            <w:noWrap w:val="0"/>
            <w:vAlign w:val="top"/>
          </w:tcPr>
          <w:p w14:paraId="3A52CC89">
            <w:pPr>
              <w:spacing w:line="440" w:lineRule="exact"/>
              <w:rPr>
                <w:rFonts w:eastAsia="黑体"/>
                <w:szCs w:val="21"/>
                <w:highlight w:val="none"/>
              </w:rPr>
            </w:pPr>
          </w:p>
        </w:tc>
        <w:tc>
          <w:tcPr>
            <w:tcW w:w="1261" w:type="dxa"/>
            <w:noWrap w:val="0"/>
            <w:vAlign w:val="top"/>
          </w:tcPr>
          <w:p w14:paraId="37268729">
            <w:pPr>
              <w:spacing w:line="440" w:lineRule="exact"/>
              <w:rPr>
                <w:rFonts w:eastAsia="黑体"/>
                <w:szCs w:val="21"/>
                <w:highlight w:val="none"/>
              </w:rPr>
            </w:pPr>
          </w:p>
        </w:tc>
        <w:tc>
          <w:tcPr>
            <w:tcW w:w="2296" w:type="dxa"/>
            <w:gridSpan w:val="2"/>
            <w:noWrap w:val="0"/>
            <w:vAlign w:val="top"/>
          </w:tcPr>
          <w:p w14:paraId="44BFE3A7">
            <w:pPr>
              <w:spacing w:line="440" w:lineRule="exact"/>
              <w:rPr>
                <w:rFonts w:eastAsia="黑体"/>
                <w:szCs w:val="21"/>
                <w:highlight w:val="none"/>
              </w:rPr>
            </w:pPr>
          </w:p>
        </w:tc>
      </w:tr>
      <w:tr w14:paraId="41AD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0F702282">
            <w:pPr>
              <w:spacing w:line="440" w:lineRule="exact"/>
              <w:rPr>
                <w:rFonts w:eastAsia="黑体"/>
                <w:szCs w:val="21"/>
                <w:highlight w:val="none"/>
              </w:rPr>
            </w:pPr>
          </w:p>
        </w:tc>
        <w:tc>
          <w:tcPr>
            <w:tcW w:w="3420" w:type="dxa"/>
            <w:gridSpan w:val="4"/>
            <w:noWrap w:val="0"/>
            <w:vAlign w:val="top"/>
          </w:tcPr>
          <w:p w14:paraId="4E3119B2">
            <w:pPr>
              <w:spacing w:line="440" w:lineRule="exact"/>
              <w:rPr>
                <w:rFonts w:eastAsia="黑体"/>
                <w:szCs w:val="21"/>
                <w:highlight w:val="none"/>
              </w:rPr>
            </w:pPr>
          </w:p>
        </w:tc>
        <w:tc>
          <w:tcPr>
            <w:tcW w:w="1261" w:type="dxa"/>
            <w:noWrap w:val="0"/>
            <w:vAlign w:val="top"/>
          </w:tcPr>
          <w:p w14:paraId="4B656931">
            <w:pPr>
              <w:spacing w:line="440" w:lineRule="exact"/>
              <w:rPr>
                <w:rFonts w:eastAsia="黑体"/>
                <w:szCs w:val="21"/>
                <w:highlight w:val="none"/>
              </w:rPr>
            </w:pPr>
          </w:p>
        </w:tc>
        <w:tc>
          <w:tcPr>
            <w:tcW w:w="2296" w:type="dxa"/>
            <w:gridSpan w:val="2"/>
            <w:noWrap w:val="0"/>
            <w:vAlign w:val="top"/>
          </w:tcPr>
          <w:p w14:paraId="25418D96">
            <w:pPr>
              <w:spacing w:line="440" w:lineRule="exact"/>
              <w:rPr>
                <w:rFonts w:eastAsia="黑体"/>
                <w:szCs w:val="21"/>
                <w:highlight w:val="none"/>
              </w:rPr>
            </w:pPr>
          </w:p>
        </w:tc>
      </w:tr>
      <w:tr w14:paraId="3ED3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4B82F791">
            <w:pPr>
              <w:spacing w:line="440" w:lineRule="exact"/>
              <w:rPr>
                <w:rFonts w:eastAsia="黑体"/>
                <w:szCs w:val="21"/>
                <w:highlight w:val="none"/>
              </w:rPr>
            </w:pPr>
          </w:p>
        </w:tc>
        <w:tc>
          <w:tcPr>
            <w:tcW w:w="3420" w:type="dxa"/>
            <w:gridSpan w:val="4"/>
            <w:noWrap w:val="0"/>
            <w:vAlign w:val="center"/>
          </w:tcPr>
          <w:p w14:paraId="6EB5EC51">
            <w:pPr>
              <w:spacing w:line="440" w:lineRule="exact"/>
              <w:rPr>
                <w:rFonts w:eastAsia="黑体"/>
                <w:szCs w:val="21"/>
                <w:highlight w:val="none"/>
              </w:rPr>
            </w:pPr>
          </w:p>
        </w:tc>
        <w:tc>
          <w:tcPr>
            <w:tcW w:w="1261" w:type="dxa"/>
            <w:noWrap w:val="0"/>
            <w:vAlign w:val="center"/>
          </w:tcPr>
          <w:p w14:paraId="755BABC7">
            <w:pPr>
              <w:spacing w:line="440" w:lineRule="exact"/>
              <w:rPr>
                <w:rFonts w:eastAsia="黑体"/>
                <w:szCs w:val="21"/>
                <w:highlight w:val="none"/>
              </w:rPr>
            </w:pPr>
          </w:p>
        </w:tc>
        <w:tc>
          <w:tcPr>
            <w:tcW w:w="2296" w:type="dxa"/>
            <w:gridSpan w:val="2"/>
            <w:noWrap w:val="0"/>
            <w:vAlign w:val="center"/>
          </w:tcPr>
          <w:p w14:paraId="07787A3F">
            <w:pPr>
              <w:spacing w:line="440" w:lineRule="exact"/>
              <w:rPr>
                <w:rFonts w:eastAsia="黑体"/>
                <w:szCs w:val="21"/>
                <w:highlight w:val="none"/>
              </w:rPr>
            </w:pPr>
          </w:p>
        </w:tc>
      </w:tr>
      <w:tr w14:paraId="599A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473B89D3">
            <w:pPr>
              <w:spacing w:line="440" w:lineRule="exact"/>
              <w:rPr>
                <w:rFonts w:eastAsia="黑体"/>
                <w:szCs w:val="21"/>
                <w:highlight w:val="none"/>
              </w:rPr>
            </w:pPr>
          </w:p>
        </w:tc>
        <w:tc>
          <w:tcPr>
            <w:tcW w:w="3420" w:type="dxa"/>
            <w:gridSpan w:val="4"/>
            <w:noWrap w:val="0"/>
            <w:vAlign w:val="center"/>
          </w:tcPr>
          <w:p w14:paraId="1A7AB787">
            <w:pPr>
              <w:spacing w:line="440" w:lineRule="exact"/>
              <w:rPr>
                <w:rFonts w:eastAsia="黑体"/>
                <w:szCs w:val="21"/>
                <w:highlight w:val="none"/>
              </w:rPr>
            </w:pPr>
          </w:p>
        </w:tc>
        <w:tc>
          <w:tcPr>
            <w:tcW w:w="1261" w:type="dxa"/>
            <w:noWrap w:val="0"/>
            <w:vAlign w:val="center"/>
          </w:tcPr>
          <w:p w14:paraId="141096F2">
            <w:pPr>
              <w:spacing w:line="440" w:lineRule="exact"/>
              <w:rPr>
                <w:rFonts w:eastAsia="黑体"/>
                <w:szCs w:val="21"/>
                <w:highlight w:val="none"/>
              </w:rPr>
            </w:pPr>
          </w:p>
        </w:tc>
        <w:tc>
          <w:tcPr>
            <w:tcW w:w="2296" w:type="dxa"/>
            <w:gridSpan w:val="2"/>
            <w:noWrap w:val="0"/>
            <w:vAlign w:val="center"/>
          </w:tcPr>
          <w:p w14:paraId="7A23D1A9">
            <w:pPr>
              <w:spacing w:line="440" w:lineRule="exact"/>
              <w:rPr>
                <w:rFonts w:eastAsia="黑体"/>
                <w:szCs w:val="21"/>
                <w:highlight w:val="none"/>
              </w:rPr>
            </w:pPr>
          </w:p>
        </w:tc>
      </w:tr>
      <w:tr w14:paraId="3DAA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3573CB54">
            <w:pPr>
              <w:spacing w:line="440" w:lineRule="exact"/>
              <w:rPr>
                <w:rFonts w:eastAsia="黑体"/>
                <w:szCs w:val="21"/>
                <w:highlight w:val="none"/>
              </w:rPr>
            </w:pPr>
          </w:p>
        </w:tc>
        <w:tc>
          <w:tcPr>
            <w:tcW w:w="3420" w:type="dxa"/>
            <w:gridSpan w:val="4"/>
            <w:noWrap w:val="0"/>
            <w:vAlign w:val="center"/>
          </w:tcPr>
          <w:p w14:paraId="74687D52">
            <w:pPr>
              <w:spacing w:line="440" w:lineRule="exact"/>
              <w:rPr>
                <w:rFonts w:eastAsia="黑体"/>
                <w:szCs w:val="21"/>
                <w:highlight w:val="none"/>
              </w:rPr>
            </w:pPr>
          </w:p>
        </w:tc>
        <w:tc>
          <w:tcPr>
            <w:tcW w:w="1261" w:type="dxa"/>
            <w:noWrap w:val="0"/>
            <w:vAlign w:val="center"/>
          </w:tcPr>
          <w:p w14:paraId="401D0C96">
            <w:pPr>
              <w:spacing w:line="440" w:lineRule="exact"/>
              <w:rPr>
                <w:rFonts w:eastAsia="黑体"/>
                <w:szCs w:val="21"/>
                <w:highlight w:val="none"/>
              </w:rPr>
            </w:pPr>
          </w:p>
        </w:tc>
        <w:tc>
          <w:tcPr>
            <w:tcW w:w="2296" w:type="dxa"/>
            <w:gridSpan w:val="2"/>
            <w:noWrap w:val="0"/>
            <w:vAlign w:val="center"/>
          </w:tcPr>
          <w:p w14:paraId="38359F9F">
            <w:pPr>
              <w:spacing w:line="440" w:lineRule="exact"/>
              <w:rPr>
                <w:rFonts w:eastAsia="黑体"/>
                <w:szCs w:val="21"/>
                <w:highlight w:val="none"/>
              </w:rPr>
            </w:pPr>
          </w:p>
        </w:tc>
      </w:tr>
      <w:tr w14:paraId="287E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4A2FE369">
            <w:pPr>
              <w:spacing w:line="440" w:lineRule="exact"/>
              <w:rPr>
                <w:rFonts w:eastAsia="黑体"/>
                <w:szCs w:val="21"/>
                <w:highlight w:val="none"/>
              </w:rPr>
            </w:pPr>
          </w:p>
        </w:tc>
        <w:tc>
          <w:tcPr>
            <w:tcW w:w="3420" w:type="dxa"/>
            <w:gridSpan w:val="4"/>
            <w:noWrap w:val="0"/>
            <w:vAlign w:val="center"/>
          </w:tcPr>
          <w:p w14:paraId="2A55023D">
            <w:pPr>
              <w:spacing w:line="440" w:lineRule="exact"/>
              <w:rPr>
                <w:rFonts w:eastAsia="黑体"/>
                <w:szCs w:val="21"/>
                <w:highlight w:val="none"/>
              </w:rPr>
            </w:pPr>
          </w:p>
        </w:tc>
        <w:tc>
          <w:tcPr>
            <w:tcW w:w="1261" w:type="dxa"/>
            <w:noWrap w:val="0"/>
            <w:vAlign w:val="center"/>
          </w:tcPr>
          <w:p w14:paraId="2CBCF1FF">
            <w:pPr>
              <w:spacing w:line="440" w:lineRule="exact"/>
              <w:rPr>
                <w:rFonts w:eastAsia="黑体"/>
                <w:szCs w:val="21"/>
                <w:highlight w:val="none"/>
              </w:rPr>
            </w:pPr>
          </w:p>
        </w:tc>
        <w:tc>
          <w:tcPr>
            <w:tcW w:w="2296" w:type="dxa"/>
            <w:gridSpan w:val="2"/>
            <w:noWrap w:val="0"/>
            <w:vAlign w:val="center"/>
          </w:tcPr>
          <w:p w14:paraId="36D11ACA">
            <w:pPr>
              <w:spacing w:line="440" w:lineRule="exact"/>
              <w:rPr>
                <w:rFonts w:eastAsia="黑体"/>
                <w:szCs w:val="21"/>
                <w:highlight w:val="none"/>
              </w:rPr>
            </w:pPr>
          </w:p>
        </w:tc>
      </w:tr>
      <w:tr w14:paraId="78BF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37F91480">
            <w:pPr>
              <w:spacing w:line="440" w:lineRule="exact"/>
              <w:rPr>
                <w:rFonts w:eastAsia="黑体"/>
                <w:szCs w:val="21"/>
                <w:highlight w:val="none"/>
              </w:rPr>
            </w:pPr>
          </w:p>
        </w:tc>
        <w:tc>
          <w:tcPr>
            <w:tcW w:w="3420" w:type="dxa"/>
            <w:gridSpan w:val="4"/>
            <w:noWrap w:val="0"/>
            <w:vAlign w:val="center"/>
          </w:tcPr>
          <w:p w14:paraId="4E203DBD">
            <w:pPr>
              <w:spacing w:line="440" w:lineRule="exact"/>
              <w:rPr>
                <w:rFonts w:eastAsia="黑体"/>
                <w:szCs w:val="21"/>
                <w:highlight w:val="none"/>
              </w:rPr>
            </w:pPr>
          </w:p>
        </w:tc>
        <w:tc>
          <w:tcPr>
            <w:tcW w:w="1261" w:type="dxa"/>
            <w:noWrap w:val="0"/>
            <w:vAlign w:val="center"/>
          </w:tcPr>
          <w:p w14:paraId="23009A76">
            <w:pPr>
              <w:spacing w:line="440" w:lineRule="exact"/>
              <w:rPr>
                <w:rFonts w:eastAsia="黑体"/>
                <w:szCs w:val="21"/>
                <w:highlight w:val="none"/>
              </w:rPr>
            </w:pPr>
          </w:p>
        </w:tc>
        <w:tc>
          <w:tcPr>
            <w:tcW w:w="2296" w:type="dxa"/>
            <w:gridSpan w:val="2"/>
            <w:noWrap w:val="0"/>
            <w:vAlign w:val="center"/>
          </w:tcPr>
          <w:p w14:paraId="7B4D19D3">
            <w:pPr>
              <w:spacing w:line="440" w:lineRule="exact"/>
              <w:rPr>
                <w:rFonts w:eastAsia="黑体"/>
                <w:szCs w:val="21"/>
                <w:highlight w:val="none"/>
              </w:rPr>
            </w:pPr>
          </w:p>
        </w:tc>
      </w:tr>
      <w:tr w14:paraId="0007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4C8B1835">
            <w:pPr>
              <w:spacing w:line="440" w:lineRule="exact"/>
              <w:rPr>
                <w:rFonts w:eastAsia="黑体"/>
                <w:szCs w:val="21"/>
                <w:highlight w:val="none"/>
              </w:rPr>
            </w:pPr>
          </w:p>
        </w:tc>
        <w:tc>
          <w:tcPr>
            <w:tcW w:w="3420" w:type="dxa"/>
            <w:gridSpan w:val="4"/>
            <w:noWrap w:val="0"/>
            <w:vAlign w:val="center"/>
          </w:tcPr>
          <w:p w14:paraId="6380CD9A">
            <w:pPr>
              <w:spacing w:line="440" w:lineRule="exact"/>
              <w:rPr>
                <w:rFonts w:eastAsia="黑体"/>
                <w:szCs w:val="21"/>
                <w:highlight w:val="none"/>
              </w:rPr>
            </w:pPr>
          </w:p>
        </w:tc>
        <w:tc>
          <w:tcPr>
            <w:tcW w:w="1261" w:type="dxa"/>
            <w:noWrap w:val="0"/>
            <w:vAlign w:val="center"/>
          </w:tcPr>
          <w:p w14:paraId="7B4B66CE">
            <w:pPr>
              <w:spacing w:line="440" w:lineRule="exact"/>
              <w:rPr>
                <w:rFonts w:eastAsia="黑体"/>
                <w:szCs w:val="21"/>
                <w:highlight w:val="none"/>
              </w:rPr>
            </w:pPr>
          </w:p>
        </w:tc>
        <w:tc>
          <w:tcPr>
            <w:tcW w:w="2296" w:type="dxa"/>
            <w:gridSpan w:val="2"/>
            <w:noWrap w:val="0"/>
            <w:vAlign w:val="center"/>
          </w:tcPr>
          <w:p w14:paraId="6E777F39">
            <w:pPr>
              <w:spacing w:line="440" w:lineRule="exact"/>
              <w:rPr>
                <w:rFonts w:eastAsia="黑体"/>
                <w:szCs w:val="21"/>
                <w:highlight w:val="none"/>
              </w:rPr>
            </w:pPr>
          </w:p>
        </w:tc>
      </w:tr>
      <w:tr w14:paraId="3F4F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3227AE72">
            <w:pPr>
              <w:spacing w:line="440" w:lineRule="exact"/>
              <w:rPr>
                <w:rFonts w:eastAsia="黑体"/>
                <w:szCs w:val="21"/>
                <w:highlight w:val="none"/>
              </w:rPr>
            </w:pPr>
          </w:p>
        </w:tc>
        <w:tc>
          <w:tcPr>
            <w:tcW w:w="3420" w:type="dxa"/>
            <w:gridSpan w:val="4"/>
            <w:noWrap w:val="0"/>
            <w:vAlign w:val="center"/>
          </w:tcPr>
          <w:p w14:paraId="01ACE252">
            <w:pPr>
              <w:spacing w:line="440" w:lineRule="exact"/>
              <w:rPr>
                <w:rFonts w:eastAsia="黑体"/>
                <w:szCs w:val="21"/>
                <w:highlight w:val="none"/>
              </w:rPr>
            </w:pPr>
          </w:p>
        </w:tc>
        <w:tc>
          <w:tcPr>
            <w:tcW w:w="1261" w:type="dxa"/>
            <w:noWrap w:val="0"/>
            <w:vAlign w:val="center"/>
          </w:tcPr>
          <w:p w14:paraId="4A325139">
            <w:pPr>
              <w:spacing w:line="440" w:lineRule="exact"/>
              <w:rPr>
                <w:rFonts w:eastAsia="黑体"/>
                <w:szCs w:val="21"/>
                <w:highlight w:val="none"/>
              </w:rPr>
            </w:pPr>
          </w:p>
        </w:tc>
        <w:tc>
          <w:tcPr>
            <w:tcW w:w="2296" w:type="dxa"/>
            <w:gridSpan w:val="2"/>
            <w:noWrap w:val="0"/>
            <w:vAlign w:val="center"/>
          </w:tcPr>
          <w:p w14:paraId="5C93792F">
            <w:pPr>
              <w:spacing w:line="440" w:lineRule="exact"/>
              <w:rPr>
                <w:rFonts w:eastAsia="黑体"/>
                <w:szCs w:val="21"/>
                <w:highlight w:val="none"/>
              </w:rPr>
            </w:pPr>
          </w:p>
        </w:tc>
      </w:tr>
      <w:tr w14:paraId="68F0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488ACDE4">
            <w:pPr>
              <w:spacing w:line="440" w:lineRule="exact"/>
              <w:rPr>
                <w:rFonts w:eastAsia="黑体"/>
                <w:szCs w:val="21"/>
                <w:highlight w:val="none"/>
              </w:rPr>
            </w:pPr>
          </w:p>
        </w:tc>
        <w:tc>
          <w:tcPr>
            <w:tcW w:w="3420" w:type="dxa"/>
            <w:gridSpan w:val="4"/>
            <w:noWrap w:val="0"/>
            <w:vAlign w:val="center"/>
          </w:tcPr>
          <w:p w14:paraId="3468614C">
            <w:pPr>
              <w:spacing w:line="440" w:lineRule="exact"/>
              <w:rPr>
                <w:rFonts w:eastAsia="黑体"/>
                <w:szCs w:val="21"/>
                <w:highlight w:val="none"/>
              </w:rPr>
            </w:pPr>
          </w:p>
        </w:tc>
        <w:tc>
          <w:tcPr>
            <w:tcW w:w="1261" w:type="dxa"/>
            <w:noWrap w:val="0"/>
            <w:vAlign w:val="center"/>
          </w:tcPr>
          <w:p w14:paraId="58E8E85E">
            <w:pPr>
              <w:spacing w:line="440" w:lineRule="exact"/>
              <w:rPr>
                <w:rFonts w:eastAsia="黑体"/>
                <w:szCs w:val="21"/>
                <w:highlight w:val="none"/>
              </w:rPr>
            </w:pPr>
          </w:p>
        </w:tc>
        <w:tc>
          <w:tcPr>
            <w:tcW w:w="2296" w:type="dxa"/>
            <w:gridSpan w:val="2"/>
            <w:noWrap w:val="0"/>
            <w:vAlign w:val="center"/>
          </w:tcPr>
          <w:p w14:paraId="295B0B78">
            <w:pPr>
              <w:spacing w:line="440" w:lineRule="exact"/>
              <w:rPr>
                <w:rFonts w:eastAsia="黑体"/>
                <w:szCs w:val="21"/>
                <w:highlight w:val="none"/>
              </w:rPr>
            </w:pPr>
          </w:p>
        </w:tc>
      </w:tr>
    </w:tbl>
    <w:p w14:paraId="56D9F4E9">
      <w:pPr>
        <w:spacing w:line="440" w:lineRule="exact"/>
        <w:ind w:left="210" w:leftChars="10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注：详见</w:t>
      </w:r>
      <w:r>
        <w:rPr>
          <w:rFonts w:hint="eastAsia" w:ascii="Times New Roman" w:hAnsi="Times New Roman" w:eastAsia="宋体" w:cs="Times New Roman"/>
          <w:highlight w:val="none"/>
        </w:rPr>
        <w:t>评标办法</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表格可根据实际情况调整。</w:t>
      </w:r>
    </w:p>
    <w:p w14:paraId="6EDFF99B">
      <w:pPr>
        <w:spacing w:line="440" w:lineRule="exact"/>
        <w:rPr>
          <w:rFonts w:hint="eastAsia" w:eastAsia="黑体"/>
          <w:sz w:val="20"/>
          <w:szCs w:val="20"/>
          <w:highlight w:val="none"/>
        </w:rPr>
      </w:pPr>
    </w:p>
    <w:p w14:paraId="0CC89BB3">
      <w:pPr>
        <w:topLinePunct/>
        <w:spacing w:line="440" w:lineRule="exact"/>
        <w:jc w:val="center"/>
        <w:rPr>
          <w:rFonts w:hint="eastAsia"/>
          <w:highlight w:val="none"/>
        </w:rPr>
      </w:pPr>
      <w:r>
        <w:rPr>
          <w:highlight w:val="none"/>
        </w:rPr>
        <w:br w:type="page"/>
      </w:r>
    </w:p>
    <w:p w14:paraId="165734E7">
      <w:pPr>
        <w:pStyle w:val="46"/>
        <w:jc w:val="center"/>
        <w:rPr>
          <w:highlight w:val="none"/>
        </w:rPr>
      </w:pPr>
      <w:bookmarkStart w:id="1048" w:name="_Toc7272"/>
      <w:bookmarkStart w:id="1049" w:name="_Toc152045807"/>
      <w:bookmarkStart w:id="1050" w:name="_Toc152042596"/>
      <w:bookmarkStart w:id="1051" w:name="_Toc144974875"/>
      <w:r>
        <w:rPr>
          <w:rFonts w:hint="eastAsia"/>
          <w:highlight w:val="none"/>
          <w:lang w:val="en-US" w:eastAsia="zh-CN"/>
        </w:rPr>
        <w:t>八</w:t>
      </w:r>
      <w:r>
        <w:rPr>
          <w:highlight w:val="none"/>
        </w:rPr>
        <w:t>、资格审查资料</w:t>
      </w:r>
      <w:bookmarkEnd w:id="1048"/>
      <w:bookmarkEnd w:id="1049"/>
      <w:bookmarkEnd w:id="1050"/>
      <w:bookmarkEnd w:id="1051"/>
    </w:p>
    <w:p w14:paraId="0CD48172">
      <w:pPr>
        <w:topLinePunct/>
        <w:spacing w:line="440" w:lineRule="exact"/>
        <w:jc w:val="center"/>
        <w:rPr>
          <w:rFonts w:eastAsia="黑体"/>
          <w:sz w:val="23"/>
          <w:szCs w:val="23"/>
          <w:highlight w:val="none"/>
        </w:rPr>
      </w:pPr>
    </w:p>
    <w:p w14:paraId="0FB1AE17">
      <w:pPr>
        <w:pStyle w:val="45"/>
        <w:rPr>
          <w:szCs w:val="23"/>
          <w:highlight w:val="none"/>
        </w:rPr>
      </w:pPr>
      <w:bookmarkStart w:id="1052" w:name="_Toc152045808"/>
      <w:bookmarkStart w:id="1053" w:name="_Toc27893"/>
      <w:bookmarkStart w:id="1054" w:name="_Toc144974876"/>
      <w:bookmarkStart w:id="1055" w:name="_Toc152042597"/>
      <w:r>
        <w:rPr>
          <w:szCs w:val="23"/>
          <w:highlight w:val="none"/>
        </w:rPr>
        <w:t>（一）投标人基本情况表</w:t>
      </w:r>
      <w:bookmarkEnd w:id="1052"/>
      <w:bookmarkEnd w:id="1053"/>
      <w:bookmarkEnd w:id="1054"/>
      <w:bookmarkEnd w:id="1055"/>
    </w:p>
    <w:p w14:paraId="4FCFCD59">
      <w:pPr>
        <w:topLinePunct/>
        <w:spacing w:line="440" w:lineRule="exact"/>
        <w:jc w:val="center"/>
        <w:rPr>
          <w:rFonts w:eastAsia="黑体"/>
          <w:sz w:val="23"/>
          <w:szCs w:val="23"/>
          <w:highlight w:val="none"/>
        </w:rPr>
      </w:pPr>
    </w:p>
    <w:tbl>
      <w:tblPr>
        <w:tblStyle w:val="2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7298B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8D5E31A">
            <w:pPr>
              <w:topLinePunct/>
              <w:spacing w:line="440" w:lineRule="exact"/>
              <w:jc w:val="center"/>
              <w:rPr>
                <w:szCs w:val="21"/>
                <w:highlight w:val="none"/>
              </w:rPr>
            </w:pPr>
            <w:r>
              <w:rPr>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6456A9B">
            <w:pPr>
              <w:topLinePunct/>
              <w:spacing w:line="440" w:lineRule="exact"/>
              <w:jc w:val="center"/>
              <w:rPr>
                <w:szCs w:val="21"/>
                <w:highlight w:val="none"/>
              </w:rPr>
            </w:pPr>
          </w:p>
        </w:tc>
      </w:tr>
      <w:tr w14:paraId="78759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E0A8744">
            <w:pPr>
              <w:topLinePunct/>
              <w:spacing w:line="440" w:lineRule="exact"/>
              <w:jc w:val="center"/>
              <w:rPr>
                <w:szCs w:val="21"/>
                <w:highlight w:val="none"/>
              </w:rPr>
            </w:pPr>
            <w:r>
              <w:rPr>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355B5D61">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3DBF169">
            <w:pPr>
              <w:topLinePunct/>
              <w:spacing w:line="440" w:lineRule="exact"/>
              <w:jc w:val="center"/>
              <w:rPr>
                <w:szCs w:val="21"/>
                <w:highlight w:val="none"/>
              </w:rPr>
            </w:pPr>
            <w:r>
              <w:rPr>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8E00A18">
            <w:pPr>
              <w:topLinePunct/>
              <w:spacing w:line="440" w:lineRule="exact"/>
              <w:jc w:val="center"/>
              <w:rPr>
                <w:szCs w:val="21"/>
                <w:highlight w:val="none"/>
              </w:rPr>
            </w:pPr>
          </w:p>
        </w:tc>
      </w:tr>
      <w:tr w14:paraId="445ED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4B41F519">
            <w:pPr>
              <w:topLinePunct/>
              <w:spacing w:line="440" w:lineRule="exact"/>
              <w:jc w:val="center"/>
              <w:rPr>
                <w:szCs w:val="21"/>
                <w:highlight w:val="none"/>
              </w:rPr>
            </w:pPr>
            <w:r>
              <w:rPr>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7DE08F3">
            <w:pPr>
              <w:topLinePunct/>
              <w:spacing w:line="440" w:lineRule="exact"/>
              <w:jc w:val="center"/>
              <w:rPr>
                <w:szCs w:val="21"/>
                <w:highlight w:val="none"/>
              </w:rPr>
            </w:pPr>
            <w:r>
              <w:rPr>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673F8724">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44ABB9E">
            <w:pPr>
              <w:topLinePunct/>
              <w:spacing w:line="440" w:lineRule="exact"/>
              <w:jc w:val="center"/>
              <w:rPr>
                <w:szCs w:val="21"/>
                <w:highlight w:val="none"/>
              </w:rPr>
            </w:pPr>
            <w:r>
              <w:rPr>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4AD40D1">
            <w:pPr>
              <w:topLinePunct/>
              <w:spacing w:line="440" w:lineRule="exact"/>
              <w:jc w:val="center"/>
              <w:rPr>
                <w:szCs w:val="21"/>
                <w:highlight w:val="none"/>
              </w:rPr>
            </w:pPr>
          </w:p>
        </w:tc>
      </w:tr>
      <w:tr w14:paraId="682C8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19A6D533">
            <w:pPr>
              <w:topLinePunct/>
              <w:spacing w:line="440" w:lineRule="exact"/>
              <w:jc w:val="center"/>
              <w:rPr>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7E82FD6C">
            <w:pPr>
              <w:topLinePunct/>
              <w:spacing w:line="440" w:lineRule="exact"/>
              <w:jc w:val="center"/>
              <w:rPr>
                <w:szCs w:val="21"/>
                <w:highlight w:val="none"/>
              </w:rPr>
            </w:pPr>
            <w:r>
              <w:rPr>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10EF6220">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E2EECB6">
            <w:pPr>
              <w:topLinePunct/>
              <w:spacing w:line="440" w:lineRule="exact"/>
              <w:jc w:val="center"/>
              <w:rPr>
                <w:szCs w:val="21"/>
                <w:highlight w:val="none"/>
              </w:rPr>
            </w:pPr>
            <w:r>
              <w:rPr>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07EF838">
            <w:pPr>
              <w:topLinePunct/>
              <w:spacing w:line="440" w:lineRule="exact"/>
              <w:jc w:val="center"/>
              <w:rPr>
                <w:szCs w:val="21"/>
                <w:highlight w:val="none"/>
              </w:rPr>
            </w:pPr>
          </w:p>
        </w:tc>
      </w:tr>
      <w:tr w14:paraId="0BBCC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5761453">
            <w:pPr>
              <w:topLinePunct/>
              <w:spacing w:line="440" w:lineRule="exact"/>
              <w:jc w:val="center"/>
              <w:rPr>
                <w:szCs w:val="21"/>
                <w:highlight w:val="none"/>
              </w:rPr>
            </w:pPr>
            <w:r>
              <w:rPr>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9C8916B">
            <w:pPr>
              <w:topLinePunct/>
              <w:spacing w:line="440" w:lineRule="exact"/>
              <w:jc w:val="center"/>
              <w:rPr>
                <w:szCs w:val="21"/>
                <w:highlight w:val="none"/>
              </w:rPr>
            </w:pPr>
          </w:p>
        </w:tc>
      </w:tr>
      <w:tr w14:paraId="32A90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8DC5DAE">
            <w:pPr>
              <w:topLinePunct/>
              <w:spacing w:line="440" w:lineRule="exact"/>
              <w:jc w:val="center"/>
              <w:rPr>
                <w:szCs w:val="21"/>
                <w:highlight w:val="none"/>
              </w:rPr>
            </w:pPr>
            <w:r>
              <w:rPr>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3B8D45A">
            <w:pPr>
              <w:topLinePunct/>
              <w:spacing w:line="440" w:lineRule="exact"/>
              <w:jc w:val="center"/>
              <w:rPr>
                <w:szCs w:val="21"/>
                <w:highlight w:val="none"/>
              </w:rPr>
            </w:pPr>
            <w:r>
              <w:rPr>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6E9AD45">
            <w:pPr>
              <w:topLinePunct/>
              <w:spacing w:line="440" w:lineRule="exact"/>
              <w:jc w:val="center"/>
              <w:rPr>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2FE800B">
            <w:pPr>
              <w:topLinePunct/>
              <w:spacing w:line="440" w:lineRule="exact"/>
              <w:jc w:val="center"/>
              <w:rPr>
                <w:szCs w:val="21"/>
                <w:highlight w:val="none"/>
              </w:rPr>
            </w:pPr>
            <w:r>
              <w:rPr>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ADDD7EB">
            <w:pPr>
              <w:topLinePunct/>
              <w:spacing w:line="440" w:lineRule="exact"/>
              <w:jc w:val="center"/>
              <w:rPr>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D28A2C9">
            <w:pPr>
              <w:topLinePunct/>
              <w:spacing w:line="440" w:lineRule="exact"/>
              <w:jc w:val="center"/>
              <w:rPr>
                <w:szCs w:val="21"/>
                <w:highlight w:val="none"/>
              </w:rPr>
            </w:pPr>
            <w:r>
              <w:rPr>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A559A9">
            <w:pPr>
              <w:topLinePunct/>
              <w:spacing w:line="440" w:lineRule="exact"/>
              <w:jc w:val="center"/>
              <w:rPr>
                <w:szCs w:val="21"/>
                <w:highlight w:val="none"/>
              </w:rPr>
            </w:pPr>
          </w:p>
        </w:tc>
      </w:tr>
      <w:tr w14:paraId="452CB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4ED2F06">
            <w:pPr>
              <w:topLinePunct/>
              <w:spacing w:line="440" w:lineRule="exact"/>
              <w:jc w:val="center"/>
              <w:rPr>
                <w:szCs w:val="21"/>
                <w:highlight w:val="none"/>
              </w:rPr>
            </w:pPr>
            <w:r>
              <w:rPr>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550FD3C">
            <w:pPr>
              <w:topLinePunct/>
              <w:spacing w:line="440" w:lineRule="exact"/>
              <w:jc w:val="center"/>
              <w:rPr>
                <w:szCs w:val="21"/>
                <w:highlight w:val="none"/>
              </w:rPr>
            </w:pPr>
            <w:r>
              <w:rPr>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5AFD278">
            <w:pPr>
              <w:topLinePunct/>
              <w:spacing w:line="440" w:lineRule="exact"/>
              <w:jc w:val="center"/>
              <w:rPr>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81B5E1E">
            <w:pPr>
              <w:topLinePunct/>
              <w:spacing w:line="440" w:lineRule="exact"/>
              <w:jc w:val="center"/>
              <w:rPr>
                <w:szCs w:val="21"/>
                <w:highlight w:val="none"/>
              </w:rPr>
            </w:pPr>
            <w:r>
              <w:rPr>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FA01972">
            <w:pPr>
              <w:topLinePunct/>
              <w:spacing w:line="440" w:lineRule="exact"/>
              <w:jc w:val="center"/>
              <w:rPr>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40A5871">
            <w:pPr>
              <w:topLinePunct/>
              <w:spacing w:line="440" w:lineRule="exact"/>
              <w:jc w:val="center"/>
              <w:rPr>
                <w:szCs w:val="21"/>
                <w:highlight w:val="none"/>
              </w:rPr>
            </w:pPr>
            <w:r>
              <w:rPr>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4193F9">
            <w:pPr>
              <w:topLinePunct/>
              <w:spacing w:line="440" w:lineRule="exact"/>
              <w:jc w:val="center"/>
              <w:rPr>
                <w:szCs w:val="21"/>
                <w:highlight w:val="none"/>
              </w:rPr>
            </w:pPr>
          </w:p>
        </w:tc>
      </w:tr>
      <w:tr w14:paraId="0B68C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B1E5934">
            <w:pPr>
              <w:topLinePunct/>
              <w:spacing w:line="440" w:lineRule="exact"/>
              <w:jc w:val="center"/>
              <w:rPr>
                <w:szCs w:val="21"/>
                <w:highlight w:val="none"/>
              </w:rPr>
            </w:pPr>
            <w:r>
              <w:rPr>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7B76BBA">
            <w:pPr>
              <w:topLinePunct/>
              <w:spacing w:line="440" w:lineRule="exact"/>
              <w:jc w:val="center"/>
              <w:rPr>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7AFCBFD5">
            <w:pPr>
              <w:topLinePunct/>
              <w:spacing w:line="440" w:lineRule="exact"/>
              <w:ind w:firstLine="105" w:firstLineChars="50"/>
              <w:jc w:val="center"/>
              <w:rPr>
                <w:szCs w:val="21"/>
                <w:highlight w:val="none"/>
              </w:rPr>
            </w:pPr>
            <w:r>
              <w:rPr>
                <w:szCs w:val="21"/>
                <w:highlight w:val="none"/>
              </w:rPr>
              <w:t>员工总人数：</w:t>
            </w:r>
          </w:p>
        </w:tc>
      </w:tr>
      <w:tr w14:paraId="42F7F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5AA9885">
            <w:pPr>
              <w:topLinePunct/>
              <w:spacing w:line="440" w:lineRule="exact"/>
              <w:jc w:val="center"/>
              <w:rPr>
                <w:szCs w:val="21"/>
                <w:highlight w:val="none"/>
              </w:rPr>
            </w:pPr>
            <w:r>
              <w:rPr>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D104804">
            <w:pPr>
              <w:topLinePunct/>
              <w:spacing w:line="440" w:lineRule="exact"/>
              <w:jc w:val="center"/>
              <w:rPr>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1E409860">
            <w:pPr>
              <w:topLinePunct/>
              <w:spacing w:line="440" w:lineRule="exact"/>
              <w:jc w:val="center"/>
              <w:rPr>
                <w:szCs w:val="21"/>
                <w:highlight w:val="none"/>
              </w:rPr>
            </w:pPr>
            <w:r>
              <w:rPr>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5CA8609">
            <w:pPr>
              <w:topLinePunct/>
              <w:spacing w:line="440" w:lineRule="exact"/>
              <w:jc w:val="center"/>
              <w:rPr>
                <w:szCs w:val="21"/>
                <w:highlight w:val="none"/>
              </w:rPr>
            </w:pPr>
            <w:r>
              <w:rPr>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7180497">
            <w:pPr>
              <w:topLinePunct/>
              <w:spacing w:line="440" w:lineRule="exact"/>
              <w:jc w:val="center"/>
              <w:rPr>
                <w:szCs w:val="21"/>
                <w:highlight w:val="none"/>
              </w:rPr>
            </w:pPr>
          </w:p>
        </w:tc>
      </w:tr>
      <w:tr w14:paraId="21FFE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9CD779C">
            <w:pPr>
              <w:topLinePunct/>
              <w:spacing w:line="440" w:lineRule="exact"/>
              <w:jc w:val="center"/>
              <w:rPr>
                <w:szCs w:val="21"/>
                <w:highlight w:val="none"/>
              </w:rPr>
            </w:pPr>
            <w:r>
              <w:rPr>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57EE3F2">
            <w:pPr>
              <w:topLinePunct/>
              <w:spacing w:line="440" w:lineRule="exact"/>
              <w:jc w:val="center"/>
              <w:rPr>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5C6B8E">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9F6220F">
            <w:pPr>
              <w:topLinePunct/>
              <w:spacing w:line="440" w:lineRule="exact"/>
              <w:jc w:val="center"/>
              <w:rPr>
                <w:szCs w:val="21"/>
                <w:highlight w:val="none"/>
              </w:rPr>
            </w:pPr>
            <w:r>
              <w:rPr>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51BB5B7">
            <w:pPr>
              <w:topLinePunct/>
              <w:spacing w:line="440" w:lineRule="exact"/>
              <w:jc w:val="center"/>
              <w:rPr>
                <w:szCs w:val="21"/>
                <w:highlight w:val="none"/>
              </w:rPr>
            </w:pPr>
          </w:p>
        </w:tc>
      </w:tr>
      <w:tr w14:paraId="1D5B6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2C8D391">
            <w:pPr>
              <w:topLinePunct/>
              <w:spacing w:line="440" w:lineRule="exact"/>
              <w:jc w:val="center"/>
              <w:rPr>
                <w:szCs w:val="21"/>
                <w:highlight w:val="none"/>
              </w:rPr>
            </w:pPr>
            <w:r>
              <w:rPr>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A9C2876">
            <w:pPr>
              <w:topLinePunct/>
              <w:spacing w:line="440" w:lineRule="exact"/>
              <w:jc w:val="center"/>
              <w:rPr>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D950AC">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66DE49C">
            <w:pPr>
              <w:topLinePunct/>
              <w:spacing w:line="440" w:lineRule="exact"/>
              <w:jc w:val="center"/>
              <w:rPr>
                <w:szCs w:val="21"/>
                <w:highlight w:val="none"/>
              </w:rPr>
            </w:pPr>
            <w:r>
              <w:rPr>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0A64200">
            <w:pPr>
              <w:topLinePunct/>
              <w:spacing w:line="440" w:lineRule="exact"/>
              <w:jc w:val="center"/>
              <w:rPr>
                <w:szCs w:val="21"/>
                <w:highlight w:val="none"/>
              </w:rPr>
            </w:pPr>
          </w:p>
        </w:tc>
      </w:tr>
      <w:tr w14:paraId="2C413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B393247">
            <w:pPr>
              <w:topLinePunct/>
              <w:spacing w:line="440" w:lineRule="exact"/>
              <w:jc w:val="center"/>
              <w:rPr>
                <w:szCs w:val="21"/>
                <w:highlight w:val="none"/>
              </w:rPr>
            </w:pPr>
            <w:r>
              <w:rPr>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B43A9A8">
            <w:pPr>
              <w:topLinePunct/>
              <w:spacing w:line="440" w:lineRule="exact"/>
              <w:jc w:val="center"/>
              <w:rPr>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B8470FC">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226E7A0">
            <w:pPr>
              <w:topLinePunct/>
              <w:spacing w:line="440" w:lineRule="exact"/>
              <w:jc w:val="center"/>
              <w:rPr>
                <w:szCs w:val="21"/>
                <w:highlight w:val="none"/>
              </w:rPr>
            </w:pPr>
            <w:r>
              <w:rPr>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9AE8B58">
            <w:pPr>
              <w:topLinePunct/>
              <w:spacing w:line="440" w:lineRule="exact"/>
              <w:jc w:val="center"/>
              <w:rPr>
                <w:szCs w:val="21"/>
                <w:highlight w:val="none"/>
              </w:rPr>
            </w:pPr>
          </w:p>
        </w:tc>
      </w:tr>
      <w:tr w14:paraId="552D7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597C8F7">
            <w:pPr>
              <w:topLinePunct/>
              <w:spacing w:line="440" w:lineRule="exact"/>
              <w:jc w:val="center"/>
              <w:rPr>
                <w:szCs w:val="21"/>
                <w:highlight w:val="none"/>
              </w:rPr>
            </w:pPr>
            <w:r>
              <w:rPr>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0EEB91F">
            <w:pPr>
              <w:topLinePunct/>
              <w:spacing w:line="440" w:lineRule="exact"/>
              <w:jc w:val="center"/>
              <w:rPr>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81D1F7">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A97765B">
            <w:pPr>
              <w:pStyle w:val="22"/>
              <w:rPr>
                <w:highlight w:val="none"/>
              </w:rPr>
            </w:pPr>
            <w:r>
              <w:rPr>
                <w:highlight w:val="none"/>
              </w:rPr>
              <w:t>技</w:t>
            </w:r>
            <w:r>
              <w:rPr>
                <w:rFonts w:hint="eastAsia"/>
                <w:highlight w:val="none"/>
              </w:rPr>
              <w:t xml:space="preserve">  </w:t>
            </w:r>
            <w:r>
              <w:rPr>
                <w:highlight w:val="none"/>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8F9AC44">
            <w:pPr>
              <w:topLinePunct/>
              <w:spacing w:line="440" w:lineRule="exact"/>
              <w:jc w:val="center"/>
              <w:rPr>
                <w:szCs w:val="21"/>
                <w:highlight w:val="none"/>
              </w:rPr>
            </w:pPr>
          </w:p>
        </w:tc>
      </w:tr>
      <w:tr w14:paraId="5F030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80" w:hRule="atLeast"/>
        </w:trPr>
        <w:tc>
          <w:tcPr>
            <w:tcW w:w="1728" w:type="dxa"/>
            <w:tcBorders>
              <w:top w:val="single" w:color="auto" w:sz="4" w:space="0"/>
              <w:left w:val="single" w:color="auto" w:sz="4" w:space="0"/>
              <w:right w:val="single" w:color="auto" w:sz="4" w:space="0"/>
            </w:tcBorders>
            <w:noWrap w:val="0"/>
            <w:vAlign w:val="center"/>
          </w:tcPr>
          <w:p w14:paraId="56D227F6">
            <w:pPr>
              <w:topLinePunct/>
              <w:spacing w:line="440" w:lineRule="exact"/>
              <w:ind w:firstLine="210" w:firstLineChars="100"/>
              <w:jc w:val="center"/>
              <w:rPr>
                <w:szCs w:val="21"/>
                <w:highlight w:val="none"/>
              </w:rPr>
            </w:pPr>
            <w:r>
              <w:rPr>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786A1F21">
            <w:pPr>
              <w:topLinePunct/>
              <w:spacing w:line="440" w:lineRule="exact"/>
              <w:jc w:val="center"/>
              <w:rPr>
                <w:szCs w:val="21"/>
                <w:highlight w:val="none"/>
              </w:rPr>
            </w:pPr>
          </w:p>
          <w:p w14:paraId="633BF280">
            <w:pPr>
              <w:topLinePunct/>
              <w:spacing w:line="440" w:lineRule="exact"/>
              <w:jc w:val="center"/>
              <w:rPr>
                <w:szCs w:val="21"/>
                <w:highlight w:val="none"/>
              </w:rPr>
            </w:pPr>
          </w:p>
          <w:p w14:paraId="2949E068">
            <w:pPr>
              <w:topLinePunct/>
              <w:spacing w:line="440" w:lineRule="exact"/>
              <w:jc w:val="center"/>
              <w:rPr>
                <w:szCs w:val="21"/>
                <w:highlight w:val="none"/>
              </w:rPr>
            </w:pPr>
          </w:p>
          <w:p w14:paraId="57D411B4">
            <w:pPr>
              <w:topLinePunct/>
              <w:spacing w:line="440" w:lineRule="exact"/>
              <w:jc w:val="center"/>
              <w:rPr>
                <w:szCs w:val="21"/>
                <w:highlight w:val="none"/>
              </w:rPr>
            </w:pPr>
          </w:p>
          <w:p w14:paraId="3DC52B5A">
            <w:pPr>
              <w:topLinePunct/>
              <w:spacing w:line="440" w:lineRule="exact"/>
              <w:rPr>
                <w:szCs w:val="21"/>
                <w:highlight w:val="none"/>
              </w:rPr>
            </w:pPr>
          </w:p>
        </w:tc>
      </w:tr>
      <w:tr w14:paraId="0E079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DBAD1A9">
            <w:pPr>
              <w:topLinePunct/>
              <w:spacing w:line="440" w:lineRule="exact"/>
              <w:jc w:val="center"/>
              <w:rPr>
                <w:szCs w:val="21"/>
                <w:highlight w:val="none"/>
              </w:rPr>
            </w:pPr>
            <w:r>
              <w:rPr>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2E885DC">
            <w:pPr>
              <w:topLinePunct/>
              <w:spacing w:line="440" w:lineRule="exact"/>
              <w:jc w:val="center"/>
              <w:rPr>
                <w:szCs w:val="21"/>
                <w:highlight w:val="none"/>
              </w:rPr>
            </w:pPr>
          </w:p>
        </w:tc>
      </w:tr>
    </w:tbl>
    <w:p w14:paraId="0FB60A62">
      <w:pPr>
        <w:spacing w:line="440" w:lineRule="exact"/>
        <w:ind w:left="210" w:leftChars="10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注：详见</w:t>
      </w:r>
      <w:r>
        <w:rPr>
          <w:rFonts w:hint="eastAsia" w:ascii="Times New Roman" w:hAnsi="Times New Roman" w:eastAsia="宋体" w:cs="Times New Roman"/>
          <w:highlight w:val="none"/>
        </w:rPr>
        <w:t>评标办法</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表格可根据实际情况调整。</w:t>
      </w:r>
    </w:p>
    <w:p w14:paraId="23CFBDF1">
      <w:pPr>
        <w:topLinePunct/>
        <w:spacing w:line="440" w:lineRule="exact"/>
        <w:jc w:val="center"/>
        <w:rPr>
          <w:rFonts w:hint="eastAsia"/>
          <w:sz w:val="20"/>
          <w:highlight w:val="none"/>
        </w:rPr>
      </w:pPr>
    </w:p>
    <w:p w14:paraId="39D0591D">
      <w:pPr>
        <w:pStyle w:val="45"/>
        <w:rPr>
          <w:szCs w:val="23"/>
          <w:highlight w:val="none"/>
        </w:rPr>
      </w:pPr>
      <w:bookmarkStart w:id="1056" w:name="_Toc14062"/>
      <w:bookmarkStart w:id="1057" w:name="_Toc152042598"/>
      <w:bookmarkStart w:id="1058" w:name="_Toc152045809"/>
      <w:bookmarkStart w:id="1059" w:name="_Toc144974877"/>
      <w:r>
        <w:rPr>
          <w:szCs w:val="23"/>
          <w:highlight w:val="none"/>
        </w:rPr>
        <w:t>（二）近年财务状况表</w:t>
      </w:r>
      <w:bookmarkEnd w:id="1056"/>
      <w:bookmarkEnd w:id="1057"/>
      <w:bookmarkEnd w:id="1058"/>
      <w:bookmarkEnd w:id="1059"/>
    </w:p>
    <w:p w14:paraId="5249D4BC">
      <w:pPr>
        <w:topLinePunct/>
        <w:spacing w:line="440" w:lineRule="exact"/>
        <w:jc w:val="center"/>
        <w:rPr>
          <w:rFonts w:eastAsia="黑体"/>
          <w:sz w:val="20"/>
          <w:szCs w:val="20"/>
          <w:highlight w:val="none"/>
        </w:rPr>
      </w:pPr>
    </w:p>
    <w:p w14:paraId="54367F93">
      <w:pPr>
        <w:spacing w:line="440" w:lineRule="exact"/>
        <w:rPr>
          <w:rFonts w:eastAsia="黑体"/>
          <w:sz w:val="23"/>
          <w:szCs w:val="23"/>
          <w:highlight w:val="none"/>
        </w:rPr>
      </w:pPr>
      <w:r>
        <w:rPr>
          <w:rFonts w:eastAsia="黑体"/>
          <w:sz w:val="20"/>
          <w:szCs w:val="20"/>
          <w:highlight w:val="none"/>
        </w:rPr>
        <w:br w:type="page"/>
      </w:r>
    </w:p>
    <w:p w14:paraId="6A0E37D8">
      <w:pPr>
        <w:pStyle w:val="45"/>
        <w:rPr>
          <w:szCs w:val="23"/>
          <w:highlight w:val="none"/>
        </w:rPr>
      </w:pPr>
      <w:bookmarkStart w:id="1060" w:name="_Toc152042599"/>
      <w:bookmarkStart w:id="1061" w:name="_Toc144974878"/>
      <w:bookmarkStart w:id="1062" w:name="_Toc15121"/>
      <w:bookmarkStart w:id="1063" w:name="_Toc152045810"/>
      <w:r>
        <w:rPr>
          <w:szCs w:val="23"/>
          <w:highlight w:val="none"/>
        </w:rPr>
        <w:t>（三）</w:t>
      </w:r>
      <w:r>
        <w:rPr>
          <w:rFonts w:hint="eastAsia"/>
          <w:szCs w:val="23"/>
          <w:highlight w:val="none"/>
          <w:lang w:val="en-US" w:eastAsia="zh-CN"/>
        </w:rPr>
        <w:t>企业业绩</w:t>
      </w:r>
      <w:r>
        <w:rPr>
          <w:szCs w:val="23"/>
          <w:highlight w:val="none"/>
        </w:rPr>
        <w:t>情况表</w:t>
      </w:r>
      <w:bookmarkEnd w:id="1060"/>
      <w:bookmarkEnd w:id="1061"/>
      <w:bookmarkEnd w:id="1062"/>
      <w:bookmarkEnd w:id="1063"/>
    </w:p>
    <w:p w14:paraId="048ECAD8">
      <w:pPr>
        <w:spacing w:line="440" w:lineRule="exact"/>
        <w:jc w:val="center"/>
        <w:rPr>
          <w:rFonts w:eastAsia="黑体"/>
          <w:sz w:val="23"/>
          <w:szCs w:val="23"/>
          <w:highlight w:val="none"/>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186E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0" w:hRule="atLeast"/>
        </w:trPr>
        <w:tc>
          <w:tcPr>
            <w:tcW w:w="1331" w:type="pct"/>
            <w:noWrap w:val="0"/>
            <w:vAlign w:val="center"/>
          </w:tcPr>
          <w:p w14:paraId="1084D59F">
            <w:pPr>
              <w:topLinePunct/>
              <w:spacing w:line="440" w:lineRule="exact"/>
              <w:jc w:val="center"/>
              <w:rPr>
                <w:szCs w:val="21"/>
                <w:highlight w:val="none"/>
              </w:rPr>
            </w:pPr>
            <w:r>
              <w:rPr>
                <w:szCs w:val="21"/>
                <w:highlight w:val="none"/>
              </w:rPr>
              <w:t>项目名称</w:t>
            </w:r>
          </w:p>
        </w:tc>
        <w:tc>
          <w:tcPr>
            <w:tcW w:w="3669" w:type="pct"/>
            <w:noWrap w:val="0"/>
            <w:vAlign w:val="top"/>
          </w:tcPr>
          <w:p w14:paraId="7EC4E9B4">
            <w:pPr>
              <w:topLinePunct/>
              <w:spacing w:line="440" w:lineRule="exact"/>
              <w:rPr>
                <w:szCs w:val="21"/>
                <w:highlight w:val="none"/>
              </w:rPr>
            </w:pPr>
          </w:p>
        </w:tc>
      </w:tr>
      <w:tr w14:paraId="63C7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6" w:hRule="atLeast"/>
        </w:trPr>
        <w:tc>
          <w:tcPr>
            <w:tcW w:w="1331" w:type="pct"/>
            <w:noWrap w:val="0"/>
            <w:vAlign w:val="center"/>
          </w:tcPr>
          <w:p w14:paraId="09307DA0">
            <w:pPr>
              <w:topLinePunct/>
              <w:spacing w:line="440" w:lineRule="exact"/>
              <w:jc w:val="center"/>
              <w:rPr>
                <w:szCs w:val="21"/>
                <w:highlight w:val="none"/>
              </w:rPr>
            </w:pPr>
            <w:r>
              <w:rPr>
                <w:szCs w:val="21"/>
                <w:highlight w:val="none"/>
              </w:rPr>
              <w:t>项目所在地</w:t>
            </w:r>
          </w:p>
        </w:tc>
        <w:tc>
          <w:tcPr>
            <w:tcW w:w="3669" w:type="pct"/>
            <w:noWrap w:val="0"/>
            <w:vAlign w:val="top"/>
          </w:tcPr>
          <w:p w14:paraId="69750B31">
            <w:pPr>
              <w:topLinePunct/>
              <w:spacing w:line="440" w:lineRule="exact"/>
              <w:rPr>
                <w:szCs w:val="21"/>
                <w:highlight w:val="none"/>
              </w:rPr>
            </w:pPr>
          </w:p>
        </w:tc>
      </w:tr>
      <w:tr w14:paraId="3FD9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trPr>
        <w:tc>
          <w:tcPr>
            <w:tcW w:w="1331" w:type="pct"/>
            <w:noWrap w:val="0"/>
            <w:vAlign w:val="center"/>
          </w:tcPr>
          <w:p w14:paraId="26AAA48B">
            <w:pPr>
              <w:topLinePunct/>
              <w:spacing w:line="440" w:lineRule="exact"/>
              <w:jc w:val="center"/>
              <w:rPr>
                <w:szCs w:val="21"/>
                <w:highlight w:val="none"/>
              </w:rPr>
            </w:pPr>
            <w:r>
              <w:rPr>
                <w:szCs w:val="21"/>
                <w:highlight w:val="none"/>
              </w:rPr>
              <w:t>发包人名称</w:t>
            </w:r>
          </w:p>
        </w:tc>
        <w:tc>
          <w:tcPr>
            <w:tcW w:w="3669" w:type="pct"/>
            <w:noWrap w:val="0"/>
            <w:vAlign w:val="top"/>
          </w:tcPr>
          <w:p w14:paraId="6BE1F293">
            <w:pPr>
              <w:topLinePunct/>
              <w:spacing w:line="440" w:lineRule="exact"/>
              <w:rPr>
                <w:szCs w:val="21"/>
                <w:highlight w:val="none"/>
              </w:rPr>
            </w:pPr>
          </w:p>
        </w:tc>
      </w:tr>
      <w:tr w14:paraId="6E3C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trPr>
        <w:tc>
          <w:tcPr>
            <w:tcW w:w="1331" w:type="pct"/>
            <w:noWrap w:val="0"/>
            <w:vAlign w:val="center"/>
          </w:tcPr>
          <w:p w14:paraId="02DA26B9">
            <w:pPr>
              <w:topLinePunct/>
              <w:spacing w:line="440" w:lineRule="exact"/>
              <w:jc w:val="center"/>
              <w:rPr>
                <w:szCs w:val="21"/>
                <w:highlight w:val="none"/>
              </w:rPr>
            </w:pPr>
            <w:r>
              <w:rPr>
                <w:szCs w:val="21"/>
                <w:highlight w:val="none"/>
              </w:rPr>
              <w:t>发包人地址</w:t>
            </w:r>
          </w:p>
        </w:tc>
        <w:tc>
          <w:tcPr>
            <w:tcW w:w="3669" w:type="pct"/>
            <w:noWrap w:val="0"/>
            <w:vAlign w:val="top"/>
          </w:tcPr>
          <w:p w14:paraId="44CFF2D7">
            <w:pPr>
              <w:topLinePunct/>
              <w:spacing w:line="440" w:lineRule="exact"/>
              <w:rPr>
                <w:szCs w:val="21"/>
                <w:highlight w:val="none"/>
              </w:rPr>
            </w:pPr>
          </w:p>
        </w:tc>
      </w:tr>
      <w:tr w14:paraId="250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1331" w:type="pct"/>
            <w:noWrap w:val="0"/>
            <w:vAlign w:val="center"/>
          </w:tcPr>
          <w:p w14:paraId="0F6959DC">
            <w:pPr>
              <w:topLinePunct/>
              <w:spacing w:line="440" w:lineRule="exact"/>
              <w:jc w:val="center"/>
              <w:rPr>
                <w:szCs w:val="21"/>
                <w:highlight w:val="none"/>
              </w:rPr>
            </w:pPr>
            <w:r>
              <w:rPr>
                <w:szCs w:val="21"/>
                <w:highlight w:val="none"/>
              </w:rPr>
              <w:t>发包人电话</w:t>
            </w:r>
          </w:p>
        </w:tc>
        <w:tc>
          <w:tcPr>
            <w:tcW w:w="3669" w:type="pct"/>
            <w:noWrap w:val="0"/>
            <w:vAlign w:val="top"/>
          </w:tcPr>
          <w:p w14:paraId="1716899E">
            <w:pPr>
              <w:topLinePunct/>
              <w:spacing w:line="440" w:lineRule="exact"/>
              <w:rPr>
                <w:szCs w:val="21"/>
                <w:highlight w:val="none"/>
              </w:rPr>
            </w:pPr>
          </w:p>
        </w:tc>
      </w:tr>
      <w:tr w14:paraId="1633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331" w:type="pct"/>
            <w:noWrap w:val="0"/>
            <w:vAlign w:val="center"/>
          </w:tcPr>
          <w:p w14:paraId="19DE404E">
            <w:pPr>
              <w:topLinePunct/>
              <w:spacing w:line="440" w:lineRule="exact"/>
              <w:jc w:val="center"/>
              <w:rPr>
                <w:szCs w:val="21"/>
                <w:highlight w:val="none"/>
              </w:rPr>
            </w:pPr>
            <w:r>
              <w:rPr>
                <w:szCs w:val="21"/>
                <w:highlight w:val="none"/>
              </w:rPr>
              <w:t>合同价格</w:t>
            </w:r>
          </w:p>
        </w:tc>
        <w:tc>
          <w:tcPr>
            <w:tcW w:w="3669" w:type="pct"/>
            <w:noWrap w:val="0"/>
            <w:vAlign w:val="top"/>
          </w:tcPr>
          <w:p w14:paraId="0ABE96F9">
            <w:pPr>
              <w:topLinePunct/>
              <w:spacing w:line="440" w:lineRule="exact"/>
              <w:rPr>
                <w:szCs w:val="21"/>
                <w:highlight w:val="none"/>
              </w:rPr>
            </w:pPr>
          </w:p>
        </w:tc>
      </w:tr>
      <w:tr w14:paraId="3078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trPr>
        <w:tc>
          <w:tcPr>
            <w:tcW w:w="1331" w:type="pct"/>
            <w:noWrap w:val="0"/>
            <w:vAlign w:val="center"/>
          </w:tcPr>
          <w:p w14:paraId="30E0AA7F">
            <w:pPr>
              <w:topLinePunct/>
              <w:spacing w:line="440" w:lineRule="exact"/>
              <w:jc w:val="center"/>
              <w:rPr>
                <w:szCs w:val="21"/>
                <w:highlight w:val="none"/>
              </w:rPr>
            </w:pPr>
            <w:r>
              <w:rPr>
                <w:szCs w:val="21"/>
                <w:highlight w:val="none"/>
              </w:rPr>
              <w:t>开工日期</w:t>
            </w:r>
          </w:p>
        </w:tc>
        <w:tc>
          <w:tcPr>
            <w:tcW w:w="3669" w:type="pct"/>
            <w:noWrap w:val="0"/>
            <w:vAlign w:val="top"/>
          </w:tcPr>
          <w:p w14:paraId="2E31B62E">
            <w:pPr>
              <w:topLinePunct/>
              <w:spacing w:line="440" w:lineRule="exact"/>
              <w:rPr>
                <w:szCs w:val="21"/>
                <w:highlight w:val="none"/>
              </w:rPr>
            </w:pPr>
          </w:p>
        </w:tc>
      </w:tr>
      <w:tr w14:paraId="6226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trPr>
        <w:tc>
          <w:tcPr>
            <w:tcW w:w="1331" w:type="pct"/>
            <w:noWrap w:val="0"/>
            <w:vAlign w:val="center"/>
          </w:tcPr>
          <w:p w14:paraId="36FFD2BC">
            <w:pPr>
              <w:topLinePunct/>
              <w:spacing w:line="440" w:lineRule="exact"/>
              <w:jc w:val="center"/>
              <w:rPr>
                <w:szCs w:val="21"/>
                <w:highlight w:val="none"/>
              </w:rPr>
            </w:pPr>
            <w:r>
              <w:rPr>
                <w:rFonts w:hint="eastAsia"/>
                <w:highlight w:val="none"/>
              </w:rPr>
              <w:t>竣工</w:t>
            </w:r>
            <w:r>
              <w:rPr>
                <w:szCs w:val="21"/>
                <w:highlight w:val="none"/>
              </w:rPr>
              <w:t>日期</w:t>
            </w:r>
          </w:p>
        </w:tc>
        <w:tc>
          <w:tcPr>
            <w:tcW w:w="3669" w:type="pct"/>
            <w:noWrap w:val="0"/>
            <w:vAlign w:val="top"/>
          </w:tcPr>
          <w:p w14:paraId="6A7E2F31">
            <w:pPr>
              <w:topLinePunct/>
              <w:spacing w:line="440" w:lineRule="exact"/>
              <w:rPr>
                <w:szCs w:val="21"/>
                <w:highlight w:val="none"/>
              </w:rPr>
            </w:pPr>
          </w:p>
        </w:tc>
      </w:tr>
      <w:tr w14:paraId="43B7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trPr>
        <w:tc>
          <w:tcPr>
            <w:tcW w:w="1331" w:type="pct"/>
            <w:noWrap w:val="0"/>
            <w:vAlign w:val="center"/>
          </w:tcPr>
          <w:p w14:paraId="6699C5C7">
            <w:pPr>
              <w:topLinePunct/>
              <w:spacing w:line="440" w:lineRule="exact"/>
              <w:jc w:val="center"/>
              <w:rPr>
                <w:szCs w:val="21"/>
                <w:highlight w:val="none"/>
              </w:rPr>
            </w:pPr>
            <w:r>
              <w:rPr>
                <w:szCs w:val="21"/>
                <w:highlight w:val="none"/>
              </w:rPr>
              <w:t>承担的工作</w:t>
            </w:r>
          </w:p>
        </w:tc>
        <w:tc>
          <w:tcPr>
            <w:tcW w:w="3669" w:type="pct"/>
            <w:noWrap w:val="0"/>
            <w:vAlign w:val="top"/>
          </w:tcPr>
          <w:p w14:paraId="11364F62">
            <w:pPr>
              <w:topLinePunct/>
              <w:spacing w:line="440" w:lineRule="exact"/>
              <w:rPr>
                <w:szCs w:val="21"/>
                <w:highlight w:val="none"/>
              </w:rPr>
            </w:pPr>
          </w:p>
        </w:tc>
      </w:tr>
      <w:tr w14:paraId="59B8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331" w:type="pct"/>
            <w:noWrap w:val="0"/>
            <w:vAlign w:val="center"/>
          </w:tcPr>
          <w:p w14:paraId="1505EE05">
            <w:pPr>
              <w:topLinePunct/>
              <w:spacing w:line="440" w:lineRule="exact"/>
              <w:jc w:val="center"/>
              <w:rPr>
                <w:szCs w:val="21"/>
                <w:highlight w:val="none"/>
              </w:rPr>
            </w:pPr>
            <w:r>
              <w:rPr>
                <w:szCs w:val="21"/>
                <w:highlight w:val="none"/>
              </w:rPr>
              <w:t>工程质量</w:t>
            </w:r>
          </w:p>
        </w:tc>
        <w:tc>
          <w:tcPr>
            <w:tcW w:w="3669" w:type="pct"/>
            <w:noWrap w:val="0"/>
            <w:vAlign w:val="top"/>
          </w:tcPr>
          <w:p w14:paraId="1796FC47">
            <w:pPr>
              <w:topLinePunct/>
              <w:spacing w:line="440" w:lineRule="exact"/>
              <w:rPr>
                <w:szCs w:val="21"/>
                <w:highlight w:val="none"/>
              </w:rPr>
            </w:pPr>
          </w:p>
        </w:tc>
      </w:tr>
      <w:tr w14:paraId="32BD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1331" w:type="pct"/>
            <w:noWrap w:val="0"/>
            <w:vAlign w:val="center"/>
          </w:tcPr>
          <w:p w14:paraId="565D9662">
            <w:pPr>
              <w:topLinePunct/>
              <w:spacing w:line="440" w:lineRule="exact"/>
              <w:jc w:val="center"/>
              <w:rPr>
                <w:szCs w:val="21"/>
                <w:highlight w:val="none"/>
              </w:rPr>
            </w:pPr>
            <w:r>
              <w:rPr>
                <w:szCs w:val="21"/>
                <w:highlight w:val="none"/>
              </w:rPr>
              <w:t>项目经理</w:t>
            </w:r>
          </w:p>
        </w:tc>
        <w:tc>
          <w:tcPr>
            <w:tcW w:w="3669" w:type="pct"/>
            <w:noWrap w:val="0"/>
            <w:vAlign w:val="top"/>
          </w:tcPr>
          <w:p w14:paraId="1A581DEE">
            <w:pPr>
              <w:topLinePunct/>
              <w:spacing w:line="440" w:lineRule="exact"/>
              <w:rPr>
                <w:szCs w:val="21"/>
                <w:highlight w:val="none"/>
              </w:rPr>
            </w:pPr>
          </w:p>
        </w:tc>
      </w:tr>
      <w:tr w14:paraId="0CA9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1331" w:type="pct"/>
            <w:noWrap w:val="0"/>
            <w:vAlign w:val="center"/>
          </w:tcPr>
          <w:p w14:paraId="2DBD9E02">
            <w:pPr>
              <w:topLinePunct/>
              <w:spacing w:line="440" w:lineRule="exact"/>
              <w:jc w:val="center"/>
              <w:rPr>
                <w:szCs w:val="21"/>
                <w:highlight w:val="none"/>
              </w:rPr>
            </w:pPr>
            <w:r>
              <w:rPr>
                <w:szCs w:val="21"/>
                <w:highlight w:val="none"/>
              </w:rPr>
              <w:t>技术负责人</w:t>
            </w:r>
          </w:p>
        </w:tc>
        <w:tc>
          <w:tcPr>
            <w:tcW w:w="3669" w:type="pct"/>
            <w:noWrap w:val="0"/>
            <w:vAlign w:val="top"/>
          </w:tcPr>
          <w:p w14:paraId="3877C638">
            <w:pPr>
              <w:topLinePunct/>
              <w:spacing w:line="440" w:lineRule="exact"/>
              <w:rPr>
                <w:szCs w:val="21"/>
                <w:highlight w:val="none"/>
              </w:rPr>
            </w:pPr>
          </w:p>
        </w:tc>
      </w:tr>
      <w:tr w14:paraId="7734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331" w:type="pct"/>
            <w:noWrap w:val="0"/>
            <w:vAlign w:val="center"/>
          </w:tcPr>
          <w:p w14:paraId="13BCC087">
            <w:pPr>
              <w:topLinePunct/>
              <w:spacing w:line="440" w:lineRule="exact"/>
              <w:jc w:val="center"/>
              <w:rPr>
                <w:szCs w:val="21"/>
                <w:highlight w:val="none"/>
              </w:rPr>
            </w:pPr>
            <w:r>
              <w:rPr>
                <w:szCs w:val="21"/>
                <w:highlight w:val="none"/>
              </w:rPr>
              <w:t>总监理工程师及电话</w:t>
            </w:r>
          </w:p>
        </w:tc>
        <w:tc>
          <w:tcPr>
            <w:tcW w:w="3669" w:type="pct"/>
            <w:noWrap w:val="0"/>
            <w:vAlign w:val="top"/>
          </w:tcPr>
          <w:p w14:paraId="79547C62">
            <w:pPr>
              <w:topLinePunct/>
              <w:spacing w:line="440" w:lineRule="exact"/>
              <w:rPr>
                <w:szCs w:val="21"/>
                <w:highlight w:val="none"/>
              </w:rPr>
            </w:pPr>
          </w:p>
        </w:tc>
      </w:tr>
      <w:tr w14:paraId="72B9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trPr>
        <w:tc>
          <w:tcPr>
            <w:tcW w:w="1331" w:type="pct"/>
            <w:noWrap w:val="0"/>
            <w:vAlign w:val="center"/>
          </w:tcPr>
          <w:p w14:paraId="0C20A766">
            <w:pPr>
              <w:topLinePunct/>
              <w:spacing w:line="440" w:lineRule="exact"/>
              <w:jc w:val="center"/>
              <w:rPr>
                <w:szCs w:val="21"/>
                <w:highlight w:val="none"/>
              </w:rPr>
            </w:pPr>
            <w:r>
              <w:rPr>
                <w:szCs w:val="21"/>
                <w:highlight w:val="none"/>
              </w:rPr>
              <w:t>项目描述</w:t>
            </w:r>
          </w:p>
        </w:tc>
        <w:tc>
          <w:tcPr>
            <w:tcW w:w="3669" w:type="pct"/>
            <w:noWrap w:val="0"/>
            <w:vAlign w:val="top"/>
          </w:tcPr>
          <w:p w14:paraId="2DF9F39B">
            <w:pPr>
              <w:topLinePunct/>
              <w:spacing w:line="440" w:lineRule="exact"/>
              <w:rPr>
                <w:szCs w:val="21"/>
                <w:highlight w:val="none"/>
              </w:rPr>
            </w:pPr>
          </w:p>
          <w:p w14:paraId="07C16BA3">
            <w:pPr>
              <w:topLinePunct/>
              <w:spacing w:line="440" w:lineRule="exact"/>
              <w:rPr>
                <w:szCs w:val="21"/>
                <w:highlight w:val="none"/>
              </w:rPr>
            </w:pPr>
          </w:p>
          <w:p w14:paraId="677FA8AE">
            <w:pPr>
              <w:topLinePunct/>
              <w:spacing w:line="440" w:lineRule="exact"/>
              <w:rPr>
                <w:szCs w:val="21"/>
                <w:highlight w:val="none"/>
              </w:rPr>
            </w:pPr>
          </w:p>
          <w:p w14:paraId="09EDDFC6">
            <w:pPr>
              <w:topLinePunct/>
              <w:spacing w:line="440" w:lineRule="exact"/>
              <w:rPr>
                <w:szCs w:val="21"/>
                <w:highlight w:val="none"/>
              </w:rPr>
            </w:pPr>
          </w:p>
          <w:p w14:paraId="0FFBC494">
            <w:pPr>
              <w:topLinePunct/>
              <w:spacing w:line="440" w:lineRule="exact"/>
              <w:rPr>
                <w:szCs w:val="21"/>
                <w:highlight w:val="none"/>
              </w:rPr>
            </w:pPr>
          </w:p>
          <w:p w14:paraId="30AD9D93">
            <w:pPr>
              <w:topLinePunct/>
              <w:spacing w:line="440" w:lineRule="exact"/>
              <w:rPr>
                <w:szCs w:val="21"/>
                <w:highlight w:val="none"/>
              </w:rPr>
            </w:pPr>
          </w:p>
          <w:p w14:paraId="182A7B46">
            <w:pPr>
              <w:topLinePunct/>
              <w:spacing w:line="440" w:lineRule="exact"/>
              <w:rPr>
                <w:szCs w:val="21"/>
                <w:highlight w:val="none"/>
              </w:rPr>
            </w:pPr>
          </w:p>
        </w:tc>
      </w:tr>
      <w:tr w14:paraId="2068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trPr>
        <w:tc>
          <w:tcPr>
            <w:tcW w:w="1331" w:type="pct"/>
            <w:noWrap w:val="0"/>
            <w:vAlign w:val="center"/>
          </w:tcPr>
          <w:p w14:paraId="3AD2FAF4">
            <w:pPr>
              <w:topLinePunct/>
              <w:spacing w:line="440" w:lineRule="exact"/>
              <w:jc w:val="center"/>
              <w:rPr>
                <w:szCs w:val="21"/>
                <w:highlight w:val="none"/>
              </w:rPr>
            </w:pPr>
            <w:r>
              <w:rPr>
                <w:szCs w:val="21"/>
                <w:highlight w:val="none"/>
              </w:rPr>
              <w:t>备注</w:t>
            </w:r>
          </w:p>
        </w:tc>
        <w:tc>
          <w:tcPr>
            <w:tcW w:w="3669" w:type="pct"/>
            <w:noWrap w:val="0"/>
            <w:vAlign w:val="top"/>
          </w:tcPr>
          <w:p w14:paraId="1EDECC34">
            <w:pPr>
              <w:topLinePunct/>
              <w:spacing w:line="440" w:lineRule="exact"/>
              <w:rPr>
                <w:szCs w:val="21"/>
                <w:highlight w:val="none"/>
              </w:rPr>
            </w:pPr>
          </w:p>
        </w:tc>
      </w:tr>
    </w:tbl>
    <w:p w14:paraId="4C2715C1">
      <w:pPr>
        <w:spacing w:line="440" w:lineRule="exact"/>
        <w:ind w:left="210" w:leftChars="10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注：详见</w:t>
      </w:r>
      <w:r>
        <w:rPr>
          <w:rFonts w:hint="eastAsia" w:ascii="Times New Roman" w:hAnsi="Times New Roman" w:eastAsia="宋体" w:cs="Times New Roman"/>
          <w:highlight w:val="none"/>
        </w:rPr>
        <w:t>评标办法</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表格可根据实际情况调整。</w:t>
      </w:r>
    </w:p>
    <w:p w14:paraId="0E60DE36">
      <w:pPr>
        <w:spacing w:line="440" w:lineRule="exact"/>
        <w:jc w:val="center"/>
        <w:rPr>
          <w:rFonts w:eastAsia="黑体"/>
          <w:sz w:val="23"/>
          <w:szCs w:val="23"/>
          <w:highlight w:val="none"/>
        </w:rPr>
      </w:pPr>
    </w:p>
    <w:p w14:paraId="72795079">
      <w:pPr>
        <w:pStyle w:val="45"/>
        <w:rPr>
          <w:szCs w:val="23"/>
          <w:highlight w:val="none"/>
        </w:rPr>
      </w:pPr>
      <w:bookmarkStart w:id="1064" w:name="_Toc152042600"/>
      <w:bookmarkStart w:id="1065" w:name="_Toc2477"/>
      <w:bookmarkStart w:id="1066" w:name="_Toc144974879"/>
      <w:bookmarkStart w:id="1067" w:name="_Toc152045811"/>
      <w:bookmarkStart w:id="1068" w:name="OLE_LINK22"/>
      <w:r>
        <w:rPr>
          <w:szCs w:val="23"/>
          <w:highlight w:val="none"/>
        </w:rPr>
        <w:t>（四）</w:t>
      </w:r>
      <w:r>
        <w:rPr>
          <w:rFonts w:hint="eastAsia"/>
          <w:szCs w:val="23"/>
          <w:highlight w:val="none"/>
          <w:lang w:val="en-US" w:eastAsia="zh-CN"/>
        </w:rPr>
        <w:t>项目经理业绩</w:t>
      </w:r>
      <w:r>
        <w:rPr>
          <w:szCs w:val="23"/>
          <w:highlight w:val="none"/>
        </w:rPr>
        <w:t>情况表</w:t>
      </w:r>
      <w:bookmarkEnd w:id="1064"/>
      <w:bookmarkEnd w:id="1065"/>
      <w:bookmarkEnd w:id="1066"/>
      <w:bookmarkEnd w:id="1067"/>
    </w:p>
    <w:p w14:paraId="3F9E34B0">
      <w:pPr>
        <w:spacing w:line="440" w:lineRule="exact"/>
        <w:rPr>
          <w:rFonts w:eastAsia="黑体"/>
          <w:sz w:val="20"/>
          <w:szCs w:val="20"/>
          <w:highlight w:val="none"/>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403"/>
      </w:tblGrid>
      <w:tr w14:paraId="294F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0" w:hRule="atLeast"/>
        </w:trPr>
        <w:tc>
          <w:tcPr>
            <w:tcW w:w="1243" w:type="pct"/>
            <w:noWrap w:val="0"/>
            <w:vAlign w:val="center"/>
          </w:tcPr>
          <w:p w14:paraId="613B37B0">
            <w:pPr>
              <w:topLinePunct/>
              <w:spacing w:line="440" w:lineRule="exact"/>
              <w:jc w:val="center"/>
              <w:rPr>
                <w:szCs w:val="21"/>
                <w:highlight w:val="none"/>
              </w:rPr>
            </w:pPr>
            <w:r>
              <w:rPr>
                <w:szCs w:val="21"/>
                <w:highlight w:val="none"/>
              </w:rPr>
              <w:t>项目名称</w:t>
            </w:r>
          </w:p>
        </w:tc>
        <w:tc>
          <w:tcPr>
            <w:tcW w:w="3757" w:type="pct"/>
            <w:noWrap w:val="0"/>
            <w:vAlign w:val="top"/>
          </w:tcPr>
          <w:p w14:paraId="6832087E">
            <w:pPr>
              <w:topLinePunct/>
              <w:spacing w:line="440" w:lineRule="exact"/>
              <w:rPr>
                <w:szCs w:val="21"/>
                <w:highlight w:val="none"/>
              </w:rPr>
            </w:pPr>
          </w:p>
        </w:tc>
      </w:tr>
      <w:tr w14:paraId="70A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6" w:hRule="atLeast"/>
        </w:trPr>
        <w:tc>
          <w:tcPr>
            <w:tcW w:w="1243" w:type="pct"/>
            <w:noWrap w:val="0"/>
            <w:vAlign w:val="center"/>
          </w:tcPr>
          <w:p w14:paraId="6782FA8D">
            <w:pPr>
              <w:topLinePunct/>
              <w:spacing w:line="440" w:lineRule="exact"/>
              <w:jc w:val="center"/>
              <w:rPr>
                <w:szCs w:val="21"/>
                <w:highlight w:val="none"/>
              </w:rPr>
            </w:pPr>
            <w:r>
              <w:rPr>
                <w:szCs w:val="21"/>
                <w:highlight w:val="none"/>
              </w:rPr>
              <w:t>项目所在地</w:t>
            </w:r>
          </w:p>
        </w:tc>
        <w:tc>
          <w:tcPr>
            <w:tcW w:w="3757" w:type="pct"/>
            <w:noWrap w:val="0"/>
            <w:vAlign w:val="top"/>
          </w:tcPr>
          <w:p w14:paraId="1E8057BC">
            <w:pPr>
              <w:topLinePunct/>
              <w:spacing w:line="440" w:lineRule="exact"/>
              <w:rPr>
                <w:szCs w:val="21"/>
                <w:highlight w:val="none"/>
              </w:rPr>
            </w:pPr>
          </w:p>
        </w:tc>
      </w:tr>
      <w:tr w14:paraId="44BA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trPr>
        <w:tc>
          <w:tcPr>
            <w:tcW w:w="1243" w:type="pct"/>
            <w:noWrap w:val="0"/>
            <w:vAlign w:val="center"/>
          </w:tcPr>
          <w:p w14:paraId="664CE9C7">
            <w:pPr>
              <w:topLinePunct/>
              <w:spacing w:line="440" w:lineRule="exact"/>
              <w:jc w:val="center"/>
              <w:rPr>
                <w:szCs w:val="21"/>
                <w:highlight w:val="none"/>
              </w:rPr>
            </w:pPr>
            <w:r>
              <w:rPr>
                <w:szCs w:val="21"/>
                <w:highlight w:val="none"/>
              </w:rPr>
              <w:t>发包人名称</w:t>
            </w:r>
          </w:p>
        </w:tc>
        <w:tc>
          <w:tcPr>
            <w:tcW w:w="3757" w:type="pct"/>
            <w:noWrap w:val="0"/>
            <w:vAlign w:val="top"/>
          </w:tcPr>
          <w:p w14:paraId="688E303F">
            <w:pPr>
              <w:topLinePunct/>
              <w:spacing w:line="440" w:lineRule="exact"/>
              <w:rPr>
                <w:szCs w:val="21"/>
                <w:highlight w:val="none"/>
              </w:rPr>
            </w:pPr>
          </w:p>
        </w:tc>
      </w:tr>
      <w:tr w14:paraId="67E4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trPr>
        <w:tc>
          <w:tcPr>
            <w:tcW w:w="1243" w:type="pct"/>
            <w:noWrap w:val="0"/>
            <w:vAlign w:val="center"/>
          </w:tcPr>
          <w:p w14:paraId="328B6293">
            <w:pPr>
              <w:topLinePunct/>
              <w:spacing w:line="440" w:lineRule="exact"/>
              <w:jc w:val="center"/>
              <w:rPr>
                <w:szCs w:val="21"/>
                <w:highlight w:val="none"/>
              </w:rPr>
            </w:pPr>
            <w:r>
              <w:rPr>
                <w:szCs w:val="21"/>
                <w:highlight w:val="none"/>
              </w:rPr>
              <w:t>发包人地址</w:t>
            </w:r>
          </w:p>
        </w:tc>
        <w:tc>
          <w:tcPr>
            <w:tcW w:w="3757" w:type="pct"/>
            <w:noWrap w:val="0"/>
            <w:vAlign w:val="top"/>
          </w:tcPr>
          <w:p w14:paraId="66BAC52A">
            <w:pPr>
              <w:topLinePunct/>
              <w:spacing w:line="440" w:lineRule="exact"/>
              <w:rPr>
                <w:szCs w:val="21"/>
                <w:highlight w:val="none"/>
              </w:rPr>
            </w:pPr>
          </w:p>
        </w:tc>
      </w:tr>
      <w:tr w14:paraId="1B40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1243" w:type="pct"/>
            <w:noWrap w:val="0"/>
            <w:vAlign w:val="center"/>
          </w:tcPr>
          <w:p w14:paraId="2912932D">
            <w:pPr>
              <w:topLinePunct/>
              <w:spacing w:line="440" w:lineRule="exact"/>
              <w:jc w:val="center"/>
              <w:rPr>
                <w:szCs w:val="21"/>
                <w:highlight w:val="none"/>
              </w:rPr>
            </w:pPr>
            <w:r>
              <w:rPr>
                <w:szCs w:val="21"/>
                <w:highlight w:val="none"/>
              </w:rPr>
              <w:t>发包人电话</w:t>
            </w:r>
          </w:p>
        </w:tc>
        <w:tc>
          <w:tcPr>
            <w:tcW w:w="3757" w:type="pct"/>
            <w:noWrap w:val="0"/>
            <w:vAlign w:val="top"/>
          </w:tcPr>
          <w:p w14:paraId="5712C9E8">
            <w:pPr>
              <w:topLinePunct/>
              <w:spacing w:line="440" w:lineRule="exact"/>
              <w:rPr>
                <w:szCs w:val="21"/>
                <w:highlight w:val="none"/>
              </w:rPr>
            </w:pPr>
          </w:p>
        </w:tc>
      </w:tr>
      <w:tr w14:paraId="0EB2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243" w:type="pct"/>
            <w:noWrap w:val="0"/>
            <w:vAlign w:val="center"/>
          </w:tcPr>
          <w:p w14:paraId="2019DB01">
            <w:pPr>
              <w:topLinePunct/>
              <w:spacing w:line="440" w:lineRule="exact"/>
              <w:jc w:val="center"/>
              <w:rPr>
                <w:szCs w:val="21"/>
                <w:highlight w:val="none"/>
              </w:rPr>
            </w:pPr>
            <w:r>
              <w:rPr>
                <w:szCs w:val="21"/>
                <w:highlight w:val="none"/>
              </w:rPr>
              <w:t>签约合同价</w:t>
            </w:r>
          </w:p>
        </w:tc>
        <w:tc>
          <w:tcPr>
            <w:tcW w:w="3757" w:type="pct"/>
            <w:noWrap w:val="0"/>
            <w:vAlign w:val="top"/>
          </w:tcPr>
          <w:p w14:paraId="2ABE2223">
            <w:pPr>
              <w:topLinePunct/>
              <w:spacing w:line="440" w:lineRule="exact"/>
              <w:rPr>
                <w:szCs w:val="21"/>
                <w:highlight w:val="none"/>
              </w:rPr>
            </w:pPr>
          </w:p>
        </w:tc>
      </w:tr>
      <w:tr w14:paraId="1E1B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trPr>
        <w:tc>
          <w:tcPr>
            <w:tcW w:w="1243" w:type="pct"/>
            <w:noWrap w:val="0"/>
            <w:vAlign w:val="center"/>
          </w:tcPr>
          <w:p w14:paraId="7EAF85A7">
            <w:pPr>
              <w:topLinePunct/>
              <w:spacing w:line="440" w:lineRule="exact"/>
              <w:jc w:val="center"/>
              <w:rPr>
                <w:szCs w:val="21"/>
                <w:highlight w:val="none"/>
              </w:rPr>
            </w:pPr>
            <w:r>
              <w:rPr>
                <w:szCs w:val="21"/>
                <w:highlight w:val="none"/>
              </w:rPr>
              <w:t>开工日期</w:t>
            </w:r>
          </w:p>
        </w:tc>
        <w:tc>
          <w:tcPr>
            <w:tcW w:w="3757" w:type="pct"/>
            <w:noWrap w:val="0"/>
            <w:vAlign w:val="top"/>
          </w:tcPr>
          <w:p w14:paraId="01E791AA">
            <w:pPr>
              <w:topLinePunct/>
              <w:spacing w:line="440" w:lineRule="exact"/>
              <w:rPr>
                <w:szCs w:val="21"/>
                <w:highlight w:val="none"/>
              </w:rPr>
            </w:pPr>
          </w:p>
        </w:tc>
      </w:tr>
      <w:tr w14:paraId="2BFB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trPr>
        <w:tc>
          <w:tcPr>
            <w:tcW w:w="1243" w:type="pct"/>
            <w:noWrap w:val="0"/>
            <w:vAlign w:val="center"/>
          </w:tcPr>
          <w:p w14:paraId="57DD1294">
            <w:pPr>
              <w:topLinePunct/>
              <w:spacing w:line="440" w:lineRule="exact"/>
              <w:jc w:val="center"/>
              <w:rPr>
                <w:szCs w:val="21"/>
                <w:highlight w:val="none"/>
              </w:rPr>
            </w:pPr>
            <w:r>
              <w:rPr>
                <w:szCs w:val="21"/>
                <w:highlight w:val="none"/>
              </w:rPr>
              <w:t>计划</w:t>
            </w:r>
            <w:r>
              <w:rPr>
                <w:rFonts w:hint="eastAsia"/>
                <w:highlight w:val="none"/>
              </w:rPr>
              <w:t>竣工</w:t>
            </w:r>
            <w:r>
              <w:rPr>
                <w:szCs w:val="21"/>
                <w:highlight w:val="none"/>
              </w:rPr>
              <w:t>日期</w:t>
            </w:r>
          </w:p>
        </w:tc>
        <w:tc>
          <w:tcPr>
            <w:tcW w:w="3757" w:type="pct"/>
            <w:noWrap w:val="0"/>
            <w:vAlign w:val="top"/>
          </w:tcPr>
          <w:p w14:paraId="10A720A3">
            <w:pPr>
              <w:topLinePunct/>
              <w:spacing w:line="440" w:lineRule="exact"/>
              <w:rPr>
                <w:szCs w:val="21"/>
                <w:highlight w:val="none"/>
              </w:rPr>
            </w:pPr>
          </w:p>
        </w:tc>
      </w:tr>
      <w:tr w14:paraId="7C20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trPr>
        <w:tc>
          <w:tcPr>
            <w:tcW w:w="1243" w:type="pct"/>
            <w:noWrap w:val="0"/>
            <w:vAlign w:val="center"/>
          </w:tcPr>
          <w:p w14:paraId="5C03F496">
            <w:pPr>
              <w:topLinePunct/>
              <w:spacing w:line="440" w:lineRule="exact"/>
              <w:jc w:val="center"/>
              <w:rPr>
                <w:szCs w:val="21"/>
                <w:highlight w:val="none"/>
              </w:rPr>
            </w:pPr>
            <w:r>
              <w:rPr>
                <w:szCs w:val="21"/>
                <w:highlight w:val="none"/>
              </w:rPr>
              <w:t>承担的工作</w:t>
            </w:r>
          </w:p>
        </w:tc>
        <w:tc>
          <w:tcPr>
            <w:tcW w:w="3757" w:type="pct"/>
            <w:noWrap w:val="0"/>
            <w:vAlign w:val="top"/>
          </w:tcPr>
          <w:p w14:paraId="7AD9F8D5">
            <w:pPr>
              <w:topLinePunct/>
              <w:spacing w:line="440" w:lineRule="exact"/>
              <w:rPr>
                <w:szCs w:val="21"/>
                <w:highlight w:val="none"/>
              </w:rPr>
            </w:pPr>
          </w:p>
        </w:tc>
      </w:tr>
      <w:tr w14:paraId="36E5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trPr>
        <w:tc>
          <w:tcPr>
            <w:tcW w:w="1243" w:type="pct"/>
            <w:noWrap w:val="0"/>
            <w:vAlign w:val="center"/>
          </w:tcPr>
          <w:p w14:paraId="07A018ED">
            <w:pPr>
              <w:topLinePunct/>
              <w:spacing w:line="440" w:lineRule="exact"/>
              <w:jc w:val="center"/>
              <w:rPr>
                <w:szCs w:val="21"/>
                <w:highlight w:val="none"/>
              </w:rPr>
            </w:pPr>
            <w:r>
              <w:rPr>
                <w:szCs w:val="21"/>
                <w:highlight w:val="none"/>
              </w:rPr>
              <w:t>工程质量</w:t>
            </w:r>
          </w:p>
        </w:tc>
        <w:tc>
          <w:tcPr>
            <w:tcW w:w="3757" w:type="pct"/>
            <w:noWrap w:val="0"/>
            <w:vAlign w:val="top"/>
          </w:tcPr>
          <w:p w14:paraId="422CCDE3">
            <w:pPr>
              <w:topLinePunct/>
              <w:spacing w:line="440" w:lineRule="exact"/>
              <w:rPr>
                <w:szCs w:val="21"/>
                <w:highlight w:val="none"/>
              </w:rPr>
            </w:pPr>
          </w:p>
        </w:tc>
      </w:tr>
      <w:tr w14:paraId="3C2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1243" w:type="pct"/>
            <w:noWrap w:val="0"/>
            <w:vAlign w:val="center"/>
          </w:tcPr>
          <w:p w14:paraId="01DAEA3F">
            <w:pPr>
              <w:topLinePunct/>
              <w:spacing w:line="440" w:lineRule="exact"/>
              <w:jc w:val="center"/>
              <w:rPr>
                <w:szCs w:val="21"/>
                <w:highlight w:val="none"/>
              </w:rPr>
            </w:pPr>
            <w:r>
              <w:rPr>
                <w:szCs w:val="21"/>
                <w:highlight w:val="none"/>
              </w:rPr>
              <w:t>项目经理</w:t>
            </w:r>
          </w:p>
        </w:tc>
        <w:tc>
          <w:tcPr>
            <w:tcW w:w="3757" w:type="pct"/>
            <w:noWrap w:val="0"/>
            <w:vAlign w:val="top"/>
          </w:tcPr>
          <w:p w14:paraId="5312DAA1">
            <w:pPr>
              <w:topLinePunct/>
              <w:spacing w:line="440" w:lineRule="exact"/>
              <w:rPr>
                <w:szCs w:val="21"/>
                <w:highlight w:val="none"/>
              </w:rPr>
            </w:pPr>
          </w:p>
        </w:tc>
      </w:tr>
      <w:tr w14:paraId="5D72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1243" w:type="pct"/>
            <w:noWrap w:val="0"/>
            <w:vAlign w:val="center"/>
          </w:tcPr>
          <w:p w14:paraId="07A3610B">
            <w:pPr>
              <w:topLinePunct/>
              <w:spacing w:line="440" w:lineRule="exact"/>
              <w:jc w:val="center"/>
              <w:rPr>
                <w:szCs w:val="21"/>
                <w:highlight w:val="none"/>
              </w:rPr>
            </w:pPr>
            <w:r>
              <w:rPr>
                <w:szCs w:val="21"/>
                <w:highlight w:val="none"/>
              </w:rPr>
              <w:t>技术负责人</w:t>
            </w:r>
          </w:p>
        </w:tc>
        <w:tc>
          <w:tcPr>
            <w:tcW w:w="3757" w:type="pct"/>
            <w:noWrap w:val="0"/>
            <w:vAlign w:val="top"/>
          </w:tcPr>
          <w:p w14:paraId="6AFF79D9">
            <w:pPr>
              <w:topLinePunct/>
              <w:spacing w:line="440" w:lineRule="exact"/>
              <w:rPr>
                <w:szCs w:val="21"/>
                <w:highlight w:val="none"/>
              </w:rPr>
            </w:pPr>
          </w:p>
        </w:tc>
      </w:tr>
      <w:tr w14:paraId="5C11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trPr>
        <w:tc>
          <w:tcPr>
            <w:tcW w:w="1243" w:type="pct"/>
            <w:noWrap w:val="0"/>
            <w:vAlign w:val="center"/>
          </w:tcPr>
          <w:p w14:paraId="1031C511">
            <w:pPr>
              <w:topLinePunct/>
              <w:spacing w:line="440" w:lineRule="exact"/>
              <w:jc w:val="center"/>
              <w:rPr>
                <w:szCs w:val="21"/>
                <w:highlight w:val="none"/>
              </w:rPr>
            </w:pPr>
            <w:r>
              <w:rPr>
                <w:szCs w:val="21"/>
                <w:highlight w:val="none"/>
              </w:rPr>
              <w:t>总监理工程师及电话</w:t>
            </w:r>
          </w:p>
        </w:tc>
        <w:tc>
          <w:tcPr>
            <w:tcW w:w="3757" w:type="pct"/>
            <w:noWrap w:val="0"/>
            <w:vAlign w:val="top"/>
          </w:tcPr>
          <w:p w14:paraId="192F3BE3">
            <w:pPr>
              <w:topLinePunct/>
              <w:spacing w:line="440" w:lineRule="exact"/>
              <w:rPr>
                <w:szCs w:val="21"/>
                <w:highlight w:val="none"/>
              </w:rPr>
            </w:pPr>
          </w:p>
        </w:tc>
      </w:tr>
      <w:tr w14:paraId="1B6F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43" w:type="pct"/>
            <w:noWrap w:val="0"/>
            <w:vAlign w:val="center"/>
          </w:tcPr>
          <w:p w14:paraId="4850474F">
            <w:pPr>
              <w:topLinePunct/>
              <w:spacing w:line="440" w:lineRule="exact"/>
              <w:jc w:val="center"/>
              <w:rPr>
                <w:szCs w:val="21"/>
                <w:highlight w:val="none"/>
              </w:rPr>
            </w:pPr>
            <w:r>
              <w:rPr>
                <w:szCs w:val="21"/>
                <w:highlight w:val="none"/>
              </w:rPr>
              <w:t>项目描述</w:t>
            </w:r>
          </w:p>
        </w:tc>
        <w:tc>
          <w:tcPr>
            <w:tcW w:w="3757" w:type="pct"/>
            <w:noWrap w:val="0"/>
            <w:vAlign w:val="top"/>
          </w:tcPr>
          <w:p w14:paraId="76B3F911">
            <w:pPr>
              <w:topLinePunct/>
              <w:spacing w:line="440" w:lineRule="exact"/>
              <w:rPr>
                <w:szCs w:val="21"/>
                <w:highlight w:val="none"/>
              </w:rPr>
            </w:pPr>
          </w:p>
          <w:p w14:paraId="4C9517F3">
            <w:pPr>
              <w:topLinePunct/>
              <w:spacing w:line="440" w:lineRule="exact"/>
              <w:rPr>
                <w:szCs w:val="21"/>
                <w:highlight w:val="none"/>
              </w:rPr>
            </w:pPr>
          </w:p>
          <w:p w14:paraId="4535DB0A">
            <w:pPr>
              <w:topLinePunct/>
              <w:spacing w:line="440" w:lineRule="exact"/>
              <w:rPr>
                <w:szCs w:val="21"/>
                <w:highlight w:val="none"/>
              </w:rPr>
            </w:pPr>
          </w:p>
          <w:p w14:paraId="1A619669">
            <w:pPr>
              <w:topLinePunct/>
              <w:spacing w:line="440" w:lineRule="exact"/>
              <w:rPr>
                <w:szCs w:val="21"/>
                <w:highlight w:val="none"/>
              </w:rPr>
            </w:pPr>
          </w:p>
          <w:p w14:paraId="1A53D38F">
            <w:pPr>
              <w:topLinePunct/>
              <w:spacing w:line="440" w:lineRule="exact"/>
              <w:rPr>
                <w:szCs w:val="21"/>
                <w:highlight w:val="none"/>
              </w:rPr>
            </w:pPr>
          </w:p>
          <w:p w14:paraId="3795F4ED">
            <w:pPr>
              <w:topLinePunct/>
              <w:spacing w:line="440" w:lineRule="exact"/>
              <w:rPr>
                <w:szCs w:val="21"/>
                <w:highlight w:val="none"/>
              </w:rPr>
            </w:pPr>
          </w:p>
          <w:p w14:paraId="74A8C66A">
            <w:pPr>
              <w:topLinePunct/>
              <w:spacing w:line="440" w:lineRule="exact"/>
              <w:rPr>
                <w:szCs w:val="21"/>
                <w:highlight w:val="none"/>
              </w:rPr>
            </w:pPr>
          </w:p>
        </w:tc>
      </w:tr>
      <w:tr w14:paraId="621E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1243" w:type="pct"/>
            <w:noWrap w:val="0"/>
            <w:vAlign w:val="center"/>
          </w:tcPr>
          <w:p w14:paraId="0F9F1364">
            <w:pPr>
              <w:topLinePunct/>
              <w:spacing w:line="440" w:lineRule="exact"/>
              <w:jc w:val="center"/>
              <w:rPr>
                <w:szCs w:val="21"/>
                <w:highlight w:val="none"/>
              </w:rPr>
            </w:pPr>
            <w:r>
              <w:rPr>
                <w:szCs w:val="21"/>
                <w:highlight w:val="none"/>
              </w:rPr>
              <w:t>备注</w:t>
            </w:r>
          </w:p>
        </w:tc>
        <w:tc>
          <w:tcPr>
            <w:tcW w:w="3757" w:type="pct"/>
            <w:noWrap w:val="0"/>
            <w:vAlign w:val="top"/>
          </w:tcPr>
          <w:p w14:paraId="6CE537D5">
            <w:pPr>
              <w:topLinePunct/>
              <w:spacing w:line="440" w:lineRule="exact"/>
              <w:rPr>
                <w:szCs w:val="21"/>
                <w:highlight w:val="none"/>
              </w:rPr>
            </w:pPr>
          </w:p>
        </w:tc>
      </w:tr>
    </w:tbl>
    <w:p w14:paraId="27431B56">
      <w:pPr>
        <w:spacing w:line="440" w:lineRule="exact"/>
        <w:rPr>
          <w:rFonts w:eastAsia="黑体"/>
          <w:sz w:val="20"/>
          <w:szCs w:val="20"/>
          <w:highlight w:val="none"/>
        </w:rPr>
      </w:pPr>
    </w:p>
    <w:p w14:paraId="14EC35EC">
      <w:pPr>
        <w:spacing w:line="440" w:lineRule="exact"/>
        <w:ind w:left="210" w:leftChars="10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注：详见</w:t>
      </w:r>
      <w:r>
        <w:rPr>
          <w:rFonts w:hint="eastAsia" w:ascii="Times New Roman" w:hAnsi="Times New Roman" w:eastAsia="宋体" w:cs="Times New Roman"/>
          <w:highlight w:val="none"/>
        </w:rPr>
        <w:t>评标办法</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表格可根据实际情况调整。</w:t>
      </w:r>
    </w:p>
    <w:bookmarkEnd w:id="1068"/>
    <w:p w14:paraId="495E4FF8">
      <w:pPr>
        <w:pStyle w:val="45"/>
        <w:rPr>
          <w:szCs w:val="23"/>
          <w:highlight w:val="none"/>
        </w:rPr>
      </w:pPr>
      <w:r>
        <w:rPr>
          <w:rFonts w:eastAsia="黑体"/>
          <w:sz w:val="20"/>
          <w:szCs w:val="20"/>
          <w:highlight w:val="none"/>
        </w:rPr>
        <w:br w:type="page"/>
      </w:r>
      <w:r>
        <w:rPr>
          <w:szCs w:val="23"/>
          <w:highlight w:val="none"/>
        </w:rPr>
        <w:t>（</w:t>
      </w:r>
      <w:r>
        <w:rPr>
          <w:rFonts w:hint="eastAsia"/>
          <w:szCs w:val="23"/>
          <w:highlight w:val="none"/>
          <w:lang w:val="en-US" w:eastAsia="zh-CN"/>
        </w:rPr>
        <w:t>五</w:t>
      </w:r>
      <w:r>
        <w:rPr>
          <w:szCs w:val="23"/>
          <w:highlight w:val="none"/>
        </w:rPr>
        <w:t>）</w:t>
      </w:r>
      <w:r>
        <w:rPr>
          <w:rFonts w:hint="eastAsia"/>
          <w:szCs w:val="23"/>
          <w:highlight w:val="none"/>
          <w:lang w:val="en-US" w:eastAsia="zh-CN"/>
        </w:rPr>
        <w:t>技术负责人业绩</w:t>
      </w:r>
      <w:r>
        <w:rPr>
          <w:szCs w:val="23"/>
          <w:highlight w:val="none"/>
        </w:rPr>
        <w:t>情况表</w:t>
      </w:r>
    </w:p>
    <w:p w14:paraId="6B194A5F">
      <w:pPr>
        <w:spacing w:line="440" w:lineRule="exact"/>
        <w:rPr>
          <w:rFonts w:eastAsia="黑体"/>
          <w:sz w:val="20"/>
          <w:szCs w:val="20"/>
          <w:highlight w:val="none"/>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403"/>
      </w:tblGrid>
      <w:tr w14:paraId="6F04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3" w:type="pct"/>
            <w:noWrap w:val="0"/>
            <w:vAlign w:val="center"/>
          </w:tcPr>
          <w:p w14:paraId="61F18DF2">
            <w:pPr>
              <w:topLinePunct/>
              <w:spacing w:line="440" w:lineRule="exact"/>
              <w:jc w:val="center"/>
              <w:rPr>
                <w:szCs w:val="21"/>
                <w:highlight w:val="none"/>
              </w:rPr>
            </w:pPr>
            <w:r>
              <w:rPr>
                <w:szCs w:val="21"/>
                <w:highlight w:val="none"/>
              </w:rPr>
              <w:t>项目名称</w:t>
            </w:r>
          </w:p>
        </w:tc>
        <w:tc>
          <w:tcPr>
            <w:tcW w:w="3757" w:type="pct"/>
            <w:noWrap w:val="0"/>
            <w:vAlign w:val="top"/>
          </w:tcPr>
          <w:p w14:paraId="3461BD1F">
            <w:pPr>
              <w:topLinePunct/>
              <w:spacing w:line="440" w:lineRule="exact"/>
              <w:rPr>
                <w:szCs w:val="21"/>
                <w:highlight w:val="none"/>
              </w:rPr>
            </w:pPr>
          </w:p>
        </w:tc>
      </w:tr>
      <w:tr w14:paraId="3187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3" w:type="pct"/>
            <w:noWrap w:val="0"/>
            <w:vAlign w:val="center"/>
          </w:tcPr>
          <w:p w14:paraId="41C78CA9">
            <w:pPr>
              <w:topLinePunct/>
              <w:spacing w:line="440" w:lineRule="exact"/>
              <w:jc w:val="center"/>
              <w:rPr>
                <w:szCs w:val="21"/>
                <w:highlight w:val="none"/>
              </w:rPr>
            </w:pPr>
            <w:r>
              <w:rPr>
                <w:szCs w:val="21"/>
                <w:highlight w:val="none"/>
              </w:rPr>
              <w:t>项目所在地</w:t>
            </w:r>
          </w:p>
        </w:tc>
        <w:tc>
          <w:tcPr>
            <w:tcW w:w="3757" w:type="pct"/>
            <w:noWrap w:val="0"/>
            <w:vAlign w:val="top"/>
          </w:tcPr>
          <w:p w14:paraId="050516BB">
            <w:pPr>
              <w:topLinePunct/>
              <w:spacing w:line="440" w:lineRule="exact"/>
              <w:rPr>
                <w:szCs w:val="21"/>
                <w:highlight w:val="none"/>
              </w:rPr>
            </w:pPr>
          </w:p>
        </w:tc>
      </w:tr>
      <w:tr w14:paraId="5B69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3" w:type="pct"/>
            <w:noWrap w:val="0"/>
            <w:vAlign w:val="center"/>
          </w:tcPr>
          <w:p w14:paraId="05F838A7">
            <w:pPr>
              <w:topLinePunct/>
              <w:spacing w:line="440" w:lineRule="exact"/>
              <w:jc w:val="center"/>
              <w:rPr>
                <w:szCs w:val="21"/>
                <w:highlight w:val="none"/>
              </w:rPr>
            </w:pPr>
            <w:r>
              <w:rPr>
                <w:szCs w:val="21"/>
                <w:highlight w:val="none"/>
              </w:rPr>
              <w:t>发包人名称</w:t>
            </w:r>
          </w:p>
        </w:tc>
        <w:tc>
          <w:tcPr>
            <w:tcW w:w="3757" w:type="pct"/>
            <w:noWrap w:val="0"/>
            <w:vAlign w:val="top"/>
          </w:tcPr>
          <w:p w14:paraId="3DFF80C0">
            <w:pPr>
              <w:topLinePunct/>
              <w:spacing w:line="440" w:lineRule="exact"/>
              <w:rPr>
                <w:szCs w:val="21"/>
                <w:highlight w:val="none"/>
              </w:rPr>
            </w:pPr>
          </w:p>
        </w:tc>
      </w:tr>
      <w:tr w14:paraId="630C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43" w:type="pct"/>
            <w:noWrap w:val="0"/>
            <w:vAlign w:val="center"/>
          </w:tcPr>
          <w:p w14:paraId="476C9E20">
            <w:pPr>
              <w:topLinePunct/>
              <w:spacing w:line="440" w:lineRule="exact"/>
              <w:jc w:val="center"/>
              <w:rPr>
                <w:szCs w:val="21"/>
                <w:highlight w:val="none"/>
              </w:rPr>
            </w:pPr>
            <w:r>
              <w:rPr>
                <w:szCs w:val="21"/>
                <w:highlight w:val="none"/>
              </w:rPr>
              <w:t>发包人地址</w:t>
            </w:r>
          </w:p>
        </w:tc>
        <w:tc>
          <w:tcPr>
            <w:tcW w:w="3757" w:type="pct"/>
            <w:noWrap w:val="0"/>
            <w:vAlign w:val="top"/>
          </w:tcPr>
          <w:p w14:paraId="6B108457">
            <w:pPr>
              <w:topLinePunct/>
              <w:spacing w:line="440" w:lineRule="exact"/>
              <w:rPr>
                <w:szCs w:val="21"/>
                <w:highlight w:val="none"/>
              </w:rPr>
            </w:pPr>
          </w:p>
        </w:tc>
      </w:tr>
      <w:tr w14:paraId="0538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3" w:type="pct"/>
            <w:noWrap w:val="0"/>
            <w:vAlign w:val="center"/>
          </w:tcPr>
          <w:p w14:paraId="3D59773D">
            <w:pPr>
              <w:topLinePunct/>
              <w:spacing w:line="440" w:lineRule="exact"/>
              <w:jc w:val="center"/>
              <w:rPr>
                <w:szCs w:val="21"/>
                <w:highlight w:val="none"/>
              </w:rPr>
            </w:pPr>
            <w:r>
              <w:rPr>
                <w:szCs w:val="21"/>
                <w:highlight w:val="none"/>
              </w:rPr>
              <w:t>发包人电话</w:t>
            </w:r>
          </w:p>
        </w:tc>
        <w:tc>
          <w:tcPr>
            <w:tcW w:w="3757" w:type="pct"/>
            <w:noWrap w:val="0"/>
            <w:vAlign w:val="top"/>
          </w:tcPr>
          <w:p w14:paraId="64C99170">
            <w:pPr>
              <w:topLinePunct/>
              <w:spacing w:line="440" w:lineRule="exact"/>
              <w:rPr>
                <w:szCs w:val="21"/>
                <w:highlight w:val="none"/>
              </w:rPr>
            </w:pPr>
          </w:p>
        </w:tc>
      </w:tr>
      <w:tr w14:paraId="654B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3" w:type="pct"/>
            <w:noWrap w:val="0"/>
            <w:vAlign w:val="center"/>
          </w:tcPr>
          <w:p w14:paraId="304FCEAA">
            <w:pPr>
              <w:topLinePunct/>
              <w:spacing w:line="440" w:lineRule="exact"/>
              <w:jc w:val="center"/>
              <w:rPr>
                <w:szCs w:val="21"/>
                <w:highlight w:val="none"/>
              </w:rPr>
            </w:pPr>
            <w:r>
              <w:rPr>
                <w:szCs w:val="21"/>
                <w:highlight w:val="none"/>
              </w:rPr>
              <w:t>签约合同价</w:t>
            </w:r>
          </w:p>
        </w:tc>
        <w:tc>
          <w:tcPr>
            <w:tcW w:w="3757" w:type="pct"/>
            <w:noWrap w:val="0"/>
            <w:vAlign w:val="top"/>
          </w:tcPr>
          <w:p w14:paraId="0A45C26D">
            <w:pPr>
              <w:topLinePunct/>
              <w:spacing w:line="440" w:lineRule="exact"/>
              <w:rPr>
                <w:szCs w:val="21"/>
                <w:highlight w:val="none"/>
              </w:rPr>
            </w:pPr>
          </w:p>
        </w:tc>
      </w:tr>
      <w:tr w14:paraId="2C79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3" w:type="pct"/>
            <w:noWrap w:val="0"/>
            <w:vAlign w:val="center"/>
          </w:tcPr>
          <w:p w14:paraId="65863D17">
            <w:pPr>
              <w:topLinePunct/>
              <w:spacing w:line="440" w:lineRule="exact"/>
              <w:jc w:val="center"/>
              <w:rPr>
                <w:szCs w:val="21"/>
                <w:highlight w:val="none"/>
              </w:rPr>
            </w:pPr>
            <w:r>
              <w:rPr>
                <w:szCs w:val="21"/>
                <w:highlight w:val="none"/>
              </w:rPr>
              <w:t>开工日期</w:t>
            </w:r>
          </w:p>
        </w:tc>
        <w:tc>
          <w:tcPr>
            <w:tcW w:w="3757" w:type="pct"/>
            <w:noWrap w:val="0"/>
            <w:vAlign w:val="top"/>
          </w:tcPr>
          <w:p w14:paraId="398D3B8E">
            <w:pPr>
              <w:topLinePunct/>
              <w:spacing w:line="440" w:lineRule="exact"/>
              <w:rPr>
                <w:szCs w:val="21"/>
                <w:highlight w:val="none"/>
              </w:rPr>
            </w:pPr>
          </w:p>
        </w:tc>
      </w:tr>
      <w:tr w14:paraId="2271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3" w:type="pct"/>
            <w:noWrap w:val="0"/>
            <w:vAlign w:val="center"/>
          </w:tcPr>
          <w:p w14:paraId="5E6D6751">
            <w:pPr>
              <w:topLinePunct/>
              <w:spacing w:line="440" w:lineRule="exact"/>
              <w:jc w:val="center"/>
              <w:rPr>
                <w:szCs w:val="21"/>
                <w:highlight w:val="none"/>
              </w:rPr>
            </w:pPr>
            <w:r>
              <w:rPr>
                <w:szCs w:val="21"/>
                <w:highlight w:val="none"/>
              </w:rPr>
              <w:t>计划</w:t>
            </w:r>
            <w:r>
              <w:rPr>
                <w:rFonts w:hint="eastAsia"/>
                <w:highlight w:val="none"/>
              </w:rPr>
              <w:t>竣工</w:t>
            </w:r>
            <w:r>
              <w:rPr>
                <w:szCs w:val="21"/>
                <w:highlight w:val="none"/>
              </w:rPr>
              <w:t>日期</w:t>
            </w:r>
          </w:p>
        </w:tc>
        <w:tc>
          <w:tcPr>
            <w:tcW w:w="3757" w:type="pct"/>
            <w:noWrap w:val="0"/>
            <w:vAlign w:val="top"/>
          </w:tcPr>
          <w:p w14:paraId="2E63E563">
            <w:pPr>
              <w:topLinePunct/>
              <w:spacing w:line="440" w:lineRule="exact"/>
              <w:rPr>
                <w:szCs w:val="21"/>
                <w:highlight w:val="none"/>
              </w:rPr>
            </w:pPr>
          </w:p>
        </w:tc>
      </w:tr>
      <w:tr w14:paraId="6EFD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3" w:type="pct"/>
            <w:noWrap w:val="0"/>
            <w:vAlign w:val="center"/>
          </w:tcPr>
          <w:p w14:paraId="6CD09FB3">
            <w:pPr>
              <w:topLinePunct/>
              <w:spacing w:line="440" w:lineRule="exact"/>
              <w:jc w:val="center"/>
              <w:rPr>
                <w:szCs w:val="21"/>
                <w:highlight w:val="none"/>
              </w:rPr>
            </w:pPr>
            <w:r>
              <w:rPr>
                <w:szCs w:val="21"/>
                <w:highlight w:val="none"/>
              </w:rPr>
              <w:t>承担的工作</w:t>
            </w:r>
          </w:p>
        </w:tc>
        <w:tc>
          <w:tcPr>
            <w:tcW w:w="3757" w:type="pct"/>
            <w:noWrap w:val="0"/>
            <w:vAlign w:val="top"/>
          </w:tcPr>
          <w:p w14:paraId="441105C2">
            <w:pPr>
              <w:topLinePunct/>
              <w:spacing w:line="440" w:lineRule="exact"/>
              <w:rPr>
                <w:szCs w:val="21"/>
                <w:highlight w:val="none"/>
              </w:rPr>
            </w:pPr>
          </w:p>
        </w:tc>
      </w:tr>
      <w:tr w14:paraId="779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3" w:type="pct"/>
            <w:noWrap w:val="0"/>
            <w:vAlign w:val="center"/>
          </w:tcPr>
          <w:p w14:paraId="3C1C5D91">
            <w:pPr>
              <w:topLinePunct/>
              <w:spacing w:line="440" w:lineRule="exact"/>
              <w:jc w:val="center"/>
              <w:rPr>
                <w:szCs w:val="21"/>
                <w:highlight w:val="none"/>
              </w:rPr>
            </w:pPr>
            <w:r>
              <w:rPr>
                <w:szCs w:val="21"/>
                <w:highlight w:val="none"/>
              </w:rPr>
              <w:t>工程质量</w:t>
            </w:r>
          </w:p>
        </w:tc>
        <w:tc>
          <w:tcPr>
            <w:tcW w:w="3757" w:type="pct"/>
            <w:noWrap w:val="0"/>
            <w:vAlign w:val="top"/>
          </w:tcPr>
          <w:p w14:paraId="177397BF">
            <w:pPr>
              <w:topLinePunct/>
              <w:spacing w:line="440" w:lineRule="exact"/>
              <w:rPr>
                <w:szCs w:val="21"/>
                <w:highlight w:val="none"/>
              </w:rPr>
            </w:pPr>
          </w:p>
        </w:tc>
      </w:tr>
      <w:tr w14:paraId="165A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43" w:type="pct"/>
            <w:noWrap w:val="0"/>
            <w:vAlign w:val="center"/>
          </w:tcPr>
          <w:p w14:paraId="3608185D">
            <w:pPr>
              <w:topLinePunct/>
              <w:spacing w:line="440" w:lineRule="exact"/>
              <w:jc w:val="center"/>
              <w:rPr>
                <w:szCs w:val="21"/>
                <w:highlight w:val="none"/>
              </w:rPr>
            </w:pPr>
            <w:r>
              <w:rPr>
                <w:szCs w:val="21"/>
                <w:highlight w:val="none"/>
              </w:rPr>
              <w:t>项目经理</w:t>
            </w:r>
          </w:p>
        </w:tc>
        <w:tc>
          <w:tcPr>
            <w:tcW w:w="3757" w:type="pct"/>
            <w:noWrap w:val="0"/>
            <w:vAlign w:val="top"/>
          </w:tcPr>
          <w:p w14:paraId="57762C89">
            <w:pPr>
              <w:topLinePunct/>
              <w:spacing w:line="440" w:lineRule="exact"/>
              <w:rPr>
                <w:szCs w:val="21"/>
                <w:highlight w:val="none"/>
              </w:rPr>
            </w:pPr>
          </w:p>
        </w:tc>
      </w:tr>
      <w:tr w14:paraId="7430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3" w:type="pct"/>
            <w:noWrap w:val="0"/>
            <w:vAlign w:val="center"/>
          </w:tcPr>
          <w:p w14:paraId="4A1D28FE">
            <w:pPr>
              <w:topLinePunct/>
              <w:spacing w:line="440" w:lineRule="exact"/>
              <w:jc w:val="center"/>
              <w:rPr>
                <w:szCs w:val="21"/>
                <w:highlight w:val="none"/>
              </w:rPr>
            </w:pPr>
            <w:r>
              <w:rPr>
                <w:szCs w:val="21"/>
                <w:highlight w:val="none"/>
              </w:rPr>
              <w:t>技术负责人</w:t>
            </w:r>
          </w:p>
        </w:tc>
        <w:tc>
          <w:tcPr>
            <w:tcW w:w="3757" w:type="pct"/>
            <w:noWrap w:val="0"/>
            <w:vAlign w:val="top"/>
          </w:tcPr>
          <w:p w14:paraId="0E413BD9">
            <w:pPr>
              <w:topLinePunct/>
              <w:spacing w:line="440" w:lineRule="exact"/>
              <w:rPr>
                <w:szCs w:val="21"/>
                <w:highlight w:val="none"/>
              </w:rPr>
            </w:pPr>
          </w:p>
        </w:tc>
      </w:tr>
      <w:tr w14:paraId="2EC1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3" w:type="pct"/>
            <w:noWrap w:val="0"/>
            <w:vAlign w:val="center"/>
          </w:tcPr>
          <w:p w14:paraId="1D3EBA32">
            <w:pPr>
              <w:topLinePunct/>
              <w:spacing w:line="440" w:lineRule="exact"/>
              <w:jc w:val="center"/>
              <w:rPr>
                <w:szCs w:val="21"/>
                <w:highlight w:val="none"/>
              </w:rPr>
            </w:pPr>
            <w:r>
              <w:rPr>
                <w:szCs w:val="21"/>
                <w:highlight w:val="none"/>
              </w:rPr>
              <w:t>总监理工程师及电话</w:t>
            </w:r>
          </w:p>
        </w:tc>
        <w:tc>
          <w:tcPr>
            <w:tcW w:w="3757" w:type="pct"/>
            <w:noWrap w:val="0"/>
            <w:vAlign w:val="top"/>
          </w:tcPr>
          <w:p w14:paraId="4E32FE3F">
            <w:pPr>
              <w:topLinePunct/>
              <w:spacing w:line="440" w:lineRule="exact"/>
              <w:rPr>
                <w:szCs w:val="21"/>
                <w:highlight w:val="none"/>
              </w:rPr>
            </w:pPr>
          </w:p>
        </w:tc>
      </w:tr>
      <w:tr w14:paraId="71A3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3" w:type="pct"/>
            <w:noWrap w:val="0"/>
            <w:vAlign w:val="center"/>
          </w:tcPr>
          <w:p w14:paraId="22F58A83">
            <w:pPr>
              <w:topLinePunct/>
              <w:spacing w:line="440" w:lineRule="exact"/>
              <w:jc w:val="center"/>
              <w:rPr>
                <w:szCs w:val="21"/>
                <w:highlight w:val="none"/>
              </w:rPr>
            </w:pPr>
            <w:r>
              <w:rPr>
                <w:szCs w:val="21"/>
                <w:highlight w:val="none"/>
              </w:rPr>
              <w:t>项目描述</w:t>
            </w:r>
          </w:p>
        </w:tc>
        <w:tc>
          <w:tcPr>
            <w:tcW w:w="3757" w:type="pct"/>
            <w:noWrap w:val="0"/>
            <w:vAlign w:val="top"/>
          </w:tcPr>
          <w:p w14:paraId="45AD94B1">
            <w:pPr>
              <w:topLinePunct/>
              <w:spacing w:line="440" w:lineRule="exact"/>
              <w:rPr>
                <w:szCs w:val="21"/>
                <w:highlight w:val="none"/>
              </w:rPr>
            </w:pPr>
          </w:p>
          <w:p w14:paraId="1348731A">
            <w:pPr>
              <w:topLinePunct/>
              <w:spacing w:line="440" w:lineRule="exact"/>
              <w:rPr>
                <w:szCs w:val="21"/>
                <w:highlight w:val="none"/>
              </w:rPr>
            </w:pPr>
          </w:p>
          <w:p w14:paraId="5A4E2DB5">
            <w:pPr>
              <w:topLinePunct/>
              <w:spacing w:line="440" w:lineRule="exact"/>
              <w:rPr>
                <w:szCs w:val="21"/>
                <w:highlight w:val="none"/>
              </w:rPr>
            </w:pPr>
          </w:p>
          <w:p w14:paraId="18B14CC0">
            <w:pPr>
              <w:topLinePunct/>
              <w:spacing w:line="440" w:lineRule="exact"/>
              <w:rPr>
                <w:szCs w:val="21"/>
                <w:highlight w:val="none"/>
              </w:rPr>
            </w:pPr>
          </w:p>
          <w:p w14:paraId="6B24105B">
            <w:pPr>
              <w:topLinePunct/>
              <w:spacing w:line="440" w:lineRule="exact"/>
              <w:rPr>
                <w:szCs w:val="21"/>
                <w:highlight w:val="none"/>
              </w:rPr>
            </w:pPr>
          </w:p>
          <w:p w14:paraId="10F4B7D0">
            <w:pPr>
              <w:topLinePunct/>
              <w:spacing w:line="440" w:lineRule="exact"/>
              <w:rPr>
                <w:szCs w:val="21"/>
                <w:highlight w:val="none"/>
              </w:rPr>
            </w:pPr>
          </w:p>
          <w:p w14:paraId="14AACE45">
            <w:pPr>
              <w:topLinePunct/>
              <w:spacing w:line="440" w:lineRule="exact"/>
              <w:rPr>
                <w:szCs w:val="21"/>
                <w:highlight w:val="none"/>
              </w:rPr>
            </w:pPr>
          </w:p>
        </w:tc>
      </w:tr>
      <w:tr w14:paraId="3A49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3" w:type="pct"/>
            <w:noWrap w:val="0"/>
            <w:vAlign w:val="center"/>
          </w:tcPr>
          <w:p w14:paraId="752BBAC2">
            <w:pPr>
              <w:topLinePunct/>
              <w:spacing w:line="440" w:lineRule="exact"/>
              <w:jc w:val="center"/>
              <w:rPr>
                <w:szCs w:val="21"/>
                <w:highlight w:val="none"/>
              </w:rPr>
            </w:pPr>
            <w:r>
              <w:rPr>
                <w:szCs w:val="21"/>
                <w:highlight w:val="none"/>
              </w:rPr>
              <w:t>备注</w:t>
            </w:r>
          </w:p>
        </w:tc>
        <w:tc>
          <w:tcPr>
            <w:tcW w:w="3757" w:type="pct"/>
            <w:noWrap w:val="0"/>
            <w:vAlign w:val="top"/>
          </w:tcPr>
          <w:p w14:paraId="29AEC48F">
            <w:pPr>
              <w:topLinePunct/>
              <w:spacing w:line="440" w:lineRule="exact"/>
              <w:rPr>
                <w:szCs w:val="21"/>
                <w:highlight w:val="none"/>
              </w:rPr>
            </w:pPr>
          </w:p>
        </w:tc>
      </w:tr>
    </w:tbl>
    <w:p w14:paraId="252F5973">
      <w:pPr>
        <w:spacing w:line="440" w:lineRule="exact"/>
        <w:rPr>
          <w:rFonts w:eastAsia="黑体"/>
          <w:sz w:val="20"/>
          <w:szCs w:val="20"/>
          <w:highlight w:val="none"/>
        </w:rPr>
      </w:pPr>
    </w:p>
    <w:p w14:paraId="743D1780">
      <w:pPr>
        <w:spacing w:line="440" w:lineRule="exact"/>
        <w:ind w:left="210" w:leftChars="10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注：详见</w:t>
      </w:r>
      <w:r>
        <w:rPr>
          <w:rFonts w:hint="eastAsia" w:ascii="Times New Roman" w:hAnsi="Times New Roman" w:eastAsia="宋体" w:cs="Times New Roman"/>
          <w:highlight w:val="none"/>
        </w:rPr>
        <w:t>评标办法</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表格可根据实际情况调整。</w:t>
      </w:r>
    </w:p>
    <w:p w14:paraId="5871B609">
      <w:pPr>
        <w:spacing w:line="440" w:lineRule="exact"/>
        <w:jc w:val="center"/>
        <w:rPr>
          <w:rFonts w:eastAsia="黑体"/>
          <w:sz w:val="20"/>
          <w:szCs w:val="20"/>
          <w:highlight w:val="none"/>
        </w:rPr>
      </w:pPr>
    </w:p>
    <w:p w14:paraId="65F2D129">
      <w:pPr>
        <w:pStyle w:val="45"/>
        <w:rPr>
          <w:szCs w:val="23"/>
          <w:highlight w:val="none"/>
        </w:rPr>
      </w:pPr>
      <w:bookmarkStart w:id="1069" w:name="_Toc18749"/>
      <w:bookmarkStart w:id="1070" w:name="_Toc144974880"/>
      <w:bookmarkStart w:id="1071" w:name="_Toc152045812"/>
      <w:bookmarkStart w:id="1072" w:name="_Toc152042601"/>
      <w:r>
        <w:rPr>
          <w:szCs w:val="23"/>
          <w:highlight w:val="none"/>
        </w:rPr>
        <w:t>（</w:t>
      </w:r>
      <w:r>
        <w:rPr>
          <w:rFonts w:hint="eastAsia"/>
          <w:szCs w:val="23"/>
          <w:highlight w:val="none"/>
          <w:lang w:val="en-US" w:eastAsia="zh-CN"/>
        </w:rPr>
        <w:t>六</w:t>
      </w:r>
      <w:r>
        <w:rPr>
          <w:szCs w:val="23"/>
          <w:highlight w:val="none"/>
        </w:rPr>
        <w:t>）近年发生的诉讼及仲裁情况</w:t>
      </w:r>
      <w:bookmarkEnd w:id="1069"/>
      <w:bookmarkEnd w:id="1070"/>
      <w:bookmarkEnd w:id="1071"/>
      <w:bookmarkEnd w:id="1072"/>
    </w:p>
    <w:p w14:paraId="1944D9B3">
      <w:pPr>
        <w:spacing w:line="440" w:lineRule="exact"/>
        <w:rPr>
          <w:rFonts w:eastAsia="黑体"/>
          <w:sz w:val="20"/>
          <w:szCs w:val="20"/>
          <w:highlight w:val="none"/>
        </w:rPr>
      </w:pPr>
    </w:p>
    <w:p w14:paraId="7CFB5F08">
      <w:pPr>
        <w:spacing w:line="440" w:lineRule="exact"/>
        <w:ind w:firstLine="500" w:firstLineChars="250"/>
        <w:jc w:val="center"/>
        <w:rPr>
          <w:rFonts w:eastAsia="黑体"/>
          <w:sz w:val="20"/>
          <w:szCs w:val="20"/>
          <w:highlight w:val="none"/>
        </w:rPr>
      </w:pPr>
      <w:r>
        <w:rPr>
          <w:rFonts w:eastAsia="黑体"/>
          <w:sz w:val="20"/>
          <w:szCs w:val="20"/>
          <w:highlight w:val="none"/>
        </w:rPr>
        <w:br w:type="page"/>
      </w:r>
    </w:p>
    <w:p w14:paraId="7161A1C6">
      <w:pPr>
        <w:pStyle w:val="46"/>
        <w:jc w:val="center"/>
        <w:rPr>
          <w:highlight w:val="none"/>
        </w:rPr>
      </w:pPr>
      <w:bookmarkStart w:id="1073" w:name="_Toc152042602"/>
      <w:bookmarkStart w:id="1074" w:name="_Toc4885"/>
      <w:bookmarkStart w:id="1075" w:name="_Toc144974881"/>
      <w:bookmarkStart w:id="1076" w:name="_Toc152045813"/>
      <w:r>
        <w:rPr>
          <w:rFonts w:hint="eastAsia"/>
          <w:highlight w:val="none"/>
          <w:lang w:val="en-US" w:eastAsia="zh-CN"/>
        </w:rPr>
        <w:t>九</w:t>
      </w:r>
      <w:r>
        <w:rPr>
          <w:highlight w:val="none"/>
        </w:rPr>
        <w:t>、其他材料</w:t>
      </w:r>
      <w:bookmarkEnd w:id="1073"/>
      <w:bookmarkEnd w:id="1074"/>
      <w:bookmarkEnd w:id="1075"/>
      <w:bookmarkEnd w:id="1076"/>
    </w:p>
    <w:p w14:paraId="7DA85794">
      <w:pPr>
        <w:spacing w:line="400" w:lineRule="exact"/>
        <w:jc w:val="center"/>
        <w:rPr>
          <w:rFonts w:hint="default" w:ascii="Times New Roman" w:hAnsi="Times New Roman" w:eastAsia="黑体" w:cs="宋体"/>
          <w:b w:val="0"/>
          <w:bCs w:val="0"/>
          <w:kern w:val="2"/>
          <w:sz w:val="28"/>
          <w:szCs w:val="20"/>
          <w:highlight w:val="none"/>
          <w:lang w:val="en-US" w:eastAsia="zh-CN" w:bidi="ar-SA"/>
        </w:rPr>
      </w:pPr>
      <w:r>
        <w:rPr>
          <w:rFonts w:hint="eastAsia" w:ascii="Times New Roman" w:hAnsi="Times New Roman" w:eastAsia="黑体" w:cs="宋体"/>
          <w:b w:val="0"/>
          <w:bCs w:val="0"/>
          <w:kern w:val="2"/>
          <w:sz w:val="28"/>
          <w:szCs w:val="20"/>
          <w:highlight w:val="none"/>
          <w:lang w:val="en-US" w:eastAsia="zh-CN" w:bidi="ar-SA"/>
        </w:rPr>
        <w:br w:type="page"/>
      </w:r>
      <w:r>
        <w:rPr>
          <w:rFonts w:hint="eastAsia" w:ascii="Times New Roman" w:hAnsi="Times New Roman" w:eastAsia="黑体" w:cs="宋体"/>
          <w:b w:val="0"/>
          <w:bCs w:val="0"/>
          <w:kern w:val="2"/>
          <w:sz w:val="28"/>
          <w:szCs w:val="20"/>
          <w:highlight w:val="none"/>
          <w:lang w:val="en-US" w:eastAsia="zh-CN" w:bidi="ar-SA"/>
        </w:rPr>
        <w:t>1.资格证明文件</w:t>
      </w:r>
    </w:p>
    <w:p w14:paraId="418D8F0D">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7E0CC45F">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1D90DC4B">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69AF7A6D">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57A7C1D1">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2EA4A930">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7223A58B">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6ADB2484">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7F29D5E5">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1794E3D0">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6C441852">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6657209E">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01887226">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3D6C901D">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4F98CC1F">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75EE4123">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5520C086">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7F0AF7CA">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055EF70C">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304D82A7">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19C80553">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38621CD7">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1D0B8C43">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1924FC5D">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06D36321">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3F963429">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59559E57">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555E7E0A">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374DF4C2">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5B8DF39B">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1BAB98B5">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3952C589">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71034E8E">
      <w:pPr>
        <w:spacing w:line="400" w:lineRule="exact"/>
        <w:jc w:val="center"/>
        <w:rPr>
          <w:rFonts w:hint="eastAsia" w:ascii="Times New Roman" w:hAnsi="Times New Roman" w:eastAsia="黑体" w:cs="宋体"/>
          <w:b w:val="0"/>
          <w:bCs w:val="0"/>
          <w:kern w:val="2"/>
          <w:sz w:val="28"/>
          <w:szCs w:val="20"/>
          <w:highlight w:val="none"/>
          <w:lang w:val="en-US" w:eastAsia="zh-CN" w:bidi="ar-SA"/>
        </w:rPr>
      </w:pPr>
    </w:p>
    <w:p w14:paraId="3775D8A3">
      <w:pPr>
        <w:spacing w:line="400" w:lineRule="exact"/>
        <w:jc w:val="center"/>
        <w:rPr>
          <w:rFonts w:hint="eastAsia" w:ascii="Times New Roman" w:hAnsi="Times New Roman" w:eastAsia="黑体" w:cs="宋体"/>
          <w:b w:val="0"/>
          <w:bCs w:val="0"/>
          <w:kern w:val="2"/>
          <w:sz w:val="28"/>
          <w:szCs w:val="20"/>
          <w:highlight w:val="none"/>
          <w:lang w:val="en-US" w:eastAsia="zh-CN" w:bidi="ar-SA"/>
        </w:rPr>
      </w:pPr>
      <w:r>
        <w:rPr>
          <w:rFonts w:hint="eastAsia" w:ascii="Times New Roman" w:hAnsi="Times New Roman" w:eastAsia="黑体" w:cs="宋体"/>
          <w:b w:val="0"/>
          <w:bCs w:val="0"/>
          <w:kern w:val="2"/>
          <w:sz w:val="28"/>
          <w:szCs w:val="20"/>
          <w:highlight w:val="none"/>
          <w:lang w:val="en-US" w:eastAsia="zh-CN" w:bidi="ar-SA"/>
        </w:rPr>
        <w:t>2.承诺书</w:t>
      </w:r>
    </w:p>
    <w:p w14:paraId="39E9504E">
      <w:pPr>
        <w:spacing w:line="400" w:lineRule="exact"/>
        <w:jc w:val="center"/>
        <w:rPr>
          <w:rFonts w:hint="default" w:ascii="Times New Roman" w:hAnsi="Times New Roman" w:eastAsia="黑体" w:cs="宋体"/>
          <w:b w:val="0"/>
          <w:bCs w:val="0"/>
          <w:kern w:val="2"/>
          <w:sz w:val="28"/>
          <w:szCs w:val="20"/>
          <w:highlight w:val="none"/>
          <w:lang w:val="en-US" w:eastAsia="zh-CN" w:bidi="ar-SA"/>
        </w:rPr>
      </w:pPr>
    </w:p>
    <w:p w14:paraId="565E6FB3">
      <w:pPr>
        <w:spacing w:line="400" w:lineRule="exact"/>
        <w:jc w:val="center"/>
        <w:rPr>
          <w:rFonts w:hint="eastAsia" w:ascii="Times New Roman" w:hAnsi="Times New Roman" w:eastAsia="黑体" w:cs="宋体"/>
          <w:b w:val="0"/>
          <w:bCs w:val="0"/>
          <w:kern w:val="2"/>
          <w:sz w:val="28"/>
          <w:szCs w:val="20"/>
          <w:highlight w:val="none"/>
          <w:lang w:val="en-US" w:eastAsia="zh-CN" w:bidi="ar-SA"/>
        </w:rPr>
      </w:pPr>
      <w:r>
        <w:rPr>
          <w:rFonts w:hint="eastAsia" w:ascii="Times New Roman" w:hAnsi="Times New Roman" w:eastAsia="黑体" w:cs="宋体"/>
          <w:b w:val="0"/>
          <w:bCs w:val="0"/>
          <w:kern w:val="2"/>
          <w:sz w:val="28"/>
          <w:szCs w:val="20"/>
          <w:highlight w:val="none"/>
          <w:lang w:val="en-US" w:eastAsia="zh-CN" w:bidi="ar-SA"/>
        </w:rPr>
        <w:t>承诺书（一）</w:t>
      </w:r>
    </w:p>
    <w:p w14:paraId="4741A53F">
      <w:pPr>
        <w:bidi w:val="0"/>
        <w:rPr>
          <w:rFonts w:hint="default"/>
          <w:kern w:val="2"/>
          <w:sz w:val="21"/>
          <w:szCs w:val="24"/>
          <w:highlight w:val="none"/>
          <w:lang w:val="en-US" w:eastAsia="zh-CN" w:bidi="ar-SA"/>
        </w:rPr>
      </w:pPr>
    </w:p>
    <w:p w14:paraId="0E5CBDB6">
      <w:pPr>
        <w:autoSpaceDE w:val="0"/>
        <w:autoSpaceDN w:val="0"/>
        <w:adjustRightInd w:val="0"/>
        <w:spacing w:after="240" w:line="360" w:lineRule="auto"/>
        <w:jc w:val="left"/>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4"/>
          <w:highlight w:val="none"/>
          <w:lang w:val="zh-CN"/>
        </w:rPr>
        <w:t>致：</w:t>
      </w:r>
      <w:r>
        <w:rPr>
          <w:rFonts w:hint="eastAsia" w:ascii="宋体" w:hAnsi="宋体" w:cs="宋体"/>
          <w:b/>
          <w:color w:val="auto"/>
          <w:kern w:val="0"/>
          <w:sz w:val="24"/>
          <w:highlight w:val="none"/>
          <w:lang w:val="zh-CN"/>
        </w:rPr>
        <w:t>营口市海洋与渔业局</w:t>
      </w:r>
    </w:p>
    <w:p w14:paraId="50CBD47E">
      <w:pPr>
        <w:autoSpaceDE w:val="0"/>
        <w:autoSpaceDN w:val="0"/>
        <w:adjustRightInd w:val="0"/>
        <w:spacing w:line="360" w:lineRule="auto"/>
        <w:ind w:firstLine="576"/>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为满足“</w:t>
      </w:r>
      <w:r>
        <w:rPr>
          <w:rFonts w:hint="eastAsia" w:ascii="宋体" w:hAnsi="宋体" w:cs="宋体"/>
          <w:color w:val="auto"/>
          <w:sz w:val="24"/>
          <w:highlight w:val="none"/>
          <w:lang w:eastAsia="zh-CN"/>
        </w:rPr>
        <w:t>辽宁省营口市海洋生态保护修复工程项目</w:t>
      </w:r>
      <w:r>
        <w:rPr>
          <w:rFonts w:hint="eastAsia" w:ascii="宋体" w:hAnsi="宋体" w:cs="宋体"/>
          <w:color w:val="auto"/>
          <w:sz w:val="24"/>
          <w:highlight w:val="none"/>
          <w:lang w:val="en-US" w:eastAsia="zh-CN"/>
        </w:rPr>
        <w:t>施工</w:t>
      </w:r>
      <w:r>
        <w:rPr>
          <w:rFonts w:hint="eastAsia" w:ascii="宋体" w:hAnsi="宋体" w:cs="宋体"/>
          <w:color w:val="auto"/>
          <w:kern w:val="0"/>
          <w:sz w:val="24"/>
          <w:highlight w:val="none"/>
          <w:lang w:val="zh-CN"/>
        </w:rPr>
        <w:t>”资格审查的要求，我方</w:t>
      </w:r>
      <w:r>
        <w:rPr>
          <w:rFonts w:hint="eastAsia" w:ascii="宋体" w:hAnsi="宋体" w:cs="宋体"/>
          <w:b/>
          <w:bCs/>
          <w:color w:val="auto"/>
          <w:kern w:val="0"/>
          <w:sz w:val="24"/>
          <w:highlight w:val="none"/>
          <w:u w:val="single"/>
          <w:lang w:val="zh-CN"/>
        </w:rPr>
        <w:t>(投标人全称)</w:t>
      </w:r>
      <w:r>
        <w:rPr>
          <w:rFonts w:hint="eastAsia" w:ascii="宋体" w:hAnsi="宋体" w:cs="宋体"/>
          <w:color w:val="auto"/>
          <w:kern w:val="0"/>
          <w:sz w:val="24"/>
          <w:highlight w:val="none"/>
          <w:lang w:val="zh-CN"/>
        </w:rPr>
        <w:t>在此承诺所提供的申请材料均为真实的，我方理解你们将不受必须接受我方的约束。</w:t>
      </w:r>
    </w:p>
    <w:p w14:paraId="60EAEC56">
      <w:pPr>
        <w:autoSpaceDE w:val="0"/>
        <w:autoSpaceDN w:val="0"/>
        <w:adjustRightInd w:val="0"/>
        <w:spacing w:line="360" w:lineRule="auto"/>
        <w:rPr>
          <w:rFonts w:hint="eastAsia" w:ascii="宋体" w:hAnsi="宋体" w:cs="宋体"/>
          <w:color w:val="auto"/>
          <w:sz w:val="28"/>
          <w:szCs w:val="28"/>
          <w:highlight w:val="none"/>
          <w:lang w:val="zh-CN"/>
        </w:rPr>
      </w:pPr>
    </w:p>
    <w:p w14:paraId="5745451B">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14:paraId="0631150D">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14:paraId="0CA559D1">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14:paraId="4BB88ECC">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14:paraId="23027D4D">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14:paraId="4A3D0E81">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14:paraId="1CA7DCB0">
      <w:pPr>
        <w:autoSpaceDE w:val="0"/>
        <w:autoSpaceDN w:val="0"/>
        <w:adjustRightInd w:val="0"/>
        <w:spacing w:line="360" w:lineRule="auto"/>
        <w:ind w:firstLine="3799"/>
        <w:jc w:val="left"/>
        <w:rPr>
          <w:rFonts w:hint="eastAsia" w:ascii="宋体" w:hAnsi="宋体" w:cs="宋体"/>
          <w:color w:val="auto"/>
          <w:kern w:val="0"/>
          <w:sz w:val="28"/>
          <w:szCs w:val="28"/>
          <w:highlight w:val="none"/>
          <w:lang w:val="zh-CN"/>
        </w:rPr>
      </w:pPr>
    </w:p>
    <w:p w14:paraId="6CFE0BCD">
      <w:pPr>
        <w:autoSpaceDE w:val="0"/>
        <w:autoSpaceDN w:val="0"/>
        <w:adjustRightInd w:val="0"/>
        <w:spacing w:line="360" w:lineRule="auto"/>
        <w:ind w:firstLine="2640" w:firstLineChars="1100"/>
        <w:jc w:val="left"/>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投标人(盖公章)：</w:t>
      </w:r>
      <w:r>
        <w:rPr>
          <w:rFonts w:hint="eastAsia" w:ascii="宋体" w:hAnsi="宋体" w:cs="宋体"/>
          <w:color w:val="auto"/>
          <w:kern w:val="0"/>
          <w:sz w:val="24"/>
          <w:highlight w:val="none"/>
          <w:u w:val="single"/>
          <w:lang w:val="zh-CN"/>
        </w:rPr>
        <w:t xml:space="preserve">                                   </w:t>
      </w:r>
    </w:p>
    <w:p w14:paraId="7405050B">
      <w:pPr>
        <w:autoSpaceDE w:val="0"/>
        <w:autoSpaceDN w:val="0"/>
        <w:adjustRightInd w:val="0"/>
        <w:spacing w:line="360" w:lineRule="auto"/>
        <w:ind w:firstLine="3271"/>
        <w:jc w:val="left"/>
        <w:rPr>
          <w:rFonts w:hint="eastAsia" w:ascii="宋体" w:hAnsi="宋体" w:cs="宋体"/>
          <w:color w:val="auto"/>
          <w:kern w:val="0"/>
          <w:sz w:val="24"/>
          <w:highlight w:val="none"/>
          <w:u w:val="single"/>
          <w:lang w:val="zh-CN"/>
        </w:rPr>
      </w:pPr>
    </w:p>
    <w:p w14:paraId="72CD8C3C">
      <w:pPr>
        <w:autoSpaceDE w:val="0"/>
        <w:autoSpaceDN w:val="0"/>
        <w:adjustRightInd w:val="0"/>
        <w:spacing w:line="360" w:lineRule="auto"/>
        <w:ind w:firstLine="2640" w:firstLineChars="1100"/>
        <w:jc w:val="left"/>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法定代表人或授权委托人(签字或盖章)：</w:t>
      </w:r>
      <w:r>
        <w:rPr>
          <w:rFonts w:hint="eastAsia" w:ascii="宋体" w:hAnsi="宋体" w:cs="宋体"/>
          <w:color w:val="auto"/>
          <w:kern w:val="0"/>
          <w:sz w:val="24"/>
          <w:highlight w:val="none"/>
          <w:u w:val="single"/>
          <w:lang w:val="zh-CN"/>
        </w:rPr>
        <w:t xml:space="preserve">                         </w:t>
      </w:r>
    </w:p>
    <w:p w14:paraId="017CD65D">
      <w:pPr>
        <w:autoSpaceDE w:val="0"/>
        <w:autoSpaceDN w:val="0"/>
        <w:adjustRightInd w:val="0"/>
        <w:spacing w:line="360" w:lineRule="auto"/>
        <w:ind w:firstLine="2640" w:firstLineChars="1100"/>
        <w:jc w:val="left"/>
        <w:rPr>
          <w:rFonts w:hint="eastAsia" w:ascii="宋体" w:hAnsi="宋体" w:cs="宋体"/>
          <w:color w:val="auto"/>
          <w:kern w:val="0"/>
          <w:sz w:val="24"/>
          <w:highlight w:val="none"/>
          <w:lang w:val="zh-CN"/>
        </w:rPr>
      </w:pPr>
    </w:p>
    <w:p w14:paraId="543F97E9">
      <w:pPr>
        <w:bidi w:val="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日期：________年_____月_____日</w:t>
      </w:r>
    </w:p>
    <w:p w14:paraId="550E377B">
      <w:pPr>
        <w:pStyle w:val="61"/>
        <w:jc w:val="center"/>
        <w:outlineLvl w:val="2"/>
        <w:rPr>
          <w:rStyle w:val="31"/>
          <w:rFonts w:ascii="Times New Roman" w:hAnsi="Times New Roman" w:eastAsia="Times New Roman" w:cs="Times New Roman"/>
          <w:highlight w:val="none"/>
        </w:rPr>
      </w:pPr>
      <w:r>
        <w:rPr>
          <w:rFonts w:hint="eastAsia" w:ascii="宋体" w:hAnsi="宋体" w:cs="宋体"/>
          <w:color w:val="auto"/>
          <w:sz w:val="24"/>
          <w:highlight w:val="none"/>
        </w:rPr>
        <w:br w:type="page"/>
      </w:r>
      <w:bookmarkStart w:id="1077" w:name="_Toc15334"/>
      <w:bookmarkStart w:id="1078" w:name="OLE_LINK32"/>
      <w:r>
        <w:rPr>
          <w:rFonts w:hint="eastAsia" w:ascii="Times New Roman" w:hAnsi="Times New Roman" w:eastAsia="黑体" w:cs="宋体"/>
          <w:b w:val="0"/>
          <w:bCs w:val="0"/>
          <w:kern w:val="2"/>
          <w:sz w:val="28"/>
          <w:szCs w:val="20"/>
          <w:highlight w:val="none"/>
          <w:lang w:val="en-US" w:eastAsia="zh-CN" w:bidi="ar-SA"/>
        </w:rPr>
        <w:t>承诺书（二）</w:t>
      </w:r>
      <w:bookmarkEnd w:id="1077"/>
    </w:p>
    <w:p w14:paraId="1D84AAF0">
      <w:pPr>
        <w:pStyle w:val="62"/>
        <w:spacing w:line="400" w:lineRule="exact"/>
        <w:rPr>
          <w:rStyle w:val="31"/>
          <w:rFonts w:hint="eastAsia" w:ascii="仿宋" w:hAnsi="仿宋" w:eastAsia="仿宋" w:cs="Times New Roman"/>
          <w:sz w:val="24"/>
          <w:highlight w:val="none"/>
        </w:rPr>
      </w:pPr>
    </w:p>
    <w:p w14:paraId="065A669D">
      <w:pPr>
        <w:pStyle w:val="62"/>
        <w:spacing w:line="400" w:lineRule="exact"/>
        <w:rPr>
          <w:rStyle w:val="31"/>
          <w:rFonts w:hint="eastAsia" w:ascii="宋体" w:hAnsi="宋体" w:eastAsia="宋体" w:cs="宋体"/>
          <w:sz w:val="24"/>
          <w:highlight w:val="none"/>
        </w:rPr>
      </w:pP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（招标人名称）：</w:t>
      </w:r>
    </w:p>
    <w:p w14:paraId="3BF52ECE">
      <w:pPr>
        <w:pStyle w:val="62"/>
        <w:spacing w:line="400" w:lineRule="exact"/>
        <w:ind w:firstLine="480" w:firstLineChars="200"/>
        <w:rPr>
          <w:rStyle w:val="31"/>
          <w:rFonts w:hint="eastAsia" w:ascii="宋体" w:hAnsi="宋体" w:eastAsia="宋体" w:cs="宋体"/>
          <w:sz w:val="24"/>
          <w:highlight w:val="none"/>
        </w:rPr>
      </w:pPr>
    </w:p>
    <w:p w14:paraId="339C3840">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我方在此声明，我方拟派往</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（项目名称）</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标段（以下简称“本工程”）的项目经理（建造师）</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（姓名）现阶段没有担任任何在施建设工程项目的项目负责人。（园林项目除外）</w:t>
      </w:r>
    </w:p>
    <w:p w14:paraId="7BE430EB">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我方保证上述信息的真实和准确，并愿意承担因我方就此弄虚作假所引起的一切法律后果。</w:t>
      </w:r>
    </w:p>
    <w:p w14:paraId="3F5D64DC">
      <w:pPr>
        <w:pStyle w:val="62"/>
        <w:spacing w:line="400" w:lineRule="exact"/>
        <w:rPr>
          <w:rStyle w:val="31"/>
          <w:rFonts w:hint="eastAsia" w:ascii="宋体" w:hAnsi="宋体" w:eastAsia="宋体" w:cs="宋体"/>
          <w:sz w:val="24"/>
          <w:highlight w:val="none"/>
        </w:rPr>
      </w:pPr>
    </w:p>
    <w:p w14:paraId="4666623F">
      <w:pPr>
        <w:pStyle w:val="62"/>
        <w:spacing w:line="400" w:lineRule="exact"/>
        <w:rPr>
          <w:rStyle w:val="31"/>
          <w:rFonts w:hint="eastAsia" w:ascii="宋体" w:hAnsi="宋体" w:eastAsia="宋体" w:cs="宋体"/>
          <w:sz w:val="24"/>
          <w:highlight w:val="none"/>
        </w:rPr>
      </w:pPr>
      <w:r>
        <w:rPr>
          <w:rStyle w:val="31"/>
          <w:rFonts w:hint="eastAsia" w:ascii="宋体" w:hAnsi="宋体" w:eastAsia="宋体" w:cs="宋体"/>
          <w:sz w:val="24"/>
          <w:highlight w:val="none"/>
        </w:rPr>
        <w:t xml:space="preserve">         特此承诺</w:t>
      </w:r>
    </w:p>
    <w:p w14:paraId="58A49165">
      <w:pPr>
        <w:pStyle w:val="62"/>
        <w:spacing w:line="400" w:lineRule="exact"/>
        <w:rPr>
          <w:rStyle w:val="31"/>
          <w:rFonts w:hint="eastAsia" w:ascii="宋体" w:hAnsi="宋体" w:eastAsia="宋体" w:cs="宋体"/>
          <w:sz w:val="24"/>
          <w:highlight w:val="none"/>
        </w:rPr>
      </w:pPr>
    </w:p>
    <w:p w14:paraId="1A6FEEE4">
      <w:pPr>
        <w:pStyle w:val="62"/>
        <w:spacing w:line="400" w:lineRule="exact"/>
        <w:rPr>
          <w:rStyle w:val="31"/>
          <w:rFonts w:hint="eastAsia" w:ascii="宋体" w:hAnsi="宋体" w:eastAsia="宋体" w:cs="宋体"/>
          <w:sz w:val="24"/>
          <w:highlight w:val="none"/>
        </w:rPr>
      </w:pPr>
    </w:p>
    <w:p w14:paraId="18097EF9">
      <w:pPr>
        <w:pStyle w:val="62"/>
        <w:spacing w:line="400" w:lineRule="exact"/>
        <w:rPr>
          <w:rStyle w:val="31"/>
          <w:rFonts w:hint="eastAsia" w:ascii="宋体" w:hAnsi="宋体" w:eastAsia="宋体" w:cs="宋体"/>
          <w:sz w:val="24"/>
          <w:highlight w:val="none"/>
        </w:rPr>
      </w:pPr>
    </w:p>
    <w:p w14:paraId="05A45663">
      <w:pPr>
        <w:pStyle w:val="62"/>
        <w:spacing w:line="400" w:lineRule="exact"/>
        <w:rPr>
          <w:rStyle w:val="31"/>
          <w:rFonts w:hint="eastAsia" w:ascii="宋体" w:hAnsi="宋体" w:eastAsia="宋体" w:cs="宋体"/>
          <w:sz w:val="24"/>
          <w:highlight w:val="none"/>
        </w:rPr>
      </w:pPr>
    </w:p>
    <w:p w14:paraId="1C1EBB21">
      <w:pPr>
        <w:pStyle w:val="63"/>
        <w:spacing w:line="600" w:lineRule="exact"/>
        <w:ind w:firstLine="2640" w:firstLineChars="1100"/>
        <w:jc w:val="both"/>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投标人：</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（盖单位公章）</w:t>
      </w:r>
    </w:p>
    <w:p w14:paraId="35545B95">
      <w:pPr>
        <w:pStyle w:val="62"/>
        <w:spacing w:line="600" w:lineRule="exact"/>
        <w:ind w:firstLine="2640" w:firstLineChars="1100"/>
        <w:rPr>
          <w:rStyle w:val="31"/>
          <w:rFonts w:hint="eastAsia" w:ascii="宋体" w:hAnsi="宋体" w:eastAsia="宋体" w:cs="宋体"/>
          <w:sz w:val="24"/>
          <w:highlight w:val="none"/>
        </w:rPr>
      </w:pPr>
      <w:r>
        <w:rPr>
          <w:rStyle w:val="31"/>
          <w:rFonts w:hint="eastAsia" w:ascii="宋体" w:hAnsi="宋体" w:eastAsia="宋体" w:cs="宋体"/>
          <w:sz w:val="24"/>
          <w:highlight w:val="none"/>
        </w:rPr>
        <w:t>法定代表人或其委托代理人：</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（签章）</w:t>
      </w:r>
    </w:p>
    <w:p w14:paraId="4EF9242D">
      <w:pPr>
        <w:bidi w:val="0"/>
        <w:jc w:val="center"/>
        <w:rPr>
          <w:rStyle w:val="31"/>
          <w:rFonts w:hint="eastAsia" w:ascii="宋体" w:hAnsi="宋体" w:eastAsia="宋体" w:cs="宋体"/>
          <w:sz w:val="24"/>
          <w:highlight w:val="none"/>
        </w:rPr>
      </w:pPr>
      <w:r>
        <w:rPr>
          <w:rStyle w:val="31"/>
          <w:rFonts w:hint="eastAsia" w:ascii="宋体" w:hAnsi="宋体" w:eastAsia="宋体" w:cs="宋体"/>
          <w:sz w:val="24"/>
          <w:highlight w:val="none"/>
        </w:rPr>
        <w:t xml:space="preserve"> </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年</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月</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日</w:t>
      </w:r>
      <w:bookmarkEnd w:id="1078"/>
    </w:p>
    <w:p w14:paraId="5906BAF6">
      <w:pPr>
        <w:pStyle w:val="61"/>
        <w:jc w:val="center"/>
        <w:outlineLvl w:val="2"/>
        <w:rPr>
          <w:rStyle w:val="31"/>
          <w:rFonts w:ascii="Times New Roman" w:hAnsi="Times New Roman" w:eastAsia="Times New Roman" w:cs="Times New Roman"/>
          <w:highlight w:val="none"/>
        </w:rPr>
      </w:pPr>
      <w:r>
        <w:rPr>
          <w:rStyle w:val="31"/>
          <w:rFonts w:hint="eastAsia" w:ascii="宋体" w:hAnsi="宋体" w:eastAsia="宋体" w:cs="宋体"/>
          <w:sz w:val="24"/>
          <w:highlight w:val="none"/>
        </w:rPr>
        <w:br w:type="page"/>
      </w:r>
      <w:bookmarkStart w:id="1079" w:name="_Toc3732"/>
      <w:r>
        <w:rPr>
          <w:rFonts w:hint="eastAsia" w:ascii="Times New Roman" w:hAnsi="Times New Roman" w:eastAsia="黑体" w:cs="宋体"/>
          <w:b w:val="0"/>
          <w:bCs w:val="0"/>
          <w:kern w:val="2"/>
          <w:sz w:val="28"/>
          <w:szCs w:val="20"/>
          <w:highlight w:val="none"/>
          <w:lang w:val="en-US" w:eastAsia="zh-CN" w:bidi="ar-SA"/>
        </w:rPr>
        <w:t>承诺书（三）</w:t>
      </w:r>
      <w:bookmarkEnd w:id="1079"/>
    </w:p>
    <w:p w14:paraId="36B73382">
      <w:pPr>
        <w:pStyle w:val="64"/>
        <w:spacing w:line="400" w:lineRule="exact"/>
        <w:jc w:val="center"/>
        <w:rPr>
          <w:rStyle w:val="31"/>
          <w:rFonts w:ascii="黑体" w:hAnsi="黑体" w:eastAsia="黑体" w:cs="黑体"/>
          <w:b/>
          <w:sz w:val="24"/>
          <w:highlight w:val="none"/>
        </w:rPr>
      </w:pPr>
      <w:r>
        <w:rPr>
          <w:rStyle w:val="31"/>
          <w:rFonts w:hint="eastAsia" w:ascii="黑体" w:hAnsi="黑体" w:eastAsia="黑体" w:cs="黑体"/>
          <w:b/>
          <w:sz w:val="24"/>
          <w:highlight w:val="none"/>
        </w:rPr>
        <w:t>投标人告知承诺函</w:t>
      </w:r>
    </w:p>
    <w:p w14:paraId="7A9DC70E">
      <w:pPr>
        <w:pStyle w:val="62"/>
        <w:spacing w:line="400" w:lineRule="exact"/>
        <w:rPr>
          <w:rStyle w:val="31"/>
          <w:rFonts w:eastAsia="宋体" w:cs="Times New Roman"/>
          <w:color w:val="auto"/>
          <w:szCs w:val="21"/>
          <w:highlight w:val="none"/>
        </w:rPr>
      </w:pPr>
    </w:p>
    <w:p w14:paraId="0DBAE8CA">
      <w:pPr>
        <w:pStyle w:val="62"/>
        <w:spacing w:line="600" w:lineRule="exact"/>
        <w:rPr>
          <w:rStyle w:val="31"/>
          <w:rFonts w:hint="eastAsia" w:ascii="宋体" w:hAnsi="宋体" w:eastAsia="宋体" w:cs="宋体"/>
          <w:color w:val="auto"/>
          <w:sz w:val="24"/>
          <w:highlight w:val="none"/>
          <w:u w:val="single"/>
        </w:rPr>
      </w:pPr>
      <w:r>
        <w:rPr>
          <w:rFonts w:hint="eastAsia" w:ascii="宋体" w:hAnsi="宋体" w:cs="宋体"/>
          <w:color w:val="auto"/>
          <w:sz w:val="24"/>
          <w:szCs w:val="24"/>
          <w:highlight w:val="none"/>
          <w:u w:val="single"/>
          <w:lang w:eastAsia="zh-CN"/>
        </w:rPr>
        <w:t>营口市海洋与渔业局</w:t>
      </w:r>
      <w:r>
        <w:rPr>
          <w:rStyle w:val="31"/>
          <w:rFonts w:hint="eastAsia" w:ascii="宋体" w:hAnsi="宋体" w:eastAsia="宋体" w:cs="宋体"/>
          <w:color w:val="auto"/>
          <w:sz w:val="24"/>
          <w:highlight w:val="none"/>
          <w:u w:val="single"/>
        </w:rPr>
        <w:t>：</w:t>
      </w:r>
    </w:p>
    <w:p w14:paraId="14E95635">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我单位参与</w:t>
      </w:r>
      <w:r>
        <w:rPr>
          <w:rStyle w:val="31"/>
          <w:rFonts w:hint="eastAsia" w:ascii="宋体" w:hAnsi="宋体" w:eastAsia="宋体" w:cs="宋体"/>
          <w:sz w:val="24"/>
          <w:highlight w:val="none"/>
          <w:u w:val="single"/>
        </w:rPr>
        <w:t xml:space="preserve"> </w:t>
      </w:r>
      <w:r>
        <w:rPr>
          <w:rFonts w:hint="eastAsia" w:ascii="宋体" w:hAnsi="宋体" w:cs="宋体"/>
          <w:color w:val="auto"/>
          <w:sz w:val="24"/>
          <w:szCs w:val="24"/>
          <w:highlight w:val="none"/>
          <w:u w:val="single"/>
          <w:lang w:eastAsia="zh-CN"/>
        </w:rPr>
        <w:t>辽宁省营口市海洋生态保护修复工程项目工程</w:t>
      </w:r>
      <w:r>
        <w:rPr>
          <w:rFonts w:hint="eastAsia" w:ascii="宋体" w:hAnsi="宋体" w:cs="宋体"/>
          <w:color w:val="auto"/>
          <w:sz w:val="24"/>
          <w:szCs w:val="24"/>
          <w:highlight w:val="none"/>
          <w:u w:val="single"/>
          <w:lang w:val="en-US" w:eastAsia="zh-CN"/>
        </w:rPr>
        <w:t>施工</w:t>
      </w:r>
      <w:r>
        <w:rPr>
          <w:rStyle w:val="31"/>
          <w:rFonts w:hint="eastAsia" w:ascii="宋体" w:hAnsi="宋体" w:eastAsia="宋体" w:cs="宋体"/>
          <w:sz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30C2E53C">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一、我单位和我本人遵循公开、公平、公正、诚实守信的原则，依法依规参与本项目投标。</w:t>
      </w:r>
    </w:p>
    <w:p w14:paraId="4B9E33F5">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二、我单位具有参与本次投标的资质和能力，公司运营状况良好，不存在挂靠投标、不受让、租借、出租、出借资格或资质证书，无处罚期内的不良行为。</w:t>
      </w:r>
    </w:p>
    <w:p w14:paraId="22FA8227">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三、我单位在本项目投标过程中从招标公告/投标邀请书列明的渠道获取招标文件，没有通过其他不正当渠道获取招标文件。</w:t>
      </w:r>
    </w:p>
    <w:p w14:paraId="047CDF50">
      <w:pPr>
        <w:pStyle w:val="62"/>
        <w:spacing w:line="600" w:lineRule="exact"/>
        <w:rPr>
          <w:rStyle w:val="31"/>
          <w:rFonts w:hint="eastAsia" w:ascii="宋体" w:hAnsi="宋体" w:eastAsia="宋体" w:cs="宋体"/>
          <w:sz w:val="24"/>
          <w:highlight w:val="none"/>
        </w:rPr>
      </w:pPr>
      <w:r>
        <w:rPr>
          <w:rStyle w:val="31"/>
          <w:rFonts w:hint="eastAsia" w:ascii="宋体" w:hAnsi="宋体" w:eastAsia="宋体" w:cs="宋体"/>
          <w:sz w:val="24"/>
          <w:highlight w:val="none"/>
        </w:rPr>
        <w:t xml:space="preserve">    四、我单位承诺投标文件由本单位员工独立编制，严格遵守保密义务。所提供的一切投标相关材料都是真实、有效、合法的。</w:t>
      </w:r>
    </w:p>
    <w:p w14:paraId="593004B6">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五、我单位不与其他投标人相互串通投标报价，不恶意压低或抬高投标报价，不排挤其他投标人的公平竞争，不损害招标人或其他投标人的合法权益。</w:t>
      </w:r>
    </w:p>
    <w:p w14:paraId="1886B079">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六、我单位不与招标人或招标代理机构串通投标，损害国家利益、社会公共利益或者他人的合法权益;</w:t>
      </w:r>
    </w:p>
    <w:p w14:paraId="5B639936">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七、我单位不向招标人或者评标委员会成员行贿以牟取中标，不在开标后进行虚假恶意投诉。</w:t>
      </w:r>
    </w:p>
    <w:p w14:paraId="2E4893C0">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8F942AD">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九、我单位如在本项目招标投标活动评标工作中存在串通投标、弄虚作假等行为的，本单位及本人自愿承担法律责任，接受相应刑事、纪律和行政处罚以及失信惩戒。</w:t>
      </w:r>
    </w:p>
    <w:p w14:paraId="32B8C354">
      <w:pPr>
        <w:pStyle w:val="62"/>
        <w:spacing w:line="600" w:lineRule="exact"/>
        <w:ind w:firstLine="480" w:firstLineChars="200"/>
        <w:rPr>
          <w:rStyle w:val="31"/>
          <w:rFonts w:hint="eastAsia" w:ascii="宋体" w:hAnsi="宋体" w:eastAsia="宋体" w:cs="宋体"/>
          <w:sz w:val="24"/>
          <w:highlight w:val="none"/>
        </w:rPr>
      </w:pPr>
      <w:r>
        <w:rPr>
          <w:rStyle w:val="31"/>
          <w:rFonts w:hint="eastAsia" w:ascii="宋体" w:hAnsi="宋体" w:eastAsia="宋体" w:cs="宋体"/>
          <w:sz w:val="24"/>
          <w:highlight w:val="none"/>
        </w:rPr>
        <w:t>十、本承诺函由我单位盖章及法定代表人（授权委托人）签字（或签章）确认。</w:t>
      </w:r>
    </w:p>
    <w:p w14:paraId="015CF20D">
      <w:pPr>
        <w:pStyle w:val="62"/>
        <w:spacing w:line="600" w:lineRule="exact"/>
        <w:ind w:firstLine="480" w:firstLineChars="200"/>
        <w:rPr>
          <w:rStyle w:val="31"/>
          <w:rFonts w:hint="eastAsia" w:ascii="宋体" w:hAnsi="宋体" w:eastAsia="宋体" w:cs="宋体"/>
          <w:sz w:val="24"/>
          <w:highlight w:val="none"/>
          <w:shd w:val="clear" w:color="auto" w:fill="FFFFFF"/>
        </w:rPr>
      </w:pPr>
    </w:p>
    <w:p w14:paraId="1C0E15C6">
      <w:pPr>
        <w:pStyle w:val="62"/>
        <w:spacing w:line="600" w:lineRule="exact"/>
        <w:ind w:firstLine="480" w:firstLineChars="200"/>
        <w:rPr>
          <w:rStyle w:val="31"/>
          <w:rFonts w:hint="eastAsia" w:ascii="宋体" w:hAnsi="宋体" w:eastAsia="宋体" w:cs="宋体"/>
          <w:sz w:val="24"/>
          <w:highlight w:val="none"/>
          <w:shd w:val="clear" w:color="auto" w:fill="FFFFFF"/>
        </w:rPr>
      </w:pPr>
    </w:p>
    <w:p w14:paraId="53939E4D">
      <w:pPr>
        <w:pStyle w:val="62"/>
        <w:spacing w:line="600" w:lineRule="exact"/>
        <w:ind w:firstLine="360" w:firstLineChars="150"/>
        <w:jc w:val="right"/>
        <w:rPr>
          <w:rStyle w:val="31"/>
          <w:rFonts w:hint="eastAsia" w:ascii="宋体" w:hAnsi="宋体" w:eastAsia="宋体" w:cs="宋体"/>
          <w:sz w:val="24"/>
          <w:highlight w:val="none"/>
        </w:rPr>
      </w:pPr>
      <w:r>
        <w:rPr>
          <w:rStyle w:val="31"/>
          <w:rFonts w:hint="eastAsia" w:ascii="宋体" w:hAnsi="宋体" w:eastAsia="宋体" w:cs="宋体"/>
          <w:sz w:val="24"/>
          <w:highlight w:val="none"/>
        </w:rPr>
        <w:t>承诺单位：</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（盖单位公章）</w:t>
      </w:r>
    </w:p>
    <w:p w14:paraId="580FF2F4">
      <w:pPr>
        <w:pStyle w:val="62"/>
        <w:spacing w:line="600" w:lineRule="exact"/>
        <w:rPr>
          <w:rStyle w:val="31"/>
          <w:rFonts w:hint="eastAsia" w:ascii="宋体" w:hAnsi="宋体" w:eastAsia="宋体" w:cs="宋体"/>
          <w:sz w:val="24"/>
          <w:highlight w:val="none"/>
        </w:rPr>
      </w:pPr>
    </w:p>
    <w:p w14:paraId="3A97ECF1">
      <w:pPr>
        <w:pStyle w:val="62"/>
        <w:spacing w:line="600" w:lineRule="exact"/>
        <w:ind w:firstLine="360" w:firstLineChars="150"/>
        <w:jc w:val="right"/>
        <w:rPr>
          <w:rStyle w:val="31"/>
          <w:rFonts w:hint="eastAsia" w:ascii="宋体" w:hAnsi="宋体" w:eastAsia="宋体" w:cs="宋体"/>
          <w:sz w:val="24"/>
          <w:highlight w:val="none"/>
        </w:rPr>
      </w:pPr>
      <w:r>
        <w:rPr>
          <w:rStyle w:val="31"/>
          <w:rFonts w:hint="eastAsia" w:ascii="宋体" w:hAnsi="宋体" w:eastAsia="宋体" w:cs="宋体"/>
          <w:sz w:val="24"/>
          <w:highlight w:val="none"/>
        </w:rPr>
        <w:t>法定代表人（授权委托人）：</w:t>
      </w:r>
      <w:r>
        <w:rPr>
          <w:rStyle w:val="31"/>
          <w:rFonts w:hint="eastAsia" w:ascii="宋体" w:hAnsi="宋体" w:eastAsia="宋体" w:cs="宋体"/>
          <w:sz w:val="24"/>
          <w:highlight w:val="none"/>
          <w:u w:val="single"/>
        </w:rPr>
        <w:t xml:space="preserve">        </w:t>
      </w:r>
      <w:r>
        <w:rPr>
          <w:rStyle w:val="31"/>
          <w:rFonts w:hint="eastAsia" w:ascii="宋体" w:hAnsi="宋体" w:eastAsia="宋体" w:cs="宋体"/>
          <w:sz w:val="24"/>
          <w:highlight w:val="none"/>
        </w:rPr>
        <w:t>（签字或签章）</w:t>
      </w:r>
    </w:p>
    <w:p w14:paraId="24A445F4">
      <w:pPr>
        <w:pStyle w:val="62"/>
        <w:spacing w:line="600" w:lineRule="exact"/>
        <w:rPr>
          <w:rStyle w:val="31"/>
          <w:rFonts w:hint="eastAsia" w:ascii="宋体" w:hAnsi="宋体" w:eastAsia="宋体" w:cs="宋体"/>
          <w:sz w:val="24"/>
          <w:highlight w:val="none"/>
        </w:rPr>
      </w:pPr>
    </w:p>
    <w:p w14:paraId="62608A91">
      <w:pPr>
        <w:pStyle w:val="62"/>
        <w:spacing w:line="600" w:lineRule="exact"/>
        <w:rPr>
          <w:rStyle w:val="31"/>
          <w:rFonts w:hint="eastAsia" w:ascii="宋体" w:hAnsi="宋体" w:eastAsia="宋体" w:cs="宋体"/>
          <w:sz w:val="24"/>
          <w:highlight w:val="none"/>
        </w:rPr>
      </w:pPr>
    </w:p>
    <w:p w14:paraId="4866A23B">
      <w:pPr>
        <w:bidi w:val="0"/>
        <w:jc w:val="center"/>
        <w:rPr>
          <w:rStyle w:val="31"/>
          <w:rFonts w:hint="eastAsia" w:ascii="宋体" w:hAnsi="宋体" w:eastAsia="宋体" w:cs="宋体"/>
          <w:sz w:val="24"/>
          <w:highlight w:val="none"/>
        </w:rPr>
      </w:pPr>
      <w:r>
        <w:rPr>
          <w:rStyle w:val="31"/>
          <w:rFonts w:hint="eastAsia" w:ascii="宋体" w:hAnsi="宋体" w:eastAsia="宋体" w:cs="宋体"/>
          <w:sz w:val="24"/>
          <w:highlight w:val="none"/>
        </w:rPr>
        <w:t>承诺时间：    年    月  日</w:t>
      </w:r>
    </w:p>
    <w:p w14:paraId="57038C63">
      <w:pPr>
        <w:numPr>
          <w:ilvl w:val="0"/>
          <w:numId w:val="3"/>
        </w:numPr>
        <w:bidi w:val="0"/>
        <w:jc w:val="center"/>
        <w:rPr>
          <w:rFonts w:hint="eastAsia" w:ascii="Times New Roman" w:hAnsi="Times New Roman" w:eastAsia="黑体" w:cs="宋体"/>
          <w:b w:val="0"/>
          <w:bCs w:val="0"/>
          <w:kern w:val="2"/>
          <w:sz w:val="28"/>
          <w:szCs w:val="20"/>
          <w:highlight w:val="none"/>
          <w:lang w:val="en-US" w:eastAsia="zh-CN" w:bidi="ar-SA"/>
        </w:rPr>
      </w:pPr>
      <w:r>
        <w:rPr>
          <w:rStyle w:val="31"/>
          <w:rFonts w:hint="eastAsia" w:ascii="宋体" w:hAnsi="宋体" w:eastAsia="宋体" w:cs="宋体"/>
          <w:sz w:val="24"/>
          <w:highlight w:val="none"/>
        </w:rPr>
        <w:br w:type="page"/>
      </w:r>
      <w:r>
        <w:rPr>
          <w:rFonts w:hint="eastAsia" w:ascii="Times New Roman" w:hAnsi="Times New Roman" w:eastAsia="黑体" w:cs="宋体"/>
          <w:b w:val="0"/>
          <w:bCs w:val="0"/>
          <w:kern w:val="2"/>
          <w:sz w:val="28"/>
          <w:szCs w:val="20"/>
          <w:highlight w:val="none"/>
          <w:lang w:val="en-US" w:eastAsia="zh-CN" w:bidi="ar-SA"/>
        </w:rPr>
        <w:t>评标办法涉及的其他材料</w:t>
      </w:r>
    </w:p>
    <w:p w14:paraId="23F13E9A">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2B4D84A4">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3C302BAD">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4C7E20EB">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31F67BC8">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698C8A26">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3DAF15CE">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7DEDF04E">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6715AB44">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555AA768">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08773891">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7B7C6532">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070C0A84">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7E3D6832">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0055C301">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0DC8FDDE">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69D7B5E9">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779502E1">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7986FBF8">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p w14:paraId="2074CB77">
      <w:pPr>
        <w:widowControl w:val="0"/>
        <w:numPr>
          <w:ilvl w:val="0"/>
          <w:numId w:val="0"/>
        </w:numPr>
        <w:bidi w:val="0"/>
        <w:jc w:val="center"/>
        <w:rPr>
          <w:rFonts w:hint="eastAsia" w:ascii="Times New Roman" w:hAnsi="Times New Roman" w:eastAsia="黑体" w:cs="宋体"/>
          <w:b w:val="0"/>
          <w:bCs w:val="0"/>
          <w:kern w:val="2"/>
          <w:sz w:val="28"/>
          <w:szCs w:val="20"/>
          <w:highlight w:val="none"/>
          <w:lang w:val="en-US" w:eastAsia="zh-CN" w:bidi="ar-SA"/>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1812">
    <w:pPr>
      <w:pStyle w:val="20"/>
      <w:jc w:val="center"/>
      <w:rPr>
        <w:rFonts w:hint="eastAsia" w:ascii="宋体" w:hAnsi="宋体" w:eastAsia="宋体" w:cs="宋体"/>
        <w:sz w:val="15"/>
        <w:szCs w:val="15"/>
      </w:rPr>
    </w:pPr>
    <w:r>
      <w:rPr>
        <w:rFonts w:hint="eastAsia" w:ascii="宋体" w:hAnsi="宋体" w:eastAsia="宋体" w:cs="宋体"/>
        <w:sz w:val="15"/>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CEF895">
                          <w:pPr>
                            <w:pStyle w:val="20"/>
                            <w:jc w:val="center"/>
                          </w:pPr>
                          <w:r>
                            <w:rPr>
                              <w:rStyle w:val="32"/>
                            </w:rPr>
                            <w:fldChar w:fldCharType="begin"/>
                          </w:r>
                          <w:r>
                            <w:rPr>
                              <w:rStyle w:val="32"/>
                            </w:rPr>
                            <w:instrText xml:space="preserve"> PAGE </w:instrText>
                          </w:r>
                          <w:r>
                            <w:rPr>
                              <w:rStyle w:val="32"/>
                            </w:rPr>
                            <w:fldChar w:fldCharType="separate"/>
                          </w:r>
                          <w:r>
                            <w:rPr>
                              <w:rStyle w:val="32"/>
                            </w:rPr>
                            <w:t>viii</w:t>
                          </w:r>
                          <w:r>
                            <w:rPr>
                              <w:rStyle w:val="32"/>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14:paraId="61CEF895">
                    <w:pPr>
                      <w:pStyle w:val="20"/>
                      <w:jc w:val="center"/>
                    </w:pPr>
                    <w:r>
                      <w:rPr>
                        <w:rStyle w:val="32"/>
                      </w:rPr>
                      <w:fldChar w:fldCharType="begin"/>
                    </w:r>
                    <w:r>
                      <w:rPr>
                        <w:rStyle w:val="32"/>
                      </w:rPr>
                      <w:instrText xml:space="preserve"> PAGE </w:instrText>
                    </w:r>
                    <w:r>
                      <w:rPr>
                        <w:rStyle w:val="32"/>
                      </w:rPr>
                      <w:fldChar w:fldCharType="separate"/>
                    </w:r>
                    <w:r>
                      <w:rPr>
                        <w:rStyle w:val="32"/>
                      </w:rPr>
                      <w:t>viii</w:t>
                    </w:r>
                    <w:r>
                      <w:rPr>
                        <w:rStyle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E870">
    <w:pPr>
      <w:pStyle w:val="2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38AA5">
                          <w:pPr>
                            <w:pStyle w:val="20"/>
                            <w:jc w:val="center"/>
                          </w:pPr>
                          <w:r>
                            <w:rPr>
                              <w:rStyle w:val="32"/>
                            </w:rPr>
                            <w:fldChar w:fldCharType="begin"/>
                          </w:r>
                          <w:r>
                            <w:rPr>
                              <w:rStyle w:val="32"/>
                            </w:rPr>
                            <w:instrText xml:space="preserve"> PAGE </w:instrText>
                          </w:r>
                          <w:r>
                            <w:rPr>
                              <w:rStyle w:val="32"/>
                            </w:rPr>
                            <w:fldChar w:fldCharType="separate"/>
                          </w:r>
                          <w:r>
                            <w:rPr>
                              <w:rStyle w:val="32"/>
                            </w:rPr>
                            <w:t>113</w:t>
                          </w:r>
                          <w:r>
                            <w:rPr>
                              <w:rStyle w:val="32"/>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14:paraId="34E38AA5">
                    <w:pPr>
                      <w:pStyle w:val="20"/>
                      <w:jc w:val="center"/>
                    </w:pPr>
                    <w:r>
                      <w:rPr>
                        <w:rStyle w:val="32"/>
                      </w:rPr>
                      <w:fldChar w:fldCharType="begin"/>
                    </w:r>
                    <w:r>
                      <w:rPr>
                        <w:rStyle w:val="32"/>
                      </w:rPr>
                      <w:instrText xml:space="preserve"> PAGE </w:instrText>
                    </w:r>
                    <w:r>
                      <w:rPr>
                        <w:rStyle w:val="32"/>
                      </w:rPr>
                      <w:fldChar w:fldCharType="separate"/>
                    </w:r>
                    <w:r>
                      <w:rPr>
                        <w:rStyle w:val="32"/>
                      </w:rPr>
                      <w:t>113</w:t>
                    </w:r>
                    <w:r>
                      <w:rPr>
                        <w:rStyle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C7699"/>
    <w:multiLevelType w:val="singleLevel"/>
    <w:tmpl w:val="88DC7699"/>
    <w:lvl w:ilvl="0" w:tentative="0">
      <w:start w:val="3"/>
      <w:numFmt w:val="decimal"/>
      <w:lvlText w:val="%1."/>
      <w:lvlJc w:val="left"/>
      <w:pPr>
        <w:tabs>
          <w:tab w:val="left" w:pos="312"/>
        </w:tabs>
      </w:pPr>
    </w:lvl>
  </w:abstractNum>
  <w:abstractNum w:abstractNumId="1">
    <w:nsid w:val="2AD19170"/>
    <w:multiLevelType w:val="singleLevel"/>
    <w:tmpl w:val="2AD19170"/>
    <w:lvl w:ilvl="0" w:tentative="0">
      <w:start w:val="2"/>
      <w:numFmt w:val="decimal"/>
      <w:suff w:val="nothing"/>
      <w:lvlText w:val="%1、"/>
      <w:lvlJc w:val="left"/>
    </w:lvl>
  </w:abstractNum>
  <w:abstractNum w:abstractNumId="2">
    <w:nsid w:val="7933675A"/>
    <w:multiLevelType w:val="multilevel"/>
    <w:tmpl w:val="7933675A"/>
    <w:lvl w:ilvl="0" w:tentative="0">
      <w:start w:val="1"/>
      <w:numFmt w:val="decimal"/>
      <w:lvlText w:val="（%1）"/>
      <w:lvlJc w:val="left"/>
      <w:pPr>
        <w:tabs>
          <w:tab w:val="left" w:pos="1200"/>
        </w:tabs>
        <w:ind w:left="1200" w:hanging="72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TllZDBiYjA4NWYwN2Q0MTAzMTk5YzE5MmRlMDYifQ=="/>
    <w:docVar w:name="KSO_WPS_MARK_KEY" w:val="a5da8546-7627-4819-af9a-0df9ac81d40e"/>
  </w:docVars>
  <w:rsids>
    <w:rsidRoot w:val="00B80529"/>
    <w:rsid w:val="00005598"/>
    <w:rsid w:val="0000617C"/>
    <w:rsid w:val="00007C20"/>
    <w:rsid w:val="000100A9"/>
    <w:rsid w:val="00010E14"/>
    <w:rsid w:val="000135AD"/>
    <w:rsid w:val="00014EDF"/>
    <w:rsid w:val="00015DA4"/>
    <w:rsid w:val="0002117A"/>
    <w:rsid w:val="0002417A"/>
    <w:rsid w:val="00024E63"/>
    <w:rsid w:val="00025510"/>
    <w:rsid w:val="0002566C"/>
    <w:rsid w:val="000279EA"/>
    <w:rsid w:val="00030270"/>
    <w:rsid w:val="00030648"/>
    <w:rsid w:val="00031390"/>
    <w:rsid w:val="0003501D"/>
    <w:rsid w:val="000363AC"/>
    <w:rsid w:val="00041F96"/>
    <w:rsid w:val="000432F5"/>
    <w:rsid w:val="000436F0"/>
    <w:rsid w:val="00043CFB"/>
    <w:rsid w:val="000456ED"/>
    <w:rsid w:val="00045BD2"/>
    <w:rsid w:val="00046D73"/>
    <w:rsid w:val="000470F1"/>
    <w:rsid w:val="000477C6"/>
    <w:rsid w:val="0004789C"/>
    <w:rsid w:val="00047A3B"/>
    <w:rsid w:val="00050D38"/>
    <w:rsid w:val="00053EC0"/>
    <w:rsid w:val="000549A7"/>
    <w:rsid w:val="00057B47"/>
    <w:rsid w:val="00057C2C"/>
    <w:rsid w:val="0006073A"/>
    <w:rsid w:val="00064610"/>
    <w:rsid w:val="000649B8"/>
    <w:rsid w:val="000667BA"/>
    <w:rsid w:val="000667CB"/>
    <w:rsid w:val="00066A32"/>
    <w:rsid w:val="000712B3"/>
    <w:rsid w:val="00075CF8"/>
    <w:rsid w:val="00081C99"/>
    <w:rsid w:val="0008371E"/>
    <w:rsid w:val="000841FA"/>
    <w:rsid w:val="00090B93"/>
    <w:rsid w:val="000914A2"/>
    <w:rsid w:val="000923A0"/>
    <w:rsid w:val="000933D4"/>
    <w:rsid w:val="00094768"/>
    <w:rsid w:val="00094D81"/>
    <w:rsid w:val="00096909"/>
    <w:rsid w:val="00096B4E"/>
    <w:rsid w:val="000A15D4"/>
    <w:rsid w:val="000A5AA3"/>
    <w:rsid w:val="000B07B3"/>
    <w:rsid w:val="000B1D9E"/>
    <w:rsid w:val="000C16B0"/>
    <w:rsid w:val="000C24DD"/>
    <w:rsid w:val="000C4EA9"/>
    <w:rsid w:val="000C5573"/>
    <w:rsid w:val="000C5702"/>
    <w:rsid w:val="000C5B56"/>
    <w:rsid w:val="000C64DE"/>
    <w:rsid w:val="000C71C7"/>
    <w:rsid w:val="000D0B4C"/>
    <w:rsid w:val="000D1D57"/>
    <w:rsid w:val="000D3014"/>
    <w:rsid w:val="000D6779"/>
    <w:rsid w:val="000E4037"/>
    <w:rsid w:val="000E4FEA"/>
    <w:rsid w:val="000E5E8D"/>
    <w:rsid w:val="000E756E"/>
    <w:rsid w:val="000E782B"/>
    <w:rsid w:val="000F1C43"/>
    <w:rsid w:val="000F33A2"/>
    <w:rsid w:val="000F4158"/>
    <w:rsid w:val="000F6ECE"/>
    <w:rsid w:val="00102B04"/>
    <w:rsid w:val="00103C6B"/>
    <w:rsid w:val="00106904"/>
    <w:rsid w:val="00107489"/>
    <w:rsid w:val="001114F3"/>
    <w:rsid w:val="00111BFA"/>
    <w:rsid w:val="001143C3"/>
    <w:rsid w:val="00114E7C"/>
    <w:rsid w:val="0011794E"/>
    <w:rsid w:val="001207E3"/>
    <w:rsid w:val="00122098"/>
    <w:rsid w:val="00122315"/>
    <w:rsid w:val="0012271C"/>
    <w:rsid w:val="00125861"/>
    <w:rsid w:val="00126922"/>
    <w:rsid w:val="00126F6B"/>
    <w:rsid w:val="00127EE0"/>
    <w:rsid w:val="001314E0"/>
    <w:rsid w:val="00134527"/>
    <w:rsid w:val="00134D71"/>
    <w:rsid w:val="00137EF9"/>
    <w:rsid w:val="00137FC0"/>
    <w:rsid w:val="00141A63"/>
    <w:rsid w:val="00143AF2"/>
    <w:rsid w:val="0014443C"/>
    <w:rsid w:val="00144F3B"/>
    <w:rsid w:val="0014557B"/>
    <w:rsid w:val="00146119"/>
    <w:rsid w:val="001461C5"/>
    <w:rsid w:val="00153D9D"/>
    <w:rsid w:val="00154C57"/>
    <w:rsid w:val="0016025C"/>
    <w:rsid w:val="00160728"/>
    <w:rsid w:val="00162944"/>
    <w:rsid w:val="00162B38"/>
    <w:rsid w:val="00165996"/>
    <w:rsid w:val="00167646"/>
    <w:rsid w:val="00172C6D"/>
    <w:rsid w:val="00175F8B"/>
    <w:rsid w:val="00176677"/>
    <w:rsid w:val="00183158"/>
    <w:rsid w:val="00185093"/>
    <w:rsid w:val="001850C1"/>
    <w:rsid w:val="00185D06"/>
    <w:rsid w:val="001909E7"/>
    <w:rsid w:val="00191236"/>
    <w:rsid w:val="00191727"/>
    <w:rsid w:val="00191DEF"/>
    <w:rsid w:val="001A057F"/>
    <w:rsid w:val="001A066A"/>
    <w:rsid w:val="001A140F"/>
    <w:rsid w:val="001A1513"/>
    <w:rsid w:val="001A354F"/>
    <w:rsid w:val="001A3BD9"/>
    <w:rsid w:val="001A412F"/>
    <w:rsid w:val="001A664A"/>
    <w:rsid w:val="001A6CA2"/>
    <w:rsid w:val="001A6D06"/>
    <w:rsid w:val="001A7DC0"/>
    <w:rsid w:val="001B147F"/>
    <w:rsid w:val="001B3550"/>
    <w:rsid w:val="001B3A01"/>
    <w:rsid w:val="001B3F8E"/>
    <w:rsid w:val="001B4F0A"/>
    <w:rsid w:val="001B68D9"/>
    <w:rsid w:val="001B775D"/>
    <w:rsid w:val="001B79BF"/>
    <w:rsid w:val="001C4D1D"/>
    <w:rsid w:val="001C5DF3"/>
    <w:rsid w:val="001C5EE7"/>
    <w:rsid w:val="001C61AA"/>
    <w:rsid w:val="001C69DD"/>
    <w:rsid w:val="001C7855"/>
    <w:rsid w:val="001D4769"/>
    <w:rsid w:val="001E19F8"/>
    <w:rsid w:val="001E394B"/>
    <w:rsid w:val="001E3D1E"/>
    <w:rsid w:val="001E4C06"/>
    <w:rsid w:val="001E56BC"/>
    <w:rsid w:val="001E69B4"/>
    <w:rsid w:val="001F249D"/>
    <w:rsid w:val="001F2C89"/>
    <w:rsid w:val="001F448E"/>
    <w:rsid w:val="001F4D59"/>
    <w:rsid w:val="001F6568"/>
    <w:rsid w:val="001F6C95"/>
    <w:rsid w:val="001F75BB"/>
    <w:rsid w:val="00200034"/>
    <w:rsid w:val="0020261F"/>
    <w:rsid w:val="00204944"/>
    <w:rsid w:val="002049B8"/>
    <w:rsid w:val="00211FC6"/>
    <w:rsid w:val="0022220A"/>
    <w:rsid w:val="0022234D"/>
    <w:rsid w:val="00222D73"/>
    <w:rsid w:val="00225E82"/>
    <w:rsid w:val="00226C57"/>
    <w:rsid w:val="00233E4A"/>
    <w:rsid w:val="002342CE"/>
    <w:rsid w:val="00243015"/>
    <w:rsid w:val="00246970"/>
    <w:rsid w:val="002472BA"/>
    <w:rsid w:val="00247711"/>
    <w:rsid w:val="00252585"/>
    <w:rsid w:val="00252824"/>
    <w:rsid w:val="00255779"/>
    <w:rsid w:val="002571E4"/>
    <w:rsid w:val="002613F5"/>
    <w:rsid w:val="00263363"/>
    <w:rsid w:val="00270629"/>
    <w:rsid w:val="00270C81"/>
    <w:rsid w:val="00273A8F"/>
    <w:rsid w:val="002749E9"/>
    <w:rsid w:val="00274E64"/>
    <w:rsid w:val="0027527C"/>
    <w:rsid w:val="002754C5"/>
    <w:rsid w:val="00275F10"/>
    <w:rsid w:val="00280C23"/>
    <w:rsid w:val="00281A43"/>
    <w:rsid w:val="00282022"/>
    <w:rsid w:val="0028405B"/>
    <w:rsid w:val="0029035D"/>
    <w:rsid w:val="00292A19"/>
    <w:rsid w:val="00292A3B"/>
    <w:rsid w:val="00293D4C"/>
    <w:rsid w:val="00297CBD"/>
    <w:rsid w:val="002A0AF0"/>
    <w:rsid w:val="002A0C73"/>
    <w:rsid w:val="002A285C"/>
    <w:rsid w:val="002A3875"/>
    <w:rsid w:val="002A59A3"/>
    <w:rsid w:val="002A7C16"/>
    <w:rsid w:val="002B13A8"/>
    <w:rsid w:val="002B1D63"/>
    <w:rsid w:val="002B2A12"/>
    <w:rsid w:val="002B31BF"/>
    <w:rsid w:val="002B36A9"/>
    <w:rsid w:val="002B3745"/>
    <w:rsid w:val="002B4B27"/>
    <w:rsid w:val="002B6609"/>
    <w:rsid w:val="002B7007"/>
    <w:rsid w:val="002C0CEC"/>
    <w:rsid w:val="002C499E"/>
    <w:rsid w:val="002C4A1F"/>
    <w:rsid w:val="002C74D1"/>
    <w:rsid w:val="002D2D73"/>
    <w:rsid w:val="002D31A4"/>
    <w:rsid w:val="002D3C5F"/>
    <w:rsid w:val="002D468E"/>
    <w:rsid w:val="002D5C66"/>
    <w:rsid w:val="002D5D7B"/>
    <w:rsid w:val="002E1A70"/>
    <w:rsid w:val="002E283C"/>
    <w:rsid w:val="002E3D8F"/>
    <w:rsid w:val="002E7DD2"/>
    <w:rsid w:val="002F43DB"/>
    <w:rsid w:val="003007AA"/>
    <w:rsid w:val="00303A19"/>
    <w:rsid w:val="003042D4"/>
    <w:rsid w:val="00304F1D"/>
    <w:rsid w:val="003061C6"/>
    <w:rsid w:val="003065F2"/>
    <w:rsid w:val="003077AF"/>
    <w:rsid w:val="00307F8C"/>
    <w:rsid w:val="00322CA6"/>
    <w:rsid w:val="00323875"/>
    <w:rsid w:val="00324C64"/>
    <w:rsid w:val="00333730"/>
    <w:rsid w:val="003366A2"/>
    <w:rsid w:val="00337C62"/>
    <w:rsid w:val="00340999"/>
    <w:rsid w:val="00340B42"/>
    <w:rsid w:val="00343085"/>
    <w:rsid w:val="003431D9"/>
    <w:rsid w:val="00344A96"/>
    <w:rsid w:val="003476B2"/>
    <w:rsid w:val="003500E9"/>
    <w:rsid w:val="00350F42"/>
    <w:rsid w:val="00355CF2"/>
    <w:rsid w:val="00356479"/>
    <w:rsid w:val="003566D0"/>
    <w:rsid w:val="00356B5B"/>
    <w:rsid w:val="0035732B"/>
    <w:rsid w:val="00360BC2"/>
    <w:rsid w:val="00360F8F"/>
    <w:rsid w:val="00362B40"/>
    <w:rsid w:val="00363A85"/>
    <w:rsid w:val="0036508F"/>
    <w:rsid w:val="00365EBA"/>
    <w:rsid w:val="00366750"/>
    <w:rsid w:val="00366F64"/>
    <w:rsid w:val="00367FAA"/>
    <w:rsid w:val="00370237"/>
    <w:rsid w:val="0037045B"/>
    <w:rsid w:val="00372661"/>
    <w:rsid w:val="00373411"/>
    <w:rsid w:val="00375B46"/>
    <w:rsid w:val="00375FA4"/>
    <w:rsid w:val="00377FE2"/>
    <w:rsid w:val="0038490D"/>
    <w:rsid w:val="003853BF"/>
    <w:rsid w:val="00390748"/>
    <w:rsid w:val="00393750"/>
    <w:rsid w:val="00393C66"/>
    <w:rsid w:val="003959E2"/>
    <w:rsid w:val="0039737E"/>
    <w:rsid w:val="003A0243"/>
    <w:rsid w:val="003A3A95"/>
    <w:rsid w:val="003A6EA2"/>
    <w:rsid w:val="003A7EF1"/>
    <w:rsid w:val="003B0273"/>
    <w:rsid w:val="003B0E79"/>
    <w:rsid w:val="003B3664"/>
    <w:rsid w:val="003B3F02"/>
    <w:rsid w:val="003C1C5A"/>
    <w:rsid w:val="003C2B85"/>
    <w:rsid w:val="003C3A26"/>
    <w:rsid w:val="003C5945"/>
    <w:rsid w:val="003C7C94"/>
    <w:rsid w:val="003D0EC0"/>
    <w:rsid w:val="003D11C5"/>
    <w:rsid w:val="003D1902"/>
    <w:rsid w:val="003D1DE4"/>
    <w:rsid w:val="003D2F49"/>
    <w:rsid w:val="003D55E8"/>
    <w:rsid w:val="003D6379"/>
    <w:rsid w:val="003D77EE"/>
    <w:rsid w:val="003E18C8"/>
    <w:rsid w:val="003E291A"/>
    <w:rsid w:val="003E406D"/>
    <w:rsid w:val="003E7143"/>
    <w:rsid w:val="003F4483"/>
    <w:rsid w:val="003F522C"/>
    <w:rsid w:val="003F7E87"/>
    <w:rsid w:val="004018B1"/>
    <w:rsid w:val="0040222A"/>
    <w:rsid w:val="0040623D"/>
    <w:rsid w:val="00407486"/>
    <w:rsid w:val="00413A86"/>
    <w:rsid w:val="00413EF3"/>
    <w:rsid w:val="00414C35"/>
    <w:rsid w:val="00420B11"/>
    <w:rsid w:val="00420F2F"/>
    <w:rsid w:val="00421623"/>
    <w:rsid w:val="00422EF9"/>
    <w:rsid w:val="00424174"/>
    <w:rsid w:val="0042488E"/>
    <w:rsid w:val="00425FFA"/>
    <w:rsid w:val="00427216"/>
    <w:rsid w:val="0043132C"/>
    <w:rsid w:val="004317E5"/>
    <w:rsid w:val="00433112"/>
    <w:rsid w:val="0043324F"/>
    <w:rsid w:val="00433562"/>
    <w:rsid w:val="004347AB"/>
    <w:rsid w:val="004360FE"/>
    <w:rsid w:val="00436E8F"/>
    <w:rsid w:val="00440871"/>
    <w:rsid w:val="0044276B"/>
    <w:rsid w:val="00451714"/>
    <w:rsid w:val="00451E5E"/>
    <w:rsid w:val="0045412C"/>
    <w:rsid w:val="00461501"/>
    <w:rsid w:val="0046202E"/>
    <w:rsid w:val="0046242E"/>
    <w:rsid w:val="00466625"/>
    <w:rsid w:val="004669BA"/>
    <w:rsid w:val="00470852"/>
    <w:rsid w:val="00470DFA"/>
    <w:rsid w:val="004710B0"/>
    <w:rsid w:val="00472450"/>
    <w:rsid w:val="00474F50"/>
    <w:rsid w:val="0047767B"/>
    <w:rsid w:val="00480E79"/>
    <w:rsid w:val="0048194D"/>
    <w:rsid w:val="00486638"/>
    <w:rsid w:val="004873CC"/>
    <w:rsid w:val="00493115"/>
    <w:rsid w:val="004931BC"/>
    <w:rsid w:val="00494564"/>
    <w:rsid w:val="004A0178"/>
    <w:rsid w:val="004A04A4"/>
    <w:rsid w:val="004A06BB"/>
    <w:rsid w:val="004A0BC8"/>
    <w:rsid w:val="004A0CF0"/>
    <w:rsid w:val="004A0EBE"/>
    <w:rsid w:val="004A74CF"/>
    <w:rsid w:val="004B11AF"/>
    <w:rsid w:val="004B5952"/>
    <w:rsid w:val="004B6DAF"/>
    <w:rsid w:val="004B73EB"/>
    <w:rsid w:val="004C07AB"/>
    <w:rsid w:val="004C0DEE"/>
    <w:rsid w:val="004C6191"/>
    <w:rsid w:val="004C6D99"/>
    <w:rsid w:val="004D0C4E"/>
    <w:rsid w:val="004D1E3E"/>
    <w:rsid w:val="004D306E"/>
    <w:rsid w:val="004D36E2"/>
    <w:rsid w:val="004D4F85"/>
    <w:rsid w:val="004D5860"/>
    <w:rsid w:val="004D64AF"/>
    <w:rsid w:val="004D6756"/>
    <w:rsid w:val="004E2D9B"/>
    <w:rsid w:val="004E324E"/>
    <w:rsid w:val="004E4A9D"/>
    <w:rsid w:val="004E5DBA"/>
    <w:rsid w:val="004E605D"/>
    <w:rsid w:val="004E6569"/>
    <w:rsid w:val="004E7147"/>
    <w:rsid w:val="004F10C6"/>
    <w:rsid w:val="004F25CF"/>
    <w:rsid w:val="004F30FC"/>
    <w:rsid w:val="004F7D71"/>
    <w:rsid w:val="004F7DC1"/>
    <w:rsid w:val="00505E28"/>
    <w:rsid w:val="005109F2"/>
    <w:rsid w:val="005110D8"/>
    <w:rsid w:val="00511B01"/>
    <w:rsid w:val="005127EF"/>
    <w:rsid w:val="00512E12"/>
    <w:rsid w:val="00513F41"/>
    <w:rsid w:val="00514249"/>
    <w:rsid w:val="00515500"/>
    <w:rsid w:val="00515618"/>
    <w:rsid w:val="005157AB"/>
    <w:rsid w:val="0051778C"/>
    <w:rsid w:val="00520BAB"/>
    <w:rsid w:val="0052549C"/>
    <w:rsid w:val="00525CA7"/>
    <w:rsid w:val="00527063"/>
    <w:rsid w:val="00527C83"/>
    <w:rsid w:val="00530DDE"/>
    <w:rsid w:val="00532B0A"/>
    <w:rsid w:val="0053343B"/>
    <w:rsid w:val="00533905"/>
    <w:rsid w:val="00533BBA"/>
    <w:rsid w:val="00533EF3"/>
    <w:rsid w:val="005364FF"/>
    <w:rsid w:val="00537B8A"/>
    <w:rsid w:val="005409E2"/>
    <w:rsid w:val="0054258C"/>
    <w:rsid w:val="00543D89"/>
    <w:rsid w:val="00544574"/>
    <w:rsid w:val="005457EC"/>
    <w:rsid w:val="005463C7"/>
    <w:rsid w:val="00550259"/>
    <w:rsid w:val="00550E94"/>
    <w:rsid w:val="005549B2"/>
    <w:rsid w:val="00556575"/>
    <w:rsid w:val="00556E56"/>
    <w:rsid w:val="00556EFE"/>
    <w:rsid w:val="005574B7"/>
    <w:rsid w:val="00557B0B"/>
    <w:rsid w:val="005639ED"/>
    <w:rsid w:val="00566B98"/>
    <w:rsid w:val="00570499"/>
    <w:rsid w:val="0057148A"/>
    <w:rsid w:val="0057445D"/>
    <w:rsid w:val="00581568"/>
    <w:rsid w:val="0058248F"/>
    <w:rsid w:val="00587C5E"/>
    <w:rsid w:val="00591D6A"/>
    <w:rsid w:val="005928EB"/>
    <w:rsid w:val="00592B9C"/>
    <w:rsid w:val="0059356D"/>
    <w:rsid w:val="00593FAB"/>
    <w:rsid w:val="005945E8"/>
    <w:rsid w:val="0059466E"/>
    <w:rsid w:val="005A0817"/>
    <w:rsid w:val="005A10EE"/>
    <w:rsid w:val="005A301F"/>
    <w:rsid w:val="005B16F7"/>
    <w:rsid w:val="005B1E56"/>
    <w:rsid w:val="005B4840"/>
    <w:rsid w:val="005B6F3F"/>
    <w:rsid w:val="005B75D1"/>
    <w:rsid w:val="005C2082"/>
    <w:rsid w:val="005C390B"/>
    <w:rsid w:val="005C400B"/>
    <w:rsid w:val="005C415C"/>
    <w:rsid w:val="005C639E"/>
    <w:rsid w:val="005C6709"/>
    <w:rsid w:val="005D0271"/>
    <w:rsid w:val="005D0873"/>
    <w:rsid w:val="005D0C75"/>
    <w:rsid w:val="005D0E99"/>
    <w:rsid w:val="005D1AB5"/>
    <w:rsid w:val="005D2F16"/>
    <w:rsid w:val="005D3DDA"/>
    <w:rsid w:val="005D67DB"/>
    <w:rsid w:val="005E1F3A"/>
    <w:rsid w:val="005E4141"/>
    <w:rsid w:val="005E43CD"/>
    <w:rsid w:val="005E6248"/>
    <w:rsid w:val="005F2563"/>
    <w:rsid w:val="005F2DB2"/>
    <w:rsid w:val="005F312B"/>
    <w:rsid w:val="005F318C"/>
    <w:rsid w:val="0060222D"/>
    <w:rsid w:val="006024CF"/>
    <w:rsid w:val="00603219"/>
    <w:rsid w:val="00603624"/>
    <w:rsid w:val="00604CE0"/>
    <w:rsid w:val="006055FA"/>
    <w:rsid w:val="00607F95"/>
    <w:rsid w:val="00611A2A"/>
    <w:rsid w:val="00614D42"/>
    <w:rsid w:val="00616A68"/>
    <w:rsid w:val="006228D0"/>
    <w:rsid w:val="00622B83"/>
    <w:rsid w:val="00625019"/>
    <w:rsid w:val="00625834"/>
    <w:rsid w:val="00625A8C"/>
    <w:rsid w:val="00625F6C"/>
    <w:rsid w:val="0062719D"/>
    <w:rsid w:val="006308FD"/>
    <w:rsid w:val="00631402"/>
    <w:rsid w:val="00632FEB"/>
    <w:rsid w:val="006336E3"/>
    <w:rsid w:val="00634262"/>
    <w:rsid w:val="00636C2B"/>
    <w:rsid w:val="006374E1"/>
    <w:rsid w:val="00637E00"/>
    <w:rsid w:val="00640C55"/>
    <w:rsid w:val="006415E6"/>
    <w:rsid w:val="006418CD"/>
    <w:rsid w:val="00645962"/>
    <w:rsid w:val="00652278"/>
    <w:rsid w:val="006528F2"/>
    <w:rsid w:val="00653200"/>
    <w:rsid w:val="006547DA"/>
    <w:rsid w:val="00654B92"/>
    <w:rsid w:val="00654FEF"/>
    <w:rsid w:val="00655DBE"/>
    <w:rsid w:val="00657052"/>
    <w:rsid w:val="00657159"/>
    <w:rsid w:val="0065794E"/>
    <w:rsid w:val="00660770"/>
    <w:rsid w:val="00661033"/>
    <w:rsid w:val="00666E9C"/>
    <w:rsid w:val="006673F3"/>
    <w:rsid w:val="006704E7"/>
    <w:rsid w:val="00670546"/>
    <w:rsid w:val="0067439B"/>
    <w:rsid w:val="00675CFF"/>
    <w:rsid w:val="006829E8"/>
    <w:rsid w:val="006830D6"/>
    <w:rsid w:val="00683DB6"/>
    <w:rsid w:val="0069141B"/>
    <w:rsid w:val="00692F51"/>
    <w:rsid w:val="00694A68"/>
    <w:rsid w:val="00695AE8"/>
    <w:rsid w:val="006A0769"/>
    <w:rsid w:val="006A0BC1"/>
    <w:rsid w:val="006A0CAA"/>
    <w:rsid w:val="006A2015"/>
    <w:rsid w:val="006A3C03"/>
    <w:rsid w:val="006A57F2"/>
    <w:rsid w:val="006A6A6C"/>
    <w:rsid w:val="006A78A0"/>
    <w:rsid w:val="006B1F60"/>
    <w:rsid w:val="006B31D9"/>
    <w:rsid w:val="006B31DB"/>
    <w:rsid w:val="006B443D"/>
    <w:rsid w:val="006B62F0"/>
    <w:rsid w:val="006B7DF1"/>
    <w:rsid w:val="006C1E11"/>
    <w:rsid w:val="006C2190"/>
    <w:rsid w:val="006C2F88"/>
    <w:rsid w:val="006C515C"/>
    <w:rsid w:val="006C520A"/>
    <w:rsid w:val="006C5228"/>
    <w:rsid w:val="006D0A34"/>
    <w:rsid w:val="006D16BA"/>
    <w:rsid w:val="006D2D17"/>
    <w:rsid w:val="006D3123"/>
    <w:rsid w:val="006E0990"/>
    <w:rsid w:val="006E13CC"/>
    <w:rsid w:val="006E3F6D"/>
    <w:rsid w:val="006E51DF"/>
    <w:rsid w:val="006E63A5"/>
    <w:rsid w:val="006F2CBC"/>
    <w:rsid w:val="006F35DB"/>
    <w:rsid w:val="006F5746"/>
    <w:rsid w:val="006F615B"/>
    <w:rsid w:val="006F72C1"/>
    <w:rsid w:val="007037DB"/>
    <w:rsid w:val="00704236"/>
    <w:rsid w:val="00706799"/>
    <w:rsid w:val="00711F71"/>
    <w:rsid w:val="007123B7"/>
    <w:rsid w:val="00717A3B"/>
    <w:rsid w:val="007223DD"/>
    <w:rsid w:val="007243AC"/>
    <w:rsid w:val="00725FA0"/>
    <w:rsid w:val="00726297"/>
    <w:rsid w:val="007278AB"/>
    <w:rsid w:val="0073057F"/>
    <w:rsid w:val="0073073A"/>
    <w:rsid w:val="007329A8"/>
    <w:rsid w:val="00732F7C"/>
    <w:rsid w:val="0073319C"/>
    <w:rsid w:val="0073574D"/>
    <w:rsid w:val="007364D8"/>
    <w:rsid w:val="00736EA9"/>
    <w:rsid w:val="007400EF"/>
    <w:rsid w:val="00740247"/>
    <w:rsid w:val="00740F5C"/>
    <w:rsid w:val="00741B94"/>
    <w:rsid w:val="00741E3D"/>
    <w:rsid w:val="00742824"/>
    <w:rsid w:val="007477EA"/>
    <w:rsid w:val="00750B28"/>
    <w:rsid w:val="00750DA8"/>
    <w:rsid w:val="00751E51"/>
    <w:rsid w:val="007535C6"/>
    <w:rsid w:val="0075402D"/>
    <w:rsid w:val="007541F4"/>
    <w:rsid w:val="0075700D"/>
    <w:rsid w:val="00761506"/>
    <w:rsid w:val="00761727"/>
    <w:rsid w:val="00761CC5"/>
    <w:rsid w:val="007630CE"/>
    <w:rsid w:val="00763F3A"/>
    <w:rsid w:val="0077209B"/>
    <w:rsid w:val="00773B29"/>
    <w:rsid w:val="00775BF9"/>
    <w:rsid w:val="00777248"/>
    <w:rsid w:val="00777468"/>
    <w:rsid w:val="00777D4C"/>
    <w:rsid w:val="00780EC0"/>
    <w:rsid w:val="007817AC"/>
    <w:rsid w:val="0078440E"/>
    <w:rsid w:val="00784981"/>
    <w:rsid w:val="00786B94"/>
    <w:rsid w:val="00793377"/>
    <w:rsid w:val="007935D5"/>
    <w:rsid w:val="007A03E6"/>
    <w:rsid w:val="007A2047"/>
    <w:rsid w:val="007A2891"/>
    <w:rsid w:val="007A330B"/>
    <w:rsid w:val="007A3608"/>
    <w:rsid w:val="007A4B67"/>
    <w:rsid w:val="007A6950"/>
    <w:rsid w:val="007A75AE"/>
    <w:rsid w:val="007A7909"/>
    <w:rsid w:val="007B10ED"/>
    <w:rsid w:val="007B2E30"/>
    <w:rsid w:val="007B47FC"/>
    <w:rsid w:val="007B59C8"/>
    <w:rsid w:val="007B6B86"/>
    <w:rsid w:val="007B768C"/>
    <w:rsid w:val="007C4630"/>
    <w:rsid w:val="007C6BC9"/>
    <w:rsid w:val="007D419D"/>
    <w:rsid w:val="007D6F27"/>
    <w:rsid w:val="007E0E5C"/>
    <w:rsid w:val="007E1E35"/>
    <w:rsid w:val="007E241C"/>
    <w:rsid w:val="007E287C"/>
    <w:rsid w:val="007E51A7"/>
    <w:rsid w:val="007E54AA"/>
    <w:rsid w:val="007E67C8"/>
    <w:rsid w:val="007E6909"/>
    <w:rsid w:val="007F04A3"/>
    <w:rsid w:val="007F125E"/>
    <w:rsid w:val="007F236A"/>
    <w:rsid w:val="007F3021"/>
    <w:rsid w:val="007F7987"/>
    <w:rsid w:val="00800575"/>
    <w:rsid w:val="00800BBE"/>
    <w:rsid w:val="00802D3D"/>
    <w:rsid w:val="00804C22"/>
    <w:rsid w:val="008059B2"/>
    <w:rsid w:val="00805C93"/>
    <w:rsid w:val="00811055"/>
    <w:rsid w:val="008121C6"/>
    <w:rsid w:val="00815B06"/>
    <w:rsid w:val="00820E21"/>
    <w:rsid w:val="00820EF3"/>
    <w:rsid w:val="00821D69"/>
    <w:rsid w:val="008402EF"/>
    <w:rsid w:val="008407A5"/>
    <w:rsid w:val="0084476B"/>
    <w:rsid w:val="008462ED"/>
    <w:rsid w:val="00846785"/>
    <w:rsid w:val="00847364"/>
    <w:rsid w:val="00847DE1"/>
    <w:rsid w:val="0085082E"/>
    <w:rsid w:val="00850E1F"/>
    <w:rsid w:val="00851172"/>
    <w:rsid w:val="00852894"/>
    <w:rsid w:val="008537FD"/>
    <w:rsid w:val="00855D80"/>
    <w:rsid w:val="00860975"/>
    <w:rsid w:val="008612B1"/>
    <w:rsid w:val="00864DB5"/>
    <w:rsid w:val="00866DE5"/>
    <w:rsid w:val="00870AB3"/>
    <w:rsid w:val="00870E91"/>
    <w:rsid w:val="00871343"/>
    <w:rsid w:val="00874614"/>
    <w:rsid w:val="00874F50"/>
    <w:rsid w:val="0087655B"/>
    <w:rsid w:val="00877085"/>
    <w:rsid w:val="008834DF"/>
    <w:rsid w:val="008847D1"/>
    <w:rsid w:val="00885A93"/>
    <w:rsid w:val="00885F0E"/>
    <w:rsid w:val="008863E8"/>
    <w:rsid w:val="00887CAC"/>
    <w:rsid w:val="00892759"/>
    <w:rsid w:val="00893357"/>
    <w:rsid w:val="00896AF6"/>
    <w:rsid w:val="008A595B"/>
    <w:rsid w:val="008A59E1"/>
    <w:rsid w:val="008A6684"/>
    <w:rsid w:val="008B1BD0"/>
    <w:rsid w:val="008B3058"/>
    <w:rsid w:val="008B582B"/>
    <w:rsid w:val="008C2252"/>
    <w:rsid w:val="008C2BDF"/>
    <w:rsid w:val="008C3A9D"/>
    <w:rsid w:val="008C4552"/>
    <w:rsid w:val="008C483A"/>
    <w:rsid w:val="008C56E1"/>
    <w:rsid w:val="008E40EA"/>
    <w:rsid w:val="008E56A9"/>
    <w:rsid w:val="008E73CB"/>
    <w:rsid w:val="008F0C74"/>
    <w:rsid w:val="008F378E"/>
    <w:rsid w:val="008F4617"/>
    <w:rsid w:val="00900B14"/>
    <w:rsid w:val="00901B09"/>
    <w:rsid w:val="009030E2"/>
    <w:rsid w:val="009032EB"/>
    <w:rsid w:val="009158B2"/>
    <w:rsid w:val="00920EEA"/>
    <w:rsid w:val="00921728"/>
    <w:rsid w:val="00922299"/>
    <w:rsid w:val="00924E89"/>
    <w:rsid w:val="00925CDE"/>
    <w:rsid w:val="00927FD3"/>
    <w:rsid w:val="009317D6"/>
    <w:rsid w:val="00931C73"/>
    <w:rsid w:val="0094042F"/>
    <w:rsid w:val="00940735"/>
    <w:rsid w:val="009428F4"/>
    <w:rsid w:val="00943DA0"/>
    <w:rsid w:val="00944129"/>
    <w:rsid w:val="00945598"/>
    <w:rsid w:val="0094636C"/>
    <w:rsid w:val="0094689D"/>
    <w:rsid w:val="00946FC1"/>
    <w:rsid w:val="00952F8C"/>
    <w:rsid w:val="00953FE9"/>
    <w:rsid w:val="009556C5"/>
    <w:rsid w:val="00956AB4"/>
    <w:rsid w:val="0096105C"/>
    <w:rsid w:val="009624B5"/>
    <w:rsid w:val="00963131"/>
    <w:rsid w:val="00965C4B"/>
    <w:rsid w:val="009661D7"/>
    <w:rsid w:val="00966D04"/>
    <w:rsid w:val="00973B1F"/>
    <w:rsid w:val="00975D66"/>
    <w:rsid w:val="00977098"/>
    <w:rsid w:val="00980BE0"/>
    <w:rsid w:val="0098115C"/>
    <w:rsid w:val="00983672"/>
    <w:rsid w:val="00983CB7"/>
    <w:rsid w:val="00984949"/>
    <w:rsid w:val="009849D7"/>
    <w:rsid w:val="00984B74"/>
    <w:rsid w:val="009917B8"/>
    <w:rsid w:val="00992A3C"/>
    <w:rsid w:val="00994B78"/>
    <w:rsid w:val="00995981"/>
    <w:rsid w:val="00997B01"/>
    <w:rsid w:val="009A05BD"/>
    <w:rsid w:val="009A085C"/>
    <w:rsid w:val="009A1158"/>
    <w:rsid w:val="009A123A"/>
    <w:rsid w:val="009A400E"/>
    <w:rsid w:val="009A55F0"/>
    <w:rsid w:val="009A5EFE"/>
    <w:rsid w:val="009B25F9"/>
    <w:rsid w:val="009B3291"/>
    <w:rsid w:val="009B338D"/>
    <w:rsid w:val="009B3CC9"/>
    <w:rsid w:val="009B418C"/>
    <w:rsid w:val="009B4EF8"/>
    <w:rsid w:val="009B620F"/>
    <w:rsid w:val="009C1C73"/>
    <w:rsid w:val="009C3C56"/>
    <w:rsid w:val="009C454A"/>
    <w:rsid w:val="009C5286"/>
    <w:rsid w:val="009C5989"/>
    <w:rsid w:val="009C5E41"/>
    <w:rsid w:val="009D10E1"/>
    <w:rsid w:val="009D450D"/>
    <w:rsid w:val="009D500C"/>
    <w:rsid w:val="009D5FD4"/>
    <w:rsid w:val="009E4CE6"/>
    <w:rsid w:val="009E59CE"/>
    <w:rsid w:val="009E6C11"/>
    <w:rsid w:val="009E6EFB"/>
    <w:rsid w:val="009F017C"/>
    <w:rsid w:val="009F3122"/>
    <w:rsid w:val="009F4873"/>
    <w:rsid w:val="009F7781"/>
    <w:rsid w:val="00A002AE"/>
    <w:rsid w:val="00A01434"/>
    <w:rsid w:val="00A01DD0"/>
    <w:rsid w:val="00A04F8B"/>
    <w:rsid w:val="00A10DDE"/>
    <w:rsid w:val="00A121C1"/>
    <w:rsid w:val="00A1227E"/>
    <w:rsid w:val="00A14341"/>
    <w:rsid w:val="00A17BD5"/>
    <w:rsid w:val="00A21DAE"/>
    <w:rsid w:val="00A22D3E"/>
    <w:rsid w:val="00A25F50"/>
    <w:rsid w:val="00A26C04"/>
    <w:rsid w:val="00A2775F"/>
    <w:rsid w:val="00A27C35"/>
    <w:rsid w:val="00A32B3D"/>
    <w:rsid w:val="00A33A96"/>
    <w:rsid w:val="00A37FA6"/>
    <w:rsid w:val="00A448F8"/>
    <w:rsid w:val="00A46807"/>
    <w:rsid w:val="00A5078A"/>
    <w:rsid w:val="00A50AB8"/>
    <w:rsid w:val="00A51A04"/>
    <w:rsid w:val="00A536ED"/>
    <w:rsid w:val="00A54BDC"/>
    <w:rsid w:val="00A54E8C"/>
    <w:rsid w:val="00A56186"/>
    <w:rsid w:val="00A5636F"/>
    <w:rsid w:val="00A61537"/>
    <w:rsid w:val="00A624C2"/>
    <w:rsid w:val="00A63016"/>
    <w:rsid w:val="00A64C33"/>
    <w:rsid w:val="00A65191"/>
    <w:rsid w:val="00A657CB"/>
    <w:rsid w:val="00A66C79"/>
    <w:rsid w:val="00A66CAE"/>
    <w:rsid w:val="00A674DC"/>
    <w:rsid w:val="00A71196"/>
    <w:rsid w:val="00A72A2F"/>
    <w:rsid w:val="00A743EF"/>
    <w:rsid w:val="00A7498A"/>
    <w:rsid w:val="00A751D1"/>
    <w:rsid w:val="00A801A2"/>
    <w:rsid w:val="00A818F4"/>
    <w:rsid w:val="00A84113"/>
    <w:rsid w:val="00A871DC"/>
    <w:rsid w:val="00A9016C"/>
    <w:rsid w:val="00A910CB"/>
    <w:rsid w:val="00A92884"/>
    <w:rsid w:val="00A9704C"/>
    <w:rsid w:val="00AA1D19"/>
    <w:rsid w:val="00AA256C"/>
    <w:rsid w:val="00AA689A"/>
    <w:rsid w:val="00AA6A1B"/>
    <w:rsid w:val="00AA7077"/>
    <w:rsid w:val="00AB014D"/>
    <w:rsid w:val="00AB1B39"/>
    <w:rsid w:val="00AB2761"/>
    <w:rsid w:val="00AB494A"/>
    <w:rsid w:val="00AC0289"/>
    <w:rsid w:val="00AC06A2"/>
    <w:rsid w:val="00AC358C"/>
    <w:rsid w:val="00AC7246"/>
    <w:rsid w:val="00AD0403"/>
    <w:rsid w:val="00AD0D74"/>
    <w:rsid w:val="00AD1FE0"/>
    <w:rsid w:val="00AD220E"/>
    <w:rsid w:val="00AD42B6"/>
    <w:rsid w:val="00AD606A"/>
    <w:rsid w:val="00AD68F4"/>
    <w:rsid w:val="00AD6AC4"/>
    <w:rsid w:val="00AD7ABA"/>
    <w:rsid w:val="00AD7AF0"/>
    <w:rsid w:val="00AE0554"/>
    <w:rsid w:val="00AE17DC"/>
    <w:rsid w:val="00AE182D"/>
    <w:rsid w:val="00AE18D6"/>
    <w:rsid w:val="00AE1F36"/>
    <w:rsid w:val="00AE3897"/>
    <w:rsid w:val="00AE75D0"/>
    <w:rsid w:val="00AF0FDC"/>
    <w:rsid w:val="00AF102C"/>
    <w:rsid w:val="00AF204C"/>
    <w:rsid w:val="00AF3639"/>
    <w:rsid w:val="00AF449C"/>
    <w:rsid w:val="00AF5629"/>
    <w:rsid w:val="00AF7BDC"/>
    <w:rsid w:val="00AF7D4C"/>
    <w:rsid w:val="00B04E2A"/>
    <w:rsid w:val="00B055B7"/>
    <w:rsid w:val="00B06363"/>
    <w:rsid w:val="00B1157E"/>
    <w:rsid w:val="00B1597A"/>
    <w:rsid w:val="00B21A7B"/>
    <w:rsid w:val="00B22289"/>
    <w:rsid w:val="00B2403F"/>
    <w:rsid w:val="00B244BE"/>
    <w:rsid w:val="00B274B9"/>
    <w:rsid w:val="00B27A59"/>
    <w:rsid w:val="00B30AEC"/>
    <w:rsid w:val="00B34DBA"/>
    <w:rsid w:val="00B352DD"/>
    <w:rsid w:val="00B361D5"/>
    <w:rsid w:val="00B3759B"/>
    <w:rsid w:val="00B4001C"/>
    <w:rsid w:val="00B42AB9"/>
    <w:rsid w:val="00B42EF0"/>
    <w:rsid w:val="00B45F0B"/>
    <w:rsid w:val="00B5145C"/>
    <w:rsid w:val="00B51EB7"/>
    <w:rsid w:val="00B51ECA"/>
    <w:rsid w:val="00B540E4"/>
    <w:rsid w:val="00B62AD8"/>
    <w:rsid w:val="00B66F59"/>
    <w:rsid w:val="00B72EA8"/>
    <w:rsid w:val="00B7367E"/>
    <w:rsid w:val="00B7428F"/>
    <w:rsid w:val="00B76409"/>
    <w:rsid w:val="00B77D0C"/>
    <w:rsid w:val="00B80329"/>
    <w:rsid w:val="00B80529"/>
    <w:rsid w:val="00B81A3A"/>
    <w:rsid w:val="00B85B15"/>
    <w:rsid w:val="00B92104"/>
    <w:rsid w:val="00B9383D"/>
    <w:rsid w:val="00B943FE"/>
    <w:rsid w:val="00B957EF"/>
    <w:rsid w:val="00BA0C35"/>
    <w:rsid w:val="00BA1685"/>
    <w:rsid w:val="00BA17BD"/>
    <w:rsid w:val="00BA1D35"/>
    <w:rsid w:val="00BA5493"/>
    <w:rsid w:val="00BA6017"/>
    <w:rsid w:val="00BA7516"/>
    <w:rsid w:val="00BA7661"/>
    <w:rsid w:val="00BB0B45"/>
    <w:rsid w:val="00BB6989"/>
    <w:rsid w:val="00BB6B6F"/>
    <w:rsid w:val="00BB7FED"/>
    <w:rsid w:val="00BC1700"/>
    <w:rsid w:val="00BC32D8"/>
    <w:rsid w:val="00BD1600"/>
    <w:rsid w:val="00BD61E0"/>
    <w:rsid w:val="00BE0850"/>
    <w:rsid w:val="00BE27FC"/>
    <w:rsid w:val="00BE35CE"/>
    <w:rsid w:val="00BF0F95"/>
    <w:rsid w:val="00BF1607"/>
    <w:rsid w:val="00BF26E2"/>
    <w:rsid w:val="00BF2F1A"/>
    <w:rsid w:val="00BF38D6"/>
    <w:rsid w:val="00BF5886"/>
    <w:rsid w:val="00BF7139"/>
    <w:rsid w:val="00C03175"/>
    <w:rsid w:val="00C04251"/>
    <w:rsid w:val="00C05530"/>
    <w:rsid w:val="00C05F15"/>
    <w:rsid w:val="00C066F4"/>
    <w:rsid w:val="00C0712A"/>
    <w:rsid w:val="00C07465"/>
    <w:rsid w:val="00C10DC6"/>
    <w:rsid w:val="00C12779"/>
    <w:rsid w:val="00C141B8"/>
    <w:rsid w:val="00C142B1"/>
    <w:rsid w:val="00C14CAF"/>
    <w:rsid w:val="00C1619F"/>
    <w:rsid w:val="00C214E1"/>
    <w:rsid w:val="00C2450B"/>
    <w:rsid w:val="00C305CB"/>
    <w:rsid w:val="00C36BE9"/>
    <w:rsid w:val="00C36E1E"/>
    <w:rsid w:val="00C370CB"/>
    <w:rsid w:val="00C37B4D"/>
    <w:rsid w:val="00C456CE"/>
    <w:rsid w:val="00C47B4D"/>
    <w:rsid w:val="00C51995"/>
    <w:rsid w:val="00C51F10"/>
    <w:rsid w:val="00C520D2"/>
    <w:rsid w:val="00C52542"/>
    <w:rsid w:val="00C53016"/>
    <w:rsid w:val="00C544F1"/>
    <w:rsid w:val="00C55C30"/>
    <w:rsid w:val="00C56BAB"/>
    <w:rsid w:val="00C5764F"/>
    <w:rsid w:val="00C57682"/>
    <w:rsid w:val="00C618F3"/>
    <w:rsid w:val="00C635DF"/>
    <w:rsid w:val="00C63811"/>
    <w:rsid w:val="00C703C9"/>
    <w:rsid w:val="00C714AE"/>
    <w:rsid w:val="00C722A1"/>
    <w:rsid w:val="00C728DA"/>
    <w:rsid w:val="00C74FF0"/>
    <w:rsid w:val="00C7503F"/>
    <w:rsid w:val="00C76C8C"/>
    <w:rsid w:val="00C77D0D"/>
    <w:rsid w:val="00C77F3C"/>
    <w:rsid w:val="00C80D8A"/>
    <w:rsid w:val="00C8277D"/>
    <w:rsid w:val="00C831EC"/>
    <w:rsid w:val="00C83EAF"/>
    <w:rsid w:val="00C845A1"/>
    <w:rsid w:val="00C850F4"/>
    <w:rsid w:val="00C86B03"/>
    <w:rsid w:val="00C86F0E"/>
    <w:rsid w:val="00C87EB8"/>
    <w:rsid w:val="00C90EEC"/>
    <w:rsid w:val="00C91974"/>
    <w:rsid w:val="00C9434C"/>
    <w:rsid w:val="00C96B00"/>
    <w:rsid w:val="00CA0121"/>
    <w:rsid w:val="00CA0BC0"/>
    <w:rsid w:val="00CA2329"/>
    <w:rsid w:val="00CB2486"/>
    <w:rsid w:val="00CB730C"/>
    <w:rsid w:val="00CB7F6C"/>
    <w:rsid w:val="00CC2C08"/>
    <w:rsid w:val="00CC31C3"/>
    <w:rsid w:val="00CC6189"/>
    <w:rsid w:val="00CC64B9"/>
    <w:rsid w:val="00CD5543"/>
    <w:rsid w:val="00CD5974"/>
    <w:rsid w:val="00CE03CC"/>
    <w:rsid w:val="00CE0765"/>
    <w:rsid w:val="00CE09AE"/>
    <w:rsid w:val="00CE28F8"/>
    <w:rsid w:val="00CE2CC6"/>
    <w:rsid w:val="00CE3605"/>
    <w:rsid w:val="00CF1E68"/>
    <w:rsid w:val="00CF3737"/>
    <w:rsid w:val="00CF4FAE"/>
    <w:rsid w:val="00CF5096"/>
    <w:rsid w:val="00D002A6"/>
    <w:rsid w:val="00D00DB8"/>
    <w:rsid w:val="00D01AA2"/>
    <w:rsid w:val="00D027E6"/>
    <w:rsid w:val="00D04784"/>
    <w:rsid w:val="00D05D91"/>
    <w:rsid w:val="00D062B0"/>
    <w:rsid w:val="00D11E3F"/>
    <w:rsid w:val="00D140F5"/>
    <w:rsid w:val="00D14B66"/>
    <w:rsid w:val="00D15C98"/>
    <w:rsid w:val="00D17C0C"/>
    <w:rsid w:val="00D21F11"/>
    <w:rsid w:val="00D274D3"/>
    <w:rsid w:val="00D32514"/>
    <w:rsid w:val="00D32C06"/>
    <w:rsid w:val="00D32DF1"/>
    <w:rsid w:val="00D3423B"/>
    <w:rsid w:val="00D37487"/>
    <w:rsid w:val="00D37D45"/>
    <w:rsid w:val="00D40E68"/>
    <w:rsid w:val="00D41826"/>
    <w:rsid w:val="00D41A70"/>
    <w:rsid w:val="00D539CC"/>
    <w:rsid w:val="00D54281"/>
    <w:rsid w:val="00D54769"/>
    <w:rsid w:val="00D60604"/>
    <w:rsid w:val="00D64679"/>
    <w:rsid w:val="00D6716B"/>
    <w:rsid w:val="00D6752D"/>
    <w:rsid w:val="00D7002B"/>
    <w:rsid w:val="00D7311B"/>
    <w:rsid w:val="00D74487"/>
    <w:rsid w:val="00D765E9"/>
    <w:rsid w:val="00D8559F"/>
    <w:rsid w:val="00D8690D"/>
    <w:rsid w:val="00D91136"/>
    <w:rsid w:val="00D9197C"/>
    <w:rsid w:val="00D94497"/>
    <w:rsid w:val="00D94A4D"/>
    <w:rsid w:val="00D9784C"/>
    <w:rsid w:val="00DA049E"/>
    <w:rsid w:val="00DB1EF2"/>
    <w:rsid w:val="00DB3401"/>
    <w:rsid w:val="00DB4F03"/>
    <w:rsid w:val="00DB5A7F"/>
    <w:rsid w:val="00DB5F0B"/>
    <w:rsid w:val="00DB6326"/>
    <w:rsid w:val="00DB6914"/>
    <w:rsid w:val="00DB705B"/>
    <w:rsid w:val="00DB7B09"/>
    <w:rsid w:val="00DC1935"/>
    <w:rsid w:val="00DC32F2"/>
    <w:rsid w:val="00DC3780"/>
    <w:rsid w:val="00DC461C"/>
    <w:rsid w:val="00DC56F9"/>
    <w:rsid w:val="00DC578C"/>
    <w:rsid w:val="00DC7A4E"/>
    <w:rsid w:val="00DC7FDC"/>
    <w:rsid w:val="00DD08AA"/>
    <w:rsid w:val="00DD1152"/>
    <w:rsid w:val="00DD1A8A"/>
    <w:rsid w:val="00DD4F7E"/>
    <w:rsid w:val="00DD549F"/>
    <w:rsid w:val="00DD5897"/>
    <w:rsid w:val="00DE243C"/>
    <w:rsid w:val="00DE4F6F"/>
    <w:rsid w:val="00DE5DA2"/>
    <w:rsid w:val="00DF094C"/>
    <w:rsid w:val="00DF2D12"/>
    <w:rsid w:val="00DF6C13"/>
    <w:rsid w:val="00E0040B"/>
    <w:rsid w:val="00E01CA8"/>
    <w:rsid w:val="00E030A3"/>
    <w:rsid w:val="00E042D3"/>
    <w:rsid w:val="00E05766"/>
    <w:rsid w:val="00E06B97"/>
    <w:rsid w:val="00E074CD"/>
    <w:rsid w:val="00E11B51"/>
    <w:rsid w:val="00E1516E"/>
    <w:rsid w:val="00E16F63"/>
    <w:rsid w:val="00E20CAB"/>
    <w:rsid w:val="00E25B40"/>
    <w:rsid w:val="00E2630F"/>
    <w:rsid w:val="00E26E76"/>
    <w:rsid w:val="00E33360"/>
    <w:rsid w:val="00E33C12"/>
    <w:rsid w:val="00E342DA"/>
    <w:rsid w:val="00E37155"/>
    <w:rsid w:val="00E3766F"/>
    <w:rsid w:val="00E40665"/>
    <w:rsid w:val="00E40E2A"/>
    <w:rsid w:val="00E41E6B"/>
    <w:rsid w:val="00E427AB"/>
    <w:rsid w:val="00E4345A"/>
    <w:rsid w:val="00E45C1B"/>
    <w:rsid w:val="00E46612"/>
    <w:rsid w:val="00E46B00"/>
    <w:rsid w:val="00E47AE8"/>
    <w:rsid w:val="00E513D2"/>
    <w:rsid w:val="00E51CBF"/>
    <w:rsid w:val="00E51E50"/>
    <w:rsid w:val="00E53D30"/>
    <w:rsid w:val="00E56E27"/>
    <w:rsid w:val="00E60382"/>
    <w:rsid w:val="00E61AED"/>
    <w:rsid w:val="00E627EF"/>
    <w:rsid w:val="00E647E1"/>
    <w:rsid w:val="00E65890"/>
    <w:rsid w:val="00E667F5"/>
    <w:rsid w:val="00E710AD"/>
    <w:rsid w:val="00E725A3"/>
    <w:rsid w:val="00E73679"/>
    <w:rsid w:val="00E7475C"/>
    <w:rsid w:val="00E7630B"/>
    <w:rsid w:val="00E81DD3"/>
    <w:rsid w:val="00E82824"/>
    <w:rsid w:val="00E82F1A"/>
    <w:rsid w:val="00E82F8C"/>
    <w:rsid w:val="00E83D82"/>
    <w:rsid w:val="00E84D7E"/>
    <w:rsid w:val="00E96700"/>
    <w:rsid w:val="00EA2415"/>
    <w:rsid w:val="00EA2937"/>
    <w:rsid w:val="00EA40E8"/>
    <w:rsid w:val="00EA440A"/>
    <w:rsid w:val="00EA4428"/>
    <w:rsid w:val="00EA5078"/>
    <w:rsid w:val="00EA5348"/>
    <w:rsid w:val="00EB2616"/>
    <w:rsid w:val="00EB35DE"/>
    <w:rsid w:val="00EB3B17"/>
    <w:rsid w:val="00EB3E23"/>
    <w:rsid w:val="00EB49F4"/>
    <w:rsid w:val="00EB7BCD"/>
    <w:rsid w:val="00EC5A6D"/>
    <w:rsid w:val="00EC5EDC"/>
    <w:rsid w:val="00EC7357"/>
    <w:rsid w:val="00EC7A8B"/>
    <w:rsid w:val="00ED1D14"/>
    <w:rsid w:val="00ED21B3"/>
    <w:rsid w:val="00ED51AA"/>
    <w:rsid w:val="00ED56EB"/>
    <w:rsid w:val="00ED7907"/>
    <w:rsid w:val="00EE12E9"/>
    <w:rsid w:val="00EE4839"/>
    <w:rsid w:val="00EE763C"/>
    <w:rsid w:val="00EF165E"/>
    <w:rsid w:val="00EF1976"/>
    <w:rsid w:val="00EF21A4"/>
    <w:rsid w:val="00EF2B20"/>
    <w:rsid w:val="00EF42B5"/>
    <w:rsid w:val="00EF4862"/>
    <w:rsid w:val="00F01AD3"/>
    <w:rsid w:val="00F042AD"/>
    <w:rsid w:val="00F04972"/>
    <w:rsid w:val="00F059D2"/>
    <w:rsid w:val="00F05DFB"/>
    <w:rsid w:val="00F06708"/>
    <w:rsid w:val="00F12FF1"/>
    <w:rsid w:val="00F1395E"/>
    <w:rsid w:val="00F14578"/>
    <w:rsid w:val="00F16C0E"/>
    <w:rsid w:val="00F22BA5"/>
    <w:rsid w:val="00F3149C"/>
    <w:rsid w:val="00F31A9C"/>
    <w:rsid w:val="00F31FC4"/>
    <w:rsid w:val="00F341A0"/>
    <w:rsid w:val="00F343EB"/>
    <w:rsid w:val="00F34472"/>
    <w:rsid w:val="00F3546C"/>
    <w:rsid w:val="00F35738"/>
    <w:rsid w:val="00F35FEC"/>
    <w:rsid w:val="00F41715"/>
    <w:rsid w:val="00F53C3A"/>
    <w:rsid w:val="00F54901"/>
    <w:rsid w:val="00F564B4"/>
    <w:rsid w:val="00F6073D"/>
    <w:rsid w:val="00F6106E"/>
    <w:rsid w:val="00F636D2"/>
    <w:rsid w:val="00F63AA6"/>
    <w:rsid w:val="00F666EF"/>
    <w:rsid w:val="00F67705"/>
    <w:rsid w:val="00F70AC9"/>
    <w:rsid w:val="00F70E3A"/>
    <w:rsid w:val="00F71EB1"/>
    <w:rsid w:val="00F73467"/>
    <w:rsid w:val="00F73C5D"/>
    <w:rsid w:val="00F74508"/>
    <w:rsid w:val="00F7686E"/>
    <w:rsid w:val="00F80CCE"/>
    <w:rsid w:val="00F83042"/>
    <w:rsid w:val="00F8351F"/>
    <w:rsid w:val="00F855C9"/>
    <w:rsid w:val="00F8782A"/>
    <w:rsid w:val="00F87CC5"/>
    <w:rsid w:val="00F9017C"/>
    <w:rsid w:val="00F91CA1"/>
    <w:rsid w:val="00F92FA7"/>
    <w:rsid w:val="00F93D94"/>
    <w:rsid w:val="00FA0FEB"/>
    <w:rsid w:val="00FA424C"/>
    <w:rsid w:val="00FB177E"/>
    <w:rsid w:val="00FB2620"/>
    <w:rsid w:val="00FB6B0B"/>
    <w:rsid w:val="00FB7DB8"/>
    <w:rsid w:val="00FC1491"/>
    <w:rsid w:val="00FC32BC"/>
    <w:rsid w:val="00FC497C"/>
    <w:rsid w:val="00FD2A5F"/>
    <w:rsid w:val="00FD2D32"/>
    <w:rsid w:val="00FD402B"/>
    <w:rsid w:val="00FD4860"/>
    <w:rsid w:val="00FD5171"/>
    <w:rsid w:val="00FD529D"/>
    <w:rsid w:val="00FD556A"/>
    <w:rsid w:val="00FD64D7"/>
    <w:rsid w:val="00FD69D6"/>
    <w:rsid w:val="00FE087D"/>
    <w:rsid w:val="00FE09D7"/>
    <w:rsid w:val="00FE15AD"/>
    <w:rsid w:val="00FE184A"/>
    <w:rsid w:val="00FE1F6C"/>
    <w:rsid w:val="00FE3282"/>
    <w:rsid w:val="00FE582F"/>
    <w:rsid w:val="00FE7101"/>
    <w:rsid w:val="00FE7750"/>
    <w:rsid w:val="00FE7C6E"/>
    <w:rsid w:val="00FF167B"/>
    <w:rsid w:val="00FF3DC2"/>
    <w:rsid w:val="00FF4627"/>
    <w:rsid w:val="00FF54EE"/>
    <w:rsid w:val="01057174"/>
    <w:rsid w:val="0106443D"/>
    <w:rsid w:val="011B58EE"/>
    <w:rsid w:val="019422A6"/>
    <w:rsid w:val="01AE3368"/>
    <w:rsid w:val="01BD7A4F"/>
    <w:rsid w:val="01BE3C6B"/>
    <w:rsid w:val="01D408F4"/>
    <w:rsid w:val="01E44FDB"/>
    <w:rsid w:val="01E76FAE"/>
    <w:rsid w:val="023C3AF8"/>
    <w:rsid w:val="02697964"/>
    <w:rsid w:val="026C6D7F"/>
    <w:rsid w:val="027F4D04"/>
    <w:rsid w:val="02C62D99"/>
    <w:rsid w:val="02ED4364"/>
    <w:rsid w:val="03240137"/>
    <w:rsid w:val="034B4BE6"/>
    <w:rsid w:val="03541CED"/>
    <w:rsid w:val="036A7762"/>
    <w:rsid w:val="0371289F"/>
    <w:rsid w:val="038D3451"/>
    <w:rsid w:val="03F1578E"/>
    <w:rsid w:val="03F84D6E"/>
    <w:rsid w:val="04230AD7"/>
    <w:rsid w:val="04390A47"/>
    <w:rsid w:val="04533824"/>
    <w:rsid w:val="04B05649"/>
    <w:rsid w:val="04B30C95"/>
    <w:rsid w:val="04D969C6"/>
    <w:rsid w:val="04DA26C6"/>
    <w:rsid w:val="04FB7F9A"/>
    <w:rsid w:val="0532605E"/>
    <w:rsid w:val="05542478"/>
    <w:rsid w:val="05CE7667"/>
    <w:rsid w:val="064674D8"/>
    <w:rsid w:val="064F49ED"/>
    <w:rsid w:val="066315A3"/>
    <w:rsid w:val="06930D7E"/>
    <w:rsid w:val="070B6B66"/>
    <w:rsid w:val="0721282E"/>
    <w:rsid w:val="07397B77"/>
    <w:rsid w:val="074F3FCF"/>
    <w:rsid w:val="07577003"/>
    <w:rsid w:val="07597445"/>
    <w:rsid w:val="079F3753"/>
    <w:rsid w:val="07A82607"/>
    <w:rsid w:val="07AF3D9F"/>
    <w:rsid w:val="07DC6755"/>
    <w:rsid w:val="07E35D35"/>
    <w:rsid w:val="08202AE5"/>
    <w:rsid w:val="082F0F7A"/>
    <w:rsid w:val="08804F8C"/>
    <w:rsid w:val="08C571E9"/>
    <w:rsid w:val="08E43B13"/>
    <w:rsid w:val="08FC0CCA"/>
    <w:rsid w:val="091757C8"/>
    <w:rsid w:val="09415A54"/>
    <w:rsid w:val="096351F6"/>
    <w:rsid w:val="098032F7"/>
    <w:rsid w:val="09B41737"/>
    <w:rsid w:val="09E35B78"/>
    <w:rsid w:val="09ED2DAF"/>
    <w:rsid w:val="0A0D0BA8"/>
    <w:rsid w:val="0A6E1445"/>
    <w:rsid w:val="0AA413E9"/>
    <w:rsid w:val="0AA50ABC"/>
    <w:rsid w:val="0AC402B6"/>
    <w:rsid w:val="0AD11E75"/>
    <w:rsid w:val="0AEE2A27"/>
    <w:rsid w:val="0AF67B8B"/>
    <w:rsid w:val="0B865D46"/>
    <w:rsid w:val="0B882E7B"/>
    <w:rsid w:val="0B9C6927"/>
    <w:rsid w:val="0BA352FE"/>
    <w:rsid w:val="0BCF2858"/>
    <w:rsid w:val="0BF0642E"/>
    <w:rsid w:val="0C0041B9"/>
    <w:rsid w:val="0C0149DC"/>
    <w:rsid w:val="0C587DD6"/>
    <w:rsid w:val="0C692CAD"/>
    <w:rsid w:val="0C774C9E"/>
    <w:rsid w:val="0C7E602C"/>
    <w:rsid w:val="0C874EE1"/>
    <w:rsid w:val="0C937D2A"/>
    <w:rsid w:val="0CA27F6D"/>
    <w:rsid w:val="0CA361D6"/>
    <w:rsid w:val="0CBF78FC"/>
    <w:rsid w:val="0CEE4F60"/>
    <w:rsid w:val="0D15073F"/>
    <w:rsid w:val="0D295F98"/>
    <w:rsid w:val="0D374B59"/>
    <w:rsid w:val="0D660F9A"/>
    <w:rsid w:val="0D8238FA"/>
    <w:rsid w:val="0D892EDB"/>
    <w:rsid w:val="0E34011B"/>
    <w:rsid w:val="0E9E29B6"/>
    <w:rsid w:val="0EE54141"/>
    <w:rsid w:val="0F144565"/>
    <w:rsid w:val="0F9A13CF"/>
    <w:rsid w:val="0FA77648"/>
    <w:rsid w:val="0FA83AEC"/>
    <w:rsid w:val="0FB35FED"/>
    <w:rsid w:val="0FCE2E27"/>
    <w:rsid w:val="104B091B"/>
    <w:rsid w:val="10697CBA"/>
    <w:rsid w:val="10716957"/>
    <w:rsid w:val="10863702"/>
    <w:rsid w:val="10B244F7"/>
    <w:rsid w:val="10CA1840"/>
    <w:rsid w:val="10D34B99"/>
    <w:rsid w:val="10E2302E"/>
    <w:rsid w:val="11032FA4"/>
    <w:rsid w:val="11080D80"/>
    <w:rsid w:val="110D28F1"/>
    <w:rsid w:val="1112258D"/>
    <w:rsid w:val="11196324"/>
    <w:rsid w:val="115D26B4"/>
    <w:rsid w:val="11643698"/>
    <w:rsid w:val="116C28F7"/>
    <w:rsid w:val="116E412F"/>
    <w:rsid w:val="117F4076"/>
    <w:rsid w:val="11981119"/>
    <w:rsid w:val="119B4F8B"/>
    <w:rsid w:val="11A42091"/>
    <w:rsid w:val="11BD13A5"/>
    <w:rsid w:val="12410EFF"/>
    <w:rsid w:val="125664A3"/>
    <w:rsid w:val="12D40754"/>
    <w:rsid w:val="12F928B1"/>
    <w:rsid w:val="13225964"/>
    <w:rsid w:val="134D0129"/>
    <w:rsid w:val="134D0507"/>
    <w:rsid w:val="137507A6"/>
    <w:rsid w:val="139B20B6"/>
    <w:rsid w:val="139D4FEA"/>
    <w:rsid w:val="13AA5959"/>
    <w:rsid w:val="13CC7567"/>
    <w:rsid w:val="13FF3EF7"/>
    <w:rsid w:val="14074B59"/>
    <w:rsid w:val="14121EBF"/>
    <w:rsid w:val="141F6347"/>
    <w:rsid w:val="142B4CEC"/>
    <w:rsid w:val="14BF668F"/>
    <w:rsid w:val="14C667C2"/>
    <w:rsid w:val="14D0319D"/>
    <w:rsid w:val="14D56A06"/>
    <w:rsid w:val="14D902A4"/>
    <w:rsid w:val="14E31122"/>
    <w:rsid w:val="150A1240"/>
    <w:rsid w:val="1542409B"/>
    <w:rsid w:val="1548367B"/>
    <w:rsid w:val="156F29B6"/>
    <w:rsid w:val="15AC2F2A"/>
    <w:rsid w:val="15B10424"/>
    <w:rsid w:val="15C251DC"/>
    <w:rsid w:val="15D45280"/>
    <w:rsid w:val="15E47DDE"/>
    <w:rsid w:val="16096967"/>
    <w:rsid w:val="162B5273"/>
    <w:rsid w:val="16906A8A"/>
    <w:rsid w:val="169961A3"/>
    <w:rsid w:val="16D847EC"/>
    <w:rsid w:val="16DE7DF3"/>
    <w:rsid w:val="16EB2510"/>
    <w:rsid w:val="172F064F"/>
    <w:rsid w:val="173F40E5"/>
    <w:rsid w:val="17406296"/>
    <w:rsid w:val="176F6C9D"/>
    <w:rsid w:val="17752149"/>
    <w:rsid w:val="177C760C"/>
    <w:rsid w:val="179B6BC5"/>
    <w:rsid w:val="17A32DEB"/>
    <w:rsid w:val="17B51CC9"/>
    <w:rsid w:val="17F43647"/>
    <w:rsid w:val="17FB6783"/>
    <w:rsid w:val="183945CA"/>
    <w:rsid w:val="183E59CF"/>
    <w:rsid w:val="184C3483"/>
    <w:rsid w:val="1853036D"/>
    <w:rsid w:val="18982224"/>
    <w:rsid w:val="189F3152"/>
    <w:rsid w:val="195645B9"/>
    <w:rsid w:val="197310D0"/>
    <w:rsid w:val="198B3B37"/>
    <w:rsid w:val="19EC1024"/>
    <w:rsid w:val="1A0972A5"/>
    <w:rsid w:val="1A255D39"/>
    <w:rsid w:val="1A381F10"/>
    <w:rsid w:val="1A9B1BB6"/>
    <w:rsid w:val="1AB31597"/>
    <w:rsid w:val="1B0E4A1F"/>
    <w:rsid w:val="1B171B26"/>
    <w:rsid w:val="1B2A7AAB"/>
    <w:rsid w:val="1B481CE5"/>
    <w:rsid w:val="1B701236"/>
    <w:rsid w:val="1B715091"/>
    <w:rsid w:val="1B9C64CF"/>
    <w:rsid w:val="1BA333BA"/>
    <w:rsid w:val="1BA477C3"/>
    <w:rsid w:val="1BD9327F"/>
    <w:rsid w:val="1BE85F5C"/>
    <w:rsid w:val="1BF9747E"/>
    <w:rsid w:val="1C085913"/>
    <w:rsid w:val="1C487397"/>
    <w:rsid w:val="1C93342E"/>
    <w:rsid w:val="1D0E0D07"/>
    <w:rsid w:val="1D13631D"/>
    <w:rsid w:val="1D232A04"/>
    <w:rsid w:val="1D29588D"/>
    <w:rsid w:val="1D4A1E72"/>
    <w:rsid w:val="1D540F6D"/>
    <w:rsid w:val="1D7F002D"/>
    <w:rsid w:val="1DFE6FCD"/>
    <w:rsid w:val="1E171E3D"/>
    <w:rsid w:val="1E1A1DF0"/>
    <w:rsid w:val="1E2C58E8"/>
    <w:rsid w:val="1E3429EF"/>
    <w:rsid w:val="1E37603B"/>
    <w:rsid w:val="1EA5569B"/>
    <w:rsid w:val="1EBC062B"/>
    <w:rsid w:val="1EC274AD"/>
    <w:rsid w:val="1EF36406"/>
    <w:rsid w:val="1F066139"/>
    <w:rsid w:val="1F47475D"/>
    <w:rsid w:val="1F55345D"/>
    <w:rsid w:val="1F7312F5"/>
    <w:rsid w:val="1F7874CC"/>
    <w:rsid w:val="1F8654CC"/>
    <w:rsid w:val="1F8B40AC"/>
    <w:rsid w:val="1FA945DC"/>
    <w:rsid w:val="1FDD7111"/>
    <w:rsid w:val="1FE568BB"/>
    <w:rsid w:val="2014062E"/>
    <w:rsid w:val="20686458"/>
    <w:rsid w:val="20967991"/>
    <w:rsid w:val="20C4005A"/>
    <w:rsid w:val="20D236AA"/>
    <w:rsid w:val="20DB1848"/>
    <w:rsid w:val="20E93F65"/>
    <w:rsid w:val="20EC5888"/>
    <w:rsid w:val="213C22E6"/>
    <w:rsid w:val="21AC0055"/>
    <w:rsid w:val="21BF4CC5"/>
    <w:rsid w:val="21DC13D3"/>
    <w:rsid w:val="21E872AF"/>
    <w:rsid w:val="21F66939"/>
    <w:rsid w:val="22431452"/>
    <w:rsid w:val="2285391D"/>
    <w:rsid w:val="22877591"/>
    <w:rsid w:val="22883C87"/>
    <w:rsid w:val="22B56362"/>
    <w:rsid w:val="22EC5646"/>
    <w:rsid w:val="230010F2"/>
    <w:rsid w:val="23103A2A"/>
    <w:rsid w:val="231F4C56"/>
    <w:rsid w:val="23452FA8"/>
    <w:rsid w:val="235F406A"/>
    <w:rsid w:val="237044C9"/>
    <w:rsid w:val="23B048C6"/>
    <w:rsid w:val="23E32EED"/>
    <w:rsid w:val="23F32A04"/>
    <w:rsid w:val="240739F0"/>
    <w:rsid w:val="244F0582"/>
    <w:rsid w:val="248674EB"/>
    <w:rsid w:val="248D2E59"/>
    <w:rsid w:val="248F4EE9"/>
    <w:rsid w:val="249B7324"/>
    <w:rsid w:val="24A51F50"/>
    <w:rsid w:val="24AF4B7D"/>
    <w:rsid w:val="250255F5"/>
    <w:rsid w:val="25292B82"/>
    <w:rsid w:val="252A06A8"/>
    <w:rsid w:val="255E0351"/>
    <w:rsid w:val="256B10EF"/>
    <w:rsid w:val="25875AFA"/>
    <w:rsid w:val="25C97EC1"/>
    <w:rsid w:val="2677791D"/>
    <w:rsid w:val="268C0C0E"/>
    <w:rsid w:val="26D12FC0"/>
    <w:rsid w:val="27433CA3"/>
    <w:rsid w:val="275A1718"/>
    <w:rsid w:val="279B763B"/>
    <w:rsid w:val="279D33B3"/>
    <w:rsid w:val="27AC1848"/>
    <w:rsid w:val="27F1115F"/>
    <w:rsid w:val="28164755"/>
    <w:rsid w:val="28317836"/>
    <w:rsid w:val="2893739E"/>
    <w:rsid w:val="28DC7F0B"/>
    <w:rsid w:val="28EA6ACC"/>
    <w:rsid w:val="28F951A2"/>
    <w:rsid w:val="2939535D"/>
    <w:rsid w:val="293F0683"/>
    <w:rsid w:val="294E0E09"/>
    <w:rsid w:val="296876B6"/>
    <w:rsid w:val="29C42E79"/>
    <w:rsid w:val="29D86924"/>
    <w:rsid w:val="29E7224E"/>
    <w:rsid w:val="29F63958"/>
    <w:rsid w:val="29FF0355"/>
    <w:rsid w:val="2A020222"/>
    <w:rsid w:val="2A0C4820"/>
    <w:rsid w:val="2A105610"/>
    <w:rsid w:val="2A685EFA"/>
    <w:rsid w:val="2AA8488A"/>
    <w:rsid w:val="2AA9790A"/>
    <w:rsid w:val="2ACF7D27"/>
    <w:rsid w:val="2AE51E4B"/>
    <w:rsid w:val="2AE81F37"/>
    <w:rsid w:val="2B195446"/>
    <w:rsid w:val="2B204A27"/>
    <w:rsid w:val="2B4007FF"/>
    <w:rsid w:val="2B7663F5"/>
    <w:rsid w:val="2B9A264F"/>
    <w:rsid w:val="2BA66AA7"/>
    <w:rsid w:val="2BBE1B4A"/>
    <w:rsid w:val="2BCC070B"/>
    <w:rsid w:val="2BF13CCD"/>
    <w:rsid w:val="2BF57C61"/>
    <w:rsid w:val="2C002162"/>
    <w:rsid w:val="2C581F9E"/>
    <w:rsid w:val="2C681F1F"/>
    <w:rsid w:val="2C7072E8"/>
    <w:rsid w:val="2C8E6A23"/>
    <w:rsid w:val="2C994A91"/>
    <w:rsid w:val="2CE463B3"/>
    <w:rsid w:val="2D0B1BB4"/>
    <w:rsid w:val="2D252ABB"/>
    <w:rsid w:val="2D450775"/>
    <w:rsid w:val="2D471EB9"/>
    <w:rsid w:val="2D5E1836"/>
    <w:rsid w:val="2D766B80"/>
    <w:rsid w:val="2DA3549B"/>
    <w:rsid w:val="2DDB4C35"/>
    <w:rsid w:val="2DFB52D7"/>
    <w:rsid w:val="2E114AFB"/>
    <w:rsid w:val="2E4722CA"/>
    <w:rsid w:val="2E666BF4"/>
    <w:rsid w:val="2E9740C6"/>
    <w:rsid w:val="2ED53072"/>
    <w:rsid w:val="2EDA185F"/>
    <w:rsid w:val="2EF53AD4"/>
    <w:rsid w:val="2EFE0BDB"/>
    <w:rsid w:val="2F0A6E85"/>
    <w:rsid w:val="2F204FF5"/>
    <w:rsid w:val="2F6F2738"/>
    <w:rsid w:val="2F7215C9"/>
    <w:rsid w:val="2F8337D6"/>
    <w:rsid w:val="2F8512FC"/>
    <w:rsid w:val="2F965324"/>
    <w:rsid w:val="2FB43990"/>
    <w:rsid w:val="2FC75471"/>
    <w:rsid w:val="2FEE6EA1"/>
    <w:rsid w:val="303F594F"/>
    <w:rsid w:val="304765B2"/>
    <w:rsid w:val="306B46F8"/>
    <w:rsid w:val="307B625B"/>
    <w:rsid w:val="30C9346B"/>
    <w:rsid w:val="30F71D86"/>
    <w:rsid w:val="31060EF1"/>
    <w:rsid w:val="311956BC"/>
    <w:rsid w:val="312D57A8"/>
    <w:rsid w:val="3163741B"/>
    <w:rsid w:val="317F5009"/>
    <w:rsid w:val="31C74D29"/>
    <w:rsid w:val="31D3601B"/>
    <w:rsid w:val="31E56082"/>
    <w:rsid w:val="31F6028F"/>
    <w:rsid w:val="32026C34"/>
    <w:rsid w:val="32195D2C"/>
    <w:rsid w:val="325154C6"/>
    <w:rsid w:val="3273368E"/>
    <w:rsid w:val="32BB6DE3"/>
    <w:rsid w:val="32C4213C"/>
    <w:rsid w:val="32C45055"/>
    <w:rsid w:val="32D64966"/>
    <w:rsid w:val="32F81DE5"/>
    <w:rsid w:val="33136C1F"/>
    <w:rsid w:val="33977850"/>
    <w:rsid w:val="33B65F28"/>
    <w:rsid w:val="33D62126"/>
    <w:rsid w:val="33DF6B01"/>
    <w:rsid w:val="34232E92"/>
    <w:rsid w:val="343713B3"/>
    <w:rsid w:val="344A041F"/>
    <w:rsid w:val="347656B7"/>
    <w:rsid w:val="34943D90"/>
    <w:rsid w:val="34963664"/>
    <w:rsid w:val="34EB6CAD"/>
    <w:rsid w:val="35106640"/>
    <w:rsid w:val="35246A56"/>
    <w:rsid w:val="353A66E5"/>
    <w:rsid w:val="35411821"/>
    <w:rsid w:val="354D6418"/>
    <w:rsid w:val="35645510"/>
    <w:rsid w:val="35696FCA"/>
    <w:rsid w:val="35A41DB0"/>
    <w:rsid w:val="35D231D8"/>
    <w:rsid w:val="35D271A0"/>
    <w:rsid w:val="35DB7F95"/>
    <w:rsid w:val="36260A17"/>
    <w:rsid w:val="36511F38"/>
    <w:rsid w:val="365B4010"/>
    <w:rsid w:val="365C268B"/>
    <w:rsid w:val="366255EC"/>
    <w:rsid w:val="367F23F7"/>
    <w:rsid w:val="36A46DB4"/>
    <w:rsid w:val="37213AEB"/>
    <w:rsid w:val="372B2789"/>
    <w:rsid w:val="377A101B"/>
    <w:rsid w:val="3784633D"/>
    <w:rsid w:val="37DB48B2"/>
    <w:rsid w:val="37E64902"/>
    <w:rsid w:val="37EE37B7"/>
    <w:rsid w:val="382D2531"/>
    <w:rsid w:val="383C09C6"/>
    <w:rsid w:val="385B52F0"/>
    <w:rsid w:val="38881AD4"/>
    <w:rsid w:val="38960F11"/>
    <w:rsid w:val="39355B41"/>
    <w:rsid w:val="394C4C39"/>
    <w:rsid w:val="39543E64"/>
    <w:rsid w:val="39551D3F"/>
    <w:rsid w:val="39893797"/>
    <w:rsid w:val="399A59A4"/>
    <w:rsid w:val="39A607ED"/>
    <w:rsid w:val="39B9281C"/>
    <w:rsid w:val="3A190FBF"/>
    <w:rsid w:val="3A230C04"/>
    <w:rsid w:val="3A2B484E"/>
    <w:rsid w:val="3A2B6F44"/>
    <w:rsid w:val="3A35391F"/>
    <w:rsid w:val="3A4F7CC5"/>
    <w:rsid w:val="3AA52853"/>
    <w:rsid w:val="3ACF398B"/>
    <w:rsid w:val="3AE157E3"/>
    <w:rsid w:val="3B0A014A"/>
    <w:rsid w:val="3B1F7857"/>
    <w:rsid w:val="3B2E1F3A"/>
    <w:rsid w:val="3B344A3C"/>
    <w:rsid w:val="3B5A4964"/>
    <w:rsid w:val="3B710987"/>
    <w:rsid w:val="3B892174"/>
    <w:rsid w:val="3B912DD7"/>
    <w:rsid w:val="3BE16240"/>
    <w:rsid w:val="3BF75330"/>
    <w:rsid w:val="3BF82E56"/>
    <w:rsid w:val="3C1E32AD"/>
    <w:rsid w:val="3C74072E"/>
    <w:rsid w:val="3C826E9E"/>
    <w:rsid w:val="3CDE71C1"/>
    <w:rsid w:val="3D0F48FB"/>
    <w:rsid w:val="3D1B6DFC"/>
    <w:rsid w:val="3D42082D"/>
    <w:rsid w:val="3D7824A0"/>
    <w:rsid w:val="3DAF5FC2"/>
    <w:rsid w:val="3DFC4E7F"/>
    <w:rsid w:val="3DFD4754"/>
    <w:rsid w:val="3E0C2BE9"/>
    <w:rsid w:val="3E2972F7"/>
    <w:rsid w:val="3E344619"/>
    <w:rsid w:val="3E4203B8"/>
    <w:rsid w:val="3E695BB7"/>
    <w:rsid w:val="3E9167AC"/>
    <w:rsid w:val="3E9E292D"/>
    <w:rsid w:val="3EAE3F20"/>
    <w:rsid w:val="3EE020AB"/>
    <w:rsid w:val="3EF0482B"/>
    <w:rsid w:val="3EFB6EE5"/>
    <w:rsid w:val="3F0A7DDC"/>
    <w:rsid w:val="3F3423F7"/>
    <w:rsid w:val="3F422D66"/>
    <w:rsid w:val="3F5E4CB3"/>
    <w:rsid w:val="3FFC1167"/>
    <w:rsid w:val="40011E25"/>
    <w:rsid w:val="401F6C03"/>
    <w:rsid w:val="403703F1"/>
    <w:rsid w:val="404228F2"/>
    <w:rsid w:val="405368AD"/>
    <w:rsid w:val="407D1B7C"/>
    <w:rsid w:val="408A4171"/>
    <w:rsid w:val="40953369"/>
    <w:rsid w:val="40D62F6B"/>
    <w:rsid w:val="40ED0AAF"/>
    <w:rsid w:val="410246D0"/>
    <w:rsid w:val="4123306B"/>
    <w:rsid w:val="41401527"/>
    <w:rsid w:val="41412BA9"/>
    <w:rsid w:val="416A3A03"/>
    <w:rsid w:val="41742F7F"/>
    <w:rsid w:val="41870F04"/>
    <w:rsid w:val="41A75102"/>
    <w:rsid w:val="42080BC7"/>
    <w:rsid w:val="422A5E1B"/>
    <w:rsid w:val="42320077"/>
    <w:rsid w:val="42870A90"/>
    <w:rsid w:val="428C0EAD"/>
    <w:rsid w:val="429F5DD9"/>
    <w:rsid w:val="42A653BA"/>
    <w:rsid w:val="42E34DC3"/>
    <w:rsid w:val="42E83C24"/>
    <w:rsid w:val="43043D8C"/>
    <w:rsid w:val="432D5ADB"/>
    <w:rsid w:val="432F3601"/>
    <w:rsid w:val="432F53AF"/>
    <w:rsid w:val="43337E46"/>
    <w:rsid w:val="4389323A"/>
    <w:rsid w:val="43916325"/>
    <w:rsid w:val="43E73EDC"/>
    <w:rsid w:val="43E80F94"/>
    <w:rsid w:val="440C749E"/>
    <w:rsid w:val="44566942"/>
    <w:rsid w:val="44622795"/>
    <w:rsid w:val="44623562"/>
    <w:rsid w:val="447119F7"/>
    <w:rsid w:val="44906321"/>
    <w:rsid w:val="44A52D8E"/>
    <w:rsid w:val="44AE17DA"/>
    <w:rsid w:val="44EA3F60"/>
    <w:rsid w:val="45264590"/>
    <w:rsid w:val="452939E9"/>
    <w:rsid w:val="4529605B"/>
    <w:rsid w:val="45352A25"/>
    <w:rsid w:val="453C1F26"/>
    <w:rsid w:val="459260C9"/>
    <w:rsid w:val="45A02594"/>
    <w:rsid w:val="45AC0F39"/>
    <w:rsid w:val="45D65FB6"/>
    <w:rsid w:val="45E32481"/>
    <w:rsid w:val="45E71F71"/>
    <w:rsid w:val="46032B23"/>
    <w:rsid w:val="460F01E5"/>
    <w:rsid w:val="469320F9"/>
    <w:rsid w:val="46B81B60"/>
    <w:rsid w:val="46BF6A4A"/>
    <w:rsid w:val="46E37F19"/>
    <w:rsid w:val="47574ED5"/>
    <w:rsid w:val="476870E2"/>
    <w:rsid w:val="478101A3"/>
    <w:rsid w:val="480A7C06"/>
    <w:rsid w:val="483B65A4"/>
    <w:rsid w:val="4860600B"/>
    <w:rsid w:val="48914416"/>
    <w:rsid w:val="48AC2FFE"/>
    <w:rsid w:val="49064C44"/>
    <w:rsid w:val="490E3CB9"/>
    <w:rsid w:val="49816239"/>
    <w:rsid w:val="499A554C"/>
    <w:rsid w:val="49CF3448"/>
    <w:rsid w:val="49D547D7"/>
    <w:rsid w:val="49ED0675"/>
    <w:rsid w:val="4A2A2D74"/>
    <w:rsid w:val="4A325785"/>
    <w:rsid w:val="4A361719"/>
    <w:rsid w:val="4A421E6C"/>
    <w:rsid w:val="4A6327EB"/>
    <w:rsid w:val="4B0435C5"/>
    <w:rsid w:val="4B0E7FA0"/>
    <w:rsid w:val="4B237456"/>
    <w:rsid w:val="4B255E3D"/>
    <w:rsid w:val="4B5C0D0B"/>
    <w:rsid w:val="4B862E2B"/>
    <w:rsid w:val="4B902123"/>
    <w:rsid w:val="4B9D30D2"/>
    <w:rsid w:val="4BAB3A41"/>
    <w:rsid w:val="4BBA1ED6"/>
    <w:rsid w:val="4BD96800"/>
    <w:rsid w:val="4BE21667"/>
    <w:rsid w:val="4C40062D"/>
    <w:rsid w:val="4C431ECB"/>
    <w:rsid w:val="4C4C77BA"/>
    <w:rsid w:val="4C4F35BC"/>
    <w:rsid w:val="4C621F26"/>
    <w:rsid w:val="4C7F1DD7"/>
    <w:rsid w:val="4C9B1D07"/>
    <w:rsid w:val="4CB30DFF"/>
    <w:rsid w:val="4CB42DC9"/>
    <w:rsid w:val="4CB66B41"/>
    <w:rsid w:val="4CB76940"/>
    <w:rsid w:val="4CE4647E"/>
    <w:rsid w:val="4CF3744D"/>
    <w:rsid w:val="4D087151"/>
    <w:rsid w:val="4D4952BF"/>
    <w:rsid w:val="4D577D0C"/>
    <w:rsid w:val="4DAE15C6"/>
    <w:rsid w:val="4DB31898"/>
    <w:rsid w:val="4DE82D2A"/>
    <w:rsid w:val="4E347D1E"/>
    <w:rsid w:val="4E760336"/>
    <w:rsid w:val="4E8F0C6E"/>
    <w:rsid w:val="4EAB7E41"/>
    <w:rsid w:val="4EB90223"/>
    <w:rsid w:val="4EEE4370"/>
    <w:rsid w:val="4F133DD7"/>
    <w:rsid w:val="4F381A8F"/>
    <w:rsid w:val="4F3A5808"/>
    <w:rsid w:val="4F3B1580"/>
    <w:rsid w:val="4F770156"/>
    <w:rsid w:val="4FA407B6"/>
    <w:rsid w:val="4FBD1F95"/>
    <w:rsid w:val="4FBE01E7"/>
    <w:rsid w:val="4FC926E8"/>
    <w:rsid w:val="4FF43C08"/>
    <w:rsid w:val="50081462"/>
    <w:rsid w:val="502D711A"/>
    <w:rsid w:val="503727E7"/>
    <w:rsid w:val="5042115B"/>
    <w:rsid w:val="504D156B"/>
    <w:rsid w:val="507F7220"/>
    <w:rsid w:val="50CC6933"/>
    <w:rsid w:val="50F934A0"/>
    <w:rsid w:val="513D15DF"/>
    <w:rsid w:val="51624BA2"/>
    <w:rsid w:val="518965D2"/>
    <w:rsid w:val="51995492"/>
    <w:rsid w:val="51A74CAA"/>
    <w:rsid w:val="51C31420"/>
    <w:rsid w:val="51EC090F"/>
    <w:rsid w:val="51F85506"/>
    <w:rsid w:val="52147923"/>
    <w:rsid w:val="52344790"/>
    <w:rsid w:val="523F4EE3"/>
    <w:rsid w:val="5257222D"/>
    <w:rsid w:val="525E4232"/>
    <w:rsid w:val="52D04982"/>
    <w:rsid w:val="52DE6158"/>
    <w:rsid w:val="52E71DAC"/>
    <w:rsid w:val="52F91536"/>
    <w:rsid w:val="531F6EC4"/>
    <w:rsid w:val="532B7B38"/>
    <w:rsid w:val="532D0BD7"/>
    <w:rsid w:val="53560F47"/>
    <w:rsid w:val="535B62FD"/>
    <w:rsid w:val="53656BCB"/>
    <w:rsid w:val="53B84F4D"/>
    <w:rsid w:val="53BD2563"/>
    <w:rsid w:val="54071A30"/>
    <w:rsid w:val="54077C82"/>
    <w:rsid w:val="54232D0E"/>
    <w:rsid w:val="544D38E7"/>
    <w:rsid w:val="544D5C5C"/>
    <w:rsid w:val="544E7FEB"/>
    <w:rsid w:val="545C3B2A"/>
    <w:rsid w:val="54656B86"/>
    <w:rsid w:val="546B0211"/>
    <w:rsid w:val="549E51EF"/>
    <w:rsid w:val="54E12281"/>
    <w:rsid w:val="54FB1595"/>
    <w:rsid w:val="555962BC"/>
    <w:rsid w:val="55762246"/>
    <w:rsid w:val="55806C15"/>
    <w:rsid w:val="55AB702A"/>
    <w:rsid w:val="55B6370E"/>
    <w:rsid w:val="55D41DE6"/>
    <w:rsid w:val="55F935FB"/>
    <w:rsid w:val="56101070"/>
    <w:rsid w:val="561F5757"/>
    <w:rsid w:val="56263374"/>
    <w:rsid w:val="56614AC6"/>
    <w:rsid w:val="567809C3"/>
    <w:rsid w:val="56B539C6"/>
    <w:rsid w:val="56F91B04"/>
    <w:rsid w:val="57D04097"/>
    <w:rsid w:val="57E843A0"/>
    <w:rsid w:val="57EE53E1"/>
    <w:rsid w:val="58262DCD"/>
    <w:rsid w:val="58672098"/>
    <w:rsid w:val="586E6E66"/>
    <w:rsid w:val="58C46142"/>
    <w:rsid w:val="58D02D39"/>
    <w:rsid w:val="58D267BC"/>
    <w:rsid w:val="58DC7B4E"/>
    <w:rsid w:val="58E31EE2"/>
    <w:rsid w:val="59213594"/>
    <w:rsid w:val="59407EBE"/>
    <w:rsid w:val="59462D1E"/>
    <w:rsid w:val="59572825"/>
    <w:rsid w:val="595B6AA6"/>
    <w:rsid w:val="59AF0BA0"/>
    <w:rsid w:val="59C56616"/>
    <w:rsid w:val="59C95329"/>
    <w:rsid w:val="59D10B16"/>
    <w:rsid w:val="59DB3E62"/>
    <w:rsid w:val="59F12E36"/>
    <w:rsid w:val="59F21F4B"/>
    <w:rsid w:val="5A105AE3"/>
    <w:rsid w:val="5A3B0686"/>
    <w:rsid w:val="5A5B3C23"/>
    <w:rsid w:val="5A8014D2"/>
    <w:rsid w:val="5A86486E"/>
    <w:rsid w:val="5AA004E9"/>
    <w:rsid w:val="5ABF12B7"/>
    <w:rsid w:val="5AD14B46"/>
    <w:rsid w:val="5ADF54B5"/>
    <w:rsid w:val="5B1213E7"/>
    <w:rsid w:val="5B1530FC"/>
    <w:rsid w:val="5B174C4F"/>
    <w:rsid w:val="5B3E21DC"/>
    <w:rsid w:val="5B6A1602"/>
    <w:rsid w:val="5B6B0AF7"/>
    <w:rsid w:val="5B7C2D04"/>
    <w:rsid w:val="5B87692E"/>
    <w:rsid w:val="5B8F6EDB"/>
    <w:rsid w:val="5BF14800"/>
    <w:rsid w:val="5C0F3B78"/>
    <w:rsid w:val="5C1D0043"/>
    <w:rsid w:val="5CF35248"/>
    <w:rsid w:val="5CFE60C6"/>
    <w:rsid w:val="5D1E091E"/>
    <w:rsid w:val="5D413CF7"/>
    <w:rsid w:val="5D4D6706"/>
    <w:rsid w:val="5D695B4F"/>
    <w:rsid w:val="5D804D2D"/>
    <w:rsid w:val="5D8440F2"/>
    <w:rsid w:val="5D9702C9"/>
    <w:rsid w:val="5DEB5F1F"/>
    <w:rsid w:val="5DF31D98"/>
    <w:rsid w:val="5E03770C"/>
    <w:rsid w:val="5E211941"/>
    <w:rsid w:val="5E5D6E1D"/>
    <w:rsid w:val="5EE93E95"/>
    <w:rsid w:val="5EFB30EB"/>
    <w:rsid w:val="5EFD23AE"/>
    <w:rsid w:val="5F053010"/>
    <w:rsid w:val="5F69359F"/>
    <w:rsid w:val="5F710660"/>
    <w:rsid w:val="5F7A57AC"/>
    <w:rsid w:val="5FBA1B9B"/>
    <w:rsid w:val="5FD56E87"/>
    <w:rsid w:val="5FF4555F"/>
    <w:rsid w:val="60133FDB"/>
    <w:rsid w:val="60194FC5"/>
    <w:rsid w:val="60386A8A"/>
    <w:rsid w:val="605B738C"/>
    <w:rsid w:val="605C4EB2"/>
    <w:rsid w:val="60BB71C0"/>
    <w:rsid w:val="60C51BF1"/>
    <w:rsid w:val="619E1C26"/>
    <w:rsid w:val="619F774C"/>
    <w:rsid w:val="61B74A96"/>
    <w:rsid w:val="61EB0BE3"/>
    <w:rsid w:val="61FE4473"/>
    <w:rsid w:val="62175534"/>
    <w:rsid w:val="621974FF"/>
    <w:rsid w:val="62287742"/>
    <w:rsid w:val="62312A9A"/>
    <w:rsid w:val="623F3580"/>
    <w:rsid w:val="626B762E"/>
    <w:rsid w:val="627961EF"/>
    <w:rsid w:val="62AE2E73"/>
    <w:rsid w:val="62E73159"/>
    <w:rsid w:val="631A52DC"/>
    <w:rsid w:val="632B2878"/>
    <w:rsid w:val="63340D5E"/>
    <w:rsid w:val="63387E58"/>
    <w:rsid w:val="63543E60"/>
    <w:rsid w:val="63556314"/>
    <w:rsid w:val="635A392B"/>
    <w:rsid w:val="63882250"/>
    <w:rsid w:val="63B15515"/>
    <w:rsid w:val="64264155"/>
    <w:rsid w:val="64487C27"/>
    <w:rsid w:val="644F2830"/>
    <w:rsid w:val="6457430E"/>
    <w:rsid w:val="6463157A"/>
    <w:rsid w:val="64A32268"/>
    <w:rsid w:val="64B25D57"/>
    <w:rsid w:val="64C94467"/>
    <w:rsid w:val="64CC0858"/>
    <w:rsid w:val="64D63485"/>
    <w:rsid w:val="64D771FD"/>
    <w:rsid w:val="650A6288"/>
    <w:rsid w:val="652266CA"/>
    <w:rsid w:val="653D52B2"/>
    <w:rsid w:val="655F16CC"/>
    <w:rsid w:val="65711400"/>
    <w:rsid w:val="657D5FF6"/>
    <w:rsid w:val="65FD2C93"/>
    <w:rsid w:val="6618540E"/>
    <w:rsid w:val="664E34EF"/>
    <w:rsid w:val="66507267"/>
    <w:rsid w:val="66894448"/>
    <w:rsid w:val="66C93F6D"/>
    <w:rsid w:val="66DA19B6"/>
    <w:rsid w:val="66E300DB"/>
    <w:rsid w:val="66EF082E"/>
    <w:rsid w:val="674566A0"/>
    <w:rsid w:val="67A4786A"/>
    <w:rsid w:val="68063597"/>
    <w:rsid w:val="68077DF9"/>
    <w:rsid w:val="68157258"/>
    <w:rsid w:val="68181355"/>
    <w:rsid w:val="682A6C5C"/>
    <w:rsid w:val="683C7AA3"/>
    <w:rsid w:val="68580655"/>
    <w:rsid w:val="6858593D"/>
    <w:rsid w:val="68BC0BE4"/>
    <w:rsid w:val="68C63810"/>
    <w:rsid w:val="69006EF7"/>
    <w:rsid w:val="691722BE"/>
    <w:rsid w:val="696F5C56"/>
    <w:rsid w:val="69811F27"/>
    <w:rsid w:val="69912070"/>
    <w:rsid w:val="69961435"/>
    <w:rsid w:val="69F32F6D"/>
    <w:rsid w:val="6A0C16F7"/>
    <w:rsid w:val="6A107439"/>
    <w:rsid w:val="6A1703FE"/>
    <w:rsid w:val="6A3C6480"/>
    <w:rsid w:val="6A707ED8"/>
    <w:rsid w:val="6A763739"/>
    <w:rsid w:val="6A8219B9"/>
    <w:rsid w:val="6A960E91"/>
    <w:rsid w:val="6AA10091"/>
    <w:rsid w:val="6ABE5AFA"/>
    <w:rsid w:val="6ACE3B3F"/>
    <w:rsid w:val="6B272C8C"/>
    <w:rsid w:val="6B410E4A"/>
    <w:rsid w:val="6B480E55"/>
    <w:rsid w:val="6B6D4417"/>
    <w:rsid w:val="6B737C7F"/>
    <w:rsid w:val="6B8E2D0B"/>
    <w:rsid w:val="6BAC76C3"/>
    <w:rsid w:val="6BBF1117"/>
    <w:rsid w:val="6BD82524"/>
    <w:rsid w:val="6BFB1A23"/>
    <w:rsid w:val="6C6E0447"/>
    <w:rsid w:val="6CC77E10"/>
    <w:rsid w:val="6D1B17C6"/>
    <w:rsid w:val="6D442E0D"/>
    <w:rsid w:val="6D48025D"/>
    <w:rsid w:val="6D6435F8"/>
    <w:rsid w:val="6DAD31F1"/>
    <w:rsid w:val="6DB85E1E"/>
    <w:rsid w:val="6DBD1A7E"/>
    <w:rsid w:val="6DCF3167"/>
    <w:rsid w:val="6DE32C62"/>
    <w:rsid w:val="6E000B6D"/>
    <w:rsid w:val="6E0948CB"/>
    <w:rsid w:val="6E2F2D8A"/>
    <w:rsid w:val="6E526272"/>
    <w:rsid w:val="6F190B3E"/>
    <w:rsid w:val="6F2B1F97"/>
    <w:rsid w:val="6F2D283B"/>
    <w:rsid w:val="6F7061EE"/>
    <w:rsid w:val="6F827EC5"/>
    <w:rsid w:val="6FB470AF"/>
    <w:rsid w:val="6FB544C6"/>
    <w:rsid w:val="6FC565D0"/>
    <w:rsid w:val="70003AAC"/>
    <w:rsid w:val="700965DD"/>
    <w:rsid w:val="700B625D"/>
    <w:rsid w:val="7058027F"/>
    <w:rsid w:val="70787AE6"/>
    <w:rsid w:val="709366CE"/>
    <w:rsid w:val="70BD374B"/>
    <w:rsid w:val="70CE3BAA"/>
    <w:rsid w:val="70DF1913"/>
    <w:rsid w:val="71257C6E"/>
    <w:rsid w:val="712A2F9D"/>
    <w:rsid w:val="717209D9"/>
    <w:rsid w:val="71997D14"/>
    <w:rsid w:val="719D47F2"/>
    <w:rsid w:val="71AD1673"/>
    <w:rsid w:val="71B720B4"/>
    <w:rsid w:val="71D11177"/>
    <w:rsid w:val="723563E3"/>
    <w:rsid w:val="7251612B"/>
    <w:rsid w:val="725E2D0C"/>
    <w:rsid w:val="72740C55"/>
    <w:rsid w:val="727E14FC"/>
    <w:rsid w:val="7289422C"/>
    <w:rsid w:val="729D4CC8"/>
    <w:rsid w:val="72BF37AA"/>
    <w:rsid w:val="72E6342D"/>
    <w:rsid w:val="7306246F"/>
    <w:rsid w:val="738E13CF"/>
    <w:rsid w:val="7394143C"/>
    <w:rsid w:val="73A3131E"/>
    <w:rsid w:val="73AA6208"/>
    <w:rsid w:val="74264493"/>
    <w:rsid w:val="74363F40"/>
    <w:rsid w:val="74453532"/>
    <w:rsid w:val="745D14CD"/>
    <w:rsid w:val="74890514"/>
    <w:rsid w:val="74897748"/>
    <w:rsid w:val="74911176"/>
    <w:rsid w:val="74A52E74"/>
    <w:rsid w:val="750162FC"/>
    <w:rsid w:val="75060B9F"/>
    <w:rsid w:val="75134281"/>
    <w:rsid w:val="75297601"/>
    <w:rsid w:val="753E10E9"/>
    <w:rsid w:val="75767270"/>
    <w:rsid w:val="75774810"/>
    <w:rsid w:val="75AB270C"/>
    <w:rsid w:val="75C31803"/>
    <w:rsid w:val="75FE283B"/>
    <w:rsid w:val="76124539"/>
    <w:rsid w:val="763939CA"/>
    <w:rsid w:val="765D0544"/>
    <w:rsid w:val="7665694D"/>
    <w:rsid w:val="768947FB"/>
    <w:rsid w:val="768E1E11"/>
    <w:rsid w:val="76946CFC"/>
    <w:rsid w:val="7696711C"/>
    <w:rsid w:val="76CE66B2"/>
    <w:rsid w:val="77132317"/>
    <w:rsid w:val="773A5AF5"/>
    <w:rsid w:val="775C3CBE"/>
    <w:rsid w:val="77A80CB1"/>
    <w:rsid w:val="77AE3DED"/>
    <w:rsid w:val="77D47CF8"/>
    <w:rsid w:val="77DC66AF"/>
    <w:rsid w:val="77DE0B76"/>
    <w:rsid w:val="77FC2DAB"/>
    <w:rsid w:val="780F6F82"/>
    <w:rsid w:val="782146A4"/>
    <w:rsid w:val="7831514A"/>
    <w:rsid w:val="783E33C3"/>
    <w:rsid w:val="78484564"/>
    <w:rsid w:val="787768D5"/>
    <w:rsid w:val="78D21D5D"/>
    <w:rsid w:val="78F9378E"/>
    <w:rsid w:val="79217F7E"/>
    <w:rsid w:val="79247E5B"/>
    <w:rsid w:val="792720A9"/>
    <w:rsid w:val="79294073"/>
    <w:rsid w:val="796D3987"/>
    <w:rsid w:val="797A042B"/>
    <w:rsid w:val="798412AA"/>
    <w:rsid w:val="79AE38A9"/>
    <w:rsid w:val="79F91C98"/>
    <w:rsid w:val="7A3902E6"/>
    <w:rsid w:val="7A8F6158"/>
    <w:rsid w:val="7A9E283F"/>
    <w:rsid w:val="7AA86A41"/>
    <w:rsid w:val="7AE04C06"/>
    <w:rsid w:val="7AF85A3A"/>
    <w:rsid w:val="7B3A19A7"/>
    <w:rsid w:val="7B42766E"/>
    <w:rsid w:val="7B4B5E55"/>
    <w:rsid w:val="7B4C5DF7"/>
    <w:rsid w:val="7B985F55"/>
    <w:rsid w:val="7BB0282A"/>
    <w:rsid w:val="7BBF0CBF"/>
    <w:rsid w:val="7BC02341"/>
    <w:rsid w:val="7BC06529"/>
    <w:rsid w:val="7BEB1AB4"/>
    <w:rsid w:val="7BED368E"/>
    <w:rsid w:val="7C1032C9"/>
    <w:rsid w:val="7C3E7E36"/>
    <w:rsid w:val="7C6D4277"/>
    <w:rsid w:val="7C725D31"/>
    <w:rsid w:val="7C743857"/>
    <w:rsid w:val="7C9537CE"/>
    <w:rsid w:val="7CC320E9"/>
    <w:rsid w:val="7CD12A58"/>
    <w:rsid w:val="7CF7012F"/>
    <w:rsid w:val="7D080444"/>
    <w:rsid w:val="7D4312E1"/>
    <w:rsid w:val="7D673F4F"/>
    <w:rsid w:val="7DA0067C"/>
    <w:rsid w:val="7E1D3A7B"/>
    <w:rsid w:val="7E307C52"/>
    <w:rsid w:val="7E374B3D"/>
    <w:rsid w:val="7E3920A3"/>
    <w:rsid w:val="7E466AB8"/>
    <w:rsid w:val="7E494870"/>
    <w:rsid w:val="7E514E49"/>
    <w:rsid w:val="7E834226"/>
    <w:rsid w:val="7E891110"/>
    <w:rsid w:val="7EA67F14"/>
    <w:rsid w:val="7EC30AC6"/>
    <w:rsid w:val="7EDE145C"/>
    <w:rsid w:val="7EE8052D"/>
    <w:rsid w:val="7F7F25EB"/>
    <w:rsid w:val="7F8F2756"/>
    <w:rsid w:val="7F8F5B55"/>
    <w:rsid w:val="7FE63F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9"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szCs w:val="44"/>
    </w:rPr>
  </w:style>
  <w:style w:type="paragraph" w:styleId="4">
    <w:name w:val="heading 2"/>
    <w:basedOn w:val="1"/>
    <w:next w:val="1"/>
    <w:link w:val="44"/>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iPriority w:val="0"/>
    <w:pPr>
      <w:keepNext/>
      <w:keepLines/>
      <w:spacing w:before="260" w:after="260" w:line="416" w:lineRule="auto"/>
      <w:outlineLvl w:val="2"/>
    </w:pPr>
    <w:rPr>
      <w:b/>
      <w:bCs/>
      <w:sz w:val="32"/>
      <w:szCs w:val="32"/>
    </w:rPr>
  </w:style>
  <w:style w:type="paragraph" w:styleId="6">
    <w:name w:val="heading 4"/>
    <w:basedOn w:val="1"/>
    <w:next w:val="1"/>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11">
    <w:name w:val="Normal Indent"/>
    <w:basedOn w:val="1"/>
    <w:uiPriority w:val="0"/>
    <w:pPr>
      <w:ind w:firstLine="420" w:firstLineChars="200"/>
    </w:pPr>
  </w:style>
  <w:style w:type="paragraph" w:styleId="12">
    <w:name w:val="Document Map"/>
    <w:basedOn w:val="1"/>
    <w:semiHidden/>
    <w:uiPriority w:val="0"/>
    <w:pPr>
      <w:shd w:val="clear" w:color="auto" w:fill="000080"/>
    </w:pPr>
  </w:style>
  <w:style w:type="paragraph" w:styleId="13">
    <w:name w:val="annotation text"/>
    <w:basedOn w:val="1"/>
    <w:semiHidden/>
    <w:uiPriority w:val="0"/>
    <w:pPr>
      <w:jc w:val="left"/>
    </w:pPr>
  </w:style>
  <w:style w:type="paragraph" w:styleId="14">
    <w:name w:val="Body Text 3"/>
    <w:basedOn w:val="1"/>
    <w:uiPriority w:val="0"/>
    <w:rPr>
      <w:rFonts w:ascii="宋体"/>
      <w:sz w:val="24"/>
      <w:szCs w:val="20"/>
    </w:rPr>
  </w:style>
  <w:style w:type="paragraph" w:styleId="15">
    <w:name w:val="Body Text"/>
    <w:basedOn w:val="1"/>
    <w:next w:val="1"/>
    <w:uiPriority w:val="0"/>
    <w:pPr>
      <w:spacing w:after="120"/>
    </w:pPr>
  </w:style>
  <w:style w:type="paragraph" w:styleId="16">
    <w:name w:val="Body Text Indent"/>
    <w:basedOn w:val="1"/>
    <w:uiPriority w:val="0"/>
    <w:pPr>
      <w:spacing w:after="120"/>
      <w:ind w:left="420" w:leftChars="200"/>
    </w:pPr>
  </w:style>
  <w:style w:type="paragraph" w:styleId="17">
    <w:name w:val="toc 3"/>
    <w:basedOn w:val="1"/>
    <w:next w:val="1"/>
    <w:semiHidden/>
    <w:uiPriority w:val="0"/>
    <w:pPr>
      <w:ind w:left="840" w:leftChars="400"/>
    </w:pPr>
  </w:style>
  <w:style w:type="paragraph" w:styleId="18">
    <w:name w:val="Date"/>
    <w:basedOn w:val="1"/>
    <w:next w:val="1"/>
    <w:uiPriority w:val="0"/>
    <w:rPr>
      <w:sz w:val="24"/>
      <w:szCs w:val="20"/>
    </w:rPr>
  </w:style>
  <w:style w:type="paragraph" w:styleId="19">
    <w:name w:val="Balloon Text"/>
    <w:basedOn w:val="1"/>
    <w:semiHidden/>
    <w:uiPriority w:val="0"/>
    <w:rPr>
      <w:sz w:val="18"/>
      <w:szCs w:val="18"/>
    </w:rPr>
  </w:style>
  <w:style w:type="paragraph" w:styleId="20">
    <w:name w:val="footer"/>
    <w:basedOn w:val="1"/>
    <w:uiPriority w:val="0"/>
    <w:pPr>
      <w:tabs>
        <w:tab w:val="center" w:pos="4153"/>
        <w:tab w:val="right" w:pos="8306"/>
      </w:tabs>
      <w:snapToGrid w:val="0"/>
      <w:jc w:val="left"/>
    </w:pPr>
    <w:rPr>
      <w:sz w:val="18"/>
      <w:szCs w:val="18"/>
    </w:rPr>
  </w:style>
  <w:style w:type="paragraph" w:styleId="2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iPriority w:val="0"/>
    <w:pPr>
      <w:spacing w:line="440" w:lineRule="exact"/>
      <w:jc w:val="center"/>
    </w:pPr>
  </w:style>
  <w:style w:type="paragraph" w:styleId="23">
    <w:name w:val="Body Text Indent 3"/>
    <w:basedOn w:val="1"/>
    <w:uiPriority w:val="0"/>
    <w:pPr>
      <w:spacing w:after="120"/>
      <w:ind w:left="420" w:leftChars="200"/>
    </w:pPr>
    <w:rPr>
      <w:sz w:val="16"/>
      <w:szCs w:val="16"/>
    </w:rPr>
  </w:style>
  <w:style w:type="paragraph" w:styleId="24">
    <w:name w:val="toc 2"/>
    <w:basedOn w:val="1"/>
    <w:next w:val="1"/>
    <w:semiHidden/>
    <w:uiPriority w:val="0"/>
    <w:pPr>
      <w:ind w:left="420" w:leftChars="200"/>
    </w:p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semiHidden/>
    <w:uiPriority w:val="0"/>
    <w:pPr>
      <w:spacing w:line="220" w:lineRule="exact"/>
      <w:jc w:val="center"/>
    </w:pPr>
    <w:rPr>
      <w:rFonts w:ascii="仿宋_GB2312" w:eastAsia="仿宋_GB2312"/>
      <w:szCs w:val="21"/>
    </w:rPr>
  </w:style>
  <w:style w:type="paragraph" w:styleId="27">
    <w:name w:val="Title"/>
    <w:basedOn w:val="1"/>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8">
    <w:name w:val="Body Text First Indent 2"/>
    <w:basedOn w:val="16"/>
    <w:qFormat/>
    <w:uiPriority w:val="99"/>
    <w:pPr>
      <w:spacing w:after="120" w:line="360" w:lineRule="atLeast"/>
      <w:ind w:left="420" w:firstLine="210"/>
      <w:jc w:val="left"/>
    </w:pPr>
    <w:rPr>
      <w:rFonts w:ascii="Times New Roman"/>
      <w:spacing w:val="0"/>
      <w:sz w:val="24"/>
    </w:rPr>
  </w:style>
  <w:style w:type="table" w:styleId="30">
    <w:name w:val="Table Grid"/>
    <w:basedOn w:val="29"/>
    <w:uiPriority w:val="0"/>
    <w:pPr>
      <w:widowControl w:val="0"/>
      <w:jc w:val="both"/>
    </w:pPr>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uiPriority w:val="0"/>
  </w:style>
  <w:style w:type="character" w:styleId="33">
    <w:name w:val="FollowedHyperlink"/>
    <w:basedOn w:val="31"/>
    <w:uiPriority w:val="0"/>
    <w:rPr>
      <w:color w:val="800080"/>
      <w:u w:val="none"/>
    </w:rPr>
  </w:style>
  <w:style w:type="character" w:styleId="34">
    <w:name w:val="HTML Definition"/>
    <w:basedOn w:val="31"/>
    <w:uiPriority w:val="0"/>
  </w:style>
  <w:style w:type="character" w:styleId="35">
    <w:name w:val="HTML Typewriter"/>
    <w:basedOn w:val="31"/>
    <w:uiPriority w:val="0"/>
    <w:rPr>
      <w:rFonts w:hint="default" w:ascii="monospace" w:hAnsi="monospace" w:eastAsia="monospace" w:cs="monospace"/>
      <w:sz w:val="20"/>
    </w:rPr>
  </w:style>
  <w:style w:type="character" w:styleId="36">
    <w:name w:val="HTML Acronym"/>
    <w:basedOn w:val="31"/>
    <w:uiPriority w:val="0"/>
  </w:style>
  <w:style w:type="character" w:styleId="37">
    <w:name w:val="HTML Variable"/>
    <w:basedOn w:val="31"/>
    <w:uiPriority w:val="0"/>
  </w:style>
  <w:style w:type="character" w:styleId="38">
    <w:name w:val="Hyperlink"/>
    <w:basedOn w:val="31"/>
    <w:uiPriority w:val="0"/>
    <w:rPr>
      <w:color w:val="0000FF"/>
      <w:u w:val="none"/>
    </w:rPr>
  </w:style>
  <w:style w:type="character" w:styleId="39">
    <w:name w:val="HTML Code"/>
    <w:basedOn w:val="31"/>
    <w:uiPriority w:val="0"/>
    <w:rPr>
      <w:rFonts w:ascii="monospace" w:hAnsi="monospace" w:eastAsia="monospace" w:cs="monospace"/>
      <w:sz w:val="20"/>
    </w:rPr>
  </w:style>
  <w:style w:type="character" w:styleId="40">
    <w:name w:val="annotation reference"/>
    <w:basedOn w:val="31"/>
    <w:semiHidden/>
    <w:uiPriority w:val="0"/>
    <w:rPr>
      <w:sz w:val="21"/>
      <w:szCs w:val="21"/>
    </w:rPr>
  </w:style>
  <w:style w:type="character" w:styleId="41">
    <w:name w:val="HTML Cite"/>
    <w:basedOn w:val="31"/>
    <w:uiPriority w:val="0"/>
  </w:style>
  <w:style w:type="character" w:styleId="42">
    <w:name w:val="HTML Keyboard"/>
    <w:basedOn w:val="31"/>
    <w:uiPriority w:val="0"/>
    <w:rPr>
      <w:rFonts w:hint="default" w:ascii="monospace" w:hAnsi="monospace" w:eastAsia="monospace" w:cs="monospace"/>
      <w:sz w:val="20"/>
    </w:rPr>
  </w:style>
  <w:style w:type="character" w:styleId="43">
    <w:name w:val="HTML Sample"/>
    <w:basedOn w:val="31"/>
    <w:uiPriority w:val="0"/>
    <w:rPr>
      <w:rFonts w:hint="default" w:ascii="monospace" w:hAnsi="monospace" w:eastAsia="monospace" w:cs="monospace"/>
    </w:rPr>
  </w:style>
  <w:style w:type="character" w:customStyle="1" w:styleId="44">
    <w:name w:val=" Char Char"/>
    <w:basedOn w:val="31"/>
    <w:link w:val="4"/>
    <w:uiPriority w:val="0"/>
    <w:rPr>
      <w:rFonts w:ascii="Arial" w:hAnsi="Arial" w:eastAsia="黑体"/>
      <w:b/>
      <w:bCs/>
      <w:kern w:val="2"/>
      <w:sz w:val="32"/>
      <w:szCs w:val="32"/>
      <w:lang w:val="en-US" w:eastAsia="zh-CN" w:bidi="ar-SA"/>
    </w:rPr>
  </w:style>
  <w:style w:type="paragraph" w:customStyle="1" w:styleId="45">
    <w:name w:val="样式 标题 3 + (中文) 黑体 小四 非加粗 段前: 7.8 磅 段后: 0 磅 行距: 固定值 20 磅"/>
    <w:basedOn w:val="5"/>
    <w:uiPriority w:val="0"/>
    <w:pPr>
      <w:spacing w:before="0" w:after="0" w:line="400" w:lineRule="exact"/>
    </w:pPr>
    <w:rPr>
      <w:rFonts w:eastAsia="黑体" w:cs="宋体"/>
      <w:b w:val="0"/>
      <w:bCs w:val="0"/>
      <w:sz w:val="24"/>
      <w:szCs w:val="20"/>
    </w:rPr>
  </w:style>
  <w:style w:type="paragraph" w:customStyle="1" w:styleId="46">
    <w:name w:val="样式 标题 2 + Times New Roman 四号 非加粗 段前: 5 磅 段后: 0 磅 行距: 固定值 20..."/>
    <w:basedOn w:val="4"/>
    <w:uiPriority w:val="0"/>
    <w:pPr>
      <w:spacing w:before="100" w:after="0" w:line="400" w:lineRule="exact"/>
    </w:pPr>
    <w:rPr>
      <w:rFonts w:ascii="Times New Roman" w:hAnsi="Times New Roman" w:cs="宋体"/>
      <w:b w:val="0"/>
      <w:bCs w:val="0"/>
      <w:sz w:val="28"/>
      <w:szCs w:val="20"/>
    </w:rPr>
  </w:style>
  <w:style w:type="paragraph" w:customStyle="1" w:styleId="47">
    <w:name w:val="样式 标题 1 + 黑体 三号 非加粗 居中 段前: 6 磅 段后: 6 磅 行距: 固定值 20 磅"/>
    <w:basedOn w:val="3"/>
    <w:uiPriority w:val="0"/>
    <w:pPr>
      <w:spacing w:before="120" w:after="120" w:line="400" w:lineRule="exact"/>
      <w:jc w:val="center"/>
    </w:pPr>
    <w:rPr>
      <w:rFonts w:ascii="黑体" w:hAnsi="黑体" w:eastAsia="黑体" w:cs="宋体"/>
      <w:b w:val="0"/>
      <w:bCs w:val="0"/>
      <w:sz w:val="32"/>
      <w:szCs w:val="20"/>
    </w:rPr>
  </w:style>
  <w:style w:type="paragraph" w:customStyle="1" w:styleId="48">
    <w:name w:val="1"/>
    <w:basedOn w:val="1"/>
    <w:uiPriority w:val="0"/>
  </w:style>
  <w:style w:type="character" w:customStyle="1" w:styleId="49">
    <w:name w:val="font161"/>
    <w:basedOn w:val="31"/>
    <w:uiPriority w:val="0"/>
    <w:rPr>
      <w:b/>
      <w:bCs/>
      <w:sz w:val="32"/>
      <w:szCs w:val="32"/>
    </w:rPr>
  </w:style>
  <w:style w:type="paragraph" w:customStyle="1" w:styleId="50">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1">
    <w:name w:val="表格"/>
    <w:basedOn w:val="1"/>
    <w:uiPriority w:val="0"/>
    <w:pPr>
      <w:jc w:val="center"/>
      <w:textAlignment w:val="center"/>
    </w:pPr>
    <w:rPr>
      <w:rFonts w:ascii="华文细黑" w:hAnsi="华文细黑"/>
      <w:kern w:val="0"/>
      <w:szCs w:val="20"/>
    </w:rPr>
  </w:style>
  <w:style w:type="paragraph" w:customStyle="1" w:styleId="52">
    <w:name w:val="表格文字"/>
    <w:basedOn w:val="1"/>
    <w:uiPriority w:val="0"/>
    <w:pPr>
      <w:adjustRightInd w:val="0"/>
      <w:spacing w:line="420" w:lineRule="atLeast"/>
      <w:jc w:val="left"/>
      <w:textAlignment w:val="baseline"/>
    </w:pPr>
    <w:rPr>
      <w:kern w:val="0"/>
      <w:szCs w:val="20"/>
    </w:rPr>
  </w:style>
  <w:style w:type="character" w:customStyle="1" w:styleId="53">
    <w:name w:val="15"/>
    <w:uiPriority w:val="0"/>
    <w:rPr>
      <w:rFonts w:hint="default" w:ascii="Times New Roman" w:hAnsi="Times New Roman" w:cs="Times New Roman"/>
    </w:rPr>
  </w:style>
  <w:style w:type="paragraph" w:customStyle="1" w:styleId="54">
    <w:name w:val="Normal_1"/>
    <w:qFormat/>
    <w:uiPriority w:val="0"/>
    <w:rPr>
      <w:rFonts w:ascii="Times New Roman" w:hAnsi="Times New Roman" w:eastAsia="Times New Roman" w:cs="Times New Roman"/>
      <w:sz w:val="24"/>
      <w:szCs w:val="24"/>
    </w:rPr>
  </w:style>
  <w:style w:type="paragraph" w:customStyle="1" w:styleId="55">
    <w:name w:val="正文_0"/>
    <w:basedOn w:val="1"/>
    <w:qFormat/>
    <w:uiPriority w:val="0"/>
    <w:rPr>
      <w:kern w:val="0"/>
      <w:sz w:val="24"/>
    </w:rPr>
  </w:style>
  <w:style w:type="character" w:customStyle="1" w:styleId="56">
    <w:name w:val="10"/>
    <w:qFormat/>
    <w:uiPriority w:val="0"/>
    <w:rPr>
      <w:rFonts w:hint="default" w:ascii="Times New Roman" w:hAnsi="Times New Roman" w:cs="Times New Roman"/>
    </w:rPr>
  </w:style>
  <w:style w:type="paragraph" w:customStyle="1" w:styleId="57">
    <w:name w:val="正文_0_0"/>
    <w:basedOn w:val="1"/>
    <w:qFormat/>
    <w:uiPriority w:val="0"/>
    <w:rPr>
      <w:kern w:val="0"/>
      <w:sz w:val="24"/>
    </w:rPr>
  </w:style>
  <w:style w:type="paragraph" w:customStyle="1" w:styleId="58">
    <w:name w:val="正文_0_0_0"/>
    <w:basedOn w:val="1"/>
    <w:qFormat/>
    <w:uiPriority w:val="0"/>
    <w:rPr>
      <w:kern w:val="0"/>
      <w:sz w:val="24"/>
    </w:rPr>
  </w:style>
  <w:style w:type="paragraph" w:customStyle="1" w:styleId="59">
    <w:name w:val="正文_1"/>
    <w:basedOn w:val="1"/>
    <w:qFormat/>
    <w:uiPriority w:val="0"/>
    <w:pPr>
      <w:adjustRightInd w:val="0"/>
      <w:spacing w:line="360" w:lineRule="atLeast"/>
      <w:jc w:val="left"/>
      <w:textAlignment w:val="baseline"/>
    </w:pPr>
    <w:rPr>
      <w:kern w:val="0"/>
      <w:sz w:val="24"/>
    </w:rPr>
  </w:style>
  <w:style w:type="paragraph" w:customStyle="1" w:styleId="60">
    <w:name w:val="正文文本_0"/>
    <w:basedOn w:val="59"/>
    <w:qFormat/>
    <w:uiPriority w:val="0"/>
    <w:pPr>
      <w:spacing w:before="100" w:beforeAutospacing="1" w:after="60"/>
      <w:ind w:left="72" w:right="30"/>
      <w:jc w:val="center"/>
    </w:pPr>
  </w:style>
  <w:style w:type="paragraph" w:customStyle="1" w:styleId="61">
    <w:name w:val="Normal_12"/>
    <w:qFormat/>
    <w:uiPriority w:val="0"/>
    <w:rPr>
      <w:rFonts w:ascii="Times New Roman" w:hAnsi="Times New Roman" w:eastAsia="Times New Roman" w:cs="Times New Roman"/>
      <w:sz w:val="24"/>
      <w:szCs w:val="24"/>
    </w:rPr>
  </w:style>
  <w:style w:type="paragraph" w:customStyle="1" w:styleId="6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索引 1_0"/>
    <w:basedOn w:val="62"/>
    <w:next w:val="62"/>
    <w:unhideWhenUsed/>
    <w:qFormat/>
    <w:uiPriority w:val="0"/>
    <w:pPr>
      <w:spacing w:line="220" w:lineRule="exact"/>
      <w:jc w:val="center"/>
    </w:pPr>
    <w:rPr>
      <w:rFonts w:ascii="仿宋_GB2312" w:eastAsia="仿宋_GB2312"/>
      <w:szCs w:val="21"/>
    </w:rPr>
  </w:style>
  <w:style w:type="paragraph" w:customStyle="1" w:styleId="64">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Table Text"/>
    <w:basedOn w:val="1"/>
    <w:semiHidden/>
    <w:qFormat/>
    <w:uiPriority w:val="0"/>
    <w:rPr>
      <w:rFonts w:ascii="宋体" w:hAnsi="宋体" w:eastAsia="宋体" w:cs="宋体"/>
      <w:sz w:val="21"/>
      <w:szCs w:val="21"/>
      <w:lang w:val="en-US" w:eastAsia="en-US" w:bidi="ar-SA"/>
    </w:rPr>
  </w:style>
  <w:style w:type="table" w:customStyle="1" w:styleId="66">
    <w:name w:val="Table Normal"/>
    <w:unhideWhenUsed/>
    <w:qFormat/>
    <w:uiPriority w:val="0"/>
    <w:tblPr>
      <w:tblStyle w:val="29"/>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132</Pages>
  <Words>2322</Words>
  <Characters>3101</Characters>
  <Lines>657</Lines>
  <Paragraphs>185</Paragraphs>
  <TotalTime>12</TotalTime>
  <ScaleCrop>false</ScaleCrop>
  <LinksUpToDate>false</LinksUpToDate>
  <CharactersWithSpaces>3610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2008-09-04T08:10:00Z</dcterms:created>
  <dc:creator>1</dc:creator>
  <cp:lastModifiedBy>࿐ཉི༗࿆Mr。張 ༗࿆ཉི࿐</cp:lastModifiedBy>
  <cp:lastPrinted>2025-02-14T10:11:08Z</cp:lastPrinted>
  <dcterms:modified xsi:type="dcterms:W3CDTF">2025-02-21T10:37:28Z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18096B45C3D1469A85B36769F79CDF5C_13</vt:lpwstr>
  </property>
  <property fmtid="{D5CDD505-2E9C-101B-9397-08002B2CF9AE}" pid="4" name="KSOTemplateDocerSaveRecord">
    <vt:lpwstr>eyJoZGlkIjoiY2NmMDM3ZDM1NDg0ZTg2YzYwNDk5MjRiZDNlMmRiZTciLCJ1c2VySWQiOiIyODM0OTE2MTQifQ==</vt:lpwstr>
  </property>
</Properties>
</file>