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5A64D">
      <w:pPr>
        <w:spacing w:line="360" w:lineRule="auto"/>
        <w:ind w:left="720" w:hanging="720" w:hangingChars="200"/>
        <w:rPr>
          <w:rFonts w:hint="eastAsia" w:ascii="宋体" w:hAnsi="宋体" w:eastAsia="宋体" w:cs="宋体"/>
          <w:b/>
          <w:bCs/>
          <w:color w:val="auto"/>
          <w:sz w:val="84"/>
          <w:highlight w:val="none"/>
        </w:rPr>
      </w:pPr>
      <w:r>
        <w:rPr>
          <w:rFonts w:hint="eastAsia" w:ascii="宋体" w:hAnsi="宋体" w:eastAsia="宋体" w:cs="宋体"/>
          <w:color w:val="auto"/>
          <w:sz w:val="36"/>
          <w:highlight w:val="none"/>
        </w:rPr>
        <w:t xml:space="preserve"> </w:t>
      </w:r>
    </w:p>
    <w:p w14:paraId="4EFD70E7">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165C1D0">
      <w:pPr>
        <w:spacing w:line="360" w:lineRule="auto"/>
        <w:jc w:val="center"/>
        <w:rPr>
          <w:rFonts w:hint="eastAsia" w:ascii="宋体" w:hAnsi="宋体" w:eastAsia="宋体" w:cs="宋体"/>
          <w:b/>
          <w:bCs/>
          <w:color w:val="auto"/>
          <w:sz w:val="44"/>
          <w:highlight w:val="none"/>
        </w:rPr>
      </w:pPr>
    </w:p>
    <w:p w14:paraId="34F73FD2">
      <w:pPr>
        <w:spacing w:line="360" w:lineRule="auto"/>
        <w:jc w:val="center"/>
        <w:rPr>
          <w:rFonts w:hint="eastAsia" w:ascii="宋体" w:hAnsi="宋体" w:eastAsia="宋体" w:cs="宋体"/>
          <w:b/>
          <w:bCs/>
          <w:color w:val="auto"/>
          <w:sz w:val="44"/>
          <w:highlight w:val="none"/>
        </w:rPr>
      </w:pPr>
    </w:p>
    <w:p w14:paraId="69D474F4">
      <w:pPr>
        <w:spacing w:line="360" w:lineRule="auto"/>
        <w:jc w:val="center"/>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招 标 文 件</w:t>
      </w:r>
    </w:p>
    <w:p w14:paraId="49C4E1E2">
      <w:pPr>
        <w:tabs>
          <w:tab w:val="left" w:pos="5408"/>
        </w:tabs>
        <w:spacing w:line="360" w:lineRule="auto"/>
        <w:jc w:val="left"/>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ab/>
      </w:r>
    </w:p>
    <w:p w14:paraId="47704C7A">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val="0"/>
          <w:color w:val="auto"/>
          <w:kern w:val="0"/>
          <w:sz w:val="30"/>
          <w:szCs w:val="30"/>
          <w:highlight w:val="none"/>
          <w:lang w:bidi="en-US"/>
        </w:rPr>
        <w:t>LNGX-240302</w:t>
      </w:r>
      <w:r>
        <w:rPr>
          <w:rFonts w:hint="eastAsia" w:ascii="宋体" w:hAnsi="宋体" w:cs="宋体"/>
          <w:b/>
          <w:bCs w:val="0"/>
          <w:color w:val="auto"/>
          <w:kern w:val="0"/>
          <w:sz w:val="30"/>
          <w:szCs w:val="30"/>
          <w:highlight w:val="none"/>
          <w:lang w:eastAsia="zh-CN" w:bidi="en-US"/>
        </w:rPr>
        <w:t>8</w:t>
      </w:r>
    </w:p>
    <w:p w14:paraId="738CE3B1">
      <w:pPr>
        <w:spacing w:line="360" w:lineRule="auto"/>
        <w:ind w:right="1016" w:rightChars="484"/>
        <w:rPr>
          <w:rFonts w:hint="eastAsia" w:ascii="宋体" w:hAnsi="宋体" w:eastAsia="宋体" w:cs="宋体"/>
          <w:b/>
          <w:bCs/>
          <w:color w:val="auto"/>
          <w:sz w:val="32"/>
          <w:szCs w:val="32"/>
          <w:highlight w:val="none"/>
        </w:rPr>
      </w:pPr>
    </w:p>
    <w:p w14:paraId="035C8C27">
      <w:pPr>
        <w:spacing w:line="360" w:lineRule="auto"/>
        <w:ind w:left="1417" w:right="42" w:rightChars="20" w:hanging="1417" w:hangingChars="441"/>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2"/>
          <w:szCs w:val="32"/>
          <w:highlight w:val="none"/>
        </w:rPr>
        <w:t>项目名称：</w:t>
      </w:r>
      <w:r>
        <w:rPr>
          <w:rFonts w:hint="eastAsia" w:ascii="宋体" w:hAnsi="宋体" w:eastAsia="宋体" w:cs="宋体"/>
          <w:b/>
          <w:color w:val="auto"/>
          <w:kern w:val="0"/>
          <w:sz w:val="32"/>
          <w:szCs w:val="32"/>
          <w:highlight w:val="none"/>
          <w:lang w:eastAsia="zh-CN"/>
        </w:rPr>
        <w:t>2024年度营口市历史遗留废弃矿山治理恢复项目</w:t>
      </w:r>
      <w:r>
        <w:rPr>
          <w:rFonts w:hint="eastAsia" w:ascii="宋体" w:hAnsi="宋体" w:eastAsia="宋体" w:cs="宋体"/>
          <w:b/>
          <w:color w:val="auto"/>
          <w:kern w:val="0"/>
          <w:sz w:val="32"/>
          <w:szCs w:val="32"/>
          <w:highlight w:val="none"/>
          <w:lang w:val="en-US" w:eastAsia="zh-CN"/>
        </w:rPr>
        <w:t>监理</w:t>
      </w:r>
    </w:p>
    <w:p w14:paraId="10931D46">
      <w:pPr>
        <w:spacing w:line="360" w:lineRule="auto"/>
        <w:jc w:val="center"/>
        <w:rPr>
          <w:rFonts w:hint="eastAsia" w:ascii="宋体" w:hAnsi="宋体" w:eastAsia="宋体" w:cs="宋体"/>
          <w:b/>
          <w:color w:val="auto"/>
          <w:sz w:val="28"/>
          <w:szCs w:val="28"/>
          <w:highlight w:val="none"/>
        </w:rPr>
      </w:pPr>
    </w:p>
    <w:p w14:paraId="00838476">
      <w:pPr>
        <w:spacing w:line="360" w:lineRule="auto"/>
        <w:ind w:left="1417" w:right="42" w:rightChars="20" w:hanging="1417" w:hangingChars="441"/>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招标人：</w:t>
      </w:r>
      <w:r>
        <w:rPr>
          <w:rFonts w:hint="eastAsia" w:ascii="宋体" w:hAnsi="宋体" w:cs="宋体"/>
          <w:b/>
          <w:color w:val="auto"/>
          <w:kern w:val="0"/>
          <w:sz w:val="32"/>
          <w:szCs w:val="32"/>
          <w:highlight w:val="none"/>
          <w:lang w:val="en-US" w:eastAsia="zh-CN"/>
        </w:rPr>
        <w:t>盖州</w:t>
      </w:r>
      <w:r>
        <w:rPr>
          <w:rFonts w:hint="eastAsia" w:ascii="宋体" w:hAnsi="宋体" w:eastAsia="宋体" w:cs="宋体"/>
          <w:b/>
          <w:color w:val="auto"/>
          <w:kern w:val="0"/>
          <w:sz w:val="32"/>
          <w:szCs w:val="32"/>
          <w:highlight w:val="none"/>
          <w:lang w:eastAsia="zh-CN"/>
        </w:rPr>
        <w:t>市自然资源局</w:t>
      </w:r>
    </w:p>
    <w:p w14:paraId="7932055A">
      <w:pPr>
        <w:spacing w:line="360" w:lineRule="auto"/>
        <w:ind w:left="1417" w:right="42" w:rightChars="20" w:hanging="1417" w:hangingChars="44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招标代理机构：辽宁国信建设工程管理有限公司</w:t>
      </w:r>
    </w:p>
    <w:p w14:paraId="07591DD0">
      <w:pPr>
        <w:spacing w:line="360" w:lineRule="auto"/>
        <w:rPr>
          <w:rFonts w:hint="eastAsia" w:ascii="宋体" w:hAnsi="宋体" w:eastAsia="宋体" w:cs="宋体"/>
          <w:color w:val="auto"/>
          <w:szCs w:val="24"/>
          <w:highlight w:val="none"/>
        </w:rPr>
      </w:pPr>
    </w:p>
    <w:p w14:paraId="297F9813">
      <w:pPr>
        <w:spacing w:line="360" w:lineRule="auto"/>
        <w:rPr>
          <w:rFonts w:hint="eastAsia" w:ascii="宋体" w:hAnsi="宋体" w:eastAsia="宋体" w:cs="宋体"/>
          <w:color w:val="auto"/>
          <w:szCs w:val="24"/>
          <w:highlight w:val="none"/>
        </w:rPr>
      </w:pPr>
    </w:p>
    <w:p w14:paraId="77BFB0B5">
      <w:pPr>
        <w:spacing w:line="360" w:lineRule="auto"/>
        <w:jc w:val="center"/>
        <w:rPr>
          <w:rFonts w:hint="eastAsia" w:ascii="宋体" w:hAnsi="宋体" w:eastAsia="宋体" w:cs="宋体"/>
          <w:b/>
          <w:color w:val="auto"/>
          <w:sz w:val="36"/>
          <w:szCs w:val="28"/>
          <w:highlight w:val="none"/>
          <w:lang w:eastAsia="zh-CN"/>
        </w:rPr>
      </w:pPr>
      <w:r>
        <w:rPr>
          <w:rFonts w:hint="eastAsia" w:ascii="宋体" w:hAnsi="宋体" w:eastAsia="宋体" w:cs="宋体"/>
          <w:b/>
          <w:color w:val="auto"/>
          <w:sz w:val="28"/>
          <w:szCs w:val="28"/>
          <w:highlight w:val="none"/>
          <w:lang w:eastAsia="zh-CN"/>
        </w:rPr>
        <w:t>2024年</w:t>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eastAsia="zh-CN"/>
        </w:rPr>
        <w:t>月</w:t>
      </w:r>
    </w:p>
    <w:p w14:paraId="2B22FC5E">
      <w:pPr>
        <w:spacing w:line="360" w:lineRule="auto"/>
        <w:jc w:val="center"/>
        <w:rPr>
          <w:rFonts w:hint="eastAsia" w:ascii="宋体" w:hAnsi="宋体" w:eastAsia="宋体" w:cs="宋体"/>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14:paraId="4B8C9FF4">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highlight w:val="none"/>
        </w:rPr>
        <w:t>目 录</w:t>
      </w:r>
    </w:p>
    <w:p w14:paraId="4865411E">
      <w:pPr>
        <w:pStyle w:val="22"/>
        <w:tabs>
          <w:tab w:val="right" w:leader="dot" w:pos="9355"/>
        </w:tabs>
        <w:spacing w:line="360" w:lineRule="auto"/>
        <w:rPr>
          <w:rFonts w:hint="eastAsia" w:ascii="宋体" w:hAnsi="宋体" w:eastAsia="宋体" w:cs="宋体"/>
          <w:b/>
          <w:bCs/>
          <w:sz w:val="24"/>
          <w:szCs w:val="24"/>
          <w:highlight w:val="none"/>
        </w:rPr>
      </w:pPr>
      <w:r>
        <w:rPr>
          <w:rFonts w:hint="eastAsia" w:ascii="宋体" w:hAnsi="宋体" w:eastAsia="宋体" w:cs="宋体"/>
          <w:color w:val="auto"/>
          <w:sz w:val="30"/>
          <w:highlight w:val="none"/>
        </w:rPr>
        <w:fldChar w:fldCharType="begin"/>
      </w:r>
      <w:r>
        <w:rPr>
          <w:rFonts w:hint="eastAsia" w:ascii="宋体" w:hAnsi="宋体" w:eastAsia="宋体" w:cs="宋体"/>
          <w:color w:val="auto"/>
          <w:sz w:val="30"/>
          <w:highlight w:val="none"/>
        </w:rPr>
        <w:instrText xml:space="preserve">TOC \o "1-1" \h \u </w:instrText>
      </w:r>
      <w:r>
        <w:rPr>
          <w:rFonts w:hint="eastAsia" w:ascii="宋体" w:hAnsi="宋体" w:eastAsia="宋体" w:cs="宋体"/>
          <w:color w:val="auto"/>
          <w:sz w:val="30"/>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_Toc22285 </w:instrText>
      </w:r>
      <w:r>
        <w:rPr>
          <w:rFonts w:hint="eastAsia" w:ascii="宋体" w:hAnsi="宋体" w:eastAsia="宋体" w:cs="宋体"/>
          <w:b/>
          <w:bCs/>
          <w:sz w:val="24"/>
          <w:szCs w:val="24"/>
          <w:highlight w:val="none"/>
        </w:rPr>
        <w:fldChar w:fldCharType="separate"/>
      </w:r>
      <w:r>
        <w:rPr>
          <w:rFonts w:hint="eastAsia" w:ascii="宋体" w:hAnsi="宋体" w:eastAsia="宋体" w:cs="宋体"/>
          <w:b/>
          <w:bCs/>
          <w:w w:val="90"/>
          <w:sz w:val="24"/>
          <w:szCs w:val="24"/>
          <w:highlight w:val="none"/>
        </w:rPr>
        <w:t xml:space="preserve">第一章 </w:t>
      </w:r>
      <w:r>
        <w:rPr>
          <w:rFonts w:hint="eastAsia" w:ascii="宋体" w:hAnsi="宋体" w:eastAsia="宋体" w:cs="宋体"/>
          <w:b/>
          <w:bCs/>
          <w:sz w:val="24"/>
          <w:szCs w:val="24"/>
          <w:highlight w:val="none"/>
        </w:rPr>
        <w:t>招标公告</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_Toc22285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rPr>
        <w:fldChar w:fldCharType="end"/>
      </w:r>
      <w:r>
        <w:rPr>
          <w:rFonts w:hint="eastAsia" w:ascii="宋体" w:hAnsi="宋体" w:eastAsia="宋体" w:cs="宋体"/>
          <w:b/>
          <w:bCs/>
          <w:color w:val="auto"/>
          <w:sz w:val="24"/>
          <w:szCs w:val="24"/>
          <w:highlight w:val="none"/>
        </w:rPr>
        <w:fldChar w:fldCharType="end"/>
      </w:r>
    </w:p>
    <w:p w14:paraId="3477C65A">
      <w:pPr>
        <w:pStyle w:val="22"/>
        <w:tabs>
          <w:tab w:val="right" w:leader="dot" w:pos="9355"/>
        </w:tabs>
        <w:spacing w:line="360" w:lineRule="auto"/>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_Toc27148 </w:instrText>
      </w:r>
      <w:r>
        <w:rPr>
          <w:rFonts w:hint="eastAsia" w:ascii="宋体" w:hAnsi="宋体" w:eastAsia="宋体" w:cs="宋体"/>
          <w:b/>
          <w:bCs/>
          <w:sz w:val="24"/>
          <w:szCs w:val="24"/>
          <w:highlight w:val="none"/>
        </w:rPr>
        <w:fldChar w:fldCharType="separate"/>
      </w:r>
      <w:r>
        <w:rPr>
          <w:rFonts w:hint="eastAsia" w:ascii="宋体" w:hAnsi="宋体" w:eastAsia="宋体" w:cs="宋体"/>
          <w:b/>
          <w:bCs/>
          <w:w w:val="90"/>
          <w:sz w:val="24"/>
          <w:szCs w:val="24"/>
          <w:highlight w:val="none"/>
        </w:rPr>
        <w:t xml:space="preserve">第二章 </w:t>
      </w:r>
      <w:r>
        <w:rPr>
          <w:rFonts w:hint="eastAsia" w:ascii="宋体" w:hAnsi="宋体" w:eastAsia="宋体" w:cs="宋体"/>
          <w:b/>
          <w:bCs/>
          <w:sz w:val="24"/>
          <w:szCs w:val="24"/>
          <w:highlight w:val="none"/>
        </w:rPr>
        <w:t>投标人须知</w:t>
      </w:r>
      <w:r>
        <w:rPr>
          <w:rFonts w:hint="eastAsia" w:ascii="宋体" w:hAnsi="宋体" w:eastAsia="宋体" w:cs="宋体"/>
          <w:b/>
          <w:bCs/>
          <w:w w:val="90"/>
          <w:sz w:val="24"/>
          <w:szCs w:val="24"/>
          <w:highlight w:val="none"/>
        </w:rPr>
        <w:t>前附表</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_Toc27148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7</w:t>
      </w:r>
      <w:r>
        <w:rPr>
          <w:rFonts w:hint="eastAsia" w:ascii="宋体" w:hAnsi="宋体" w:eastAsia="宋体" w:cs="宋体"/>
          <w:b/>
          <w:bCs/>
          <w:sz w:val="24"/>
          <w:szCs w:val="24"/>
          <w:highlight w:val="none"/>
        </w:rPr>
        <w:fldChar w:fldCharType="end"/>
      </w:r>
      <w:r>
        <w:rPr>
          <w:rFonts w:hint="eastAsia" w:ascii="宋体" w:hAnsi="宋体" w:eastAsia="宋体" w:cs="宋体"/>
          <w:b/>
          <w:bCs/>
          <w:color w:val="auto"/>
          <w:sz w:val="24"/>
          <w:szCs w:val="24"/>
          <w:highlight w:val="none"/>
        </w:rPr>
        <w:fldChar w:fldCharType="end"/>
      </w:r>
    </w:p>
    <w:p w14:paraId="78425A75">
      <w:pPr>
        <w:pStyle w:val="22"/>
        <w:tabs>
          <w:tab w:val="right" w:leader="dot" w:pos="9355"/>
        </w:tabs>
        <w:spacing w:line="360" w:lineRule="auto"/>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_Toc29308 </w:instrText>
      </w:r>
      <w:r>
        <w:rPr>
          <w:rFonts w:hint="eastAsia" w:ascii="宋体" w:hAnsi="宋体" w:eastAsia="宋体" w:cs="宋体"/>
          <w:b/>
          <w:bCs/>
          <w:sz w:val="24"/>
          <w:szCs w:val="24"/>
          <w:highlight w:val="none"/>
        </w:rPr>
        <w:fldChar w:fldCharType="separate"/>
      </w:r>
      <w:r>
        <w:rPr>
          <w:rFonts w:hint="eastAsia" w:ascii="宋体" w:hAnsi="宋体" w:eastAsia="宋体" w:cs="宋体"/>
          <w:b/>
          <w:bCs/>
          <w:w w:val="90"/>
          <w:sz w:val="24"/>
          <w:szCs w:val="24"/>
          <w:highlight w:val="none"/>
        </w:rPr>
        <w:t xml:space="preserve">第三章 </w:t>
      </w:r>
      <w:r>
        <w:rPr>
          <w:rFonts w:hint="eastAsia" w:ascii="宋体" w:hAnsi="宋体" w:eastAsia="宋体" w:cs="宋体"/>
          <w:b/>
          <w:bCs/>
          <w:sz w:val="24"/>
          <w:szCs w:val="24"/>
          <w:highlight w:val="none"/>
        </w:rPr>
        <w:t>投标人须知</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_Toc29308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12</w:t>
      </w:r>
      <w:r>
        <w:rPr>
          <w:rFonts w:hint="eastAsia" w:ascii="宋体" w:hAnsi="宋体" w:eastAsia="宋体" w:cs="宋体"/>
          <w:b/>
          <w:bCs/>
          <w:sz w:val="24"/>
          <w:szCs w:val="24"/>
          <w:highlight w:val="none"/>
        </w:rPr>
        <w:fldChar w:fldCharType="end"/>
      </w:r>
      <w:r>
        <w:rPr>
          <w:rFonts w:hint="eastAsia" w:ascii="宋体" w:hAnsi="宋体" w:eastAsia="宋体" w:cs="宋体"/>
          <w:b/>
          <w:bCs/>
          <w:color w:val="auto"/>
          <w:sz w:val="24"/>
          <w:szCs w:val="24"/>
          <w:highlight w:val="none"/>
        </w:rPr>
        <w:fldChar w:fldCharType="end"/>
      </w:r>
    </w:p>
    <w:p w14:paraId="1A505E41">
      <w:pPr>
        <w:pStyle w:val="22"/>
        <w:tabs>
          <w:tab w:val="right" w:leader="dot" w:pos="9355"/>
        </w:tabs>
        <w:spacing w:line="360" w:lineRule="auto"/>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_Toc16982 </w:instrText>
      </w:r>
      <w:r>
        <w:rPr>
          <w:rFonts w:hint="eastAsia" w:ascii="宋体" w:hAnsi="宋体" w:eastAsia="宋体" w:cs="宋体"/>
          <w:b/>
          <w:bCs/>
          <w:sz w:val="24"/>
          <w:szCs w:val="24"/>
          <w:highlight w:val="none"/>
        </w:rPr>
        <w:fldChar w:fldCharType="separate"/>
      </w:r>
      <w:r>
        <w:rPr>
          <w:rFonts w:hint="eastAsia" w:ascii="宋体" w:hAnsi="宋体" w:eastAsia="宋体" w:cs="宋体"/>
          <w:b/>
          <w:bCs/>
          <w:w w:val="90"/>
          <w:sz w:val="24"/>
          <w:szCs w:val="24"/>
          <w:highlight w:val="none"/>
        </w:rPr>
        <w:t xml:space="preserve">第四章 </w:t>
      </w:r>
      <w:r>
        <w:rPr>
          <w:rFonts w:hint="eastAsia" w:ascii="宋体" w:hAnsi="宋体" w:eastAsia="宋体" w:cs="宋体"/>
          <w:b/>
          <w:bCs/>
          <w:w w:val="90"/>
          <w:sz w:val="24"/>
          <w:szCs w:val="24"/>
          <w:highlight w:val="none"/>
        </w:rPr>
        <w:t>合同主要条款</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_Toc16982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23</w:t>
      </w:r>
      <w:r>
        <w:rPr>
          <w:rFonts w:hint="eastAsia" w:ascii="宋体" w:hAnsi="宋体" w:eastAsia="宋体" w:cs="宋体"/>
          <w:b/>
          <w:bCs/>
          <w:sz w:val="24"/>
          <w:szCs w:val="24"/>
          <w:highlight w:val="none"/>
        </w:rPr>
        <w:fldChar w:fldCharType="end"/>
      </w:r>
      <w:r>
        <w:rPr>
          <w:rFonts w:hint="eastAsia" w:ascii="宋体" w:hAnsi="宋体" w:eastAsia="宋体" w:cs="宋体"/>
          <w:b/>
          <w:bCs/>
          <w:color w:val="auto"/>
          <w:sz w:val="24"/>
          <w:szCs w:val="24"/>
          <w:highlight w:val="none"/>
        </w:rPr>
        <w:fldChar w:fldCharType="end"/>
      </w:r>
    </w:p>
    <w:p w14:paraId="2BF56356">
      <w:pPr>
        <w:pStyle w:val="22"/>
        <w:tabs>
          <w:tab w:val="right" w:leader="dot" w:pos="9355"/>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_Toc3046 </w:instrText>
      </w:r>
      <w:r>
        <w:rPr>
          <w:rFonts w:hint="eastAsia" w:ascii="宋体" w:hAnsi="宋体" w:eastAsia="宋体" w:cs="宋体"/>
          <w:b/>
          <w:bCs/>
          <w:sz w:val="24"/>
          <w:szCs w:val="24"/>
          <w:highlight w:val="none"/>
        </w:rPr>
        <w:fldChar w:fldCharType="separate"/>
      </w:r>
      <w:r>
        <w:rPr>
          <w:rFonts w:hint="eastAsia" w:ascii="宋体" w:hAnsi="宋体" w:eastAsia="宋体" w:cs="宋体"/>
          <w:b/>
          <w:bCs/>
          <w:w w:val="90"/>
          <w:sz w:val="24"/>
          <w:szCs w:val="24"/>
          <w:highlight w:val="none"/>
        </w:rPr>
        <w:t xml:space="preserve">第五章 </w:t>
      </w:r>
      <w:r>
        <w:rPr>
          <w:rFonts w:hint="eastAsia" w:ascii="宋体" w:hAnsi="宋体" w:eastAsia="宋体" w:cs="宋体"/>
          <w:b/>
          <w:bCs/>
          <w:w w:val="90"/>
          <w:sz w:val="24"/>
          <w:szCs w:val="24"/>
          <w:highlight w:val="none"/>
          <w:lang w:val="en-US" w:eastAsia="zh-CN"/>
        </w:rPr>
        <w:t>技术要求</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_Toc3046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fldChar w:fldCharType="end"/>
      </w:r>
      <w:r>
        <w:rPr>
          <w:rFonts w:hint="eastAsia" w:ascii="宋体" w:hAnsi="宋体" w:eastAsia="宋体" w:cs="宋体"/>
          <w:b/>
          <w:bCs/>
          <w:color w:val="auto"/>
          <w:sz w:val="24"/>
          <w:szCs w:val="24"/>
          <w:highlight w:val="none"/>
        </w:rPr>
        <w:fldChar w:fldCharType="end"/>
      </w:r>
    </w:p>
    <w:p w14:paraId="5A7EED54">
      <w:pPr>
        <w:pStyle w:val="22"/>
        <w:tabs>
          <w:tab w:val="right" w:leader="dot" w:pos="9355"/>
        </w:tabs>
        <w:spacing w:line="360" w:lineRule="auto"/>
        <w:rPr>
          <w:rFonts w:hint="eastAsia" w:eastAsia="宋体"/>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_Toc9835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章  技术</w:t>
      </w:r>
      <w:r>
        <w:rPr>
          <w:rFonts w:hint="eastAsia" w:ascii="宋体" w:hAnsi="宋体" w:eastAsia="宋体" w:cs="宋体"/>
          <w:b/>
          <w:bCs/>
          <w:sz w:val="24"/>
          <w:szCs w:val="24"/>
          <w:highlight w:val="none"/>
          <w:lang w:val="en-US" w:eastAsia="zh-CN"/>
        </w:rPr>
        <w:t>规范</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lang w:val="en-US" w:eastAsia="zh-CN"/>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2</w:t>
      </w:r>
    </w:p>
    <w:p w14:paraId="533EEBA4">
      <w:pPr>
        <w:pStyle w:val="22"/>
        <w:tabs>
          <w:tab w:val="right" w:leader="dot" w:pos="9355"/>
        </w:tabs>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_Toc9835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 xml:space="preserve">章  </w:t>
      </w:r>
      <w:r>
        <w:rPr>
          <w:rFonts w:hint="eastAsia" w:ascii="宋体" w:hAnsi="宋体" w:eastAsia="宋体" w:cs="宋体"/>
          <w:b/>
          <w:bCs/>
          <w:sz w:val="24"/>
          <w:szCs w:val="24"/>
          <w:highlight w:val="none"/>
          <w:lang w:val="en-US" w:eastAsia="zh-CN"/>
        </w:rPr>
        <w:t>商务</w:t>
      </w:r>
      <w:r>
        <w:rPr>
          <w:rFonts w:hint="eastAsia" w:ascii="宋体" w:hAnsi="宋体" w:eastAsia="宋体" w:cs="宋体"/>
          <w:b/>
          <w:bCs/>
          <w:sz w:val="24"/>
          <w:szCs w:val="24"/>
          <w:highlight w:val="none"/>
        </w:rPr>
        <w:t>部分</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lang w:val="en-US" w:eastAsia="zh-CN"/>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18A40866">
      <w:pPr>
        <w:pStyle w:val="22"/>
        <w:tabs>
          <w:tab w:val="right" w:leader="dot" w:pos="9355"/>
        </w:tabs>
        <w:spacing w:line="360" w:lineRule="auto"/>
        <w:rPr>
          <w:rFonts w:hint="eastAsia" w:eastAsia="宋体"/>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_Toc9835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章  技术部分</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lang w:val="en-US" w:eastAsia="zh-CN"/>
        </w:rPr>
        <w:t>5</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7</w:t>
      </w:r>
    </w:p>
    <w:p w14:paraId="19ED4048">
      <w:pPr>
        <w:pStyle w:val="22"/>
        <w:tabs>
          <w:tab w:val="right" w:leader="dot" w:pos="9355"/>
        </w:tabs>
        <w:spacing w:line="360" w:lineRule="auto"/>
        <w:rPr>
          <w:rFonts w:hint="eastAsia" w:eastAsia="宋体"/>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_Toc942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rPr>
        <w:t>章 评标办</w:t>
      </w:r>
      <w:r>
        <w:rPr>
          <w:rFonts w:hint="eastAsia" w:ascii="宋体" w:hAnsi="宋体" w:eastAsia="宋体" w:cs="宋体"/>
          <w:b/>
          <w:bCs/>
          <w:sz w:val="24"/>
          <w:szCs w:val="24"/>
          <w:highlight w:val="none"/>
          <w:lang w:eastAsia="zh-CN"/>
        </w:rPr>
        <w:t>法</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lang w:val="en-US" w:eastAsia="zh-CN"/>
        </w:rPr>
        <w:t>6</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w:t>
      </w:r>
    </w:p>
    <w:p w14:paraId="6CBE3E5F">
      <w:pPr>
        <w:tabs>
          <w:tab w:val="right" w:leader="dot" w:pos="9628"/>
        </w:tabs>
        <w:snapToGrid w:val="0"/>
        <w:spacing w:line="360" w:lineRule="auto"/>
        <w:rPr>
          <w:rFonts w:hint="eastAsia" w:ascii="宋体" w:hAnsi="宋体" w:eastAsia="宋体" w:cs="宋体"/>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ascii="宋体" w:hAnsi="宋体" w:eastAsia="宋体" w:cs="宋体"/>
          <w:color w:val="auto"/>
          <w:highlight w:val="none"/>
        </w:rPr>
        <w:fldChar w:fldCharType="end"/>
      </w:r>
    </w:p>
    <w:p w14:paraId="7837B7EC">
      <w:pPr>
        <w:tabs>
          <w:tab w:val="right" w:leader="dot" w:pos="9628"/>
        </w:tabs>
        <w:snapToGrid w:val="0"/>
        <w:spacing w:line="360" w:lineRule="auto"/>
        <w:rPr>
          <w:rFonts w:hint="eastAsia" w:ascii="宋体" w:hAnsi="宋体" w:eastAsia="宋体" w:cs="宋体"/>
          <w:color w:val="auto"/>
          <w:highlight w:val="none"/>
        </w:rPr>
      </w:pPr>
    </w:p>
    <w:p w14:paraId="3910F793">
      <w:pPr>
        <w:spacing w:line="360" w:lineRule="auto"/>
        <w:rPr>
          <w:rFonts w:hint="eastAsia" w:ascii="宋体" w:hAnsi="宋体" w:eastAsia="宋体" w:cs="宋体"/>
          <w:color w:val="auto"/>
          <w:sz w:val="24"/>
          <w:szCs w:val="24"/>
          <w:highlight w:val="none"/>
        </w:rPr>
      </w:pPr>
    </w:p>
    <w:p w14:paraId="1D195FEA">
      <w:pPr>
        <w:spacing w:line="360" w:lineRule="auto"/>
        <w:rPr>
          <w:rFonts w:hint="eastAsia" w:ascii="宋体" w:hAnsi="宋体" w:eastAsia="宋体" w:cs="宋体"/>
          <w:color w:val="auto"/>
          <w:sz w:val="24"/>
          <w:szCs w:val="24"/>
          <w:highlight w:val="none"/>
        </w:rPr>
      </w:pPr>
    </w:p>
    <w:p w14:paraId="0CA29BCB">
      <w:pPr>
        <w:spacing w:line="360" w:lineRule="auto"/>
        <w:rPr>
          <w:rFonts w:hint="eastAsia" w:ascii="宋体" w:hAnsi="宋体" w:eastAsia="宋体" w:cs="宋体"/>
          <w:color w:val="auto"/>
          <w:sz w:val="24"/>
          <w:szCs w:val="24"/>
          <w:highlight w:val="none"/>
        </w:rPr>
      </w:pPr>
    </w:p>
    <w:p w14:paraId="2BB8E051">
      <w:pPr>
        <w:spacing w:line="360" w:lineRule="auto"/>
        <w:rPr>
          <w:rFonts w:hint="eastAsia" w:ascii="宋体" w:hAnsi="宋体" w:eastAsia="宋体" w:cs="宋体"/>
          <w:color w:val="auto"/>
          <w:sz w:val="24"/>
          <w:szCs w:val="24"/>
          <w:highlight w:val="none"/>
        </w:rPr>
      </w:pPr>
    </w:p>
    <w:p w14:paraId="1B5ADA63">
      <w:pPr>
        <w:spacing w:line="360" w:lineRule="auto"/>
        <w:rPr>
          <w:rFonts w:hint="eastAsia" w:ascii="宋体" w:hAnsi="宋体" w:eastAsia="宋体" w:cs="宋体"/>
          <w:color w:val="auto"/>
          <w:sz w:val="24"/>
          <w:szCs w:val="24"/>
          <w:highlight w:val="none"/>
        </w:rPr>
      </w:pPr>
    </w:p>
    <w:p w14:paraId="5AB5DD28">
      <w:pPr>
        <w:spacing w:line="360" w:lineRule="auto"/>
        <w:rPr>
          <w:rFonts w:hint="eastAsia" w:ascii="宋体" w:hAnsi="宋体" w:eastAsia="宋体" w:cs="宋体"/>
          <w:color w:val="auto"/>
          <w:sz w:val="24"/>
          <w:szCs w:val="24"/>
          <w:highlight w:val="none"/>
        </w:rPr>
      </w:pPr>
    </w:p>
    <w:p w14:paraId="70A0A4FE">
      <w:pPr>
        <w:spacing w:line="360" w:lineRule="auto"/>
        <w:rPr>
          <w:rFonts w:hint="eastAsia" w:ascii="宋体" w:hAnsi="宋体" w:eastAsia="宋体" w:cs="宋体"/>
          <w:color w:val="auto"/>
          <w:sz w:val="24"/>
          <w:szCs w:val="24"/>
          <w:highlight w:val="none"/>
        </w:rPr>
      </w:pPr>
    </w:p>
    <w:p w14:paraId="41EB809E">
      <w:pPr>
        <w:spacing w:line="360" w:lineRule="auto"/>
        <w:rPr>
          <w:rFonts w:hint="eastAsia" w:ascii="宋体" w:hAnsi="宋体" w:eastAsia="宋体" w:cs="宋体"/>
          <w:color w:val="auto"/>
          <w:sz w:val="24"/>
          <w:szCs w:val="24"/>
          <w:highlight w:val="none"/>
        </w:rPr>
      </w:pPr>
    </w:p>
    <w:p w14:paraId="320385D6">
      <w:pPr>
        <w:spacing w:line="360" w:lineRule="auto"/>
        <w:rPr>
          <w:rFonts w:hint="eastAsia" w:ascii="宋体" w:hAnsi="宋体" w:eastAsia="宋体" w:cs="宋体"/>
          <w:color w:val="auto"/>
          <w:sz w:val="24"/>
          <w:szCs w:val="24"/>
          <w:highlight w:val="none"/>
        </w:rPr>
      </w:pPr>
    </w:p>
    <w:p w14:paraId="5DF093A2">
      <w:pPr>
        <w:spacing w:line="360" w:lineRule="auto"/>
        <w:rPr>
          <w:rFonts w:hint="eastAsia" w:ascii="宋体" w:hAnsi="宋体" w:eastAsia="宋体" w:cs="宋体"/>
          <w:color w:val="auto"/>
          <w:sz w:val="24"/>
          <w:szCs w:val="24"/>
          <w:highlight w:val="none"/>
        </w:rPr>
      </w:pPr>
    </w:p>
    <w:p w14:paraId="0C16C00D">
      <w:pPr>
        <w:spacing w:line="360" w:lineRule="auto"/>
        <w:rPr>
          <w:rFonts w:hint="eastAsia" w:ascii="宋体" w:hAnsi="宋体" w:eastAsia="宋体" w:cs="宋体"/>
          <w:color w:val="auto"/>
          <w:sz w:val="24"/>
          <w:szCs w:val="24"/>
          <w:highlight w:val="none"/>
        </w:rPr>
      </w:pPr>
    </w:p>
    <w:p w14:paraId="29CF3A30">
      <w:pPr>
        <w:spacing w:line="360" w:lineRule="auto"/>
        <w:rPr>
          <w:rFonts w:hint="eastAsia" w:ascii="宋体" w:hAnsi="宋体" w:eastAsia="宋体" w:cs="宋体"/>
          <w:color w:val="auto"/>
          <w:sz w:val="24"/>
          <w:szCs w:val="24"/>
          <w:highlight w:val="none"/>
        </w:rPr>
      </w:pPr>
    </w:p>
    <w:p w14:paraId="076C3418">
      <w:pPr>
        <w:spacing w:line="360" w:lineRule="auto"/>
        <w:rPr>
          <w:rFonts w:hint="eastAsia" w:ascii="宋体" w:hAnsi="宋体" w:eastAsia="宋体" w:cs="宋体"/>
          <w:color w:val="auto"/>
          <w:sz w:val="24"/>
          <w:szCs w:val="24"/>
          <w:highlight w:val="none"/>
        </w:rPr>
      </w:pPr>
    </w:p>
    <w:p w14:paraId="18250189">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0" w:name="_Toc349568450"/>
      <w:bookmarkStart w:id="1" w:name="_Toc343510551"/>
      <w:bookmarkStart w:id="2" w:name="_Toc30943"/>
      <w:bookmarkStart w:id="3" w:name="_Toc349568709"/>
      <w:bookmarkStart w:id="4" w:name="_Toc344394137"/>
      <w:bookmarkStart w:id="5" w:name="_Toc28974"/>
      <w:bookmarkStart w:id="6" w:name="_Toc350515646"/>
      <w:bookmarkStart w:id="7" w:name="_Toc22285"/>
      <w:r>
        <w:rPr>
          <w:rFonts w:hint="eastAsia" w:ascii="宋体" w:hAnsi="宋体" w:eastAsia="宋体" w:cs="宋体"/>
          <w:color w:val="auto"/>
          <w:highlight w:val="none"/>
        </w:rPr>
        <w:t>招标公告</w:t>
      </w:r>
      <w:bookmarkEnd w:id="0"/>
      <w:bookmarkEnd w:id="1"/>
      <w:bookmarkEnd w:id="2"/>
      <w:bookmarkEnd w:id="3"/>
      <w:bookmarkEnd w:id="4"/>
      <w:bookmarkEnd w:id="5"/>
      <w:bookmarkEnd w:id="6"/>
      <w:bookmarkEnd w:id="7"/>
    </w:p>
    <w:p w14:paraId="48D4E987">
      <w:pPr>
        <w:spacing w:line="360" w:lineRule="auto"/>
        <w:rPr>
          <w:rFonts w:hint="eastAsia" w:ascii="宋体" w:hAnsi="宋体" w:eastAsia="宋体" w:cs="宋体"/>
          <w:color w:val="auto"/>
          <w:highlight w:val="none"/>
        </w:rPr>
      </w:pPr>
    </w:p>
    <w:p w14:paraId="3DFC4A64">
      <w:pPr>
        <w:pStyle w:val="17"/>
        <w:spacing w:line="360" w:lineRule="auto"/>
        <w:jc w:val="center"/>
        <w:rPr>
          <w:rFonts w:hint="eastAsia" w:ascii="宋体" w:hAnsi="宋体" w:eastAsia="宋体" w:cs="宋体"/>
          <w:b/>
          <w:color w:val="auto"/>
          <w:sz w:val="30"/>
          <w:highlight w:val="none"/>
        </w:rPr>
      </w:pPr>
    </w:p>
    <w:p w14:paraId="22C9DBF4">
      <w:pPr>
        <w:spacing w:line="360" w:lineRule="auto"/>
        <w:rPr>
          <w:rFonts w:hint="eastAsia" w:ascii="宋体" w:hAnsi="宋体" w:eastAsia="宋体" w:cs="宋体"/>
          <w:color w:val="auto"/>
          <w:highlight w:val="none"/>
        </w:rPr>
      </w:pPr>
    </w:p>
    <w:p w14:paraId="7EA02D8F">
      <w:pPr>
        <w:spacing w:line="360" w:lineRule="auto"/>
        <w:rPr>
          <w:rFonts w:hint="eastAsia" w:ascii="宋体" w:hAnsi="宋体" w:eastAsia="宋体" w:cs="宋体"/>
          <w:color w:val="auto"/>
          <w:highlight w:val="none"/>
        </w:rPr>
      </w:pPr>
    </w:p>
    <w:p w14:paraId="3F16577F">
      <w:pPr>
        <w:spacing w:line="360" w:lineRule="auto"/>
        <w:rPr>
          <w:rFonts w:hint="eastAsia" w:ascii="宋体" w:hAnsi="宋体" w:eastAsia="宋体" w:cs="宋体"/>
          <w:color w:val="auto"/>
          <w:highlight w:val="none"/>
        </w:rPr>
      </w:pPr>
    </w:p>
    <w:p w14:paraId="4F77374F">
      <w:pPr>
        <w:spacing w:line="360" w:lineRule="auto"/>
        <w:rPr>
          <w:rFonts w:hint="eastAsia" w:ascii="宋体" w:hAnsi="宋体" w:eastAsia="宋体" w:cs="宋体"/>
          <w:color w:val="auto"/>
          <w:highlight w:val="none"/>
        </w:rPr>
      </w:pPr>
    </w:p>
    <w:p w14:paraId="0E8CF8F1">
      <w:pPr>
        <w:spacing w:line="360" w:lineRule="auto"/>
        <w:jc w:val="center"/>
        <w:rPr>
          <w:rFonts w:hint="eastAsia" w:ascii="宋体" w:hAnsi="宋体" w:eastAsia="宋体" w:cs="宋体"/>
          <w:color w:val="auto"/>
          <w:sz w:val="28"/>
          <w:szCs w:val="24"/>
          <w:highlight w:val="none"/>
          <w:lang w:eastAsia="zh-CN"/>
        </w:rPr>
      </w:pPr>
      <w:r>
        <w:rPr>
          <w:rFonts w:hint="eastAsia" w:ascii="宋体" w:hAnsi="宋体" w:eastAsia="宋体" w:cs="宋体"/>
          <w:b/>
          <w:bCs/>
          <w:color w:val="auto"/>
          <w:sz w:val="32"/>
          <w:szCs w:val="24"/>
          <w:highlight w:val="none"/>
        </w:rPr>
        <w:br w:type="page"/>
      </w:r>
      <w:r>
        <w:rPr>
          <w:rFonts w:hint="eastAsia" w:ascii="宋体" w:hAnsi="宋体" w:cs="宋体"/>
          <w:b/>
          <w:bCs/>
          <w:color w:val="auto"/>
          <w:sz w:val="32"/>
          <w:szCs w:val="24"/>
          <w:highlight w:val="none"/>
          <w:lang w:eastAsia="zh-CN"/>
        </w:rPr>
        <w:t>2024年度营口市历史遗留废弃矿山治理恢复项目监理</w:t>
      </w:r>
    </w:p>
    <w:p w14:paraId="42246F49">
      <w:pPr>
        <w:spacing w:line="360" w:lineRule="auto"/>
        <w:jc w:val="center"/>
        <w:rPr>
          <w:rFonts w:hint="eastAsia" w:ascii="宋体" w:hAnsi="宋体" w:eastAsia="宋体" w:cs="宋体"/>
          <w:b/>
          <w:bCs/>
          <w:color w:val="auto"/>
          <w:sz w:val="40"/>
          <w:szCs w:val="24"/>
          <w:highlight w:val="none"/>
        </w:rPr>
      </w:pPr>
      <w:bookmarkStart w:id="8" w:name="资格预审合格通知书"/>
      <w:bookmarkEnd w:id="8"/>
      <w:r>
        <w:rPr>
          <w:rFonts w:hint="eastAsia" w:ascii="宋体" w:hAnsi="宋体" w:eastAsia="宋体" w:cs="宋体"/>
          <w:b/>
          <w:bCs/>
          <w:color w:val="auto"/>
          <w:sz w:val="40"/>
          <w:szCs w:val="24"/>
          <w:highlight w:val="none"/>
        </w:rPr>
        <w:t>招标公告</w:t>
      </w:r>
    </w:p>
    <w:p w14:paraId="743D0A00">
      <w:pPr>
        <w:spacing w:after="120" w:line="360" w:lineRule="auto"/>
        <w:rPr>
          <w:rFonts w:hint="eastAsia" w:ascii="宋体" w:hAnsi="宋体" w:eastAsia="宋体" w:cs="宋体"/>
          <w:b/>
          <w:bCs/>
          <w:color w:val="auto"/>
          <w:sz w:val="20"/>
          <w:szCs w:val="24"/>
          <w:highlight w:val="none"/>
        </w:rPr>
      </w:pPr>
    </w:p>
    <w:p w14:paraId="6E711E92">
      <w:pPr>
        <w:adjustRightInd w:val="0"/>
        <w:snapToGrid w:val="0"/>
        <w:spacing w:line="64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辽宁国信建设工程管理有限公司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val="en-US" w:eastAsia="zh-CN"/>
        </w:rPr>
        <w:t>盖州</w:t>
      </w:r>
      <w:r>
        <w:rPr>
          <w:rFonts w:hint="eastAsia" w:ascii="宋体" w:hAnsi="宋体" w:eastAsia="宋体" w:cs="宋体"/>
          <w:color w:val="auto"/>
          <w:sz w:val="24"/>
          <w:szCs w:val="24"/>
          <w:highlight w:val="none"/>
          <w:u w:val="single"/>
          <w:lang w:eastAsia="zh-CN"/>
        </w:rPr>
        <w:t>市自然资源局</w:t>
      </w:r>
      <w:r>
        <w:rPr>
          <w:rFonts w:hint="eastAsia" w:ascii="宋体" w:hAnsi="宋体" w:eastAsia="宋体" w:cs="宋体"/>
          <w:color w:val="auto"/>
          <w:sz w:val="24"/>
          <w:szCs w:val="24"/>
          <w:highlight w:val="none"/>
        </w:rPr>
        <w:t>委托对</w:t>
      </w:r>
      <w:r>
        <w:rPr>
          <w:rFonts w:hint="eastAsia" w:ascii="宋体" w:hAnsi="宋体" w:cs="宋体"/>
          <w:color w:val="auto"/>
          <w:sz w:val="24"/>
          <w:szCs w:val="24"/>
          <w:highlight w:val="none"/>
          <w:u w:val="single"/>
          <w:lang w:eastAsia="zh-CN"/>
        </w:rPr>
        <w:t>2024年度营口市历史遗留废弃矿山治理恢复项目监理</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eastAsia="zh-CN"/>
        </w:rPr>
        <w:t>LNGX-24030</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）进行国内公开招标，欢迎有意愿、有合格资质条件的投标单位参加投标。</w:t>
      </w:r>
    </w:p>
    <w:p w14:paraId="0FEA78E3">
      <w:pPr>
        <w:numPr>
          <w:ilvl w:val="0"/>
          <w:numId w:val="3"/>
        </w:numPr>
        <w:tabs>
          <w:tab w:val="left" w:pos="709"/>
          <w:tab w:val="left" w:pos="1134"/>
        </w:tabs>
        <w:adjustRightInd w:val="0"/>
        <w:snapToGrid w:val="0"/>
        <w:spacing w:line="640" w:lineRule="exact"/>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cs="宋体"/>
          <w:color w:val="auto"/>
          <w:sz w:val="24"/>
          <w:szCs w:val="24"/>
          <w:highlight w:val="none"/>
          <w:lang w:eastAsia="zh-CN"/>
        </w:rPr>
        <w:t>2024年度营口市历史遗留废弃矿山治理恢复项目监理</w:t>
      </w:r>
      <w:r>
        <w:rPr>
          <w:rFonts w:hint="eastAsia" w:ascii="宋体" w:hAnsi="宋体" w:eastAsia="宋体" w:cs="宋体"/>
          <w:color w:val="auto"/>
          <w:sz w:val="24"/>
          <w:szCs w:val="24"/>
          <w:highlight w:val="none"/>
        </w:rPr>
        <w:t>。</w:t>
      </w:r>
    </w:p>
    <w:p w14:paraId="43E1837E">
      <w:pPr>
        <w:numPr>
          <w:ilvl w:val="0"/>
          <w:numId w:val="3"/>
        </w:numPr>
        <w:tabs>
          <w:tab w:val="left" w:pos="993"/>
          <w:tab w:val="left" w:pos="1134"/>
        </w:tabs>
        <w:adjustRightInd w:val="0"/>
        <w:snapToGrid w:val="0"/>
        <w:spacing w:line="640" w:lineRule="exact"/>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范围：</w:t>
      </w:r>
      <w:r>
        <w:rPr>
          <w:rFonts w:hint="eastAsia" w:ascii="宋体" w:hAnsi="宋体" w:cs="宋体"/>
          <w:color w:val="auto"/>
          <w:sz w:val="24"/>
          <w:szCs w:val="24"/>
          <w:highlight w:val="none"/>
          <w:lang w:eastAsia="zh-CN"/>
        </w:rPr>
        <w:t>2024年度营口市历史遗留废弃矿山治理恢复项目监理，主要治理内容包括危岩清理工程、场地平整工程、警示防护工程、截排水工程、客土工程、植被恢复工程、养护工程等。</w:t>
      </w:r>
    </w:p>
    <w:p w14:paraId="5E6ED1E8">
      <w:pPr>
        <w:numPr>
          <w:ilvl w:val="0"/>
          <w:numId w:val="3"/>
        </w:numPr>
        <w:tabs>
          <w:tab w:val="left" w:pos="993"/>
          <w:tab w:val="left" w:pos="1134"/>
        </w:tabs>
        <w:adjustRightInd w:val="0"/>
        <w:snapToGrid w:val="0"/>
        <w:spacing w:line="640" w:lineRule="exact"/>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服务地点</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营口盖州市陈屯镇、杨运镇、二台乡、东城街道、归州街道、九寨镇、青石岭镇、沙岗镇、太阳升街道、团山街道、卧龙泉镇、西海街道、小石棚乡、徐屯镇、榜式堡镇、什字街镇共16个乡镇。</w:t>
      </w:r>
    </w:p>
    <w:p w14:paraId="79645593">
      <w:pPr>
        <w:numPr>
          <w:ilvl w:val="0"/>
          <w:numId w:val="3"/>
        </w:numPr>
        <w:tabs>
          <w:tab w:val="left" w:pos="993"/>
          <w:tab w:val="left" w:pos="1134"/>
        </w:tabs>
        <w:adjustRightInd w:val="0"/>
        <w:snapToGrid w:val="0"/>
        <w:spacing w:line="640" w:lineRule="exact"/>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资金来源及落实情况：</w:t>
      </w:r>
      <w:r>
        <w:rPr>
          <w:rFonts w:hint="eastAsia" w:ascii="宋体" w:hAnsi="宋体" w:eastAsia="宋体" w:cs="宋体"/>
          <w:color w:val="auto"/>
          <w:sz w:val="24"/>
          <w:szCs w:val="24"/>
          <w:highlight w:val="none"/>
        </w:rPr>
        <w:t>省补财政资金</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盖州市财政配套资金，已落实。估算价：</w:t>
      </w:r>
      <w:r>
        <w:rPr>
          <w:rFonts w:hint="eastAsia" w:ascii="宋体" w:hAnsi="宋体" w:cs="宋体"/>
          <w:color w:val="auto"/>
          <w:sz w:val="24"/>
          <w:szCs w:val="24"/>
          <w:highlight w:val="none"/>
          <w:lang w:val="en-US" w:eastAsia="zh-CN"/>
        </w:rPr>
        <w:t>97.5074</w:t>
      </w:r>
      <w:r>
        <w:rPr>
          <w:rFonts w:hint="eastAsia" w:ascii="宋体" w:hAnsi="宋体" w:eastAsia="宋体" w:cs="宋体"/>
          <w:color w:val="auto"/>
          <w:sz w:val="24"/>
          <w:szCs w:val="24"/>
          <w:highlight w:val="none"/>
        </w:rPr>
        <w:t>万元。</w:t>
      </w:r>
    </w:p>
    <w:p w14:paraId="2E7CD420">
      <w:pPr>
        <w:numPr>
          <w:ilvl w:val="0"/>
          <w:numId w:val="3"/>
        </w:numPr>
        <w:tabs>
          <w:tab w:val="left" w:pos="1134"/>
        </w:tabs>
        <w:adjustRightInd w:val="0"/>
        <w:snapToGrid w:val="0"/>
        <w:spacing w:line="640" w:lineRule="exact"/>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服务期限</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val="en-US" w:eastAsia="zh-CN"/>
        </w:rPr>
        <w:t>2024年XX月XX日至2024年XX月XX日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共计XX天</w:t>
      </w:r>
      <w:r>
        <w:rPr>
          <w:rFonts w:hint="eastAsia" w:ascii="宋体" w:hAnsi="宋体" w:cs="宋体"/>
          <w:b w:val="0"/>
          <w:bCs/>
          <w:color w:val="auto"/>
          <w:sz w:val="24"/>
          <w:szCs w:val="24"/>
          <w:highlight w:val="none"/>
          <w:lang w:val="en-US" w:eastAsia="zh-CN"/>
        </w:rPr>
        <w:t>（具体时间以合同签订为准）。</w:t>
      </w:r>
    </w:p>
    <w:p w14:paraId="7C66D665">
      <w:pPr>
        <w:numPr>
          <w:ilvl w:val="0"/>
          <w:numId w:val="3"/>
        </w:numPr>
        <w:tabs>
          <w:tab w:val="left" w:pos="1134"/>
        </w:tabs>
        <w:adjustRightInd w:val="0"/>
        <w:snapToGrid w:val="0"/>
        <w:spacing w:line="640" w:lineRule="exact"/>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投标资格</w:t>
      </w:r>
      <w:r>
        <w:rPr>
          <w:rFonts w:hint="eastAsia" w:ascii="宋体" w:hAnsi="宋体" w:cs="宋体"/>
          <w:b/>
          <w:color w:val="auto"/>
          <w:sz w:val="24"/>
          <w:szCs w:val="24"/>
          <w:highlight w:val="none"/>
          <w:lang w:val="en-US" w:eastAsia="zh-CN"/>
        </w:rPr>
        <w:t>要求</w:t>
      </w:r>
      <w:r>
        <w:rPr>
          <w:rFonts w:hint="eastAsia" w:ascii="宋体" w:hAnsi="宋体" w:eastAsia="宋体" w:cs="宋体"/>
          <w:b/>
          <w:color w:val="auto"/>
          <w:sz w:val="24"/>
          <w:szCs w:val="24"/>
          <w:highlight w:val="none"/>
        </w:rPr>
        <w:t>：</w:t>
      </w:r>
    </w:p>
    <w:p w14:paraId="0652048F">
      <w:pPr>
        <w:numPr>
          <w:ilvl w:val="0"/>
          <w:numId w:val="0"/>
        </w:numPr>
        <w:tabs>
          <w:tab w:val="left" w:pos="993"/>
          <w:tab w:val="left" w:pos="1134"/>
        </w:tabs>
        <w:adjustRightInd w:val="0"/>
        <w:snapToGrid w:val="0"/>
        <w:spacing w:line="640" w:lineRule="exact"/>
        <w:ind w:left="567"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 投标人应在中华人民共和国注册并具有独立法人资格；</w:t>
      </w:r>
    </w:p>
    <w:p w14:paraId="143A94B4">
      <w:pPr>
        <w:numPr>
          <w:ilvl w:val="0"/>
          <w:numId w:val="0"/>
        </w:numPr>
        <w:tabs>
          <w:tab w:val="left" w:pos="993"/>
          <w:tab w:val="left" w:pos="1134"/>
        </w:tabs>
        <w:adjustRightInd w:val="0"/>
        <w:snapToGrid w:val="0"/>
        <w:spacing w:line="640" w:lineRule="exact"/>
        <w:ind w:left="567"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val="en-US" w:eastAsia="zh-CN"/>
        </w:rPr>
        <w:t>投标人须</w:t>
      </w:r>
      <w:r>
        <w:rPr>
          <w:rFonts w:hint="eastAsia" w:ascii="宋体" w:hAnsi="宋体" w:eastAsia="宋体" w:cs="宋体"/>
          <w:color w:val="auto"/>
          <w:sz w:val="24"/>
          <w:szCs w:val="24"/>
          <w:highlight w:val="none"/>
        </w:rPr>
        <w:t>具备地质灾害</w:t>
      </w:r>
      <w:r>
        <w:rPr>
          <w:rFonts w:hint="eastAsia" w:ascii="宋体" w:hAnsi="宋体" w:cs="宋体"/>
          <w:color w:val="auto"/>
          <w:sz w:val="24"/>
          <w:szCs w:val="24"/>
          <w:highlight w:val="none"/>
          <w:lang w:val="en-US" w:eastAsia="zh-CN"/>
        </w:rPr>
        <w:t>防治</w:t>
      </w:r>
      <w:r>
        <w:rPr>
          <w:rFonts w:hint="eastAsia" w:ascii="宋体" w:hAnsi="宋体" w:eastAsia="宋体" w:cs="宋体"/>
          <w:color w:val="auto"/>
          <w:sz w:val="24"/>
          <w:szCs w:val="24"/>
          <w:highlight w:val="none"/>
        </w:rPr>
        <w:t>工程监理甲级资质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地质灾害</w:t>
      </w:r>
      <w:r>
        <w:rPr>
          <w:rFonts w:hint="eastAsia" w:ascii="宋体" w:hAnsi="宋体" w:cs="宋体"/>
          <w:color w:val="auto"/>
          <w:sz w:val="24"/>
          <w:szCs w:val="24"/>
          <w:highlight w:val="none"/>
          <w:lang w:val="en-US" w:eastAsia="zh-CN"/>
        </w:rPr>
        <w:t>治理</w:t>
      </w:r>
      <w:r>
        <w:rPr>
          <w:rFonts w:hint="eastAsia" w:ascii="宋体" w:hAnsi="宋体" w:eastAsia="宋体" w:cs="宋体"/>
          <w:color w:val="auto"/>
          <w:sz w:val="24"/>
          <w:szCs w:val="24"/>
          <w:highlight w:val="none"/>
        </w:rPr>
        <w:t>工程监理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，并在人员等方面具有相应的能力；</w:t>
      </w:r>
    </w:p>
    <w:p w14:paraId="5CFFA0E6">
      <w:pPr>
        <w:numPr>
          <w:ilvl w:val="0"/>
          <w:numId w:val="0"/>
        </w:numPr>
        <w:tabs>
          <w:tab w:val="left" w:pos="993"/>
          <w:tab w:val="left" w:pos="1134"/>
        </w:tabs>
        <w:adjustRightInd w:val="0"/>
        <w:snapToGrid w:val="0"/>
        <w:spacing w:line="640" w:lineRule="exact"/>
        <w:ind w:left="567"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.3 项目总监资格要求：</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国家注册监理工程师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建筑工程或市政公用工程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val="en-US" w:eastAsia="zh-CN"/>
        </w:rPr>
        <w:t>或高</w:t>
      </w:r>
      <w:r>
        <w:rPr>
          <w:rFonts w:hint="eastAsia" w:ascii="宋体" w:hAnsi="宋体" w:eastAsia="宋体" w:cs="宋体"/>
          <w:color w:val="auto"/>
          <w:sz w:val="24"/>
          <w:szCs w:val="24"/>
          <w:highlight w:val="none"/>
        </w:rPr>
        <w:t>级工程师及以上职称证书（水文地质、工程地质、环境地质等相关专业）；</w:t>
      </w:r>
    </w:p>
    <w:p w14:paraId="2BC73A90">
      <w:pPr>
        <w:numPr>
          <w:ilvl w:val="0"/>
          <w:numId w:val="0"/>
        </w:numPr>
        <w:tabs>
          <w:tab w:val="left" w:pos="993"/>
          <w:tab w:val="left" w:pos="1134"/>
        </w:tabs>
        <w:adjustRightInd w:val="0"/>
        <w:snapToGrid w:val="0"/>
        <w:spacing w:line="640" w:lineRule="exact"/>
        <w:ind w:left="567"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.4其它要求：</w:t>
      </w:r>
    </w:p>
    <w:p w14:paraId="1B25E6C4">
      <w:pPr>
        <w:numPr>
          <w:ilvl w:val="0"/>
          <w:numId w:val="4"/>
        </w:numPr>
        <w:tabs>
          <w:tab w:val="left" w:pos="993"/>
          <w:tab w:val="left" w:pos="1134"/>
        </w:tabs>
        <w:adjustRightInd w:val="0"/>
        <w:snapToGrid w:val="0"/>
        <w:spacing w:line="640" w:lineRule="exact"/>
        <w:ind w:left="567"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授权的委托代理人应具有与投标人单位签订的经人社部门认定盖章的近一年以上（含一年）的劳动合同或社会养老保险证明（若投标单位所在地区的人社部门不在劳动合同或社保证明原件上盖章，则须提供人社部门官网打印件并经人社部门官网可查且信息有效）。</w:t>
      </w:r>
    </w:p>
    <w:p w14:paraId="09D7189F">
      <w:pPr>
        <w:numPr>
          <w:ilvl w:val="0"/>
          <w:numId w:val="4"/>
        </w:numPr>
        <w:tabs>
          <w:tab w:val="left" w:pos="993"/>
          <w:tab w:val="left" w:pos="1134"/>
        </w:tabs>
        <w:adjustRightInd w:val="0"/>
        <w:snapToGrid w:val="0"/>
        <w:spacing w:line="640" w:lineRule="exact"/>
        <w:ind w:left="567"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月1日至今）在“信用中国”网站中无失信行为记录。投标单位在招投标活动中有违法违规行为，被有关行政监督管理部门处罚，且整改期限未满的不允许参与本项目投标。</w:t>
      </w:r>
    </w:p>
    <w:p w14:paraId="1CED079A">
      <w:pPr>
        <w:numPr>
          <w:ilvl w:val="0"/>
          <w:numId w:val="0"/>
        </w:numPr>
        <w:tabs>
          <w:tab w:val="left" w:pos="993"/>
          <w:tab w:val="left" w:pos="1134"/>
        </w:tabs>
        <w:adjustRightInd w:val="0"/>
        <w:snapToGrid w:val="0"/>
        <w:spacing w:line="640" w:lineRule="exact"/>
        <w:ind w:left="567"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（3）单位负责人为同一人或者存在控股、管理关系的不同单位，不得参加同一标段投标。</w:t>
      </w:r>
    </w:p>
    <w:p w14:paraId="05404580">
      <w:pPr>
        <w:numPr>
          <w:ilvl w:val="0"/>
          <w:numId w:val="0"/>
        </w:numPr>
        <w:tabs>
          <w:tab w:val="left" w:pos="993"/>
          <w:tab w:val="left" w:pos="1134"/>
        </w:tabs>
        <w:adjustRightInd w:val="0"/>
        <w:snapToGrid w:val="0"/>
        <w:spacing w:line="640" w:lineRule="exact"/>
        <w:ind w:left="567"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本次招标不接受联合体投标。</w:t>
      </w:r>
    </w:p>
    <w:p w14:paraId="162960E3">
      <w:pPr>
        <w:numPr>
          <w:ilvl w:val="0"/>
          <w:numId w:val="0"/>
        </w:numPr>
        <w:tabs>
          <w:tab w:val="left" w:pos="993"/>
          <w:tab w:val="left" w:pos="1134"/>
        </w:tabs>
        <w:adjustRightInd w:val="0"/>
        <w:snapToGrid w:val="0"/>
        <w:spacing w:line="640" w:lineRule="exact"/>
        <w:ind w:left="567"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注：参加本项目投标单位须同时满足以上要求。</w:t>
      </w:r>
    </w:p>
    <w:p w14:paraId="344048DC">
      <w:pPr>
        <w:numPr>
          <w:ilvl w:val="0"/>
          <w:numId w:val="3"/>
        </w:numPr>
        <w:tabs>
          <w:tab w:val="left" w:pos="1134"/>
        </w:tabs>
        <w:adjustRightInd w:val="0"/>
        <w:snapToGrid w:val="0"/>
        <w:spacing w:line="640" w:lineRule="exact"/>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资格审查方式：资格后审。</w:t>
      </w:r>
    </w:p>
    <w:p w14:paraId="776394C0">
      <w:pPr>
        <w:numPr>
          <w:ilvl w:val="0"/>
          <w:numId w:val="3"/>
        </w:numPr>
        <w:tabs>
          <w:tab w:val="left" w:pos="1134"/>
        </w:tabs>
        <w:adjustRightInd w:val="0"/>
        <w:snapToGrid w:val="0"/>
        <w:spacing w:line="640" w:lineRule="exact"/>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招标文件的获取：</w:t>
      </w:r>
    </w:p>
    <w:p w14:paraId="265044A1">
      <w:pPr>
        <w:adjustRightInd w:val="0"/>
        <w:snapToGrid w:val="0"/>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1.凡有意参加投标者，</w:t>
      </w:r>
      <w:r>
        <w:rPr>
          <w:rFonts w:hint="eastAsia" w:ascii="宋体" w:hAnsi="宋体" w:eastAsia="宋体" w:cs="宋体"/>
          <w:color w:val="auto"/>
          <w:sz w:val="24"/>
          <w:szCs w:val="24"/>
          <w:highlight w:val="none"/>
          <w:lang w:val="en-US" w:eastAsia="zh-CN"/>
        </w:rPr>
        <w:t>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14:paraId="5727ED57">
      <w:pPr>
        <w:adjustRightInd w:val="0"/>
        <w:snapToGrid w:val="0"/>
        <w:spacing w:line="6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招标文件时间：自</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16:00</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17:00</w:t>
      </w:r>
      <w:r>
        <w:rPr>
          <w:rFonts w:hint="eastAsia" w:ascii="宋体" w:hAnsi="宋体" w:eastAsia="宋体" w:cs="宋体"/>
          <w:color w:val="auto"/>
          <w:sz w:val="24"/>
          <w:szCs w:val="24"/>
          <w:highlight w:val="none"/>
        </w:rPr>
        <w:t>止。</w:t>
      </w:r>
    </w:p>
    <w:p w14:paraId="689B516F">
      <w:pPr>
        <w:numPr>
          <w:ilvl w:val="0"/>
          <w:numId w:val="3"/>
        </w:numPr>
        <w:tabs>
          <w:tab w:val="left" w:pos="1134"/>
        </w:tabs>
        <w:adjustRightInd w:val="0"/>
        <w:snapToGrid w:val="0"/>
        <w:spacing w:line="640" w:lineRule="exact"/>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投标文件的递交及开标： </w:t>
      </w:r>
    </w:p>
    <w:p w14:paraId="23C40635">
      <w:pPr>
        <w:adjustRightInd w:val="0"/>
        <w:snapToGrid w:val="0"/>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1.投标文件递交的截止时间和开标时间：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w:t>
      </w:r>
      <w:r>
        <w:rPr>
          <w:rFonts w:hint="eastAsia" w:ascii="宋体" w:hAnsi="宋体" w:eastAsia="宋体" w:cs="宋体"/>
          <w:color w:val="auto"/>
          <w:sz w:val="24"/>
          <w:szCs w:val="24"/>
          <w:highlight w:val="none"/>
        </w:rPr>
        <w:t>（北京时间）。届时请参加投标的代表出席开标仪式。</w:t>
      </w:r>
    </w:p>
    <w:p w14:paraId="3CAED72C">
      <w:pPr>
        <w:adjustRightInd w:val="0"/>
        <w:snapToGrid w:val="0"/>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：在“辽宁省公共资源交易一张网电子化平台（https://www.lnsggzy.com/EpointSSO/login/oauth2login）”上传投标文件。</w:t>
      </w:r>
    </w:p>
    <w:p w14:paraId="65574FC0">
      <w:pPr>
        <w:adjustRightInd w:val="0"/>
        <w:snapToGrid w:val="0"/>
        <w:spacing w:line="6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3.开标方式：</w:t>
      </w:r>
      <w:r>
        <w:rPr>
          <w:rFonts w:hint="eastAsia" w:ascii="宋体" w:hAnsi="宋体" w:eastAsia="宋体" w:cs="宋体"/>
          <w:color w:val="auto"/>
          <w:sz w:val="24"/>
          <w:szCs w:val="24"/>
          <w:highlight w:val="none"/>
        </w:rPr>
        <w:t>远程开标（不见面交易）</w:t>
      </w:r>
      <w:r>
        <w:rPr>
          <w:rFonts w:hint="eastAsia" w:ascii="宋体" w:hAnsi="宋体" w:eastAsia="宋体" w:cs="宋体"/>
          <w:color w:val="auto"/>
          <w:sz w:val="24"/>
          <w:szCs w:val="24"/>
          <w:highlight w:val="none"/>
          <w:lang w:eastAsia="zh-CN"/>
        </w:rPr>
        <w:t>。</w:t>
      </w:r>
    </w:p>
    <w:p w14:paraId="6881C560">
      <w:pPr>
        <w:adjustRightInd w:val="0"/>
        <w:snapToGrid w:val="0"/>
        <w:spacing w:line="6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开标网址：</w:t>
      </w:r>
      <w:r>
        <w:rPr>
          <w:rFonts w:hint="eastAsia" w:ascii="宋体" w:hAnsi="宋体" w:eastAsia="宋体" w:cs="宋体"/>
          <w:color w:val="auto"/>
          <w:sz w:val="24"/>
          <w:szCs w:val="24"/>
          <w:highlight w:val="none"/>
          <w:u w:val="single"/>
        </w:rPr>
        <w:t>https://www.lnsggzy.com/BidOpeningHall/bidhall/dqliaoning/login</w:t>
      </w:r>
      <w:r>
        <w:rPr>
          <w:rFonts w:hint="eastAsia" w:ascii="宋体" w:hAnsi="宋体" w:eastAsia="宋体" w:cs="宋体"/>
          <w:color w:val="auto"/>
          <w:sz w:val="24"/>
          <w:szCs w:val="24"/>
          <w:highlight w:val="none"/>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14:paraId="2FFC7321">
      <w:pPr>
        <w:numPr>
          <w:ilvl w:val="0"/>
          <w:numId w:val="3"/>
        </w:numPr>
        <w:tabs>
          <w:tab w:val="left" w:pos="1418"/>
        </w:tabs>
        <w:adjustRightInd w:val="0"/>
        <w:snapToGrid w:val="0"/>
        <w:spacing w:line="64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发布公告的媒介：</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次招标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辽宁省招标投标监管网</w:t>
      </w:r>
      <w:r>
        <w:rPr>
          <w:rFonts w:hint="eastAsia" w:ascii="宋体" w:hAnsi="宋体" w:cs="宋体"/>
          <w:color w:val="auto"/>
          <w:sz w:val="24"/>
          <w:szCs w:val="24"/>
          <w:highlight w:val="none"/>
          <w:lang w:val="en-US" w:eastAsia="zh-CN"/>
        </w:rPr>
        <w:t>、</w:t>
      </w:r>
      <w:r>
        <w:rPr>
          <w:rFonts w:ascii="Helvetica" w:hAnsi="Helvetica" w:eastAsia="Helvetica" w:cs="Helvetica"/>
          <w:i w:val="0"/>
          <w:iCs w:val="0"/>
          <w:caps w:val="0"/>
          <w:color w:val="auto"/>
          <w:spacing w:val="0"/>
          <w:sz w:val="24"/>
          <w:szCs w:val="24"/>
          <w:highlight w:val="none"/>
          <w:shd w:val="clear" w:fill="FFFFFF"/>
        </w:rPr>
        <w:t>辽宁省公共资源交易网</w:t>
      </w:r>
      <w:r>
        <w:rPr>
          <w:rFonts w:hint="eastAsia" w:ascii="Helvetica" w:hAnsi="Helvetica" w:eastAsia="宋体" w:cs="Helvetica"/>
          <w:i w:val="0"/>
          <w:iCs w:val="0"/>
          <w:caps w:val="0"/>
          <w:color w:val="auto"/>
          <w:spacing w:val="0"/>
          <w:sz w:val="24"/>
          <w:szCs w:val="24"/>
          <w:highlight w:val="none"/>
          <w:shd w:val="clear" w:fill="FFFFFF"/>
          <w:lang w:val="en-US" w:eastAsia="zh-CN"/>
        </w:rPr>
        <w:t>及营口市公共资源交易网</w:t>
      </w:r>
      <w:r>
        <w:rPr>
          <w:rFonts w:hint="eastAsia" w:ascii="宋体" w:hAnsi="宋体" w:eastAsia="宋体" w:cs="宋体"/>
          <w:color w:val="auto"/>
          <w:sz w:val="24"/>
          <w:szCs w:val="24"/>
          <w:highlight w:val="none"/>
        </w:rPr>
        <w:t>上发布。</w:t>
      </w:r>
    </w:p>
    <w:p w14:paraId="0F9A9C51">
      <w:pPr>
        <w:numPr>
          <w:ilvl w:val="0"/>
          <w:numId w:val="3"/>
        </w:numPr>
        <w:tabs>
          <w:tab w:val="left" w:pos="1418"/>
        </w:tabs>
        <w:adjustRightInd w:val="0"/>
        <w:snapToGrid w:val="0"/>
        <w:spacing w:line="64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联系方式</w:t>
      </w:r>
    </w:p>
    <w:p w14:paraId="3F76B6A0">
      <w:pPr>
        <w:adjustRightInd w:val="0"/>
        <w:snapToGrid w:val="0"/>
        <w:spacing w:line="6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招标人：盖州市自然资源局</w:t>
      </w:r>
    </w:p>
    <w:p w14:paraId="4067111B">
      <w:pPr>
        <w:adjustRightInd w:val="0"/>
        <w:snapToGrid w:val="0"/>
        <w:spacing w:line="6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地址：盖州市红旗大街中段</w:t>
      </w:r>
    </w:p>
    <w:p w14:paraId="66F8AF9C">
      <w:pPr>
        <w:adjustRightInd w:val="0"/>
        <w:snapToGrid w:val="0"/>
        <w:spacing w:line="6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联系人：于先生</w:t>
      </w:r>
    </w:p>
    <w:p w14:paraId="4A761B3E">
      <w:pPr>
        <w:adjustRightInd w:val="0"/>
        <w:snapToGrid w:val="0"/>
        <w:spacing w:line="6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联系电话：13464791583</w:t>
      </w:r>
    </w:p>
    <w:p w14:paraId="49F41EAE">
      <w:pPr>
        <w:adjustRightInd w:val="0"/>
        <w:snapToGrid w:val="0"/>
        <w:spacing w:line="640" w:lineRule="exact"/>
        <w:rPr>
          <w:rFonts w:hint="eastAsia" w:ascii="宋体" w:hAnsi="宋体" w:eastAsia="宋体" w:cs="宋体"/>
          <w:color w:val="auto"/>
          <w:sz w:val="24"/>
          <w:highlight w:val="none"/>
        </w:rPr>
      </w:pPr>
    </w:p>
    <w:p w14:paraId="6632F925">
      <w:pPr>
        <w:adjustRightInd w:val="0"/>
        <w:snapToGrid w:val="0"/>
        <w:spacing w:line="6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招标代理机构：辽宁国信建设工程管理有限公司</w:t>
      </w:r>
    </w:p>
    <w:p w14:paraId="27072C8C">
      <w:pPr>
        <w:adjustRightInd w:val="0"/>
        <w:snapToGrid w:val="0"/>
        <w:spacing w:line="6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联系地址：营口市站前区东新路7-12号</w:t>
      </w:r>
    </w:p>
    <w:p w14:paraId="22964EDD">
      <w:pPr>
        <w:adjustRightInd w:val="0"/>
        <w:snapToGrid w:val="0"/>
        <w:spacing w:line="6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魏先生</w:t>
      </w:r>
    </w:p>
    <w:p w14:paraId="29DBF791">
      <w:pPr>
        <w:adjustRightInd w:val="0"/>
        <w:snapToGrid w:val="0"/>
        <w:spacing w:line="6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联系电话：0417-3355086</w:t>
      </w:r>
    </w:p>
    <w:p w14:paraId="72A8BFF8">
      <w:pPr>
        <w:adjustRightInd w:val="0"/>
        <w:snapToGrid w:val="0"/>
        <w:spacing w:line="6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传真：0417-3355059</w:t>
      </w:r>
    </w:p>
    <w:p w14:paraId="3CB6255E">
      <w:pPr>
        <w:adjustRightInd w:val="0"/>
        <w:snapToGrid w:val="0"/>
        <w:spacing w:line="6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lang w:eastAsia="zh-CN"/>
        </w:rPr>
        <w:t>gxzbscb@163.com</w:t>
      </w:r>
    </w:p>
    <w:p w14:paraId="44A48A5E">
      <w:pPr>
        <w:rPr>
          <w:rFonts w:hint="eastAsia" w:ascii="宋体" w:hAnsi="宋体" w:eastAsia="宋体" w:cs="宋体"/>
          <w:color w:val="auto"/>
          <w:highlight w:val="none"/>
        </w:rPr>
      </w:pPr>
    </w:p>
    <w:p w14:paraId="1229427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61C35F7">
      <w:pPr>
        <w:spacing w:line="360" w:lineRule="auto"/>
        <w:ind w:right="120"/>
        <w:jc w:val="righ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14:paraId="0CFE7E47">
      <w:pPr>
        <w:spacing w:line="360" w:lineRule="auto"/>
        <w:rPr>
          <w:rFonts w:hint="eastAsia" w:ascii="宋体" w:hAnsi="宋体" w:eastAsia="宋体" w:cs="宋体"/>
          <w:color w:val="auto"/>
          <w:sz w:val="24"/>
          <w:szCs w:val="24"/>
          <w:highlight w:val="none"/>
        </w:rPr>
      </w:pPr>
    </w:p>
    <w:p w14:paraId="7BDF0A05">
      <w:pPr>
        <w:spacing w:line="360" w:lineRule="auto"/>
        <w:rPr>
          <w:rFonts w:hint="eastAsia" w:ascii="宋体" w:hAnsi="宋体" w:eastAsia="宋体" w:cs="宋体"/>
          <w:color w:val="auto"/>
          <w:sz w:val="24"/>
          <w:szCs w:val="24"/>
          <w:highlight w:val="none"/>
        </w:rPr>
      </w:pPr>
    </w:p>
    <w:p w14:paraId="4A3432DE">
      <w:pPr>
        <w:pStyle w:val="11"/>
        <w:rPr>
          <w:rFonts w:hint="eastAsia" w:ascii="宋体" w:hAnsi="宋体" w:eastAsia="宋体" w:cs="宋体"/>
          <w:color w:val="auto"/>
          <w:sz w:val="24"/>
          <w:szCs w:val="24"/>
          <w:highlight w:val="none"/>
        </w:rPr>
      </w:pPr>
    </w:p>
    <w:p w14:paraId="4BF18C24">
      <w:pPr>
        <w:pStyle w:val="12"/>
        <w:rPr>
          <w:rFonts w:hint="eastAsia" w:ascii="宋体" w:hAnsi="宋体" w:eastAsia="宋体" w:cs="宋体"/>
          <w:color w:val="auto"/>
          <w:sz w:val="24"/>
          <w:szCs w:val="24"/>
          <w:highlight w:val="none"/>
        </w:rPr>
      </w:pPr>
    </w:p>
    <w:p w14:paraId="15006679">
      <w:pPr>
        <w:pStyle w:val="12"/>
        <w:rPr>
          <w:rFonts w:hint="eastAsia" w:ascii="宋体" w:hAnsi="宋体" w:eastAsia="宋体" w:cs="宋体"/>
          <w:color w:val="auto"/>
          <w:sz w:val="24"/>
          <w:szCs w:val="24"/>
          <w:highlight w:val="none"/>
        </w:rPr>
      </w:pPr>
    </w:p>
    <w:p w14:paraId="0184D2E4">
      <w:pPr>
        <w:pStyle w:val="12"/>
        <w:rPr>
          <w:rFonts w:hint="eastAsia" w:ascii="宋体" w:hAnsi="宋体" w:eastAsia="宋体" w:cs="宋体"/>
          <w:color w:val="auto"/>
          <w:sz w:val="24"/>
          <w:szCs w:val="24"/>
          <w:highlight w:val="none"/>
        </w:rPr>
      </w:pPr>
    </w:p>
    <w:p w14:paraId="65709E43">
      <w:pPr>
        <w:pStyle w:val="12"/>
        <w:rPr>
          <w:rFonts w:hint="eastAsia" w:ascii="宋体" w:hAnsi="宋体" w:eastAsia="宋体" w:cs="宋体"/>
          <w:color w:val="auto"/>
          <w:sz w:val="24"/>
          <w:szCs w:val="24"/>
          <w:highlight w:val="none"/>
        </w:rPr>
      </w:pPr>
    </w:p>
    <w:p w14:paraId="7F826174">
      <w:pPr>
        <w:pStyle w:val="12"/>
        <w:rPr>
          <w:rFonts w:hint="eastAsia" w:ascii="宋体" w:hAnsi="宋体" w:eastAsia="宋体" w:cs="宋体"/>
          <w:color w:val="auto"/>
          <w:sz w:val="24"/>
          <w:szCs w:val="24"/>
          <w:highlight w:val="none"/>
        </w:rPr>
      </w:pPr>
    </w:p>
    <w:p w14:paraId="1C39A9C9">
      <w:pPr>
        <w:pStyle w:val="12"/>
        <w:rPr>
          <w:rFonts w:hint="eastAsia" w:ascii="宋体" w:hAnsi="宋体" w:eastAsia="宋体" w:cs="宋体"/>
          <w:color w:val="auto"/>
          <w:sz w:val="24"/>
          <w:szCs w:val="24"/>
          <w:highlight w:val="none"/>
        </w:rPr>
      </w:pPr>
    </w:p>
    <w:p w14:paraId="30B4A0C0">
      <w:pPr>
        <w:pStyle w:val="12"/>
        <w:rPr>
          <w:rFonts w:hint="eastAsia" w:ascii="宋体" w:hAnsi="宋体" w:eastAsia="宋体" w:cs="宋体"/>
          <w:color w:val="auto"/>
          <w:sz w:val="24"/>
          <w:szCs w:val="24"/>
          <w:highlight w:val="none"/>
        </w:rPr>
      </w:pPr>
    </w:p>
    <w:p w14:paraId="6DA28116">
      <w:pPr>
        <w:pStyle w:val="12"/>
        <w:rPr>
          <w:rFonts w:hint="eastAsia" w:ascii="宋体" w:hAnsi="宋体" w:eastAsia="宋体" w:cs="宋体"/>
          <w:color w:val="auto"/>
          <w:sz w:val="24"/>
          <w:szCs w:val="24"/>
          <w:highlight w:val="none"/>
        </w:rPr>
      </w:pPr>
    </w:p>
    <w:p w14:paraId="5A633CBB">
      <w:pPr>
        <w:pStyle w:val="12"/>
        <w:rPr>
          <w:rFonts w:hint="eastAsia" w:ascii="宋体" w:hAnsi="宋体" w:eastAsia="宋体" w:cs="宋体"/>
          <w:color w:val="auto"/>
          <w:sz w:val="24"/>
          <w:szCs w:val="24"/>
          <w:highlight w:val="none"/>
        </w:rPr>
      </w:pPr>
    </w:p>
    <w:p w14:paraId="3D202384">
      <w:pPr>
        <w:pStyle w:val="12"/>
        <w:rPr>
          <w:rFonts w:hint="eastAsia" w:ascii="宋体" w:hAnsi="宋体" w:eastAsia="宋体" w:cs="宋体"/>
          <w:color w:val="auto"/>
          <w:sz w:val="24"/>
          <w:szCs w:val="24"/>
          <w:highlight w:val="none"/>
        </w:rPr>
      </w:pPr>
    </w:p>
    <w:p w14:paraId="1664D090">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9" w:name="_Toc343510552"/>
      <w:bookmarkStart w:id="10" w:name="_Toc349568451"/>
      <w:bookmarkStart w:id="11" w:name="_Toc349568710"/>
      <w:bookmarkStart w:id="12" w:name="_Toc344394138"/>
      <w:bookmarkStart w:id="13" w:name="_Toc350515647"/>
      <w:bookmarkStart w:id="14" w:name="_Toc19585"/>
      <w:bookmarkStart w:id="15" w:name="_Toc14530"/>
      <w:bookmarkStart w:id="16" w:name="_Toc27148"/>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bookmarkEnd w:id="9"/>
      <w:bookmarkEnd w:id="10"/>
      <w:bookmarkEnd w:id="11"/>
      <w:bookmarkEnd w:id="12"/>
      <w:bookmarkEnd w:id="13"/>
      <w:bookmarkEnd w:id="14"/>
      <w:bookmarkEnd w:id="15"/>
      <w:bookmarkEnd w:id="16"/>
    </w:p>
    <w:p w14:paraId="1496E05F">
      <w:pPr>
        <w:tabs>
          <w:tab w:val="left" w:pos="7770"/>
        </w:tabs>
        <w:autoSpaceDE w:val="0"/>
        <w:autoSpaceDN w:val="0"/>
        <w:spacing w:line="360" w:lineRule="auto"/>
        <w:rPr>
          <w:rFonts w:hint="eastAsia" w:ascii="宋体" w:hAnsi="宋体" w:eastAsia="宋体" w:cs="宋体"/>
          <w:color w:val="auto"/>
          <w:sz w:val="24"/>
          <w:highlight w:val="none"/>
        </w:rPr>
      </w:pPr>
    </w:p>
    <w:p w14:paraId="6C46BF52">
      <w:pPr>
        <w:tabs>
          <w:tab w:val="left" w:pos="7770"/>
        </w:tabs>
        <w:autoSpaceDE w:val="0"/>
        <w:autoSpaceDN w:val="0"/>
        <w:spacing w:line="360" w:lineRule="auto"/>
        <w:rPr>
          <w:rFonts w:hint="eastAsia" w:ascii="宋体" w:hAnsi="宋体" w:eastAsia="宋体" w:cs="宋体"/>
          <w:color w:val="auto"/>
          <w:sz w:val="24"/>
          <w:highlight w:val="none"/>
        </w:rPr>
      </w:pPr>
    </w:p>
    <w:p w14:paraId="13C54EFF">
      <w:pPr>
        <w:tabs>
          <w:tab w:val="left" w:pos="7770"/>
        </w:tabs>
        <w:autoSpaceDE w:val="0"/>
        <w:autoSpaceDN w:val="0"/>
        <w:spacing w:line="360" w:lineRule="auto"/>
        <w:rPr>
          <w:rFonts w:hint="eastAsia" w:ascii="宋体" w:hAnsi="宋体" w:eastAsia="宋体" w:cs="宋体"/>
          <w:color w:val="auto"/>
          <w:sz w:val="24"/>
          <w:highlight w:val="none"/>
        </w:rPr>
      </w:pPr>
    </w:p>
    <w:p w14:paraId="1B17B849">
      <w:pPr>
        <w:tabs>
          <w:tab w:val="left" w:pos="7770"/>
        </w:tabs>
        <w:autoSpaceDE w:val="0"/>
        <w:autoSpaceDN w:val="0"/>
        <w:spacing w:line="360" w:lineRule="auto"/>
        <w:rPr>
          <w:rFonts w:hint="eastAsia" w:ascii="宋体" w:hAnsi="宋体" w:eastAsia="宋体" w:cs="宋体"/>
          <w:color w:val="auto"/>
          <w:sz w:val="24"/>
          <w:highlight w:val="none"/>
        </w:rPr>
      </w:pPr>
    </w:p>
    <w:p w14:paraId="3E930A8C">
      <w:pPr>
        <w:tabs>
          <w:tab w:val="left" w:pos="7770"/>
        </w:tabs>
        <w:autoSpaceDE w:val="0"/>
        <w:autoSpaceDN w:val="0"/>
        <w:spacing w:line="360" w:lineRule="auto"/>
        <w:rPr>
          <w:rFonts w:hint="eastAsia" w:ascii="宋体" w:hAnsi="宋体" w:eastAsia="宋体" w:cs="宋体"/>
          <w:color w:val="auto"/>
          <w:sz w:val="24"/>
          <w:highlight w:val="none"/>
        </w:rPr>
      </w:pPr>
    </w:p>
    <w:p w14:paraId="0C903F80">
      <w:pPr>
        <w:tabs>
          <w:tab w:val="left" w:pos="7770"/>
        </w:tabs>
        <w:autoSpaceDE w:val="0"/>
        <w:autoSpaceDN w:val="0"/>
        <w:spacing w:line="360" w:lineRule="auto"/>
        <w:rPr>
          <w:rFonts w:hint="eastAsia" w:ascii="宋体" w:hAnsi="宋体" w:eastAsia="宋体" w:cs="宋体"/>
          <w:color w:val="auto"/>
          <w:sz w:val="24"/>
          <w:highlight w:val="none"/>
        </w:rPr>
      </w:pPr>
    </w:p>
    <w:p w14:paraId="3B2D8770">
      <w:pPr>
        <w:tabs>
          <w:tab w:val="left" w:pos="7770"/>
        </w:tabs>
        <w:autoSpaceDE w:val="0"/>
        <w:autoSpaceDN w:val="0"/>
        <w:spacing w:line="360" w:lineRule="auto"/>
        <w:rPr>
          <w:rFonts w:hint="eastAsia" w:ascii="宋体" w:hAnsi="宋体" w:eastAsia="宋体" w:cs="宋体"/>
          <w:color w:val="auto"/>
          <w:sz w:val="24"/>
          <w:highlight w:val="none"/>
        </w:rPr>
      </w:pPr>
    </w:p>
    <w:p w14:paraId="46D8C957">
      <w:pPr>
        <w:tabs>
          <w:tab w:val="left" w:pos="7770"/>
        </w:tabs>
        <w:autoSpaceDE w:val="0"/>
        <w:autoSpaceDN w:val="0"/>
        <w:spacing w:line="360" w:lineRule="auto"/>
        <w:rPr>
          <w:rFonts w:hint="eastAsia" w:ascii="宋体" w:hAnsi="宋体" w:eastAsia="宋体" w:cs="宋体"/>
          <w:color w:val="auto"/>
          <w:sz w:val="24"/>
          <w:highlight w:val="none"/>
        </w:rPr>
      </w:pPr>
    </w:p>
    <w:p w14:paraId="24735A0A">
      <w:pPr>
        <w:tabs>
          <w:tab w:val="left" w:pos="7770"/>
        </w:tabs>
        <w:autoSpaceDE w:val="0"/>
        <w:autoSpaceDN w:val="0"/>
        <w:spacing w:line="360" w:lineRule="auto"/>
        <w:rPr>
          <w:rFonts w:hint="eastAsia" w:ascii="宋体" w:hAnsi="宋体" w:eastAsia="宋体" w:cs="宋体"/>
          <w:color w:val="auto"/>
          <w:sz w:val="24"/>
          <w:highlight w:val="none"/>
        </w:rPr>
      </w:pPr>
    </w:p>
    <w:p w14:paraId="5025D042">
      <w:pPr>
        <w:tabs>
          <w:tab w:val="left" w:pos="7770"/>
        </w:tabs>
        <w:autoSpaceDE w:val="0"/>
        <w:autoSpaceDN w:val="0"/>
        <w:spacing w:line="360" w:lineRule="auto"/>
        <w:rPr>
          <w:rFonts w:hint="eastAsia" w:ascii="宋体" w:hAnsi="宋体" w:eastAsia="宋体" w:cs="宋体"/>
          <w:color w:val="auto"/>
          <w:sz w:val="24"/>
          <w:highlight w:val="none"/>
        </w:rPr>
      </w:pPr>
    </w:p>
    <w:p w14:paraId="46CF6FA3">
      <w:pPr>
        <w:tabs>
          <w:tab w:val="left" w:pos="7770"/>
        </w:tabs>
        <w:autoSpaceDE w:val="0"/>
        <w:autoSpaceDN w:val="0"/>
        <w:spacing w:line="360" w:lineRule="auto"/>
        <w:rPr>
          <w:rFonts w:hint="eastAsia" w:ascii="宋体" w:hAnsi="宋体" w:eastAsia="宋体" w:cs="宋体"/>
          <w:color w:val="auto"/>
          <w:sz w:val="24"/>
          <w:highlight w:val="none"/>
        </w:rPr>
      </w:pPr>
    </w:p>
    <w:p w14:paraId="55EE9925">
      <w:pPr>
        <w:tabs>
          <w:tab w:val="left" w:pos="7770"/>
        </w:tabs>
        <w:autoSpaceDE w:val="0"/>
        <w:autoSpaceDN w:val="0"/>
        <w:spacing w:line="360" w:lineRule="auto"/>
        <w:rPr>
          <w:rFonts w:hint="eastAsia" w:ascii="宋体" w:hAnsi="宋体" w:eastAsia="宋体" w:cs="宋体"/>
          <w:color w:val="auto"/>
          <w:sz w:val="24"/>
          <w:highlight w:val="none"/>
        </w:rPr>
      </w:pPr>
    </w:p>
    <w:p w14:paraId="7E381C13">
      <w:pPr>
        <w:tabs>
          <w:tab w:val="left" w:pos="7770"/>
        </w:tabs>
        <w:autoSpaceDE w:val="0"/>
        <w:autoSpaceDN w:val="0"/>
        <w:spacing w:line="360" w:lineRule="auto"/>
        <w:rPr>
          <w:rFonts w:hint="eastAsia" w:ascii="宋体" w:hAnsi="宋体" w:eastAsia="宋体" w:cs="宋体"/>
          <w:color w:val="auto"/>
          <w:sz w:val="24"/>
          <w:highlight w:val="none"/>
        </w:rPr>
      </w:pPr>
    </w:p>
    <w:p w14:paraId="2971E13B">
      <w:pPr>
        <w:spacing w:afterLines="50" w:line="360" w:lineRule="auto"/>
        <w:ind w:firstLine="442"/>
        <w:jc w:val="center"/>
        <w:rPr>
          <w:rFonts w:hint="eastAsia" w:ascii="宋体" w:hAnsi="宋体" w:eastAsia="宋体" w:cs="宋体"/>
          <w:b/>
          <w:color w:val="auto"/>
          <w:w w:val="90"/>
          <w:sz w:val="36"/>
          <w:highlight w:val="none"/>
        </w:rPr>
      </w:pPr>
      <w:r>
        <w:rPr>
          <w:rFonts w:hint="eastAsia" w:ascii="宋体" w:hAnsi="宋体" w:eastAsia="宋体" w:cs="宋体"/>
          <w:b/>
          <w:color w:val="auto"/>
          <w:w w:val="90"/>
          <w:sz w:val="36"/>
          <w:highlight w:val="none"/>
        </w:rPr>
        <w:br w:type="page"/>
      </w:r>
      <w:r>
        <w:rPr>
          <w:rFonts w:hint="eastAsia" w:ascii="宋体" w:hAnsi="宋体" w:eastAsia="宋体" w:cs="宋体"/>
          <w:b/>
          <w:color w:val="auto"/>
          <w:w w:val="90"/>
          <w:sz w:val="36"/>
          <w:highlight w:val="none"/>
        </w:rPr>
        <w:t>一、投标人须知前附表</w:t>
      </w:r>
    </w:p>
    <w:p w14:paraId="484ADD1E">
      <w:pPr>
        <w:tabs>
          <w:tab w:val="left" w:pos="7770"/>
        </w:tabs>
        <w:autoSpaceDE w:val="0"/>
        <w:autoSpaceDN w:val="0"/>
        <w:spacing w:line="360" w:lineRule="auto"/>
        <w:rPr>
          <w:rFonts w:hint="eastAsia" w:ascii="宋体" w:hAnsi="宋体" w:eastAsia="宋体" w:cs="宋体"/>
          <w:color w:val="auto"/>
          <w:highlight w:val="none"/>
        </w:rPr>
      </w:pPr>
    </w:p>
    <w:tbl>
      <w:tblPr>
        <w:tblStyle w:val="27"/>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14:paraId="72B3B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vAlign w:val="center"/>
          </w:tcPr>
          <w:p w14:paraId="56A616D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815" w:type="dxa"/>
            <w:vAlign w:val="center"/>
          </w:tcPr>
          <w:p w14:paraId="1C9230EA">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647" w:type="dxa"/>
            <w:vAlign w:val="center"/>
          </w:tcPr>
          <w:p w14:paraId="6E7B6567">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34FA3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vAlign w:val="center"/>
          </w:tcPr>
          <w:p w14:paraId="341A6A5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 和 说  明</w:t>
            </w:r>
          </w:p>
        </w:tc>
      </w:tr>
      <w:tr w14:paraId="1531A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5" w:hRule="atLeast"/>
          <w:jc w:val="center"/>
        </w:trPr>
        <w:tc>
          <w:tcPr>
            <w:tcW w:w="560" w:type="dxa"/>
            <w:shd w:val="clear" w:color="auto" w:fill="FFFFFF"/>
            <w:vAlign w:val="center"/>
          </w:tcPr>
          <w:p w14:paraId="183C3C71">
            <w:pPr>
              <w:pStyle w:val="35"/>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bottom w:val="single" w:color="auto" w:sz="6" w:space="0"/>
            </w:tcBorders>
            <w:shd w:val="clear" w:color="auto" w:fill="FFFFFF"/>
            <w:vAlign w:val="center"/>
          </w:tcPr>
          <w:p w14:paraId="417594A0">
            <w:pPr>
              <w:snapToGrid w:val="0"/>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3.1</w:t>
            </w:r>
          </w:p>
        </w:tc>
        <w:tc>
          <w:tcPr>
            <w:tcW w:w="8647" w:type="dxa"/>
            <w:shd w:val="clear" w:color="auto" w:fill="FFFFFF"/>
            <w:vAlign w:val="center"/>
          </w:tcPr>
          <w:p w14:paraId="3FBD48D1">
            <w:pPr>
              <w:keepNext w:val="0"/>
              <w:keepLines w:val="0"/>
              <w:pageBreakBefore w:val="0"/>
              <w:widowControl w:val="0"/>
              <w:numPr>
                <w:ilvl w:val="0"/>
                <w:numId w:val="0"/>
              </w:numPr>
              <w:tabs>
                <w:tab w:val="left" w:pos="993"/>
                <w:tab w:val="left" w:pos="1134"/>
              </w:tabs>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省补财政资金</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盖州市财政配套资金，已落实。估算价：</w:t>
            </w:r>
            <w:r>
              <w:rPr>
                <w:rFonts w:hint="eastAsia" w:ascii="宋体" w:hAnsi="宋体" w:eastAsia="宋体" w:cs="宋体"/>
                <w:color w:val="auto"/>
                <w:sz w:val="24"/>
                <w:highlight w:val="none"/>
                <w:lang w:val="en-US" w:eastAsia="zh-CN"/>
              </w:rPr>
              <w:t>97.5074</w:t>
            </w:r>
            <w:r>
              <w:rPr>
                <w:rFonts w:hint="eastAsia" w:ascii="宋体" w:hAnsi="宋体" w:eastAsia="宋体" w:cs="宋体"/>
                <w:color w:val="auto"/>
                <w:sz w:val="24"/>
                <w:highlight w:val="none"/>
              </w:rPr>
              <w:t>万元。</w:t>
            </w:r>
          </w:p>
        </w:tc>
      </w:tr>
      <w:tr w14:paraId="74532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14:paraId="3A21F1D1">
            <w:pPr>
              <w:pStyle w:val="35"/>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top w:val="single" w:color="auto" w:sz="6" w:space="0"/>
              <w:bottom w:val="single" w:color="auto" w:sz="6" w:space="0"/>
            </w:tcBorders>
            <w:shd w:val="clear" w:color="auto" w:fill="FFFFFF"/>
            <w:vAlign w:val="center"/>
          </w:tcPr>
          <w:p w14:paraId="65A8D353">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8647" w:type="dxa"/>
            <w:shd w:val="clear" w:color="auto" w:fill="FFFFFF"/>
            <w:vAlign w:val="center"/>
          </w:tcPr>
          <w:p w14:paraId="224D3BB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招标方式：公开招标</w:t>
            </w:r>
          </w:p>
        </w:tc>
      </w:tr>
      <w:tr w14:paraId="10BAD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14:paraId="36E508CD">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tcBorders>
              <w:top w:val="single" w:color="auto" w:sz="6" w:space="0"/>
            </w:tcBorders>
            <w:vAlign w:val="center"/>
          </w:tcPr>
          <w:p w14:paraId="10CC1D4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8647" w:type="dxa"/>
            <w:vAlign w:val="center"/>
          </w:tcPr>
          <w:p w14:paraId="727B1F61">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highlight w:val="none"/>
                <w:lang w:eastAsia="zh-CN"/>
              </w:rPr>
              <w:t>2024年度营口市历史遗留废弃矿山治理恢复项目监理</w:t>
            </w:r>
          </w:p>
        </w:tc>
      </w:tr>
      <w:tr w14:paraId="5738B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14:paraId="2B19F0EC">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15" w:type="dxa"/>
            <w:vAlign w:val="center"/>
          </w:tcPr>
          <w:p w14:paraId="6AB2FA3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8647" w:type="dxa"/>
            <w:vAlign w:val="center"/>
          </w:tcPr>
          <w:p w14:paraId="26AD6793">
            <w:pPr>
              <w:snapToGrid w:val="0"/>
              <w:spacing w:line="360" w:lineRule="auto"/>
              <w:rPr>
                <w:rFonts w:hint="eastAsia" w:ascii="宋体" w:hAnsi="宋体" w:eastAsia="宋体" w:cs="宋体"/>
                <w:bCs/>
                <w:color w:val="auto"/>
                <w:kern w:val="0"/>
                <w:sz w:val="24"/>
                <w:highlight w:val="none"/>
                <w:lang w:eastAsia="zh-CN"/>
              </w:rPr>
            </w:pPr>
            <w:r>
              <w:rPr>
                <w:rFonts w:hint="eastAsia" w:ascii="宋体" w:hAnsi="宋体" w:eastAsia="宋体" w:cs="宋体"/>
                <w:color w:val="auto"/>
                <w:sz w:val="24"/>
                <w:szCs w:val="24"/>
                <w:highlight w:val="none"/>
              </w:rPr>
              <w:t>招标人名称：</w:t>
            </w:r>
            <w:r>
              <w:rPr>
                <w:rFonts w:hint="eastAsia" w:ascii="宋体" w:hAnsi="宋体" w:cs="宋体"/>
                <w:bCs/>
                <w:color w:val="auto"/>
                <w:kern w:val="0"/>
                <w:sz w:val="24"/>
                <w:highlight w:val="none"/>
                <w:lang w:val="en-US" w:eastAsia="zh-CN"/>
              </w:rPr>
              <w:t>盖州</w:t>
            </w:r>
            <w:r>
              <w:rPr>
                <w:rFonts w:hint="eastAsia" w:ascii="宋体" w:hAnsi="宋体" w:eastAsia="宋体" w:cs="宋体"/>
                <w:bCs/>
                <w:color w:val="auto"/>
                <w:kern w:val="0"/>
                <w:sz w:val="24"/>
                <w:highlight w:val="none"/>
                <w:lang w:eastAsia="zh-CN"/>
              </w:rPr>
              <w:t>市自然资源局</w:t>
            </w:r>
          </w:p>
        </w:tc>
      </w:tr>
      <w:tr w14:paraId="01A11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14:paraId="7B2D51BD">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14:paraId="370AFCF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647" w:type="dxa"/>
            <w:vAlign w:val="center"/>
          </w:tcPr>
          <w:p w14:paraId="3535DDF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招标代理机构名称：</w:t>
            </w:r>
            <w:r>
              <w:rPr>
                <w:rFonts w:hint="eastAsia" w:ascii="宋体" w:hAnsi="宋体" w:eastAsia="宋体" w:cs="宋体"/>
                <w:color w:val="auto"/>
                <w:sz w:val="24"/>
                <w:highlight w:val="none"/>
              </w:rPr>
              <w:t>辽宁国信建设工程管理有限公司</w:t>
            </w:r>
          </w:p>
          <w:p w14:paraId="587B694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highlight w:val="none"/>
              </w:rPr>
              <w:t>营口市站前区东新路7-12号</w:t>
            </w:r>
          </w:p>
        </w:tc>
      </w:tr>
      <w:tr w14:paraId="6B721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vAlign w:val="center"/>
          </w:tcPr>
          <w:p w14:paraId="731E6872">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14:paraId="1B36952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647" w:type="dxa"/>
            <w:vAlign w:val="center"/>
          </w:tcPr>
          <w:p w14:paraId="714C8C05">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 xml:space="preserve">营口盖州市陈屯镇、杨运镇、二台乡、东城街道、归州街道、九寨镇、青石岭镇、沙岗镇、太阳升街道、团山街道、卧龙泉镇、西海街道、小石棚乡、徐屯镇、榜式堡镇、什字街镇共16个乡镇。 </w:t>
            </w:r>
          </w:p>
        </w:tc>
      </w:tr>
      <w:tr w14:paraId="15A72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14:paraId="3D1AAF0A">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15" w:type="dxa"/>
            <w:vAlign w:val="center"/>
          </w:tcPr>
          <w:p w14:paraId="5F4F867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647" w:type="dxa"/>
            <w:vAlign w:val="center"/>
          </w:tcPr>
          <w:p w14:paraId="0E0ECA9B">
            <w:pPr>
              <w:snapToGrid w:val="0"/>
              <w:spacing w:line="360" w:lineRule="auto"/>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质量要求：</w:t>
            </w:r>
            <w:r>
              <w:rPr>
                <w:rFonts w:hint="eastAsia" w:ascii="宋体" w:hAnsi="宋体" w:cs="宋体"/>
                <w:color w:val="auto"/>
                <w:sz w:val="24"/>
                <w:highlight w:val="none"/>
                <w:lang w:val="en-US" w:eastAsia="zh-CN"/>
              </w:rPr>
              <w:t>合格</w:t>
            </w:r>
          </w:p>
        </w:tc>
      </w:tr>
      <w:tr w14:paraId="03724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14:paraId="17CA493D">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vAlign w:val="center"/>
          </w:tcPr>
          <w:p w14:paraId="4E855DC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8647" w:type="dxa"/>
            <w:vAlign w:val="center"/>
          </w:tcPr>
          <w:p w14:paraId="2320469A">
            <w:pPr>
              <w:numPr>
                <w:ilvl w:val="0"/>
                <w:numId w:val="0"/>
              </w:numPr>
              <w:tabs>
                <w:tab w:val="left" w:pos="993"/>
                <w:tab w:val="left" w:pos="1134"/>
              </w:tabs>
              <w:adjustRightInd w:val="0"/>
              <w:snapToGrid w:val="0"/>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2024年度营口市历史遗留废弃矿山治理恢复项目监理，主要治理内容包括危岩清理工程、场地平整工程、警示防护工程、截排水工程、客土工程、植被恢复工程、养护工程等。</w:t>
            </w:r>
          </w:p>
        </w:tc>
      </w:tr>
      <w:tr w14:paraId="71D12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14:paraId="653CAD9F">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14:paraId="4037379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2.2</w:t>
            </w:r>
          </w:p>
        </w:tc>
        <w:tc>
          <w:tcPr>
            <w:tcW w:w="8647" w:type="dxa"/>
            <w:vAlign w:val="center"/>
          </w:tcPr>
          <w:p w14:paraId="5C7FEE92">
            <w:pPr>
              <w:snapToGrid w:val="0"/>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cs="宋体"/>
                <w:b w:val="0"/>
                <w:bCs/>
                <w:color w:val="auto"/>
                <w:sz w:val="24"/>
                <w:szCs w:val="24"/>
                <w:highlight w:val="none"/>
                <w:lang w:val="en-US" w:eastAsia="zh-CN"/>
              </w:rPr>
              <w:t>2024年XX月XX日至2026年XX月XX日（具体时间以合同签订为准）</w:t>
            </w:r>
            <w:r>
              <w:rPr>
                <w:rFonts w:hint="eastAsia" w:ascii="宋体" w:hAnsi="宋体" w:eastAsia="宋体" w:cs="宋体"/>
                <w:b w:val="0"/>
                <w:bCs/>
                <w:color w:val="auto"/>
                <w:sz w:val="24"/>
                <w:szCs w:val="24"/>
                <w:highlight w:val="none"/>
                <w:lang w:val="en-US" w:eastAsia="zh-CN"/>
              </w:rPr>
              <w:t>。</w:t>
            </w:r>
          </w:p>
        </w:tc>
      </w:tr>
      <w:tr w14:paraId="4C2E4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14:paraId="44E99EF8">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14:paraId="041F79C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8647" w:type="dxa"/>
            <w:vAlign w:val="center"/>
          </w:tcPr>
          <w:p w14:paraId="535F0CD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资格审查方式：资格后审。</w:t>
            </w:r>
          </w:p>
        </w:tc>
      </w:tr>
      <w:tr w14:paraId="54B08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14:paraId="34EE6760">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投标人资格条件</w:t>
            </w:r>
          </w:p>
        </w:tc>
      </w:tr>
      <w:tr w14:paraId="7B7DB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vAlign w:val="center"/>
          </w:tcPr>
          <w:p w14:paraId="7CAD6AAF">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15" w:type="dxa"/>
            <w:tcBorders>
              <w:top w:val="single" w:color="auto" w:sz="6" w:space="0"/>
              <w:bottom w:val="single" w:color="auto" w:sz="6" w:space="0"/>
            </w:tcBorders>
            <w:vAlign w:val="center"/>
          </w:tcPr>
          <w:p w14:paraId="2D34B00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647" w:type="dxa"/>
            <w:tcBorders>
              <w:top w:val="single" w:color="auto" w:sz="6" w:space="0"/>
              <w:bottom w:val="single" w:color="auto" w:sz="6" w:space="0"/>
            </w:tcBorders>
            <w:vAlign w:val="center"/>
          </w:tcPr>
          <w:p w14:paraId="067D536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本次招标实行资格后审，投标人的资格要求同本项目招标公告《投标资格</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r w14:paraId="0557F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14:paraId="57D9BC7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现场踏勘</w:t>
            </w:r>
          </w:p>
        </w:tc>
      </w:tr>
      <w:tr w14:paraId="3B53A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560" w:type="dxa"/>
            <w:tcBorders>
              <w:top w:val="single" w:color="auto" w:sz="6" w:space="0"/>
              <w:bottom w:val="single" w:color="auto" w:sz="6" w:space="0"/>
            </w:tcBorders>
            <w:vAlign w:val="center"/>
          </w:tcPr>
          <w:p w14:paraId="4E921C79">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15" w:type="dxa"/>
            <w:tcBorders>
              <w:top w:val="single" w:color="auto" w:sz="6" w:space="0"/>
              <w:bottom w:val="single" w:color="auto" w:sz="6" w:space="0"/>
            </w:tcBorders>
            <w:vAlign w:val="center"/>
          </w:tcPr>
          <w:p w14:paraId="56CA2C8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8647" w:type="dxa"/>
            <w:tcBorders>
              <w:top w:val="single" w:color="auto" w:sz="6" w:space="0"/>
              <w:bottom w:val="single" w:color="auto" w:sz="6" w:space="0"/>
            </w:tcBorders>
            <w:vAlign w:val="center"/>
          </w:tcPr>
          <w:p w14:paraId="6CCEAA3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招标人不统一组织踏勘。</w:t>
            </w:r>
          </w:p>
        </w:tc>
      </w:tr>
      <w:tr w14:paraId="0724B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vAlign w:val="center"/>
          </w:tcPr>
          <w:p w14:paraId="4705C1D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投标人对招标文件提出的异议及要求澄清的截止时间</w:t>
            </w:r>
          </w:p>
        </w:tc>
      </w:tr>
      <w:tr w14:paraId="5F041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14:paraId="313EC25A">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15" w:type="dxa"/>
            <w:tcBorders>
              <w:top w:val="single" w:color="auto" w:sz="6" w:space="0"/>
            </w:tcBorders>
            <w:vAlign w:val="center"/>
          </w:tcPr>
          <w:p w14:paraId="5A56F6F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647" w:type="dxa"/>
            <w:tcBorders>
              <w:top w:val="single" w:color="auto" w:sz="6" w:space="0"/>
            </w:tcBorders>
            <w:vAlign w:val="center"/>
          </w:tcPr>
          <w:p w14:paraId="6AFE6C2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14:paraId="5673BB3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2、投标人要求澄清招标文件的截止时间为投标截止时间15日前。</w:t>
            </w:r>
          </w:p>
        </w:tc>
      </w:tr>
      <w:tr w14:paraId="7984C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vAlign w:val="center"/>
          </w:tcPr>
          <w:p w14:paraId="1B56864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投  标  报  价  和  货  币</w:t>
            </w:r>
          </w:p>
        </w:tc>
      </w:tr>
      <w:tr w14:paraId="4D379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14:paraId="4305CD66">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14:paraId="6111DF7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8647" w:type="dxa"/>
            <w:tcBorders>
              <w:top w:val="single" w:color="auto" w:sz="6" w:space="0"/>
            </w:tcBorders>
            <w:vAlign w:val="center"/>
          </w:tcPr>
          <w:p w14:paraId="78DFAECE">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投标报价方式：投标报价应为</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的报价方式，投标人根据招标人提供的资料自行填报</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，其价格应包含完成所需的一切费用。按可调整价格报价的投标文件将被视为不响应招标文件。</w:t>
            </w:r>
          </w:p>
          <w:p w14:paraId="775DDDA8">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本项目最高投标限价：</w:t>
            </w:r>
            <w:r>
              <w:rPr>
                <w:rFonts w:hint="eastAsia" w:ascii="宋体" w:hAnsi="宋体" w:cs="宋体"/>
                <w:color w:val="auto"/>
                <w:sz w:val="24"/>
                <w:szCs w:val="24"/>
                <w:highlight w:val="none"/>
                <w:lang w:val="en-US" w:eastAsia="zh-CN"/>
              </w:rPr>
              <w:t>97.5074</w:t>
            </w:r>
            <w:r>
              <w:rPr>
                <w:rFonts w:hint="eastAsia" w:ascii="宋体" w:hAnsi="宋体" w:eastAsia="宋体" w:cs="宋体"/>
                <w:color w:val="auto"/>
                <w:sz w:val="24"/>
                <w:highlight w:val="none"/>
                <w:lang w:val="en-US" w:eastAsia="zh-CN"/>
              </w:rPr>
              <w:t>万元。投标人所填报价不得高于上述最高限价，否则按废标处理。</w:t>
            </w:r>
          </w:p>
        </w:tc>
      </w:tr>
      <w:tr w14:paraId="1DC2A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vAlign w:val="center"/>
          </w:tcPr>
          <w:p w14:paraId="12DDCC46">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14:paraId="4F9225B2">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w:t>
            </w:r>
          </w:p>
        </w:tc>
        <w:tc>
          <w:tcPr>
            <w:tcW w:w="8647" w:type="dxa"/>
            <w:tcBorders>
              <w:top w:val="single" w:color="auto" w:sz="6" w:space="0"/>
            </w:tcBorders>
            <w:vAlign w:val="center"/>
          </w:tcPr>
          <w:p w14:paraId="0A66568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投标货币：人民币</w:t>
            </w:r>
          </w:p>
        </w:tc>
      </w:tr>
      <w:tr w14:paraId="5275E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vAlign w:val="center"/>
          </w:tcPr>
          <w:p w14:paraId="6EAEF83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 标 文 件 的 编 制 和 递 交</w:t>
            </w:r>
          </w:p>
        </w:tc>
      </w:tr>
      <w:tr w14:paraId="36915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vAlign w:val="center"/>
          </w:tcPr>
          <w:p w14:paraId="02136DD8">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15" w:type="dxa"/>
            <w:vAlign w:val="center"/>
          </w:tcPr>
          <w:p w14:paraId="48E7337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647" w:type="dxa"/>
            <w:vAlign w:val="center"/>
          </w:tcPr>
          <w:p w14:paraId="4A2BC93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是否要求投标人递交投标保证金：</w:t>
            </w:r>
          </w:p>
          <w:p w14:paraId="11BDE7E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不要求</w:t>
            </w:r>
          </w:p>
          <w:p w14:paraId="640A677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要求</w:t>
            </w:r>
          </w:p>
          <w:p w14:paraId="560683D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1.投标保证金有效期：与投标有效期一致。</w:t>
            </w:r>
          </w:p>
          <w:p w14:paraId="21A2120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2.投标保证金的形式：</w:t>
            </w:r>
          </w:p>
          <w:p w14:paraId="4638B5C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电汇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保函</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2E2B002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3.投标保证金金额：人民币</w:t>
            </w:r>
            <w:r>
              <w:rPr>
                <w:rFonts w:hint="eastAsia" w:ascii="宋体" w:hAnsi="宋体" w:cs="宋体"/>
                <w:color w:val="auto"/>
                <w:sz w:val="24"/>
                <w:highlight w:val="none"/>
                <w:lang w:val="en-US" w:eastAsia="zh-CN"/>
              </w:rPr>
              <w:t>9000</w:t>
            </w:r>
            <w:r>
              <w:rPr>
                <w:rFonts w:hint="eastAsia" w:ascii="宋体" w:hAnsi="宋体" w:eastAsia="宋体" w:cs="宋体"/>
                <w:color w:val="auto"/>
                <w:sz w:val="24"/>
                <w:highlight w:val="none"/>
              </w:rPr>
              <w:t>.00元。</w:t>
            </w:r>
          </w:p>
          <w:p w14:paraId="3374FB8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（1）电汇、支票：投标保证金必须是从投标人单位的基本账户转入收取投标保证金的账户。</w:t>
            </w:r>
          </w:p>
          <w:p w14:paraId="2278493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（2）此账户仅为递交投标保证金的账户，汇款时请备注项目编号及款项。</w:t>
            </w:r>
          </w:p>
          <w:p w14:paraId="7A9C826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收取投标保证金账号：</w:t>
            </w:r>
          </w:p>
          <w:p w14:paraId="7436DFD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开户银行：招商银行营口分行营业部</w:t>
            </w:r>
          </w:p>
          <w:p w14:paraId="7209D55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账户名称：辽宁国信建设工程管理有限公司</w:t>
            </w:r>
          </w:p>
          <w:p w14:paraId="60433D2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号：417900156710302</w:t>
            </w:r>
          </w:p>
          <w:p w14:paraId="3DADE13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a.请将投标保证金在投标截止时间前转入收取投标保证金的账户，以到账时间为准。</w:t>
            </w:r>
          </w:p>
          <w:p w14:paraId="5DD5E87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b.投标保证金退还时一律以银行转账方式退回，不退现金。</w:t>
            </w:r>
          </w:p>
          <w:p w14:paraId="105B90C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c.投标保证金的退还事宜请与招标代理机构联系，电话：0417-3355086 。</w:t>
            </w:r>
          </w:p>
          <w:p w14:paraId="189CD19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（2）保函（包括：银行业金融机构保函、担保公司担保保函等）</w:t>
            </w:r>
          </w:p>
          <w:p w14:paraId="7C2B612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递交要求：投标人须将有效的保函及投标人的基本账户开户许可证（或基本存款账户信息）的原件扫描件或截图编制在招标文件指定位置中。</w:t>
            </w:r>
          </w:p>
          <w:p w14:paraId="585CCDF8">
            <w:pPr>
              <w:snapToGrid w:val="0"/>
              <w:spacing w:line="360" w:lineRule="auto"/>
              <w:ind w:firstLine="0" w:firstLineChars="0"/>
              <w:jc w:val="left"/>
              <w:rPr>
                <w:rFonts w:hint="eastAsia" w:ascii="宋体" w:hAnsi="宋体" w:eastAsia="宋体" w:cs="宋体"/>
                <w:i/>
                <w:color w:val="auto"/>
                <w:sz w:val="24"/>
                <w:szCs w:val="24"/>
                <w:highlight w:val="none"/>
              </w:rPr>
            </w:pPr>
            <w:r>
              <w:rPr>
                <w:rFonts w:hint="eastAsia" w:ascii="宋体" w:hAnsi="宋体" w:eastAsia="宋体" w:cs="宋体"/>
                <w:color w:val="auto"/>
                <w:sz w:val="24"/>
                <w:highlight w:val="none"/>
              </w:rPr>
              <w:t>4.其他：投标人须将有效的保函及投标人的基本账户开户许可证（或基本存款账户信息）的原件扫描件或截图，以PDF文件格式，在保证金（或保函）递交截止时间前发送到招标代理机构邮箱并通过电话确认（邮箱：gxzbscb@163.com，联系电话：0417-3355086，邮件主题和正文需注明投标单位名称和项目名称。</w:t>
            </w:r>
          </w:p>
        </w:tc>
      </w:tr>
      <w:tr w14:paraId="23A54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14:paraId="279811AB">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vAlign w:val="center"/>
          </w:tcPr>
          <w:p w14:paraId="0EE78CF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647" w:type="dxa"/>
            <w:vAlign w:val="center"/>
          </w:tcPr>
          <w:p w14:paraId="7EB6E281">
            <w:pPr>
              <w:snapToGrid w:val="0"/>
              <w:spacing w:line="360" w:lineRule="auto"/>
              <w:jc w:val="left"/>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投标有效期：</w:t>
            </w:r>
            <w:r>
              <w:rPr>
                <w:rFonts w:hint="eastAsia" w:ascii="宋体" w:hAnsi="宋体" w:eastAsia="宋体" w:cs="宋体"/>
                <w:color w:val="auto"/>
                <w:sz w:val="24"/>
                <w:szCs w:val="24"/>
                <w:highlight w:val="none"/>
                <w:u w:val="single"/>
              </w:rPr>
              <w:t>90日历</w:t>
            </w:r>
            <w:r>
              <w:rPr>
                <w:rFonts w:hint="eastAsia" w:ascii="宋体" w:hAnsi="宋体" w:eastAsia="宋体" w:cs="宋体"/>
                <w:color w:val="auto"/>
                <w:sz w:val="24"/>
                <w:szCs w:val="24"/>
                <w:highlight w:val="none"/>
              </w:rPr>
              <w:t>天（从投标截止之日算起）</w:t>
            </w:r>
          </w:p>
        </w:tc>
      </w:tr>
      <w:tr w14:paraId="16AF7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vAlign w:val="center"/>
          </w:tcPr>
          <w:p w14:paraId="37B9EFF3">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815" w:type="dxa"/>
            <w:vAlign w:val="center"/>
          </w:tcPr>
          <w:p w14:paraId="75E81E6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8647" w:type="dxa"/>
            <w:vAlign w:val="center"/>
          </w:tcPr>
          <w:p w14:paraId="1223C97D">
            <w:pPr>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纸质版</w:t>
            </w:r>
            <w:r>
              <w:rPr>
                <w:rFonts w:hint="eastAsia" w:ascii="宋体" w:hAnsi="宋体" w:eastAsia="宋体" w:cs="宋体"/>
                <w:color w:val="auto"/>
                <w:sz w:val="24"/>
                <w:szCs w:val="24"/>
                <w:highlight w:val="none"/>
              </w:rPr>
              <w:t>投标文件份数：</w:t>
            </w:r>
          </w:p>
          <w:p w14:paraId="3A7F032C">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本，副本</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本，封面应分别注明正、副本字样。</w:t>
            </w:r>
          </w:p>
          <w:p w14:paraId="6E0D043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2、投标文件电子文档贰份（(U 盘word 版一份，加盖公章的PDF 版一份））。</w:t>
            </w:r>
          </w:p>
          <w:p w14:paraId="503A0D28">
            <w:pPr>
              <w:pStyle w:val="26"/>
              <w:ind w:left="0" w:leftChars="0" w:firstLine="0" w:firstLineChars="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3、仅由中标人提供。</w:t>
            </w:r>
          </w:p>
        </w:tc>
      </w:tr>
      <w:tr w14:paraId="6D05C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vAlign w:val="center"/>
          </w:tcPr>
          <w:p w14:paraId="3BAFB64E">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815" w:type="dxa"/>
            <w:vAlign w:val="center"/>
          </w:tcPr>
          <w:p w14:paraId="1D16095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p w14:paraId="589F16C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8647" w:type="dxa"/>
            <w:vAlign w:val="center"/>
          </w:tcPr>
          <w:p w14:paraId="7720E8A8">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投标文件递交截止时间：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日上午9时30分(北京时间)</w:t>
            </w:r>
          </w:p>
          <w:p w14:paraId="1C29F90C">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投标文件递交</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在“辽宁省公共资源交易一张网电子化平台（https://www.lnsggzy.com/EpointSSO/login/oauth2login）”上传投标文件。</w:t>
            </w:r>
          </w:p>
        </w:tc>
      </w:tr>
      <w:tr w14:paraId="4B537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vAlign w:val="center"/>
          </w:tcPr>
          <w:p w14:paraId="1AF05274">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15" w:type="dxa"/>
            <w:vAlign w:val="center"/>
          </w:tcPr>
          <w:p w14:paraId="604CE34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p>
        </w:tc>
        <w:tc>
          <w:tcPr>
            <w:tcW w:w="8647" w:type="dxa"/>
          </w:tcPr>
          <w:p w14:paraId="5CFE5F1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w:t>
            </w:r>
            <w:r>
              <w:rPr>
                <w:rFonts w:hint="eastAsia" w:ascii="宋体" w:hAnsi="宋体" w:eastAsia="宋体" w:cs="宋体"/>
                <w:color w:val="auto"/>
                <w:sz w:val="24"/>
                <w:szCs w:val="24"/>
                <w:highlight w:val="none"/>
              </w:rPr>
              <w:t>分(北京时间)</w:t>
            </w:r>
          </w:p>
          <w:p w14:paraId="002AD81F">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w:t>
            </w:r>
            <w:r>
              <w:rPr>
                <w:rFonts w:hint="eastAsia" w:ascii="宋体" w:hAnsi="宋体" w:cs="宋体"/>
                <w:color w:val="auto"/>
                <w:sz w:val="24"/>
                <w:szCs w:val="24"/>
                <w:highlight w:val="none"/>
                <w:lang w:val="en-US" w:eastAsia="zh-CN"/>
              </w:rPr>
              <w:t>方式：远程开标（不见</w:t>
            </w:r>
            <w:r>
              <w:rPr>
                <w:rFonts w:hint="eastAsia" w:ascii="宋体" w:hAnsi="宋体" w:eastAsia="宋体" w:cs="宋体"/>
                <w:color w:val="auto"/>
                <w:sz w:val="24"/>
                <w:szCs w:val="24"/>
                <w:highlight w:val="none"/>
                <w:lang w:val="en-US" w:eastAsia="zh-CN"/>
              </w:rPr>
              <w:t>面交易）</w:t>
            </w:r>
          </w:p>
          <w:p w14:paraId="2B6C0BC8">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解密时间：招标人发出解密提示后30分钟内。遇到投标人较多或其他特殊情况在30分钟内无法完成解密的，可报项目行政监督部门适当延长解密时间。</w:t>
            </w:r>
          </w:p>
          <w:p w14:paraId="2112E851">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注意：1.</w:t>
            </w:r>
            <w:r>
              <w:rPr>
                <w:rFonts w:hint="default" w:ascii="宋体" w:hAnsi="宋体" w:eastAsia="宋体" w:cs="宋体"/>
                <w:color w:val="auto"/>
                <w:sz w:val="24"/>
                <w:szCs w:val="24"/>
                <w:highlight w:val="none"/>
                <w:lang w:val="en-US" w:eastAsia="zh-CN"/>
              </w:rPr>
              <w:t>递交投标文件截止时间止到开标结束不得擅自离开开标大厅，否则影响到文件解密、质疑等环节的后果由投标人自行承担。</w:t>
            </w:r>
          </w:p>
          <w:p w14:paraId="0A999FFB">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投标人应在规定的投标文件解密时间内完成投标文件解密操作，若在规定时间内未完成解密操作或解密失败的，后果由投标人自行承担。</w:t>
            </w:r>
          </w:p>
          <w:p w14:paraId="507E758B">
            <w:pPr>
              <w:snapToGrid w:val="0"/>
              <w:spacing w:line="360" w:lineRule="auto"/>
              <w:jc w:val="left"/>
              <w:rPr>
                <w:rFonts w:hint="default"/>
                <w:color w:val="auto"/>
                <w:highlight w:val="none"/>
                <w:lang w:val="en-US"/>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在开标记录生成并公布后的5分钟内完成在开标记录表确认的操作，未在规定时间内完成确认的视为认同开标结果。</w:t>
            </w:r>
          </w:p>
        </w:tc>
      </w:tr>
      <w:tr w14:paraId="13A4C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vAlign w:val="center"/>
          </w:tcPr>
          <w:p w14:paraId="4BD8E6E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   标</w:t>
            </w:r>
          </w:p>
        </w:tc>
      </w:tr>
      <w:tr w14:paraId="53B8C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vAlign w:val="center"/>
          </w:tcPr>
          <w:p w14:paraId="0C0D56BC">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815" w:type="dxa"/>
            <w:tcBorders>
              <w:right w:val="single" w:color="auto" w:sz="4" w:space="0"/>
            </w:tcBorders>
            <w:vAlign w:val="center"/>
          </w:tcPr>
          <w:p w14:paraId="7533C20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8647" w:type="dxa"/>
            <w:tcBorders>
              <w:left w:val="single" w:color="auto" w:sz="4" w:space="0"/>
            </w:tcBorders>
            <w:vAlign w:val="center"/>
          </w:tcPr>
          <w:p w14:paraId="78A5B0B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评标方法及标准：详见招标文件第</w:t>
            </w: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章《评标办法》。</w:t>
            </w:r>
          </w:p>
        </w:tc>
      </w:tr>
      <w:tr w14:paraId="636F7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14:paraId="3B579FAF">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招标代理服务费</w:t>
            </w:r>
          </w:p>
        </w:tc>
      </w:tr>
      <w:tr w14:paraId="47FEB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vAlign w:val="center"/>
          </w:tcPr>
          <w:p w14:paraId="0F4DB7A0">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5" w:type="dxa"/>
            <w:tcBorders>
              <w:top w:val="single" w:color="auto" w:sz="6" w:space="0"/>
              <w:bottom w:val="single" w:color="auto" w:sz="6" w:space="0"/>
            </w:tcBorders>
            <w:vAlign w:val="center"/>
          </w:tcPr>
          <w:p w14:paraId="08D7378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8647" w:type="dxa"/>
            <w:tcBorders>
              <w:top w:val="single" w:color="auto" w:sz="6" w:space="0"/>
              <w:bottom w:val="single" w:color="auto" w:sz="6" w:space="0"/>
            </w:tcBorders>
            <w:vAlign w:val="center"/>
          </w:tcPr>
          <w:p w14:paraId="2AE0477B">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eastAsia="zh-CN"/>
              </w:rPr>
              <w:t>以</w:t>
            </w:r>
            <w:r>
              <w:rPr>
                <w:rFonts w:hint="eastAsia" w:ascii="宋体" w:hAnsi="宋体" w:eastAsia="宋体" w:cs="宋体"/>
                <w:color w:val="auto"/>
                <w:sz w:val="24"/>
                <w:highlight w:val="none"/>
                <w:lang w:val="en-US" w:eastAsia="zh-CN"/>
              </w:rPr>
              <w:t>中标价为计算基数，</w:t>
            </w:r>
            <w:r>
              <w:rPr>
                <w:rFonts w:hint="eastAsia" w:ascii="宋体" w:hAnsi="宋体" w:eastAsia="宋体" w:cs="宋体"/>
                <w:color w:val="auto"/>
                <w:sz w:val="24"/>
                <w:highlight w:val="none"/>
              </w:rPr>
              <w:t>参照原国家发展计划委员会《招标代理服务收费管理暂行办法》(计价格[2002]1980号文)(</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val="en-US" w:eastAsia="zh-CN"/>
              </w:rPr>
              <w:t>标准收取</w:t>
            </w:r>
            <w:r>
              <w:rPr>
                <w:rFonts w:hint="eastAsia" w:ascii="宋体" w:hAnsi="宋体" w:eastAsia="宋体" w:cs="宋体"/>
                <w:color w:val="auto"/>
                <w:sz w:val="24"/>
                <w:highlight w:val="none"/>
              </w:rPr>
              <w:t>，由</w:t>
            </w:r>
            <w:r>
              <w:rPr>
                <w:rFonts w:hint="eastAsia" w:ascii="宋体" w:hAnsi="宋体" w:eastAsia="宋体" w:cs="宋体"/>
                <w:b/>
                <w:color w:val="auto"/>
                <w:sz w:val="24"/>
                <w:highlight w:val="none"/>
                <w:u w:val="single"/>
              </w:rPr>
              <w:t>中标人</w:t>
            </w:r>
            <w:r>
              <w:rPr>
                <w:rFonts w:hint="eastAsia" w:ascii="宋体" w:hAnsi="宋体" w:eastAsia="宋体" w:cs="宋体"/>
                <w:color w:val="auto"/>
                <w:sz w:val="24"/>
                <w:highlight w:val="none"/>
              </w:rPr>
              <w:t>在领取中标通知书的同时以现金或电汇向招标代理机构交纳招标代理服务费用。</w:t>
            </w:r>
          </w:p>
        </w:tc>
      </w:tr>
      <w:tr w14:paraId="4EB78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14:paraId="21C3C1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公证服务费</w:t>
            </w:r>
          </w:p>
        </w:tc>
      </w:tr>
      <w:tr w14:paraId="5FD6A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14:paraId="772C058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履约保证金</w:t>
            </w:r>
            <w:bookmarkStart w:id="146" w:name="_GoBack"/>
            <w:bookmarkEnd w:id="146"/>
          </w:p>
        </w:tc>
      </w:tr>
      <w:tr w14:paraId="20A55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14:paraId="19A048FE">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14:paraId="12334D70">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14:paraId="7A1D5CF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0549C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vAlign w:val="center"/>
          </w:tcPr>
          <w:p w14:paraId="1292C62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14:paraId="01AD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14:paraId="00243592">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14:paraId="5959A838">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14:paraId="41BCFB3E">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招标代理机构服务质量监督电话：0417-3322810</w:t>
            </w:r>
          </w:p>
        </w:tc>
      </w:tr>
      <w:tr w14:paraId="644D2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14:paraId="16913AA8">
            <w:pPr>
              <w:pStyle w:val="35"/>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14:paraId="75AB123C">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14:paraId="17551A71">
            <w:pPr>
              <w:pStyle w:val="51"/>
              <w:snapToGrid w:val="0"/>
              <w:spacing w:line="360" w:lineRule="auto"/>
              <w:rPr>
                <w:color w:val="auto"/>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付款方式：</w:t>
            </w:r>
            <w:r>
              <w:rPr>
                <w:rFonts w:hint="eastAsia" w:ascii="宋体" w:hAnsi="宋体" w:eastAsia="宋体" w:cs="宋体"/>
                <w:spacing w:val="0"/>
                <w:kern w:val="0"/>
                <w:sz w:val="24"/>
                <w:szCs w:val="20"/>
                <w:highlight w:val="none"/>
                <w:lang w:val="en-US" w:eastAsia="zh-CN" w:bidi="ar-SA"/>
              </w:rPr>
              <w:t>合同签订人员进场后7日内支付合同额的30%为预付款；工程整体施工进度达到70%时，支付至监理费的50%；工程整体施工进度达到</w:t>
            </w:r>
            <w:r>
              <w:rPr>
                <w:rFonts w:hint="eastAsia" w:ascii="宋体" w:hAnsi="宋体" w:cs="宋体"/>
                <w:spacing w:val="0"/>
                <w:kern w:val="0"/>
                <w:sz w:val="24"/>
                <w:szCs w:val="20"/>
                <w:highlight w:val="none"/>
                <w:lang w:val="en-US" w:eastAsia="zh-CN" w:bidi="ar-SA"/>
              </w:rPr>
              <w:t>10</w:t>
            </w:r>
            <w:r>
              <w:rPr>
                <w:rFonts w:hint="eastAsia" w:ascii="宋体" w:hAnsi="宋体" w:eastAsia="宋体" w:cs="宋体"/>
                <w:spacing w:val="0"/>
                <w:kern w:val="0"/>
                <w:sz w:val="24"/>
                <w:szCs w:val="20"/>
                <w:highlight w:val="none"/>
                <w:lang w:val="en-US" w:eastAsia="zh-CN" w:bidi="ar-SA"/>
              </w:rPr>
              <w:t>0%时，支付至监理费的80%，全部工程验收合格后，支付至监理费的100%。</w:t>
            </w:r>
          </w:p>
          <w:p w14:paraId="1F7178BA">
            <w:pPr>
              <w:pStyle w:val="26"/>
              <w:numPr>
                <w:ilvl w:val="0"/>
                <w:numId w:val="0"/>
              </w:numPr>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交易中心服务费：</w:t>
            </w:r>
            <w:r>
              <w:rPr>
                <w:rFonts w:hint="eastAsia" w:ascii="宋体" w:hAnsi="宋体" w:eastAsia="宋体" w:cs="宋体"/>
                <w:highlight w:val="none"/>
              </w:rPr>
              <w:t>按照《省发改委关于降低我省建设工程交易服务收费标准的通知》（辽发改价格【2023】128号）文件要求向</w:t>
            </w:r>
            <w:r>
              <w:rPr>
                <w:rFonts w:hint="eastAsia" w:ascii="宋体" w:hAnsi="宋体" w:eastAsia="宋体" w:cs="宋体"/>
                <w:szCs w:val="21"/>
                <w:highlight w:val="none"/>
              </w:rPr>
              <w:t>营口市公共资源交易服务中心盖州分中心缴纳</w:t>
            </w:r>
            <w:r>
              <w:rPr>
                <w:rFonts w:hint="eastAsia" w:ascii="宋体" w:hAnsi="宋体" w:eastAsia="宋体" w:cs="宋体"/>
                <w:highlight w:val="none"/>
              </w:rPr>
              <w:t>。</w:t>
            </w:r>
          </w:p>
        </w:tc>
      </w:tr>
    </w:tbl>
    <w:p w14:paraId="04FEF489">
      <w:pPr>
        <w:tabs>
          <w:tab w:val="left" w:pos="7770"/>
        </w:tabs>
        <w:autoSpaceDE w:val="0"/>
        <w:autoSpaceDN w:val="0"/>
        <w:spacing w:line="360" w:lineRule="auto"/>
        <w:rPr>
          <w:rFonts w:hint="eastAsia" w:ascii="宋体" w:hAnsi="宋体" w:eastAsia="宋体" w:cs="宋体"/>
          <w:color w:val="auto"/>
          <w:highlight w:val="none"/>
        </w:rPr>
        <w:sectPr>
          <w:headerReference r:id="rId7" w:type="default"/>
          <w:pgSz w:w="11906" w:h="16838"/>
          <w:pgMar w:top="1134" w:right="1134" w:bottom="1134" w:left="1134" w:header="454" w:footer="454" w:gutter="0"/>
          <w:cols w:space="720" w:num="1"/>
          <w:docGrid w:linePitch="312" w:charSpace="0"/>
        </w:sectPr>
      </w:pPr>
    </w:p>
    <w:p w14:paraId="2A01A8F4">
      <w:pPr>
        <w:spacing w:line="360" w:lineRule="auto"/>
        <w:rPr>
          <w:rFonts w:hint="eastAsia" w:ascii="宋体" w:hAnsi="宋体" w:eastAsia="宋体" w:cs="宋体"/>
          <w:color w:val="auto"/>
          <w:sz w:val="28"/>
          <w:szCs w:val="28"/>
          <w:highlight w:val="none"/>
        </w:rPr>
      </w:pPr>
    </w:p>
    <w:p w14:paraId="29F62835">
      <w:pPr>
        <w:spacing w:line="360" w:lineRule="auto"/>
        <w:rPr>
          <w:rFonts w:hint="eastAsia" w:ascii="宋体" w:hAnsi="宋体" w:eastAsia="宋体" w:cs="宋体"/>
          <w:color w:val="auto"/>
          <w:sz w:val="28"/>
          <w:szCs w:val="28"/>
          <w:highlight w:val="none"/>
        </w:rPr>
      </w:pPr>
    </w:p>
    <w:p w14:paraId="12D02797">
      <w:pPr>
        <w:spacing w:line="360" w:lineRule="auto"/>
        <w:rPr>
          <w:rFonts w:hint="eastAsia" w:ascii="宋体" w:hAnsi="宋体" w:eastAsia="宋体" w:cs="宋体"/>
          <w:color w:val="auto"/>
          <w:sz w:val="28"/>
          <w:szCs w:val="28"/>
          <w:highlight w:val="none"/>
        </w:rPr>
      </w:pPr>
    </w:p>
    <w:p w14:paraId="1ACBBDA7">
      <w:pPr>
        <w:spacing w:line="360" w:lineRule="auto"/>
        <w:rPr>
          <w:rFonts w:hint="eastAsia" w:ascii="宋体" w:hAnsi="宋体" w:eastAsia="宋体" w:cs="宋体"/>
          <w:color w:val="auto"/>
          <w:sz w:val="28"/>
          <w:szCs w:val="28"/>
          <w:highlight w:val="none"/>
        </w:rPr>
      </w:pPr>
    </w:p>
    <w:p w14:paraId="56DA3F14">
      <w:pPr>
        <w:spacing w:line="360" w:lineRule="auto"/>
        <w:rPr>
          <w:rFonts w:hint="eastAsia" w:ascii="宋体" w:hAnsi="宋体" w:eastAsia="宋体" w:cs="宋体"/>
          <w:color w:val="auto"/>
          <w:sz w:val="28"/>
          <w:szCs w:val="28"/>
          <w:highlight w:val="none"/>
        </w:rPr>
      </w:pPr>
    </w:p>
    <w:p w14:paraId="4F938958">
      <w:pPr>
        <w:spacing w:line="360" w:lineRule="auto"/>
        <w:rPr>
          <w:rFonts w:hint="eastAsia" w:ascii="宋体" w:hAnsi="宋体" w:eastAsia="宋体" w:cs="宋体"/>
          <w:color w:val="auto"/>
          <w:sz w:val="28"/>
          <w:szCs w:val="28"/>
          <w:highlight w:val="none"/>
        </w:rPr>
      </w:pPr>
    </w:p>
    <w:p w14:paraId="36138420">
      <w:pPr>
        <w:spacing w:line="360" w:lineRule="auto"/>
        <w:rPr>
          <w:rFonts w:hint="eastAsia" w:ascii="宋体" w:hAnsi="宋体" w:eastAsia="宋体" w:cs="宋体"/>
          <w:color w:val="auto"/>
          <w:sz w:val="28"/>
          <w:szCs w:val="28"/>
          <w:highlight w:val="none"/>
        </w:rPr>
      </w:pPr>
    </w:p>
    <w:p w14:paraId="1970523B">
      <w:pPr>
        <w:spacing w:line="360" w:lineRule="auto"/>
        <w:rPr>
          <w:rFonts w:hint="eastAsia" w:ascii="宋体" w:hAnsi="宋体" w:eastAsia="宋体" w:cs="宋体"/>
          <w:color w:val="auto"/>
          <w:sz w:val="28"/>
          <w:szCs w:val="28"/>
          <w:highlight w:val="none"/>
        </w:rPr>
      </w:pPr>
    </w:p>
    <w:p w14:paraId="59EB4753">
      <w:pPr>
        <w:spacing w:line="360" w:lineRule="auto"/>
        <w:rPr>
          <w:rFonts w:hint="eastAsia" w:ascii="宋体" w:hAnsi="宋体" w:eastAsia="宋体" w:cs="宋体"/>
          <w:color w:val="auto"/>
          <w:sz w:val="28"/>
          <w:szCs w:val="28"/>
          <w:highlight w:val="none"/>
        </w:rPr>
      </w:pPr>
    </w:p>
    <w:p w14:paraId="35902702">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17" w:name="_Toc29308"/>
      <w:bookmarkStart w:id="18" w:name="_Toc349568711"/>
      <w:bookmarkStart w:id="19" w:name="_Toc350515648"/>
      <w:bookmarkStart w:id="20" w:name="_Toc344394139"/>
      <w:bookmarkStart w:id="21" w:name="_Toc1213"/>
      <w:bookmarkStart w:id="22" w:name="_Toc349568452"/>
      <w:bookmarkStart w:id="23" w:name="_Toc343510553"/>
      <w:bookmarkStart w:id="24" w:name="_Toc7705"/>
      <w:r>
        <w:rPr>
          <w:rFonts w:hint="eastAsia" w:ascii="宋体" w:hAnsi="宋体" w:eastAsia="宋体" w:cs="宋体"/>
          <w:color w:val="auto"/>
          <w:szCs w:val="24"/>
          <w:highlight w:val="none"/>
        </w:rPr>
        <w:t>投标人须知</w:t>
      </w:r>
      <w:bookmarkEnd w:id="17"/>
      <w:bookmarkEnd w:id="18"/>
      <w:bookmarkEnd w:id="19"/>
      <w:bookmarkEnd w:id="20"/>
      <w:bookmarkEnd w:id="21"/>
      <w:bookmarkEnd w:id="22"/>
      <w:bookmarkEnd w:id="23"/>
      <w:bookmarkEnd w:id="24"/>
    </w:p>
    <w:p w14:paraId="4B8888EE">
      <w:pPr>
        <w:tabs>
          <w:tab w:val="left" w:pos="7770"/>
        </w:tabs>
        <w:autoSpaceDE w:val="0"/>
        <w:autoSpaceDN w:val="0"/>
        <w:spacing w:line="360" w:lineRule="auto"/>
        <w:rPr>
          <w:rFonts w:hint="eastAsia" w:ascii="宋体" w:hAnsi="宋体" w:eastAsia="宋体" w:cs="宋体"/>
          <w:color w:val="auto"/>
          <w:highlight w:val="none"/>
        </w:rPr>
      </w:pPr>
    </w:p>
    <w:p w14:paraId="40743AA2">
      <w:pPr>
        <w:tabs>
          <w:tab w:val="left" w:pos="7770"/>
        </w:tabs>
        <w:autoSpaceDE w:val="0"/>
        <w:autoSpaceDN w:val="0"/>
        <w:spacing w:line="360" w:lineRule="auto"/>
        <w:rPr>
          <w:rFonts w:hint="eastAsia" w:ascii="宋体" w:hAnsi="宋体" w:eastAsia="宋体" w:cs="宋体"/>
          <w:color w:val="auto"/>
          <w:highlight w:val="none"/>
        </w:rPr>
      </w:pPr>
    </w:p>
    <w:p w14:paraId="023D269D">
      <w:pPr>
        <w:tabs>
          <w:tab w:val="left" w:pos="7770"/>
        </w:tabs>
        <w:autoSpaceDE w:val="0"/>
        <w:autoSpaceDN w:val="0"/>
        <w:spacing w:line="360" w:lineRule="auto"/>
        <w:rPr>
          <w:rFonts w:hint="eastAsia" w:ascii="宋体" w:hAnsi="宋体" w:eastAsia="宋体" w:cs="宋体"/>
          <w:color w:val="auto"/>
          <w:highlight w:val="none"/>
        </w:rPr>
      </w:pPr>
    </w:p>
    <w:p w14:paraId="0B25B804">
      <w:pPr>
        <w:tabs>
          <w:tab w:val="left" w:pos="7770"/>
        </w:tabs>
        <w:autoSpaceDE w:val="0"/>
        <w:autoSpaceDN w:val="0"/>
        <w:spacing w:line="360" w:lineRule="auto"/>
        <w:rPr>
          <w:rFonts w:hint="eastAsia" w:ascii="宋体" w:hAnsi="宋体" w:eastAsia="宋体" w:cs="宋体"/>
          <w:color w:val="auto"/>
          <w:highlight w:val="none"/>
        </w:rPr>
      </w:pPr>
    </w:p>
    <w:p w14:paraId="46050DAE">
      <w:pPr>
        <w:tabs>
          <w:tab w:val="left" w:pos="7770"/>
        </w:tabs>
        <w:autoSpaceDE w:val="0"/>
        <w:autoSpaceDN w:val="0"/>
        <w:spacing w:line="360" w:lineRule="auto"/>
        <w:rPr>
          <w:rFonts w:hint="eastAsia" w:ascii="宋体" w:hAnsi="宋体" w:eastAsia="宋体" w:cs="宋体"/>
          <w:color w:val="auto"/>
          <w:highlight w:val="none"/>
        </w:rPr>
      </w:pPr>
    </w:p>
    <w:p w14:paraId="00D64B4F">
      <w:pPr>
        <w:tabs>
          <w:tab w:val="left" w:pos="7770"/>
        </w:tabs>
        <w:autoSpaceDE w:val="0"/>
        <w:autoSpaceDN w:val="0"/>
        <w:spacing w:line="360" w:lineRule="auto"/>
        <w:rPr>
          <w:rFonts w:hint="eastAsia" w:ascii="宋体" w:hAnsi="宋体" w:eastAsia="宋体" w:cs="宋体"/>
          <w:color w:val="auto"/>
          <w:highlight w:val="none"/>
        </w:rPr>
      </w:pPr>
    </w:p>
    <w:p w14:paraId="5A3EDAE5">
      <w:pPr>
        <w:tabs>
          <w:tab w:val="left" w:pos="7770"/>
        </w:tabs>
        <w:autoSpaceDE w:val="0"/>
        <w:autoSpaceDN w:val="0"/>
        <w:spacing w:line="360" w:lineRule="auto"/>
        <w:rPr>
          <w:rFonts w:hint="eastAsia" w:ascii="宋体" w:hAnsi="宋体" w:eastAsia="宋体" w:cs="宋体"/>
          <w:color w:val="auto"/>
          <w:highlight w:val="none"/>
        </w:rPr>
      </w:pPr>
    </w:p>
    <w:p w14:paraId="087A776C">
      <w:pPr>
        <w:tabs>
          <w:tab w:val="left" w:pos="7770"/>
        </w:tabs>
        <w:autoSpaceDE w:val="0"/>
        <w:autoSpaceDN w:val="0"/>
        <w:spacing w:line="360" w:lineRule="auto"/>
        <w:rPr>
          <w:rFonts w:hint="eastAsia" w:ascii="宋体" w:hAnsi="宋体" w:eastAsia="宋体" w:cs="宋体"/>
          <w:color w:val="auto"/>
          <w:highlight w:val="none"/>
        </w:rPr>
      </w:pPr>
    </w:p>
    <w:p w14:paraId="6F342C0A">
      <w:pPr>
        <w:tabs>
          <w:tab w:val="left" w:pos="7770"/>
        </w:tabs>
        <w:autoSpaceDE w:val="0"/>
        <w:autoSpaceDN w:val="0"/>
        <w:spacing w:line="360" w:lineRule="auto"/>
        <w:rPr>
          <w:rFonts w:hint="eastAsia" w:ascii="宋体" w:hAnsi="宋体" w:eastAsia="宋体" w:cs="宋体"/>
          <w:color w:val="auto"/>
          <w:highlight w:val="none"/>
        </w:rPr>
      </w:pPr>
    </w:p>
    <w:p w14:paraId="1BAE5932">
      <w:pPr>
        <w:tabs>
          <w:tab w:val="left" w:pos="7770"/>
        </w:tabs>
        <w:autoSpaceDE w:val="0"/>
        <w:autoSpaceDN w:val="0"/>
        <w:spacing w:line="360" w:lineRule="auto"/>
        <w:rPr>
          <w:rFonts w:hint="eastAsia" w:ascii="宋体" w:hAnsi="宋体" w:eastAsia="宋体" w:cs="宋体"/>
          <w:color w:val="auto"/>
          <w:highlight w:val="none"/>
        </w:rPr>
      </w:pPr>
    </w:p>
    <w:p w14:paraId="0A67BD9C">
      <w:pPr>
        <w:tabs>
          <w:tab w:val="left" w:pos="7770"/>
        </w:tabs>
        <w:autoSpaceDE w:val="0"/>
        <w:autoSpaceDN w:val="0"/>
        <w:spacing w:line="360" w:lineRule="auto"/>
        <w:rPr>
          <w:rFonts w:hint="eastAsia" w:ascii="宋体" w:hAnsi="宋体" w:eastAsia="宋体" w:cs="宋体"/>
          <w:color w:val="auto"/>
          <w:highlight w:val="none"/>
        </w:rPr>
      </w:pPr>
    </w:p>
    <w:p w14:paraId="6F971365">
      <w:pPr>
        <w:tabs>
          <w:tab w:val="left" w:pos="7770"/>
        </w:tabs>
        <w:autoSpaceDE w:val="0"/>
        <w:autoSpaceDN w:val="0"/>
        <w:spacing w:line="360" w:lineRule="auto"/>
        <w:rPr>
          <w:rFonts w:hint="eastAsia" w:ascii="宋体" w:hAnsi="宋体" w:eastAsia="宋体" w:cs="宋体"/>
          <w:color w:val="auto"/>
          <w:highlight w:val="none"/>
        </w:rPr>
      </w:pPr>
    </w:p>
    <w:p w14:paraId="31090BEA">
      <w:pPr>
        <w:tabs>
          <w:tab w:val="left" w:pos="7770"/>
        </w:tabs>
        <w:autoSpaceDE w:val="0"/>
        <w:autoSpaceDN w:val="0"/>
        <w:spacing w:line="360" w:lineRule="auto"/>
        <w:rPr>
          <w:rFonts w:hint="eastAsia" w:ascii="宋体" w:hAnsi="宋体" w:eastAsia="宋体" w:cs="宋体"/>
          <w:color w:val="auto"/>
          <w:highlight w:val="none"/>
        </w:rPr>
      </w:pPr>
    </w:p>
    <w:p w14:paraId="2B284B5A">
      <w:pPr>
        <w:tabs>
          <w:tab w:val="left" w:pos="7770"/>
        </w:tabs>
        <w:autoSpaceDE w:val="0"/>
        <w:autoSpaceDN w:val="0"/>
        <w:spacing w:line="360" w:lineRule="auto"/>
        <w:rPr>
          <w:rFonts w:hint="eastAsia" w:ascii="宋体" w:hAnsi="宋体" w:eastAsia="宋体" w:cs="宋体"/>
          <w:color w:val="auto"/>
          <w:highlight w:val="none"/>
        </w:rPr>
      </w:pPr>
    </w:p>
    <w:p w14:paraId="699BF248">
      <w:pPr>
        <w:tabs>
          <w:tab w:val="left" w:pos="7770"/>
        </w:tabs>
        <w:autoSpaceDE w:val="0"/>
        <w:autoSpaceDN w:val="0"/>
        <w:spacing w:line="360" w:lineRule="auto"/>
        <w:rPr>
          <w:rFonts w:hint="eastAsia" w:ascii="宋体" w:hAnsi="宋体" w:eastAsia="宋体" w:cs="宋体"/>
          <w:color w:val="auto"/>
          <w:highlight w:val="none"/>
        </w:rPr>
      </w:pPr>
    </w:p>
    <w:p w14:paraId="238F376C">
      <w:pPr>
        <w:tabs>
          <w:tab w:val="left" w:pos="7770"/>
        </w:tabs>
        <w:autoSpaceDE w:val="0"/>
        <w:autoSpaceDN w:val="0"/>
        <w:spacing w:line="360" w:lineRule="auto"/>
        <w:rPr>
          <w:rFonts w:hint="eastAsia" w:ascii="宋体" w:hAnsi="宋体" w:eastAsia="宋体" w:cs="宋体"/>
          <w:color w:val="auto"/>
          <w:highlight w:val="none"/>
        </w:rPr>
      </w:pPr>
    </w:p>
    <w:p w14:paraId="240B7931">
      <w:pPr>
        <w:tabs>
          <w:tab w:val="left" w:pos="7770"/>
        </w:tabs>
        <w:autoSpaceDE w:val="0"/>
        <w:autoSpaceDN w:val="0"/>
        <w:spacing w:line="360" w:lineRule="auto"/>
        <w:rPr>
          <w:rFonts w:hint="eastAsia" w:ascii="宋体" w:hAnsi="宋体" w:eastAsia="宋体" w:cs="宋体"/>
          <w:color w:val="auto"/>
          <w:highlight w:val="none"/>
        </w:rPr>
      </w:pPr>
    </w:p>
    <w:p w14:paraId="37151D09">
      <w:pPr>
        <w:tabs>
          <w:tab w:val="left" w:pos="7770"/>
        </w:tabs>
        <w:autoSpaceDE w:val="0"/>
        <w:autoSpaceDN w:val="0"/>
        <w:spacing w:line="360" w:lineRule="auto"/>
        <w:rPr>
          <w:rFonts w:hint="eastAsia" w:ascii="宋体" w:hAnsi="宋体" w:eastAsia="宋体" w:cs="宋体"/>
          <w:color w:val="auto"/>
          <w:highlight w:val="none"/>
        </w:rPr>
      </w:pPr>
    </w:p>
    <w:p w14:paraId="22B68AE4">
      <w:pPr>
        <w:tabs>
          <w:tab w:val="left" w:pos="7770"/>
        </w:tabs>
        <w:autoSpaceDE w:val="0"/>
        <w:autoSpaceDN w:val="0"/>
        <w:spacing w:line="360" w:lineRule="auto"/>
        <w:rPr>
          <w:rFonts w:hint="eastAsia" w:ascii="宋体" w:hAnsi="宋体" w:eastAsia="宋体" w:cs="宋体"/>
          <w:color w:val="auto"/>
          <w:highlight w:val="none"/>
        </w:rPr>
      </w:pPr>
    </w:p>
    <w:p w14:paraId="3A3BD693">
      <w:pPr>
        <w:tabs>
          <w:tab w:val="left" w:pos="7770"/>
        </w:tabs>
        <w:autoSpaceDE w:val="0"/>
        <w:autoSpaceDN w:val="0"/>
        <w:spacing w:line="360" w:lineRule="auto"/>
        <w:rPr>
          <w:rFonts w:hint="eastAsia" w:ascii="宋体" w:hAnsi="宋体" w:eastAsia="宋体" w:cs="宋体"/>
          <w:color w:val="auto"/>
          <w:highlight w:val="none"/>
        </w:rPr>
      </w:pPr>
    </w:p>
    <w:p w14:paraId="3BAB06CB">
      <w:pPr>
        <w:tabs>
          <w:tab w:val="left" w:pos="7770"/>
        </w:tabs>
        <w:autoSpaceDE w:val="0"/>
        <w:autoSpaceDN w:val="0"/>
        <w:spacing w:line="360" w:lineRule="auto"/>
        <w:rPr>
          <w:rFonts w:hint="eastAsia" w:ascii="宋体" w:hAnsi="宋体" w:eastAsia="宋体" w:cs="宋体"/>
          <w:color w:val="auto"/>
          <w:highlight w:val="none"/>
        </w:rPr>
      </w:pPr>
    </w:p>
    <w:p w14:paraId="44BC52EE">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投标人须知</w:t>
      </w:r>
    </w:p>
    <w:p w14:paraId="174310D4">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（一）总   则</w:t>
      </w:r>
    </w:p>
    <w:p w14:paraId="74C8FD4D">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1、项目说明</w:t>
      </w:r>
    </w:p>
    <w:p w14:paraId="40F9610C">
      <w:pPr>
        <w:spacing w:line="360" w:lineRule="auto"/>
        <w:ind w:left="2161" w:leftChars="229" w:hanging="1680" w:hangingChars="7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1.1招标方式：公开招标</w:t>
      </w:r>
    </w:p>
    <w:p w14:paraId="77F15C5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1.2项目名称：</w:t>
      </w:r>
      <w:r>
        <w:rPr>
          <w:rFonts w:hint="eastAsia" w:ascii="宋体" w:hAnsi="宋体" w:cs="宋体"/>
          <w:color w:val="auto"/>
          <w:sz w:val="24"/>
          <w:highlight w:val="none"/>
          <w:lang w:eastAsia="zh-CN"/>
        </w:rPr>
        <w:t>2024年度营口市历史遗留废弃矿山治理恢复项目监理</w:t>
      </w:r>
    </w:p>
    <w:p w14:paraId="03A295A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1.3招标人名称：</w:t>
      </w:r>
      <w:r>
        <w:rPr>
          <w:rFonts w:hint="eastAsia" w:ascii="宋体" w:hAnsi="宋体" w:cs="宋体"/>
          <w:color w:val="auto"/>
          <w:sz w:val="24"/>
          <w:highlight w:val="none"/>
          <w:lang w:val="en-US" w:eastAsia="zh-CN"/>
        </w:rPr>
        <w:t>盖州</w:t>
      </w:r>
      <w:r>
        <w:rPr>
          <w:rFonts w:hint="eastAsia" w:ascii="宋体" w:hAnsi="宋体" w:eastAsia="宋体" w:cs="宋体"/>
          <w:color w:val="auto"/>
          <w:sz w:val="24"/>
          <w:highlight w:val="none"/>
          <w:lang w:eastAsia="zh-CN"/>
        </w:rPr>
        <w:t>市自然资源局</w:t>
      </w:r>
    </w:p>
    <w:p w14:paraId="281A5B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1.4招标代理机构名称：辽宁国信建设工程管理有限公司</w:t>
      </w:r>
    </w:p>
    <w:p w14:paraId="7ADED60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营口盖州市陈屯镇、杨运镇、二台乡、东城街道、归州街道、九寨镇、青石岭镇、沙岗镇、太阳升街道、团山街道、卧龙泉镇、西海街道、小石棚乡、徐屯镇、榜式堡镇、什字街镇共16个乡镇。</w:t>
      </w:r>
    </w:p>
    <w:p w14:paraId="2722234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1.6质量要求：</w:t>
      </w:r>
      <w:r>
        <w:rPr>
          <w:rFonts w:hint="eastAsia" w:ascii="宋体" w:hAnsi="宋体" w:cs="宋体"/>
          <w:color w:val="auto"/>
          <w:sz w:val="24"/>
          <w:highlight w:val="none"/>
          <w:lang w:val="en-US" w:eastAsia="zh-CN"/>
        </w:rPr>
        <w:t>合格</w:t>
      </w:r>
    </w:p>
    <w:p w14:paraId="3ECE21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1.7本招标文件服从于国家、行业主管部门及地方的法律法规，本招标文件未能说明的部分，按照国家、行业主管部门及地方法律法规严格执行。</w:t>
      </w:r>
    </w:p>
    <w:p w14:paraId="2C04A9BF">
      <w:pPr>
        <w:pStyle w:val="6"/>
        <w:numPr>
          <w:ilvl w:val="0"/>
          <w:numId w:val="6"/>
        </w:numPr>
        <w:rPr>
          <w:rFonts w:hint="eastAsia" w:ascii="宋体" w:hAnsi="宋体" w:eastAsia="宋体" w:cs="宋体"/>
          <w:bCs/>
          <w:color w:val="auto"/>
          <w:highlight w:val="none"/>
        </w:rPr>
      </w:pPr>
      <w:r>
        <w:rPr>
          <w:rFonts w:hint="eastAsia" w:ascii="宋体" w:hAnsi="宋体" w:eastAsia="宋体" w:cs="宋体"/>
          <w:bCs/>
          <w:color w:val="auto"/>
          <w:highlight w:val="none"/>
        </w:rPr>
        <w:t>招标范围、</w:t>
      </w:r>
      <w:r>
        <w:rPr>
          <w:rFonts w:hint="eastAsia" w:cs="宋体"/>
          <w:bCs/>
          <w:color w:val="auto"/>
          <w:highlight w:val="none"/>
          <w:lang w:val="en-US" w:eastAsia="zh-CN"/>
        </w:rPr>
        <w:t>服务</w:t>
      </w:r>
      <w:r>
        <w:rPr>
          <w:rFonts w:hint="eastAsia" w:ascii="宋体" w:hAnsi="宋体" w:eastAsia="宋体" w:cs="宋体"/>
          <w:bCs/>
          <w:color w:val="auto"/>
          <w:highlight w:val="none"/>
        </w:rPr>
        <w:t>期及合同期限</w:t>
      </w:r>
    </w:p>
    <w:p w14:paraId="662428CC">
      <w:pPr>
        <w:numPr>
          <w:ilvl w:val="0"/>
          <w:numId w:val="0"/>
        </w:numPr>
        <w:tabs>
          <w:tab w:val="left" w:pos="993"/>
          <w:tab w:val="left" w:pos="1134"/>
        </w:tabs>
        <w:adjustRightInd w:val="0"/>
        <w:snapToGrid w:val="0"/>
        <w:spacing w:line="360" w:lineRule="auto"/>
        <w:ind w:left="7" w:leftChars="0" w:firstLine="559" w:firstLineChars="233"/>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2024年度营口市历史遗留废弃矿山治理恢复项目监理，主要治理内容包括危岩清理工程、场地平整工程、警示防护工程、截排水工程、客土工程、植被恢复工程、养护工程等。</w:t>
      </w:r>
    </w:p>
    <w:p w14:paraId="304910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2.2本招标项目的</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：详见投标人须知前附表。</w:t>
      </w:r>
    </w:p>
    <w:p w14:paraId="5E27AFC3">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3、资金来源</w:t>
      </w:r>
    </w:p>
    <w:p w14:paraId="52E3272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3.1本招标项目资金来源详见本须知前附表第1项，其全部资金用于本项目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合同项下的合格支付。</w:t>
      </w:r>
    </w:p>
    <w:p w14:paraId="2DC35BBC">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4、投标人资质要求</w:t>
      </w:r>
    </w:p>
    <w:p w14:paraId="23B08F51">
      <w:pPr>
        <w:pStyle w:val="36"/>
        <w:numPr>
          <w:ilvl w:val="0"/>
          <w:numId w:val="7"/>
        </w:numPr>
        <w:tabs>
          <w:tab w:val="left" w:pos="150"/>
          <w:tab w:val="left" w:pos="993"/>
        </w:tabs>
        <w:autoSpaceDE w:val="0"/>
        <w:autoSpaceDN w:val="0"/>
        <w:adjustRightInd w:val="0"/>
        <w:snapToGrid w:val="0"/>
        <w:spacing w:line="360" w:lineRule="auto"/>
        <w:ind w:left="2" w:firstLine="36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详见</w:t>
      </w:r>
      <w:r>
        <w:rPr>
          <w:rFonts w:hint="eastAsia" w:ascii="宋体" w:hAnsi="宋体" w:eastAsia="宋体" w:cs="宋体"/>
          <w:color w:val="auto"/>
          <w:sz w:val="24"/>
          <w:highlight w:val="none"/>
        </w:rPr>
        <w:t>本须知前附表第12项。</w:t>
      </w:r>
    </w:p>
    <w:p w14:paraId="36694E21">
      <w:pPr>
        <w:pStyle w:val="36"/>
        <w:numPr>
          <w:ilvl w:val="1"/>
          <w:numId w:val="0"/>
        </w:numPr>
        <w:tabs>
          <w:tab w:val="left" w:pos="150"/>
          <w:tab w:val="left" w:pos="709"/>
          <w:tab w:val="left" w:pos="993"/>
        </w:tabs>
        <w:autoSpaceDE w:val="0"/>
        <w:autoSpaceDN w:val="0"/>
        <w:adjustRightInd w:val="0"/>
        <w:snapToGrid w:val="0"/>
        <w:spacing w:line="360" w:lineRule="auto"/>
        <w:ind w:left="2" w:hanging="2" w:hangingChars="1"/>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ab/>
      </w:r>
      <w:r>
        <w:rPr>
          <w:rFonts w:hint="eastAsia" w:ascii="宋体" w:hAnsi="宋体" w:eastAsia="宋体" w:cs="宋体"/>
          <w:bCs w:val="0"/>
          <w:color w:val="auto"/>
          <w:sz w:val="24"/>
          <w:highlight w:val="none"/>
        </w:rPr>
        <w:t xml:space="preserve">    </w:t>
      </w:r>
      <w:r>
        <w:rPr>
          <w:rFonts w:hint="eastAsia" w:ascii="宋体" w:hAnsi="宋体" w:eastAsia="宋体" w:cs="宋体"/>
          <w:b/>
          <w:color w:val="auto"/>
          <w:sz w:val="24"/>
          <w:highlight w:val="none"/>
        </w:rPr>
        <w:t>投标人发生合并、分立、破产等重大变化的，应当及时书面告知招标人。投标人不再具备招标文件规定的资格条件或者其投标影响招标公正性的，其投标无效。</w:t>
      </w:r>
    </w:p>
    <w:p w14:paraId="09C71DAB">
      <w:pPr>
        <w:pStyle w:val="6"/>
        <w:numPr>
          <w:ilvl w:val="0"/>
          <w:numId w:val="8"/>
        </w:numPr>
        <w:rPr>
          <w:rFonts w:hint="eastAsia" w:ascii="宋体" w:hAnsi="宋体" w:eastAsia="宋体" w:cs="宋体"/>
          <w:bCs/>
          <w:color w:val="auto"/>
          <w:highlight w:val="none"/>
        </w:rPr>
      </w:pPr>
      <w:r>
        <w:rPr>
          <w:rFonts w:hint="eastAsia" w:ascii="宋体" w:hAnsi="宋体" w:eastAsia="宋体" w:cs="宋体"/>
          <w:bCs/>
          <w:color w:val="auto"/>
          <w:highlight w:val="none"/>
        </w:rPr>
        <w:t>资格审查方式</w:t>
      </w:r>
    </w:p>
    <w:p w14:paraId="7894146F">
      <w:pPr>
        <w:pStyle w:val="36"/>
        <w:numPr>
          <w:ilvl w:val="1"/>
          <w:numId w:val="0"/>
        </w:numPr>
        <w:tabs>
          <w:tab w:val="left" w:pos="150"/>
          <w:tab w:val="left" w:pos="709"/>
          <w:tab w:val="left" w:pos="993"/>
        </w:tabs>
        <w:autoSpaceDE w:val="0"/>
        <w:autoSpaceDN w:val="0"/>
        <w:adjustRightInd w:val="0"/>
        <w:snapToGrid w:val="0"/>
        <w:spacing w:line="360" w:lineRule="auto"/>
        <w:ind w:left="426"/>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5.1</w:t>
      </w:r>
      <w:r>
        <w:rPr>
          <w:rFonts w:hint="eastAsia" w:ascii="宋体" w:hAnsi="宋体" w:eastAsia="宋体" w:cs="宋体"/>
          <w:color w:val="auto"/>
          <w:sz w:val="24"/>
          <w:highlight w:val="none"/>
        </w:rPr>
        <w:t>本招标项目资格审查方式详见本须知前附表第11项。</w:t>
      </w:r>
    </w:p>
    <w:p w14:paraId="4E5BBE26">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6、踏勘现场</w:t>
      </w:r>
    </w:p>
    <w:p w14:paraId="429B23CA">
      <w:pPr>
        <w:pStyle w:val="23"/>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6.1 招标人不统一组织踏勘，投标人自行踏勘。投标人承担踏勘现场所发生的自身费用。</w:t>
      </w:r>
    </w:p>
    <w:p w14:paraId="02A66C10">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14:paraId="74E1C59F">
      <w:pPr>
        <w:pStyle w:val="23"/>
        <w:ind w:firstLine="532"/>
        <w:rPr>
          <w:rFonts w:hint="eastAsia" w:ascii="宋体" w:hAnsi="宋体" w:eastAsia="宋体" w:cs="宋体"/>
          <w:color w:val="auto"/>
          <w:highlight w:val="none"/>
        </w:rPr>
      </w:pPr>
      <w:r>
        <w:rPr>
          <w:rFonts w:hint="eastAsia" w:ascii="宋体" w:hAnsi="宋体" w:eastAsia="宋体" w:cs="宋体"/>
          <w:color w:val="auto"/>
          <w:highlight w:val="none"/>
        </w:rPr>
        <w:t>6.3 招标人向投标人提供的有关现场的数据和资料，是招标人现有的能被投标人利用的资料，招标人对投标人做出的任何推论、理解和结论均不负责任。</w:t>
      </w:r>
    </w:p>
    <w:p w14:paraId="1512CA07">
      <w:pPr>
        <w:pStyle w:val="23"/>
        <w:ind w:firstLine="532"/>
        <w:rPr>
          <w:rFonts w:hint="eastAsia" w:ascii="宋体" w:hAnsi="宋体" w:eastAsia="宋体" w:cs="宋体"/>
          <w:color w:val="auto"/>
          <w:highlight w:val="none"/>
        </w:rPr>
      </w:pPr>
      <w:r>
        <w:rPr>
          <w:rFonts w:hint="eastAsia" w:ascii="宋体" w:hAnsi="宋体" w:eastAsia="宋体" w:cs="宋体"/>
          <w:color w:val="auto"/>
          <w:highlight w:val="none"/>
        </w:rPr>
        <w:t>6.4 经招标人允许，投标人可为踏勘目的进入招标人的项目现场，但投标人不得因此使招标人承担有关的责任和蒙受损失。投标人应承担踏勘现场的责任和风险。</w:t>
      </w:r>
    </w:p>
    <w:p w14:paraId="7829EA62">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7、投标费用</w:t>
      </w:r>
    </w:p>
    <w:p w14:paraId="3EE498E3">
      <w:pPr>
        <w:pStyle w:val="23"/>
        <w:ind w:firstLine="532"/>
        <w:rPr>
          <w:rFonts w:hint="eastAsia" w:ascii="宋体" w:hAnsi="宋体" w:eastAsia="宋体" w:cs="宋体"/>
          <w:color w:val="auto"/>
          <w:highlight w:val="none"/>
        </w:rPr>
      </w:pPr>
      <w:r>
        <w:rPr>
          <w:rFonts w:hint="eastAsia" w:ascii="宋体" w:hAnsi="宋体" w:eastAsia="宋体" w:cs="宋体"/>
          <w:color w:val="auto"/>
          <w:highlight w:val="none"/>
        </w:rPr>
        <w:t>7.1招标人不承担投标人编制投标文件与递交投标文件所涉及的费用和应由投标人承担其参加本招标活动自身所发生的费用，</w:t>
      </w:r>
      <w:r>
        <w:rPr>
          <w:rFonts w:hint="eastAsia" w:hAnsi="宋体" w:cs="宋体"/>
          <w:color w:val="auto"/>
          <w:highlight w:val="none"/>
          <w:lang w:val="en-US" w:eastAsia="zh-CN"/>
        </w:rPr>
        <w:t>无</w:t>
      </w:r>
      <w:r>
        <w:rPr>
          <w:rFonts w:hint="eastAsia" w:ascii="宋体" w:hAnsi="宋体" w:eastAsia="宋体" w:cs="宋体"/>
          <w:color w:val="auto"/>
          <w:highlight w:val="none"/>
        </w:rPr>
        <w:t>论投标的结果如何，招标人均无义务和责任承担上述费用。</w:t>
      </w:r>
    </w:p>
    <w:p w14:paraId="7E5986F7">
      <w:pPr>
        <w:pStyle w:val="23"/>
        <w:ind w:firstLine="532"/>
        <w:rPr>
          <w:rFonts w:hint="eastAsia" w:ascii="宋体" w:hAnsi="宋体" w:eastAsia="宋体" w:cs="宋体"/>
          <w:b/>
          <w:color w:val="auto"/>
          <w:highlight w:val="none"/>
        </w:rPr>
      </w:pPr>
      <w:r>
        <w:rPr>
          <w:rFonts w:hint="eastAsia" w:ascii="宋体" w:hAnsi="宋体" w:eastAsia="宋体" w:cs="宋体"/>
          <w:color w:val="auto"/>
          <w:highlight w:val="none"/>
        </w:rPr>
        <w:t>7.2</w:t>
      </w:r>
      <w:r>
        <w:rPr>
          <w:rFonts w:hint="eastAsia" w:ascii="宋体" w:hAnsi="宋体" w:eastAsia="宋体" w:cs="宋体"/>
          <w:b w:val="0"/>
          <w:bCs/>
          <w:color w:val="auto"/>
          <w:highlight w:val="none"/>
        </w:rPr>
        <w:t>招标代理服务费：向中标人收取招标代理服务费。</w:t>
      </w:r>
    </w:p>
    <w:p w14:paraId="0F0AA6AD">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（二） 招标文件</w:t>
      </w:r>
    </w:p>
    <w:p w14:paraId="414C19EA">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8、招标文件的组成</w:t>
      </w:r>
    </w:p>
    <w:p w14:paraId="68C3CC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8.1招标文件包括本招标文件目录和附件所示的全部内容。</w:t>
      </w:r>
    </w:p>
    <w:p w14:paraId="6007AB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除8.1内容外，招标人在提交投标文件截止时间15日前，以书面形式发出的对招标文件的澄清或修改、补充内容，均为招标文件的组成部分，对招标人和投标人起约束作用。</w:t>
      </w:r>
    </w:p>
    <w:p w14:paraId="11ADC5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22D22C0D">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9、投标人对招标文件提出异议及要求澄清的截止时间</w:t>
      </w:r>
    </w:p>
    <w:p w14:paraId="19673D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14:paraId="2178FE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9.2投标人要求澄清招标文件的截止时间为投标截止时间15日前。</w:t>
      </w:r>
    </w:p>
    <w:p w14:paraId="2A4CA862">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10、招标文件的修改</w:t>
      </w:r>
    </w:p>
    <w:p w14:paraId="207DF009">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10.1 在投标截止时间前，招标人无论出于自己的考虑，还是出于对投标人提问的澄清，均可对招标文件用补充文件的方式进行修改。</w:t>
      </w:r>
    </w:p>
    <w:p w14:paraId="38D6D526">
      <w:pPr>
        <w:spacing w:line="360" w:lineRule="auto"/>
        <w:ind w:firstLine="532"/>
        <w:rPr>
          <w:rFonts w:hint="eastAsia" w:ascii="宋体" w:hAnsi="宋体" w:eastAsia="宋体" w:cs="宋体"/>
          <w:b/>
          <w:color w:val="auto"/>
          <w:sz w:val="24"/>
          <w:highlight w:val="none"/>
        </w:rPr>
      </w:pPr>
      <w:r>
        <w:rPr>
          <w:rFonts w:hint="eastAsia" w:ascii="宋体" w:hAnsi="宋体" w:eastAsia="宋体" w:cs="宋体"/>
          <w:color w:val="auto"/>
          <w:sz w:val="24"/>
          <w:highlight w:val="none"/>
        </w:rPr>
        <w:t>10.2 对招标文件的修改，将以书面的形式通知每一投标人。补充文件将作为招标文件的组成部分，对所有投标人均有约束力。</w:t>
      </w:r>
    </w:p>
    <w:p w14:paraId="787A3382">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14:paraId="2126C656">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ascii="宋体" w:hAnsi="宋体" w:eastAsia="宋体" w:cs="宋体"/>
          <w:color w:val="auto"/>
          <w:sz w:val="24"/>
          <w:highlight w:val="none"/>
        </w:rPr>
        <w:t>。</w:t>
      </w:r>
    </w:p>
    <w:p w14:paraId="7DA17248">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（三）投标文件的编制</w:t>
      </w:r>
    </w:p>
    <w:p w14:paraId="3BB0D080">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11、编制要求</w:t>
      </w:r>
    </w:p>
    <w:p w14:paraId="0E2C3882">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14:paraId="2743D3F4">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11.2投标的语言：投标人提交的投标文件以及投标人与招标代理机构就有关投标的所有来往函电均应以中文书写。</w:t>
      </w:r>
    </w:p>
    <w:p w14:paraId="37CB10AB">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11.3除项目规范另有规定外，投标文件使用的度量衡单位，均采用中华人民共和国法定计量单位。</w:t>
      </w:r>
    </w:p>
    <w:p w14:paraId="10D0991F">
      <w:pPr>
        <w:pStyle w:val="6"/>
        <w:ind w:left="1008" w:hanging="1008"/>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12、投标文件的组成</w:t>
      </w:r>
      <w:r>
        <w:rPr>
          <w:rFonts w:hint="eastAsia" w:cs="宋体"/>
          <w:color w:val="auto"/>
          <w:highlight w:val="none"/>
          <w:lang w:eastAsia="zh-CN"/>
        </w:rPr>
        <w:t>（</w:t>
      </w:r>
      <w:r>
        <w:rPr>
          <w:rFonts w:hint="eastAsia" w:cs="宋体"/>
          <w:color w:val="auto"/>
          <w:highlight w:val="none"/>
          <w:lang w:val="en-US" w:eastAsia="zh-CN"/>
        </w:rPr>
        <w:t>仅中标人提供）</w:t>
      </w:r>
    </w:p>
    <w:p w14:paraId="0587866F">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投标文件应按第</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章“</w:t>
      </w:r>
      <w:r>
        <w:rPr>
          <w:rFonts w:hint="eastAsia" w:ascii="宋体" w:hAnsi="宋体" w:cs="宋体"/>
          <w:color w:val="auto"/>
          <w:sz w:val="24"/>
          <w:highlight w:val="none"/>
          <w:lang w:val="en-US" w:eastAsia="zh-CN"/>
        </w:rPr>
        <w:t>商务部分</w:t>
      </w:r>
      <w:r>
        <w:rPr>
          <w:rFonts w:hint="eastAsia" w:ascii="宋体" w:hAnsi="宋体" w:eastAsia="宋体" w:cs="宋体"/>
          <w:color w:val="auto"/>
          <w:sz w:val="24"/>
          <w:highlight w:val="none"/>
        </w:rPr>
        <w:t>”进行编制，如有必要，可以增加附页，作为投标文件的组成部分。</w:t>
      </w:r>
    </w:p>
    <w:p w14:paraId="08F26AE1">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 xml:space="preserve">13、投标文件内容及格式    </w:t>
      </w:r>
    </w:p>
    <w:p w14:paraId="2189F4A1">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13.1投标人应按招标文件规定的全部内容（但不限于）与要求编制投标文件，投标人提交的投标文件应当使用招标文件所提供的投标文件全部格式（表格可以按同样格式扩展）。</w:t>
      </w:r>
    </w:p>
    <w:p w14:paraId="4E4D7E02">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14、投标报价</w:t>
      </w:r>
    </w:p>
    <w:p w14:paraId="28A5FCAE">
      <w:pPr>
        <w:spacing w:line="360" w:lineRule="auto"/>
        <w:ind w:firstLine="525" w:firstLineChars="25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14.1投标报价方式：投标人根据市场价报</w:t>
      </w:r>
      <w:r>
        <w:rPr>
          <w:rFonts w:hint="eastAsia" w:ascii="宋体" w:hAnsi="宋体" w:eastAsia="宋体" w:cs="宋体"/>
          <w:color w:val="auto"/>
          <w:sz w:val="24"/>
          <w:highlight w:val="none"/>
          <w:lang w:val="en-US" w:eastAsia="zh-CN"/>
        </w:rPr>
        <w:t>固定总价</w:t>
      </w:r>
      <w:r>
        <w:rPr>
          <w:rFonts w:hint="eastAsia" w:ascii="宋体" w:hAnsi="宋体" w:eastAsia="宋体" w:cs="宋体"/>
          <w:color w:val="auto"/>
          <w:sz w:val="24"/>
          <w:highlight w:val="none"/>
        </w:rPr>
        <w:t>，市场价包括人工费、管理费、利润等所有应计费用及政策性文件规定及合同包含的所有风险、责任等各项应有费用及税金。</w:t>
      </w:r>
    </w:p>
    <w:p w14:paraId="05E0E170">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14.2请各投标人在投标报价时必须自行考虑各种因素，认真分析、测算，作出合理报价参加投标。涉及到招标人新增或变更的内容，以双方协商确定的价格为依据据实结算。</w:t>
      </w:r>
    </w:p>
    <w:p w14:paraId="5AEBB1D2">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b/>
          <w:color w:val="auto"/>
          <w:sz w:val="24"/>
          <w:highlight w:val="none"/>
        </w:rPr>
        <w:t>最终结算时：投标人根据招标人提供的资料自行填报</w:t>
      </w:r>
      <w:r>
        <w:rPr>
          <w:rFonts w:hint="eastAsia" w:ascii="宋体" w:hAnsi="宋体" w:eastAsia="宋体" w:cs="宋体"/>
          <w:b/>
          <w:color w:val="auto"/>
          <w:sz w:val="24"/>
          <w:highlight w:val="none"/>
          <w:lang w:eastAsia="zh-CN"/>
        </w:rPr>
        <w:t>固定总价</w:t>
      </w:r>
      <w:r>
        <w:rPr>
          <w:rFonts w:hint="eastAsia" w:ascii="宋体" w:hAnsi="宋体" w:eastAsia="宋体" w:cs="宋体"/>
          <w:b/>
          <w:color w:val="auto"/>
          <w:sz w:val="24"/>
          <w:highlight w:val="none"/>
        </w:rPr>
        <w:t>，其价格应包含完成所需的一切费用。按可调整价格报价的投标文件将被视为不响应招标文件。</w:t>
      </w:r>
    </w:p>
    <w:p w14:paraId="151CB571">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15、投标货币</w:t>
      </w:r>
    </w:p>
    <w:p w14:paraId="65DE3A1D">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15.1投标人提供的服务一律用人民币结算及报价。</w:t>
      </w:r>
    </w:p>
    <w:p w14:paraId="32B33822">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16、证明投标人合格和资格的文件</w:t>
      </w:r>
    </w:p>
    <w:p w14:paraId="4D8F22EB">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16.1投标人应提交证明其有资格参加投标的文件，</w:t>
      </w:r>
      <w:r>
        <w:rPr>
          <w:rFonts w:hint="eastAsia" w:ascii="宋体" w:hAnsi="宋体" w:cs="宋体"/>
          <w:color w:val="auto"/>
          <w:sz w:val="24"/>
          <w:highlight w:val="none"/>
          <w:lang w:val="en-US" w:eastAsia="zh-CN"/>
        </w:rPr>
        <w:t>详见“第九章 评标办法”</w:t>
      </w:r>
      <w:r>
        <w:rPr>
          <w:rFonts w:hint="eastAsia" w:ascii="宋体" w:hAnsi="宋体" w:eastAsia="宋体" w:cs="宋体"/>
          <w:color w:val="auto"/>
          <w:sz w:val="24"/>
          <w:highlight w:val="none"/>
        </w:rPr>
        <w:t>。</w:t>
      </w:r>
    </w:p>
    <w:p w14:paraId="721FFE4D">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16.2投标人在投标时应符合本须知第5.1条的规定。</w:t>
      </w:r>
    </w:p>
    <w:p w14:paraId="3D05E61E">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17、证明</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的合格性和符合招标文件规定的文件</w:t>
      </w:r>
    </w:p>
    <w:p w14:paraId="225ED5A9">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r>
        <w:rPr>
          <w:rFonts w:hint="eastAsia" w:ascii="宋体" w:hAnsi="宋体" w:cs="宋体"/>
          <w:color w:val="auto"/>
          <w:sz w:val="24"/>
          <w:highlight w:val="none"/>
          <w:lang w:val="en-US" w:eastAsia="zh-CN"/>
        </w:rPr>
        <w:t>详见“第九章 评标办法”。</w:t>
      </w:r>
    </w:p>
    <w:p w14:paraId="057503E0">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18、投标保证金</w:t>
      </w:r>
    </w:p>
    <w:p w14:paraId="142AF45A">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18.1投标人应按投标须知前附表第16项规定提交投标保证</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金。</w:t>
      </w:r>
    </w:p>
    <w:p w14:paraId="6EA8CF0E">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18.2招标人与中标人签订合同后五日内,向未中标的投标人一次性退还投标保证金及银行同期利息。</w:t>
      </w:r>
    </w:p>
    <w:p w14:paraId="6392C4D1">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18.3银行同期存款利息：</w:t>
      </w:r>
    </w:p>
    <w:p w14:paraId="5AC7EDAE">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18.3.1投标保证金计息利率依照中国人民银行公布的同期活期存款利率；</w:t>
      </w:r>
    </w:p>
    <w:p w14:paraId="63DC2CAA">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18.3.2银行同期存款利息的计算公式为：金额x年利率/360 x计息天数；</w:t>
      </w:r>
    </w:p>
    <w:p w14:paraId="63BC6D2C">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18.3.3起息日为该项目的投标截止日，结息日为辽宁国信建设工程管理有限公司中标通知书发出当日；</w:t>
      </w:r>
    </w:p>
    <w:p w14:paraId="6578EE63">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14:paraId="5342E3BF">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14:paraId="4D30B7D9">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18.3.6以保函或其他担保形式提交的投标保证金无利息。</w:t>
      </w:r>
    </w:p>
    <w:p w14:paraId="0CFA3041">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18.4中标人的投标担保，在中标人按本须知第36条规定签订合同后5日内予以退还。</w:t>
      </w:r>
    </w:p>
    <w:p w14:paraId="01A10886">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18.5如投标人发生下列情况之一时，投标担保将不予退还：</w:t>
      </w:r>
    </w:p>
    <w:p w14:paraId="0DEA4BB4">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18.5.1投标人在投标截止日后撤回投标书的；</w:t>
      </w:r>
    </w:p>
    <w:p w14:paraId="5ACC6E06">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18.5.2中标人未能在规定期限内签订合同协议；</w:t>
      </w:r>
    </w:p>
    <w:p w14:paraId="0F9671F0">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18.5.3投标人在整个投标活动中有严重违反国家法律、法规并经查实。</w:t>
      </w:r>
    </w:p>
    <w:p w14:paraId="29FC7625">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注：此账户仅为递交投标保证金的账户，</w:t>
      </w:r>
      <w:r>
        <w:rPr>
          <w:rFonts w:hint="eastAsia" w:ascii="宋体" w:hAnsi="宋体" w:cs="宋体"/>
          <w:color w:val="auto"/>
          <w:sz w:val="24"/>
          <w:highlight w:val="none"/>
          <w:lang w:val="en-US" w:eastAsia="zh-CN"/>
        </w:rPr>
        <w:t>汇款时请备注项目编号及款项</w:t>
      </w:r>
      <w:r>
        <w:rPr>
          <w:rFonts w:hint="eastAsia" w:ascii="宋体" w:hAnsi="宋体" w:eastAsia="宋体" w:cs="宋体"/>
          <w:color w:val="auto"/>
          <w:sz w:val="24"/>
          <w:highlight w:val="none"/>
        </w:rPr>
        <w:t>。</w:t>
      </w:r>
    </w:p>
    <w:p w14:paraId="6F29765A">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投标保证金账户信息： </w:t>
      </w:r>
    </w:p>
    <w:p w14:paraId="62EBEBCC">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开户银行：招商银行营口分行营业部 </w:t>
      </w:r>
    </w:p>
    <w:p w14:paraId="16F21786">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r>
        <w:rPr>
          <w:rFonts w:hint="eastAsia" w:ascii="宋体" w:hAnsi="宋体" w:eastAsia="宋体" w:cs="宋体"/>
          <w:color w:val="auto"/>
          <w:sz w:val="24"/>
          <w:szCs w:val="24"/>
          <w:highlight w:val="none"/>
          <w:lang w:val="en-US" w:eastAsia="zh-CN"/>
        </w:rPr>
        <w:t>417900156710302</w:t>
      </w:r>
    </w:p>
    <w:p w14:paraId="27DFD88D">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收款人：辽宁国信建设工程管理有限公司</w:t>
      </w:r>
    </w:p>
    <w:p w14:paraId="5394C1D7">
      <w:pPr>
        <w:pStyle w:val="6"/>
        <w:ind w:left="0" w:leftChars="0" w:firstLine="482" w:firstLineChars="200"/>
        <w:rPr>
          <w:rFonts w:hint="eastAsia" w:ascii="宋体" w:hAnsi="宋体" w:eastAsia="宋体" w:cs="宋体"/>
          <w:b w:val="0"/>
          <w:bCs/>
          <w:color w:val="auto"/>
          <w:highlight w:val="none"/>
        </w:rPr>
      </w:pPr>
      <w:r>
        <w:rPr>
          <w:rFonts w:hint="eastAsia" w:ascii="宋体" w:hAnsi="宋体" w:eastAsia="宋体" w:cs="宋体"/>
          <w:color w:val="auto"/>
          <w:sz w:val="24"/>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14:paraId="278A6145">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19、投标有效期</w:t>
      </w:r>
    </w:p>
    <w:p w14:paraId="177F6DE7">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19.1投标应自本须知第25.1条规定的开标日起，并在“投标人须知前附表”中所述期限内保持有效。投标有效期不足的投标将被视为非响应性投标而被否绝。</w:t>
      </w:r>
    </w:p>
    <w:p w14:paraId="48B1DC00">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14:paraId="5AE52746">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20、投标文件的份数和签署</w:t>
      </w:r>
    </w:p>
    <w:p w14:paraId="41873FBC">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20.1 投标人应按本须知前附表第19项规定的份数提交投标文件。</w:t>
      </w:r>
    </w:p>
    <w:p w14:paraId="7EBB3E54">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20.2 </w:t>
      </w:r>
      <w:r>
        <w:rPr>
          <w:rFonts w:hint="eastAsia" w:ascii="宋体" w:hAnsi="宋体" w:eastAsia="宋体" w:cs="宋体"/>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14:paraId="266BC433">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除投标人对错误处须修改外，全套投标文件应无涂改或行间插字和增删。如有修改，修改处应由投标人加盖投标人的印章或由投标文件签字人签字或盖章。</w:t>
      </w:r>
    </w:p>
    <w:p w14:paraId="60CD4360">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val="en-US" w:eastAsia="zh-CN"/>
        </w:rPr>
        <w:t>4</w:t>
      </w:r>
      <w:r>
        <w:rPr>
          <w:rFonts w:hint="eastAsia" w:ascii="宋体" w:hAnsi="宋体" w:eastAsia="宋体" w:cs="宋体"/>
          <w:color w:val="auto"/>
          <w:sz w:val="24"/>
          <w:szCs w:val="28"/>
          <w:highlight w:val="none"/>
        </w:rPr>
        <w:t xml:space="preserve"> 投标文件应按</w:t>
      </w:r>
      <w:r>
        <w:rPr>
          <w:rFonts w:hint="eastAsia" w:ascii="宋体" w:hAnsi="宋体" w:cs="宋体"/>
          <w:color w:val="auto"/>
          <w:sz w:val="24"/>
          <w:szCs w:val="28"/>
          <w:highlight w:val="none"/>
          <w:lang w:val="en-US" w:eastAsia="zh-CN"/>
        </w:rPr>
        <w:t>招标文件及</w:t>
      </w:r>
      <w:r>
        <w:rPr>
          <w:rFonts w:ascii="sans-serif" w:hAnsi="sans-serif" w:eastAsia="sans-serif" w:cs="sans-serif"/>
          <w:i w:val="0"/>
          <w:iCs w:val="0"/>
          <w:caps w:val="0"/>
          <w:color w:val="auto"/>
          <w:spacing w:val="0"/>
          <w:sz w:val="24"/>
          <w:szCs w:val="24"/>
          <w:highlight w:val="none"/>
          <w:shd w:val="clear" w:fill="FFFFFF"/>
        </w:rPr>
        <w:t>电子招标投标交易平台</w:t>
      </w:r>
      <w:r>
        <w:rPr>
          <w:rFonts w:hint="eastAsia" w:ascii="宋体" w:hAnsi="宋体" w:cs="宋体"/>
          <w:color w:val="auto"/>
          <w:sz w:val="24"/>
          <w:szCs w:val="28"/>
          <w:highlight w:val="none"/>
          <w:lang w:val="en-US" w:eastAsia="zh-CN"/>
        </w:rPr>
        <w:t>系统要求进行编制，</w:t>
      </w:r>
      <w:r>
        <w:rPr>
          <w:rFonts w:hint="eastAsia" w:ascii="宋体" w:hAnsi="宋体" w:eastAsia="宋体" w:cs="宋体"/>
          <w:color w:val="auto"/>
          <w:sz w:val="24"/>
          <w:szCs w:val="28"/>
          <w:highlight w:val="none"/>
        </w:rPr>
        <w:t>投标文件的内容应按评标办法所列内容顺序编写，以便评审。</w:t>
      </w:r>
    </w:p>
    <w:p w14:paraId="0A213B28">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（四）投标文件的提交</w:t>
      </w:r>
    </w:p>
    <w:p w14:paraId="73F9B1F9">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21、投标文件的</w:t>
      </w:r>
      <w:r>
        <w:rPr>
          <w:rFonts w:hint="eastAsia" w:cs="宋体"/>
          <w:color w:val="auto"/>
          <w:highlight w:val="none"/>
          <w:lang w:val="en-US" w:eastAsia="zh-CN"/>
        </w:rPr>
        <w:t>提交、</w:t>
      </w:r>
      <w:r>
        <w:rPr>
          <w:rFonts w:hint="eastAsia" w:ascii="宋体" w:hAnsi="宋体" w:eastAsia="宋体" w:cs="宋体"/>
          <w:color w:val="auto"/>
          <w:highlight w:val="none"/>
        </w:rPr>
        <w:t>密封与标记</w:t>
      </w:r>
    </w:p>
    <w:p w14:paraId="583B0257">
      <w:pPr>
        <w:spacing w:line="360" w:lineRule="auto"/>
        <w:ind w:firstLine="630"/>
        <w:rPr>
          <w:rFonts w:hint="eastAsia" w:ascii="宋体" w:hAnsi="宋体" w:eastAsia="宋体" w:cs="宋体"/>
          <w:b/>
          <w:color w:val="auto"/>
          <w:sz w:val="24"/>
          <w:szCs w:val="28"/>
          <w:highlight w:val="none"/>
        </w:rPr>
      </w:pPr>
      <w:r>
        <w:rPr>
          <w:rFonts w:hint="eastAsia" w:ascii="宋体" w:hAnsi="宋体" w:eastAsia="宋体" w:cs="宋体"/>
          <w:color w:val="auto"/>
          <w:sz w:val="24"/>
          <w:szCs w:val="28"/>
          <w:highlight w:val="none"/>
        </w:rPr>
        <w:t xml:space="preserve">21.1 </w:t>
      </w:r>
      <w:r>
        <w:rPr>
          <w:rFonts w:ascii="sans-serif" w:hAnsi="sans-serif" w:eastAsia="sans-serif" w:cs="sans-serif"/>
          <w:i w:val="0"/>
          <w:iCs w:val="0"/>
          <w:caps w:val="0"/>
          <w:color w:val="auto"/>
          <w:spacing w:val="0"/>
          <w:sz w:val="24"/>
          <w:szCs w:val="24"/>
          <w:highlight w:val="none"/>
          <w:shd w:val="clear" w:fill="FFFFFF"/>
        </w:rPr>
        <w:t>投标人应当按照招标文件和电子招标投标交易平台的要求加密投标文件</w:t>
      </w:r>
      <w:r>
        <w:rPr>
          <w:rFonts w:hint="eastAsia" w:ascii="sans-serif" w:hAnsi="sans-serif" w:eastAsia="宋体" w:cs="sans-serif"/>
          <w:i w:val="0"/>
          <w:iCs w:val="0"/>
          <w:caps w:val="0"/>
          <w:color w:val="auto"/>
          <w:spacing w:val="0"/>
          <w:sz w:val="24"/>
          <w:szCs w:val="24"/>
          <w:highlight w:val="none"/>
          <w:shd w:val="clear" w:fill="FFFFFF"/>
          <w:lang w:eastAsia="zh-CN"/>
        </w:rPr>
        <w:t>。</w:t>
      </w:r>
    </w:p>
    <w:p w14:paraId="73DF32E1">
      <w:pPr>
        <w:spacing w:line="360" w:lineRule="auto"/>
        <w:ind w:firstLine="63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21.</w:t>
      </w:r>
      <w:r>
        <w:rPr>
          <w:rFonts w:hint="eastAsia" w:ascii="宋体" w:hAnsi="宋体" w:cs="宋体"/>
          <w:color w:val="auto"/>
          <w:sz w:val="24"/>
          <w:szCs w:val="28"/>
          <w:highlight w:val="none"/>
          <w:lang w:val="en-US" w:eastAsia="zh-CN"/>
        </w:rPr>
        <w:t>2</w:t>
      </w:r>
      <w:r>
        <w:rPr>
          <w:rFonts w:hint="eastAsia" w:ascii="宋体" w:hAnsi="宋体" w:eastAsia="宋体" w:cs="宋体"/>
          <w:color w:val="auto"/>
          <w:sz w:val="24"/>
          <w:szCs w:val="28"/>
          <w:highlight w:val="none"/>
        </w:rPr>
        <w:t>投标文件在投标人须知前附表第20项所述截止时间之前递交至投标须知前附表第20项所述地点。</w:t>
      </w:r>
    </w:p>
    <w:p w14:paraId="74C1DBBE">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22、投标文件提交的截止时间</w:t>
      </w:r>
    </w:p>
    <w:p w14:paraId="4B30F4D1">
      <w:pPr>
        <w:spacing w:line="360" w:lineRule="auto"/>
        <w:ind w:firstLine="500"/>
        <w:rPr>
          <w:rFonts w:hint="eastAsia" w:ascii="宋体" w:hAnsi="宋体" w:eastAsia="宋体" w:cs="宋体"/>
          <w:b/>
          <w:color w:val="auto"/>
          <w:sz w:val="24"/>
          <w:highlight w:val="none"/>
        </w:rPr>
      </w:pPr>
      <w:r>
        <w:rPr>
          <w:rFonts w:hint="eastAsia" w:ascii="宋体" w:hAnsi="宋体" w:eastAsia="宋体" w:cs="宋体"/>
          <w:color w:val="auto"/>
          <w:sz w:val="24"/>
          <w:highlight w:val="none"/>
        </w:rPr>
        <w:t>22.1 投标文件的截止时间见本项目须知前附表第20项规定。</w:t>
      </w:r>
    </w:p>
    <w:p w14:paraId="58BE537C">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14:paraId="18C86FBE">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23、迟交的投标文件</w:t>
      </w:r>
    </w:p>
    <w:p w14:paraId="6F12732F">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23.1 招标人在本须知前附表第20项规定的投标截止时间以后收到的投标文件，将被拒</w:t>
      </w:r>
      <w:r>
        <w:rPr>
          <w:rFonts w:hint="eastAsia" w:ascii="宋体" w:hAnsi="宋体" w:cs="宋体"/>
          <w:color w:val="auto"/>
          <w:sz w:val="24"/>
          <w:highlight w:val="none"/>
          <w:lang w:val="en-US" w:eastAsia="zh-CN"/>
        </w:rPr>
        <w:t>收</w:t>
      </w:r>
      <w:r>
        <w:rPr>
          <w:rFonts w:hint="eastAsia" w:ascii="宋体" w:hAnsi="宋体" w:eastAsia="宋体" w:cs="宋体"/>
          <w:color w:val="auto"/>
          <w:sz w:val="24"/>
          <w:highlight w:val="none"/>
        </w:rPr>
        <w:t>。</w:t>
      </w:r>
    </w:p>
    <w:p w14:paraId="4B91D8AB">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24、投标文件的补充、修改与撤回</w:t>
      </w:r>
    </w:p>
    <w:p w14:paraId="335C909E">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投标人在提交投标文件以后，在规定的投标截止时间之前，可以补充修改或撤回已提交的投标文件。补充、修改的内容为投标文件的组成部分。</w:t>
      </w:r>
    </w:p>
    <w:p w14:paraId="095FB24C">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在投标截止时间之后，投标人不得补充、修改投标文件。</w:t>
      </w:r>
    </w:p>
    <w:p w14:paraId="44FFB3CD">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在投标截止时间至投标有效期满之前，投标人不得撤回其投标文件。</w:t>
      </w:r>
    </w:p>
    <w:p w14:paraId="04951F95">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（五）开    标</w:t>
      </w:r>
    </w:p>
    <w:p w14:paraId="41AF6178">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25、开标</w:t>
      </w:r>
    </w:p>
    <w:p w14:paraId="05DD2D89">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25.1招标代理机构在本须知前附表第</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项规定的日期、时间和地点组织公开开标。开标时邀请所有投标人代表参加。参加开标的代表应</w:t>
      </w:r>
      <w:r>
        <w:rPr>
          <w:rFonts w:hint="eastAsia" w:ascii="宋体" w:hAnsi="宋体" w:cs="宋体"/>
          <w:color w:val="auto"/>
          <w:sz w:val="24"/>
          <w:highlight w:val="none"/>
          <w:lang w:val="en-US" w:eastAsia="zh-CN"/>
        </w:rPr>
        <w:t>在电子开标系统中</w:t>
      </w:r>
      <w:r>
        <w:rPr>
          <w:rFonts w:hint="eastAsia" w:ascii="宋体" w:hAnsi="宋体" w:eastAsia="宋体" w:cs="宋体"/>
          <w:color w:val="auto"/>
          <w:sz w:val="24"/>
          <w:highlight w:val="none"/>
        </w:rPr>
        <w:t>签名报到以证明其出席。开标会由招标代理机构主持。</w:t>
      </w:r>
    </w:p>
    <w:p w14:paraId="06E3BFDD">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25.2开标时，除了按照本须知第23条的规定原封退回迟到的投标之外，招标代理机构将当众宣读所有合格提交投标文件的投标人名称、以及招标人认为合适的其他内容。</w:t>
      </w:r>
    </w:p>
    <w:p w14:paraId="680490BD">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25.3在开标时没有读出的有关声明，在评标时将不予考虑。</w:t>
      </w:r>
    </w:p>
    <w:p w14:paraId="71DC039A">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25.4招标代理机构将做开标记录，存档备查。</w:t>
      </w:r>
    </w:p>
    <w:p w14:paraId="5FAC3059">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25.5开标程序：</w:t>
      </w:r>
    </w:p>
    <w:p w14:paraId="395AC148">
      <w:pPr>
        <w:pStyle w:val="17"/>
        <w:numPr>
          <w:ilvl w:val="0"/>
          <w:numId w:val="9"/>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宣布开标纪律；</w:t>
      </w:r>
    </w:p>
    <w:p w14:paraId="10B11ED5">
      <w:pPr>
        <w:pStyle w:val="17"/>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公布在投标截止时间前递交投标文件的投标人名称；</w:t>
      </w:r>
    </w:p>
    <w:p w14:paraId="04A73171">
      <w:pPr>
        <w:pStyle w:val="17"/>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宣布开标人、唱标人、记录人、监标人等有关人员姓名；</w:t>
      </w:r>
    </w:p>
    <w:p w14:paraId="523B6AA3">
      <w:pPr>
        <w:pStyle w:val="17"/>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投标人通过电子招标投标交易平台对已递交的电子投标文件进行解密，公布招标项目名称、投标人名称、投标保证金的递交情况、投标报价、服务期限及其他内容，并记录在案；</w:t>
      </w:r>
    </w:p>
    <w:p w14:paraId="4FE7129D">
      <w:pPr>
        <w:pStyle w:val="17"/>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14:paraId="2DE764FD">
      <w:pPr>
        <w:pStyle w:val="17"/>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（6）开标结束。</w:t>
      </w:r>
    </w:p>
    <w:p w14:paraId="215DB810">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14:paraId="3210BFE4">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25.6 招标人在招标文件要求提交投标文件的截止时间前收到的投标文件，开标时都应当众予以拆封、宣读。</w:t>
      </w:r>
    </w:p>
    <w:p w14:paraId="1AB054FD">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25.7 招标代理机构工作人员对开标过程进行记录，并经纪检监察人员签字确认后存档备查。</w:t>
      </w:r>
    </w:p>
    <w:p w14:paraId="1ED66D89">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26、投标文件的有效性</w:t>
      </w:r>
    </w:p>
    <w:p w14:paraId="4675FF9A">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26.1 开标时，投标文件有下列情形之一的，招标人不予受理：</w:t>
      </w:r>
    </w:p>
    <w:p w14:paraId="472388A5">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26.1.1逾期送达或未送达指定地点的；</w:t>
      </w:r>
    </w:p>
    <w:p w14:paraId="62FDBDAA">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26.1.2投标文件</w:t>
      </w:r>
      <w:r>
        <w:rPr>
          <w:rFonts w:hint="eastAsia" w:ascii="宋体" w:hAnsi="宋体" w:cs="宋体"/>
          <w:color w:val="auto"/>
          <w:sz w:val="24"/>
          <w:highlight w:val="none"/>
          <w:lang w:val="en-US" w:eastAsia="zh-CN"/>
        </w:rPr>
        <w:t>在规定时间内未解密或解密失败的</w:t>
      </w:r>
      <w:r>
        <w:rPr>
          <w:rFonts w:hint="eastAsia" w:ascii="宋体" w:hAnsi="宋体" w:eastAsia="宋体" w:cs="宋体"/>
          <w:color w:val="auto"/>
          <w:sz w:val="24"/>
          <w:highlight w:val="none"/>
        </w:rPr>
        <w:t>；</w:t>
      </w:r>
    </w:p>
    <w:p w14:paraId="4D2F8837">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26.2开标结束后，所有开启并唱标完毕的投标文件将送达评标委员会进行评审、比较。</w:t>
      </w:r>
    </w:p>
    <w:p w14:paraId="758A22DA">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（六）评   标</w:t>
      </w:r>
    </w:p>
    <w:p w14:paraId="1EDDBF24">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27、评标委员会与评标</w:t>
      </w:r>
    </w:p>
    <w:p w14:paraId="35FA6633">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27.1评标委员会由招标人依法组建，负责评标活动。</w:t>
      </w:r>
    </w:p>
    <w:p w14:paraId="79FACE0C">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27.2开标结束后，开始评标，评标采用保密方式进行。</w:t>
      </w:r>
    </w:p>
    <w:p w14:paraId="2BCC16F6">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28、评标过程的保密</w:t>
      </w:r>
    </w:p>
    <w:p w14:paraId="22782995">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14:paraId="3B7C32D4">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在投标文件的评审和比较、中标单位入选以及授予合同的过程中，投标人向招标人和评标委员会施加影响的任何行为，都将会导致其投标被拒绝。</w:t>
      </w:r>
    </w:p>
    <w:p w14:paraId="151F8511">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14:paraId="733BFA59">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29、投标文件的澄清</w:t>
      </w:r>
    </w:p>
    <w:p w14:paraId="672D6F8B">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14:paraId="7CA633B7">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30、投标文件的评审</w:t>
      </w:r>
    </w:p>
    <w:p w14:paraId="4BC036F8">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30.1投标文件的评审分资格审查、初步评审和详细评审三步（详见《第</w:t>
      </w: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章 评标办法》）。</w:t>
      </w:r>
    </w:p>
    <w:p w14:paraId="6701AFCD">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31、投标文件的评审、比较和否决</w:t>
      </w:r>
    </w:p>
    <w:p w14:paraId="7DE9B15D">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31.1评标委员会将按照本须知第26条规定，仅对在实质上响应招标文件要求的投标文件进行评估和比较。</w:t>
      </w:r>
    </w:p>
    <w:p w14:paraId="01EC21E1">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31.2 在评审过程中,评标委员会可以书面形式要求投标人就投标文件中含义不明确的内容进行书面说明并提供相关材料。</w:t>
      </w:r>
    </w:p>
    <w:p w14:paraId="608FAA04">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31.3评标委员会依据本须知前附表第22项规定的评标标准和方法，对投标文件进行评审和比较，向招标人提出书面评标报告，中标单位须符合本须知第4款之规定。</w:t>
      </w:r>
    </w:p>
    <w:p w14:paraId="37D2B21C">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31.4 评标方法和标准</w:t>
      </w:r>
    </w:p>
    <w:p w14:paraId="037F556C">
      <w:pPr>
        <w:spacing w:line="360" w:lineRule="auto"/>
        <w:ind w:firstLine="500"/>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详见本</w:t>
      </w:r>
      <w:r>
        <w:rPr>
          <w:rFonts w:hint="eastAsia" w:ascii="宋体" w:hAnsi="宋体" w:eastAsia="宋体" w:cs="宋体"/>
          <w:b/>
          <w:color w:val="auto"/>
          <w:sz w:val="24"/>
          <w:highlight w:val="none"/>
        </w:rPr>
        <w:t>招标文件《第</w:t>
      </w:r>
      <w:r>
        <w:rPr>
          <w:rFonts w:hint="eastAsia" w:ascii="宋体" w:hAnsi="宋体" w:cs="宋体"/>
          <w:b/>
          <w:color w:val="auto"/>
          <w:sz w:val="24"/>
          <w:highlight w:val="none"/>
          <w:lang w:val="en-US" w:eastAsia="zh-CN"/>
        </w:rPr>
        <w:t>九</w:t>
      </w:r>
      <w:r>
        <w:rPr>
          <w:rFonts w:hint="eastAsia" w:ascii="宋体" w:hAnsi="宋体" w:eastAsia="宋体" w:cs="宋体"/>
          <w:b/>
          <w:color w:val="auto"/>
          <w:sz w:val="24"/>
          <w:highlight w:val="none"/>
        </w:rPr>
        <w:t>章 评标办法》</w:t>
      </w:r>
    </w:p>
    <w:p w14:paraId="65DDC78A">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31.5评分要求和统计分数原则</w:t>
      </w:r>
    </w:p>
    <w:p w14:paraId="1FCA768E">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31.5.1评标委员会评委应首先对各投标人投标书进行评审，并按招标文件规定分值评分，</w:t>
      </w:r>
      <w:r>
        <w:rPr>
          <w:rFonts w:hint="eastAsia" w:ascii="宋体" w:hAnsi="宋体" w:eastAsia="宋体" w:cs="宋体"/>
          <w:color w:val="auto"/>
          <w:spacing w:val="4"/>
          <w:sz w:val="24"/>
          <w:highlight w:val="none"/>
        </w:rPr>
        <w:t>中间用插入法确定分数</w:t>
      </w:r>
      <w:r>
        <w:rPr>
          <w:rFonts w:hint="eastAsia" w:ascii="宋体" w:hAnsi="宋体" w:eastAsia="宋体" w:cs="宋体"/>
          <w:color w:val="auto"/>
          <w:sz w:val="24"/>
          <w:szCs w:val="28"/>
          <w:highlight w:val="none"/>
        </w:rPr>
        <w:t>。</w:t>
      </w:r>
    </w:p>
    <w:p w14:paraId="0D80783C">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31.5.2 技术部分、商务部分评分中，各评委应自主评分并签字确认。</w:t>
      </w:r>
    </w:p>
    <w:p w14:paraId="59290620">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31.5.3 统计分数原则：评分后计算平均分值为投标人技术部分的得分（保留小数点后两位）。</w:t>
      </w:r>
    </w:p>
    <w:p w14:paraId="12CCDAA4">
      <w:pPr>
        <w:spacing w:line="360" w:lineRule="auto"/>
        <w:ind w:firstLine="525" w:firstLineChars="218"/>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31.6招标人在评标委员会推荐的中标候选人中，确定排名第一的为中标人。</w:t>
      </w:r>
    </w:p>
    <w:p w14:paraId="0F581C78">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14:paraId="14E4FE88">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31.8招标人不向未中标的投标人解释未中标原因。</w:t>
      </w:r>
    </w:p>
    <w:p w14:paraId="6222FC00">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14:paraId="7C04B506">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（七）合同的授予</w:t>
      </w:r>
    </w:p>
    <w:p w14:paraId="51A7E4B9">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2</w:t>
      </w:r>
      <w:r>
        <w:rPr>
          <w:rFonts w:hint="eastAsia" w:ascii="宋体" w:hAnsi="宋体" w:eastAsia="宋体" w:cs="宋体"/>
          <w:color w:val="auto"/>
          <w:highlight w:val="none"/>
        </w:rPr>
        <w:t>、合同授予标准</w:t>
      </w:r>
    </w:p>
    <w:p w14:paraId="44FBE8EE">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.1本招标项目的</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合同将授予按本须知第31.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款所确定的中标人，招标人与中标人签订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w:t>
      </w:r>
    </w:p>
    <w:p w14:paraId="2379BF91">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.2非招标人原因中标人在中标通知书发出后30日内不与招标人签订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合同的，招标人将有充分理由取消中标资格，招标人有权按照评标推荐意见选择下一名中标候选人作为中标人或者重新招标。</w:t>
      </w:r>
    </w:p>
    <w:p w14:paraId="45579174">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.3在招标人与中标人签订下一次合同之前，由中标人按招标人的相关规定对成交人上一次合同执行情况进行评定，评定结果合格的续签下一次合同，评定结果不合格的取消中标人下一次合同执行权利。</w:t>
      </w:r>
    </w:p>
    <w:p w14:paraId="0C229F0D">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3</w:t>
      </w:r>
      <w:r>
        <w:rPr>
          <w:rFonts w:hint="eastAsia" w:ascii="宋体" w:hAnsi="宋体" w:eastAsia="宋体" w:cs="宋体"/>
          <w:color w:val="auto"/>
          <w:highlight w:val="none"/>
        </w:rPr>
        <w:t>、招标人拒绝投标的权力</w:t>
      </w:r>
    </w:p>
    <w:p w14:paraId="480C659E">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6"/>
          <w:kern w:val="0"/>
          <w:sz w:val="24"/>
          <w:highlight w:val="none"/>
        </w:rPr>
        <w:t>招标人在发出中标通知书前，有权依据评标委员会的评标报告拒绝不合格的投标。</w:t>
      </w:r>
    </w:p>
    <w:p w14:paraId="221A4843">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4</w:t>
      </w:r>
      <w:r>
        <w:rPr>
          <w:rFonts w:hint="eastAsia" w:ascii="宋体" w:hAnsi="宋体" w:eastAsia="宋体" w:cs="宋体"/>
          <w:color w:val="auto"/>
          <w:highlight w:val="none"/>
        </w:rPr>
        <w:t>、中标通知书</w:t>
      </w:r>
    </w:p>
    <w:p w14:paraId="709CCC53">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.1中标单位确定后招标人向中标单位发出中标通知书，并将中标结果告知所有未中标的投标人。</w:t>
      </w:r>
    </w:p>
    <w:p w14:paraId="52814DC1">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.2中标通知书是合同的一个组成部分。</w:t>
      </w:r>
    </w:p>
    <w:p w14:paraId="286EB28D">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5</w:t>
      </w:r>
      <w:r>
        <w:rPr>
          <w:rFonts w:hint="eastAsia" w:ascii="宋体" w:hAnsi="宋体" w:eastAsia="宋体" w:cs="宋体"/>
          <w:color w:val="auto"/>
          <w:highlight w:val="none"/>
        </w:rPr>
        <w:t>、合同协议书的签订</w:t>
      </w:r>
    </w:p>
    <w:p w14:paraId="5D310C86">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14:paraId="758835C4">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.2招标人与中标人将于中标通知书发出之日起30日内，按照招标文件和中标人的投标文件订立书面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合同，招标人和中标人不得再行订立背离合同实质性内容的其他协议。</w:t>
      </w:r>
    </w:p>
    <w:p w14:paraId="56A2E4C5">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.3招标人如不按本投标须知第3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.1款的规定与中标人订立合同，或者招标人、中标人订立背离合同实质性内容的协议，应改正并按规定处予罚款。</w:t>
      </w:r>
    </w:p>
    <w:p w14:paraId="42E97368">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.4在确定中标人之前，招标人应遵守《中华人民共和国招标投标法》和其它有关规定，不得无故调整招标文件规定的有关条款，不得与投标人就投标价格、投标承诺、投标方案等实质性内容进行谈判。</w:t>
      </w:r>
    </w:p>
    <w:p w14:paraId="5009D59B">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.5招标人、中标人双方在签定</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合同时，不得随意变更招标文件和投标书的实质性条款。</w:t>
      </w:r>
    </w:p>
    <w:p w14:paraId="7C5D82F8">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6投标人的投标报价应本着科学、合理的原则进行。投标人一旦中标，若因报价过低致使合同无法签订和履行的，或在合同签订、履行中无故要求变更投标承诺和变更投标报价（含单价、合价和总价）的，按下列规定执行：</w:t>
      </w:r>
    </w:p>
    <w:p w14:paraId="4CF36CF4">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.6.1不与招标人签订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14:paraId="1A7D2476">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.6.2不全面履行合同的，应承担由此造成招标人的实际损失。此外，招标人可将有关情况报行政主管部门，由行政主管部门依据有关法律、法规给予相应处罚，并作不良市场行为记录；</w:t>
      </w:r>
    </w:p>
    <w:p w14:paraId="14537B87">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.6.3在合同履行中，中标人无故要求变更投标承诺和变更投标报价（含单价、合价和总价）的，招标人不得给予调整，可视情况终止合同，由此造成招标人的实际损失由中标人承担赔偿责任。</w:t>
      </w:r>
    </w:p>
    <w:p w14:paraId="4502898A">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.7中标人应当按照合同约定履行义务，完成中标项目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，不得将中标项目转让（转包）给他人。</w:t>
      </w:r>
    </w:p>
    <w:p w14:paraId="4C06A26C">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6</w:t>
      </w:r>
      <w:r>
        <w:rPr>
          <w:rFonts w:hint="eastAsia" w:ascii="宋体" w:hAnsi="宋体" w:eastAsia="宋体" w:cs="宋体"/>
          <w:color w:val="auto"/>
          <w:highlight w:val="none"/>
        </w:rPr>
        <w:t>、履约担保</w:t>
      </w:r>
    </w:p>
    <w:p w14:paraId="3C74E1DD">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无。</w:t>
      </w:r>
    </w:p>
    <w:p w14:paraId="71BD8B7B">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7</w:t>
      </w:r>
      <w:r>
        <w:rPr>
          <w:rFonts w:hint="eastAsia" w:ascii="宋体" w:hAnsi="宋体" w:eastAsia="宋体" w:cs="宋体"/>
          <w:color w:val="auto"/>
          <w:highlight w:val="none"/>
        </w:rPr>
        <w:t>、知识产权</w:t>
      </w:r>
    </w:p>
    <w:p w14:paraId="2CB1843B">
      <w:pPr>
        <w:pStyle w:val="6"/>
        <w:ind w:left="8" w:firstLine="412"/>
        <w:rPr>
          <w:rFonts w:hint="eastAsia" w:ascii="宋体" w:hAnsi="宋体" w:eastAsia="宋体" w:cs="宋体"/>
          <w:b w:val="0"/>
          <w:color w:val="auto"/>
          <w:kern w:val="2"/>
          <w:highlight w:val="none"/>
        </w:rPr>
      </w:pPr>
      <w:bookmarkStart w:id="25" w:name="_Toc415066900"/>
      <w:bookmarkStart w:id="26" w:name="_Toc407575715"/>
      <w:bookmarkStart w:id="27" w:name="_Toc452968012"/>
      <w:bookmarkStart w:id="28" w:name="_Toc462750232"/>
      <w:bookmarkStart w:id="29" w:name="_Toc450901008"/>
      <w:bookmarkStart w:id="30" w:name="_Toc414893184"/>
      <w:bookmarkStart w:id="31" w:name="_Toc465340531"/>
      <w:bookmarkStart w:id="32" w:name="_Toc452732935"/>
      <w:bookmarkStart w:id="33" w:name="_Toc405841715"/>
      <w:bookmarkStart w:id="34" w:name="_Toc459115259"/>
      <w:bookmarkStart w:id="35" w:name="_Toc406050251"/>
      <w:bookmarkStart w:id="36" w:name="_Toc408414923"/>
      <w:bookmarkStart w:id="37" w:name="_Toc462772982"/>
      <w:bookmarkStart w:id="38" w:name="_Toc465195490"/>
      <w:bookmarkStart w:id="39" w:name="_Toc415068443"/>
      <w:bookmarkStart w:id="40" w:name="_Toc398284558"/>
      <w:bookmarkStart w:id="41" w:name="_Toc407017581"/>
      <w:bookmarkStart w:id="42" w:name="_Toc459193929"/>
      <w:bookmarkStart w:id="43" w:name="_Toc462956953"/>
      <w:r>
        <w:rPr>
          <w:rFonts w:hint="eastAsia" w:ascii="宋体" w:hAnsi="宋体" w:eastAsia="宋体" w:cs="宋体"/>
          <w:b w:val="0"/>
          <w:color w:val="auto"/>
          <w:kern w:val="2"/>
          <w:highlight w:val="none"/>
        </w:rPr>
        <w:t>中标人应保证招标人在使用该</w:t>
      </w:r>
      <w:r>
        <w:rPr>
          <w:rFonts w:hint="eastAsia" w:ascii="宋体" w:hAnsi="宋体" w:eastAsia="宋体" w:cs="宋体"/>
          <w:b w:val="0"/>
          <w:color w:val="auto"/>
          <w:kern w:val="2"/>
          <w:highlight w:val="none"/>
          <w:lang w:val="en-US" w:eastAsia="zh-CN"/>
        </w:rPr>
        <w:t>服务</w:t>
      </w:r>
      <w:r>
        <w:rPr>
          <w:rFonts w:hint="eastAsia" w:ascii="宋体" w:hAnsi="宋体" w:eastAsia="宋体" w:cs="宋体"/>
          <w:b w:val="0"/>
          <w:color w:val="auto"/>
          <w:kern w:val="2"/>
          <w:highlight w:val="none"/>
        </w:rPr>
        <w:t>或其任何一部分时不受第三方提出的侵犯专利权、商标权、著作权或其它知识产权的起诉。如果任何第三方提出侵权指控，中标人须与第三方交涉并承担可能发生的一切法律责任和费用。</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6E6853C3">
      <w:pPr>
        <w:numPr>
          <w:ilvl w:val="-1"/>
          <w:numId w:val="0"/>
        </w:numPr>
        <w:spacing w:line="360" w:lineRule="auto"/>
        <w:ind w:firstLine="0"/>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38、异议</w:t>
      </w:r>
    </w:p>
    <w:p w14:paraId="6F08A8DD">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38.1</w:t>
      </w:r>
      <w:r>
        <w:rPr>
          <w:rFonts w:hint="eastAsia" w:ascii="宋体" w:hAnsi="宋体" w:cs="宋体"/>
          <w:color w:val="auto"/>
          <w:sz w:val="24"/>
          <w:highlight w:val="none"/>
        </w:rPr>
        <w:t>潜在投标人或者其他利害关系人对招标文件有异议的，应当在投标截止时间10日前提出。招标人应当自收到异议之日起3日内做出答复；做出答复前，应当暂停招标投标活动。</w:t>
      </w:r>
    </w:p>
    <w:p w14:paraId="0BB4B0A6">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38.2</w:t>
      </w:r>
      <w:r>
        <w:rPr>
          <w:rFonts w:hint="eastAsia" w:ascii="宋体" w:hAnsi="宋体" w:cs="宋体"/>
          <w:color w:val="auto"/>
          <w:sz w:val="24"/>
          <w:highlight w:val="none"/>
        </w:rPr>
        <w:t>投标人对开标有异议的，应当在开标现场提出，招标人应当当场做出答复，并制作记录。</w:t>
      </w:r>
    </w:p>
    <w:p w14:paraId="6047B99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38.3</w:t>
      </w:r>
      <w:r>
        <w:rPr>
          <w:rFonts w:hint="eastAsia" w:ascii="宋体" w:hAnsi="宋体" w:cs="宋体"/>
          <w:color w:val="auto"/>
          <w:sz w:val="24"/>
          <w:highlight w:val="none"/>
        </w:rPr>
        <w:t>投标人或者其他利害关系人对依法必须招标项目的评标结果有异议的，应当在中标候选人公示期间提出。招标人应当自收到异议之日起3日内做出答复；做出答复前，应当暂停招标投标活动。</w:t>
      </w:r>
    </w:p>
    <w:p w14:paraId="0FA1EA98">
      <w:pPr>
        <w:spacing w:line="360" w:lineRule="auto"/>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提交异议函的方式：加盖单位公章的书面异议函，写明联系人、联系电话、通讯地址等信息，并附相关证明材料和依据，否则不予接收。</w:t>
      </w:r>
    </w:p>
    <w:p w14:paraId="081ECA2C">
      <w:pPr>
        <w:spacing w:line="360" w:lineRule="auto"/>
        <w:ind w:firstLine="500"/>
        <w:rPr>
          <w:rFonts w:hint="eastAsia" w:ascii="宋体" w:hAnsi="宋体" w:eastAsia="宋体" w:cs="宋体"/>
          <w:color w:val="auto"/>
          <w:sz w:val="24"/>
          <w:highlight w:val="none"/>
        </w:rPr>
      </w:pPr>
    </w:p>
    <w:p w14:paraId="5A5B624D">
      <w:pPr>
        <w:spacing w:line="360" w:lineRule="auto"/>
        <w:rPr>
          <w:rFonts w:hint="eastAsia" w:ascii="宋体" w:hAnsi="宋体" w:eastAsia="宋体" w:cs="宋体"/>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14:paraId="1E675380">
      <w:pPr>
        <w:spacing w:line="360" w:lineRule="auto"/>
        <w:rPr>
          <w:rFonts w:hint="eastAsia" w:ascii="宋体" w:hAnsi="宋体" w:eastAsia="宋体" w:cs="宋体"/>
          <w:color w:val="auto"/>
          <w:sz w:val="28"/>
          <w:szCs w:val="28"/>
          <w:highlight w:val="none"/>
        </w:rPr>
      </w:pPr>
    </w:p>
    <w:p w14:paraId="471785BA">
      <w:pPr>
        <w:spacing w:line="360" w:lineRule="auto"/>
        <w:rPr>
          <w:rFonts w:hint="eastAsia" w:ascii="宋体" w:hAnsi="宋体" w:eastAsia="宋体" w:cs="宋体"/>
          <w:color w:val="auto"/>
          <w:sz w:val="28"/>
          <w:szCs w:val="28"/>
          <w:highlight w:val="none"/>
        </w:rPr>
      </w:pPr>
    </w:p>
    <w:p w14:paraId="7BF6E541">
      <w:pPr>
        <w:spacing w:line="360" w:lineRule="auto"/>
        <w:rPr>
          <w:rFonts w:hint="eastAsia" w:ascii="宋体" w:hAnsi="宋体" w:eastAsia="宋体" w:cs="宋体"/>
          <w:color w:val="auto"/>
          <w:sz w:val="28"/>
          <w:szCs w:val="28"/>
          <w:highlight w:val="none"/>
        </w:rPr>
      </w:pPr>
    </w:p>
    <w:p w14:paraId="2845A37B">
      <w:pPr>
        <w:spacing w:line="360" w:lineRule="auto"/>
        <w:rPr>
          <w:rFonts w:hint="eastAsia" w:ascii="宋体" w:hAnsi="宋体" w:eastAsia="宋体" w:cs="宋体"/>
          <w:color w:val="auto"/>
          <w:sz w:val="28"/>
          <w:szCs w:val="28"/>
          <w:highlight w:val="none"/>
        </w:rPr>
      </w:pPr>
    </w:p>
    <w:p w14:paraId="14FB4EDD">
      <w:pPr>
        <w:spacing w:line="360" w:lineRule="auto"/>
        <w:rPr>
          <w:rFonts w:hint="eastAsia" w:ascii="宋体" w:hAnsi="宋体" w:eastAsia="宋体" w:cs="宋体"/>
          <w:color w:val="auto"/>
          <w:sz w:val="28"/>
          <w:szCs w:val="28"/>
          <w:highlight w:val="none"/>
        </w:rPr>
      </w:pPr>
    </w:p>
    <w:p w14:paraId="03FB863F">
      <w:pPr>
        <w:spacing w:line="360" w:lineRule="auto"/>
        <w:rPr>
          <w:rFonts w:hint="eastAsia" w:ascii="宋体" w:hAnsi="宋体" w:eastAsia="宋体" w:cs="宋体"/>
          <w:color w:val="auto"/>
          <w:sz w:val="28"/>
          <w:szCs w:val="28"/>
          <w:highlight w:val="none"/>
        </w:rPr>
      </w:pPr>
    </w:p>
    <w:p w14:paraId="00FF1F6E">
      <w:pPr>
        <w:spacing w:line="360" w:lineRule="auto"/>
        <w:rPr>
          <w:rFonts w:hint="eastAsia" w:ascii="宋体" w:hAnsi="宋体" w:eastAsia="宋体" w:cs="宋体"/>
          <w:color w:val="auto"/>
          <w:sz w:val="28"/>
          <w:szCs w:val="28"/>
          <w:highlight w:val="none"/>
        </w:rPr>
      </w:pPr>
    </w:p>
    <w:p w14:paraId="5316202F">
      <w:pPr>
        <w:spacing w:line="360" w:lineRule="auto"/>
        <w:rPr>
          <w:rFonts w:hint="eastAsia" w:ascii="宋体" w:hAnsi="宋体" w:eastAsia="宋体" w:cs="宋体"/>
          <w:color w:val="auto"/>
          <w:sz w:val="28"/>
          <w:szCs w:val="28"/>
          <w:highlight w:val="none"/>
        </w:rPr>
      </w:pPr>
    </w:p>
    <w:p w14:paraId="6FC30810">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44" w:name="_Toc343510554"/>
      <w:bookmarkStart w:id="45" w:name="_Toc344394140"/>
      <w:bookmarkStart w:id="46" w:name="_Toc349568453"/>
      <w:bookmarkStart w:id="47" w:name="_Toc349568712"/>
      <w:bookmarkStart w:id="48" w:name="_Toc16982"/>
      <w:bookmarkStart w:id="49" w:name="_Toc20313"/>
      <w:bookmarkStart w:id="50" w:name="_Toc350515649"/>
      <w:bookmarkStart w:id="51" w:name="_Toc17991"/>
      <w:r>
        <w:rPr>
          <w:rFonts w:hint="eastAsia" w:ascii="宋体" w:hAnsi="宋体" w:eastAsia="宋体" w:cs="宋体"/>
          <w:color w:val="auto"/>
          <w:w w:val="90"/>
          <w:highlight w:val="none"/>
        </w:rPr>
        <w:t>合同</w:t>
      </w:r>
      <w:bookmarkEnd w:id="44"/>
      <w:bookmarkEnd w:id="45"/>
      <w:bookmarkEnd w:id="46"/>
      <w:bookmarkEnd w:id="47"/>
      <w:r>
        <w:rPr>
          <w:rFonts w:hint="eastAsia" w:ascii="宋体" w:hAnsi="宋体" w:eastAsia="宋体" w:cs="宋体"/>
          <w:color w:val="auto"/>
          <w:w w:val="90"/>
          <w:highlight w:val="none"/>
        </w:rPr>
        <w:t>主要条款</w:t>
      </w:r>
      <w:bookmarkEnd w:id="48"/>
      <w:bookmarkEnd w:id="49"/>
      <w:bookmarkEnd w:id="50"/>
      <w:bookmarkEnd w:id="51"/>
    </w:p>
    <w:p w14:paraId="15DF12E8">
      <w:pPr>
        <w:pStyle w:val="2"/>
        <w:spacing w:line="360" w:lineRule="auto"/>
        <w:jc w:val="center"/>
        <w:rPr>
          <w:rFonts w:hint="eastAsia" w:ascii="宋体" w:hAnsi="宋体" w:eastAsia="宋体" w:cs="宋体"/>
          <w:color w:val="auto"/>
          <w:w w:val="90"/>
          <w:sz w:val="28"/>
          <w:szCs w:val="28"/>
          <w:highlight w:val="none"/>
        </w:rPr>
      </w:pPr>
      <w:bookmarkStart w:id="52" w:name="_Toc13064"/>
      <w:bookmarkStart w:id="53" w:name="_Toc14503"/>
      <w:bookmarkStart w:id="54" w:name="_Toc20137"/>
      <w:bookmarkStart w:id="55" w:name="_Toc24523"/>
      <w:bookmarkStart w:id="56" w:name="_Toc23351"/>
      <w:bookmarkStart w:id="57" w:name="_Toc12009"/>
      <w:bookmarkStart w:id="58" w:name="_Toc20217"/>
      <w:bookmarkStart w:id="59" w:name="_Toc11346"/>
      <w:bookmarkStart w:id="60" w:name="_Toc19053"/>
      <w:r>
        <w:rPr>
          <w:rFonts w:hint="eastAsia" w:ascii="宋体" w:hAnsi="宋体" w:eastAsia="宋体" w:cs="宋体"/>
          <w:color w:val="auto"/>
          <w:w w:val="90"/>
          <w:sz w:val="28"/>
          <w:szCs w:val="28"/>
          <w:highlight w:val="none"/>
        </w:rPr>
        <w:t>（以实际签订为准）</w:t>
      </w:r>
      <w:bookmarkEnd w:id="52"/>
      <w:bookmarkEnd w:id="53"/>
      <w:bookmarkEnd w:id="54"/>
      <w:bookmarkEnd w:id="55"/>
      <w:bookmarkEnd w:id="56"/>
      <w:bookmarkEnd w:id="57"/>
      <w:bookmarkEnd w:id="58"/>
      <w:bookmarkEnd w:id="59"/>
      <w:bookmarkEnd w:id="60"/>
    </w:p>
    <w:p w14:paraId="6C1F3B42">
      <w:pPr>
        <w:spacing w:line="360" w:lineRule="auto"/>
        <w:rPr>
          <w:rFonts w:hint="eastAsia" w:ascii="宋体" w:hAnsi="宋体" w:eastAsia="宋体" w:cs="宋体"/>
          <w:color w:val="auto"/>
          <w:highlight w:val="none"/>
        </w:rPr>
      </w:pPr>
    </w:p>
    <w:p w14:paraId="3B9E7309">
      <w:pPr>
        <w:pStyle w:val="3"/>
        <w:ind w:firstLine="0" w:firstLineChars="0"/>
        <w:rPr>
          <w:rFonts w:ascii="宋体"/>
          <w:color w:val="auto"/>
          <w:sz w:val="24"/>
          <w:highlight w:val="none"/>
        </w:rPr>
      </w:pPr>
      <w:r>
        <w:rPr>
          <w:rFonts w:hint="eastAsia" w:ascii="宋体" w:hAnsi="宋体" w:eastAsia="宋体" w:cs="宋体"/>
          <w:color w:val="auto"/>
          <w:highlight w:val="none"/>
        </w:rPr>
        <w:br w:type="page"/>
      </w:r>
    </w:p>
    <w:p w14:paraId="70CD76A7">
      <w:pPr>
        <w:rPr>
          <w:rFonts w:hint="eastAsia" w:ascii="宋体" w:hAnsi="宋体" w:eastAsia="宋体" w:cs="宋体"/>
          <w:color w:val="auto"/>
          <w:sz w:val="24"/>
          <w:highlight w:val="none"/>
        </w:rPr>
      </w:pPr>
    </w:p>
    <w:p w14:paraId="0BFE99BD">
      <w:pPr>
        <w:spacing w:line="360" w:lineRule="auto"/>
        <w:rPr>
          <w:rFonts w:hint="eastAsia" w:ascii="宋体" w:hAnsi="宋体" w:eastAsia="宋体" w:cs="宋体"/>
          <w:b/>
          <w:bCs/>
          <w:color w:val="auto"/>
          <w:sz w:val="30"/>
          <w:szCs w:val="30"/>
          <w:highlight w:val="none"/>
        </w:rPr>
      </w:pPr>
      <w:r>
        <w:rPr>
          <w:rFonts w:hint="eastAsia" w:ascii="宋体" w:hAnsi="宋体" w:eastAsia="宋体" w:cs="宋体"/>
          <w:b/>
          <w:color w:val="auto"/>
          <w:szCs w:val="32"/>
          <w:highlight w:val="none"/>
        </w:rPr>
        <w:t>（ＧＦ－2012－0202）</w:t>
      </w:r>
    </w:p>
    <w:p w14:paraId="69C787DB">
      <w:pPr>
        <w:spacing w:line="360" w:lineRule="auto"/>
        <w:jc w:val="center"/>
        <w:rPr>
          <w:rFonts w:hint="eastAsia" w:ascii="宋体" w:hAnsi="宋体" w:eastAsia="宋体" w:cs="宋体"/>
          <w:b/>
          <w:bCs/>
          <w:color w:val="auto"/>
          <w:sz w:val="48"/>
          <w:szCs w:val="48"/>
          <w:highlight w:val="none"/>
        </w:rPr>
      </w:pPr>
    </w:p>
    <w:p w14:paraId="0CE4E101">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建设工程监理合同</w:t>
      </w:r>
    </w:p>
    <w:p w14:paraId="10891072">
      <w:pPr>
        <w:spacing w:line="360" w:lineRule="auto"/>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合同编号：（    ）年第（    ）号</w:t>
      </w:r>
    </w:p>
    <w:p w14:paraId="523FB290">
      <w:pPr>
        <w:spacing w:line="360" w:lineRule="auto"/>
        <w:jc w:val="center"/>
        <w:rPr>
          <w:rFonts w:hint="eastAsia" w:ascii="宋体" w:hAnsi="宋体" w:eastAsia="宋体" w:cs="宋体"/>
          <w:b/>
          <w:bCs/>
          <w:color w:val="auto"/>
          <w:sz w:val="24"/>
          <w:highlight w:val="none"/>
        </w:rPr>
      </w:pPr>
    </w:p>
    <w:p w14:paraId="0DBA260A">
      <w:pPr>
        <w:spacing w:line="360" w:lineRule="auto"/>
        <w:jc w:val="center"/>
        <w:rPr>
          <w:rFonts w:hint="eastAsia" w:ascii="宋体" w:hAnsi="宋体" w:eastAsia="宋体" w:cs="宋体"/>
          <w:b/>
          <w:bCs/>
          <w:color w:val="auto"/>
          <w:sz w:val="24"/>
          <w:highlight w:val="none"/>
        </w:rPr>
      </w:pPr>
    </w:p>
    <w:p w14:paraId="67D068A6">
      <w:pPr>
        <w:pStyle w:val="4"/>
        <w:rPr>
          <w:rFonts w:hint="eastAsia" w:ascii="宋体" w:hAnsi="宋体" w:eastAsia="宋体" w:cs="宋体"/>
          <w:color w:val="auto"/>
          <w:highlight w:val="none"/>
        </w:rPr>
      </w:pPr>
    </w:p>
    <w:p w14:paraId="430CF1CF">
      <w:pPr>
        <w:spacing w:before="312" w:beforeLines="100" w:line="360" w:lineRule="auto"/>
        <w:ind w:left="1605" w:hanging="1408" w:hangingChars="501"/>
        <w:rPr>
          <w:rFonts w:hint="default" w:ascii="宋体" w:hAnsi="宋体" w:eastAsia="宋体" w:cs="宋体"/>
          <w:b/>
          <w:bCs/>
          <w:color w:val="auto"/>
          <w:sz w:val="28"/>
          <w:szCs w:val="28"/>
          <w:highlight w:val="none"/>
          <w:u w:val="single"/>
          <w:lang w:val="en-US"/>
        </w:rPr>
      </w:pPr>
      <w:r>
        <w:rPr>
          <w:rFonts w:hint="eastAsia" w:ascii="宋体" w:hAnsi="宋体" w:eastAsia="宋体" w:cs="宋体"/>
          <w:b/>
          <w:bCs/>
          <w:color w:val="auto"/>
          <w:sz w:val="28"/>
          <w:szCs w:val="28"/>
          <w:highlight w:val="none"/>
        </w:rPr>
        <w:t>项目名称：</w:t>
      </w:r>
      <w:r>
        <w:rPr>
          <w:rFonts w:hint="eastAsia" w:ascii="宋体" w:hAnsi="宋体" w:eastAsia="宋体" w:cs="宋体"/>
          <w:b/>
          <w:bCs/>
          <w:color w:val="auto"/>
          <w:sz w:val="28"/>
          <w:szCs w:val="28"/>
          <w:highlight w:val="none"/>
          <w:u w:val="single"/>
          <w:lang w:val="en-US" w:eastAsia="zh-CN"/>
        </w:rPr>
        <w:t>2024年度营口市历史遗留废弃矿山治理恢复项目监理</w:t>
      </w:r>
    </w:p>
    <w:p w14:paraId="406CDD9D">
      <w:pPr>
        <w:spacing w:before="312" w:beforeLines="100" w:line="360" w:lineRule="auto"/>
        <w:ind w:left="2566" w:hanging="2252" w:hangingChars="80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委托单位：</w:t>
      </w:r>
      <w:r>
        <w:rPr>
          <w:rFonts w:hint="eastAsia" w:ascii="宋体" w:hAnsi="宋体" w:eastAsia="宋体" w:cs="宋体"/>
          <w:b/>
          <w:bCs/>
          <w:color w:val="auto"/>
          <w:sz w:val="28"/>
          <w:szCs w:val="28"/>
          <w:highlight w:val="none"/>
          <w:u w:val="single"/>
          <w:lang w:val="en-US" w:eastAsia="zh-CN"/>
        </w:rPr>
        <w:t xml:space="preserve">盖州市自然资源局                 </w:t>
      </w:r>
    </w:p>
    <w:p w14:paraId="6A3040DA">
      <w:pPr>
        <w:spacing w:before="312" w:beforeLines="100" w:line="360" w:lineRule="auto"/>
        <w:ind w:left="2566" w:hanging="2252" w:hangingChars="801"/>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监理单位：</w:t>
      </w:r>
      <w:r>
        <w:rPr>
          <w:rFonts w:hint="eastAsia" w:ascii="宋体" w:hAnsi="宋体" w:eastAsia="宋体" w:cs="宋体"/>
          <w:b/>
          <w:bCs/>
          <w:color w:val="auto"/>
          <w:sz w:val="28"/>
          <w:szCs w:val="28"/>
          <w:highlight w:val="none"/>
          <w:u w:val="single"/>
        </w:rPr>
        <w:t xml:space="preserve">                                   </w:t>
      </w:r>
    </w:p>
    <w:p w14:paraId="1F60C789">
      <w:pPr>
        <w:spacing w:line="360" w:lineRule="auto"/>
        <w:rPr>
          <w:rFonts w:hint="eastAsia" w:ascii="宋体" w:hAnsi="宋体" w:eastAsia="宋体" w:cs="宋体"/>
          <w:b/>
          <w:bCs/>
          <w:color w:val="auto"/>
          <w:sz w:val="28"/>
          <w:szCs w:val="28"/>
          <w:highlight w:val="none"/>
        </w:rPr>
      </w:pPr>
    </w:p>
    <w:p w14:paraId="3E6EF6F0">
      <w:pPr>
        <w:pStyle w:val="11"/>
        <w:rPr>
          <w:rFonts w:hint="eastAsia" w:ascii="宋体" w:hAnsi="宋体" w:eastAsia="宋体" w:cs="宋体"/>
          <w:b/>
          <w:bCs/>
          <w:color w:val="auto"/>
          <w:sz w:val="28"/>
          <w:szCs w:val="28"/>
          <w:highlight w:val="none"/>
        </w:rPr>
      </w:pPr>
    </w:p>
    <w:p w14:paraId="36CDC52E">
      <w:pPr>
        <w:pStyle w:val="12"/>
        <w:rPr>
          <w:rFonts w:hint="eastAsia" w:ascii="宋体" w:hAnsi="宋体" w:eastAsia="宋体" w:cs="宋体"/>
          <w:b/>
          <w:bCs/>
          <w:color w:val="auto"/>
          <w:sz w:val="28"/>
          <w:szCs w:val="28"/>
          <w:highlight w:val="none"/>
        </w:rPr>
      </w:pPr>
    </w:p>
    <w:p w14:paraId="7E599DEA">
      <w:pPr>
        <w:pStyle w:val="12"/>
        <w:rPr>
          <w:rFonts w:hint="eastAsia" w:ascii="宋体" w:hAnsi="宋体" w:eastAsia="宋体" w:cs="宋体"/>
          <w:b/>
          <w:bCs/>
          <w:color w:val="auto"/>
          <w:sz w:val="28"/>
          <w:szCs w:val="28"/>
          <w:highlight w:val="none"/>
        </w:rPr>
      </w:pPr>
    </w:p>
    <w:p w14:paraId="7916D3D2">
      <w:pPr>
        <w:pStyle w:val="12"/>
        <w:rPr>
          <w:rFonts w:hint="eastAsia" w:ascii="宋体" w:hAnsi="宋体" w:eastAsia="宋体" w:cs="宋体"/>
          <w:b/>
          <w:bCs/>
          <w:color w:val="auto"/>
          <w:sz w:val="28"/>
          <w:szCs w:val="28"/>
          <w:highlight w:val="none"/>
        </w:rPr>
      </w:pPr>
    </w:p>
    <w:p w14:paraId="45E1143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住房和城乡建设部</w:t>
      </w:r>
    </w:p>
    <w:p w14:paraId="1EF49EA7">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制定</w:t>
      </w:r>
    </w:p>
    <w:p w14:paraId="34003236">
      <w:pPr>
        <w:spacing w:line="360" w:lineRule="auto"/>
        <w:jc w:val="center"/>
        <w:rPr>
          <w:rFonts w:hint="eastAsia" w:ascii="宋体" w:hAnsi="宋体" w:eastAsia="宋体" w:cs="宋体"/>
          <w:b/>
          <w:bCs/>
          <w:color w:val="auto"/>
          <w:sz w:val="28"/>
          <w:szCs w:val="28"/>
          <w:highlight w:val="none"/>
        </w:rPr>
        <w:sectPr>
          <w:footerReference r:id="rId9"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bCs/>
          <w:color w:val="auto"/>
          <w:sz w:val="28"/>
          <w:szCs w:val="28"/>
          <w:highlight w:val="none"/>
        </w:rPr>
        <w:t xml:space="preserve"> 国家工商行政管理总局</w:t>
      </w:r>
    </w:p>
    <w:p w14:paraId="3DBC65ED">
      <w:pPr>
        <w:spacing w:line="360" w:lineRule="auto"/>
        <w:jc w:val="center"/>
        <w:rPr>
          <w:rFonts w:ascii="宋体" w:hAnsi="宋体" w:cs="Times New Roman"/>
          <w:b/>
          <w:bCs/>
          <w:color w:val="auto"/>
          <w:sz w:val="36"/>
          <w:szCs w:val="36"/>
          <w:highlight w:val="none"/>
        </w:rPr>
      </w:pPr>
      <w:r>
        <w:rPr>
          <w:rFonts w:hint="eastAsia" w:ascii="宋体" w:hAnsi="宋体" w:cs="Times New Roman"/>
          <w:b/>
          <w:bCs/>
          <w:color w:val="auto"/>
          <w:sz w:val="36"/>
          <w:szCs w:val="36"/>
          <w:highlight w:val="none"/>
        </w:rPr>
        <w:t>第一部分  协议书</w:t>
      </w:r>
    </w:p>
    <w:p w14:paraId="39CAF780">
      <w:pPr>
        <w:adjustRightInd w:val="0"/>
        <w:snapToGrid w:val="0"/>
        <w:spacing w:line="360" w:lineRule="auto"/>
        <w:ind w:firstLine="326" w:firstLineChars="250"/>
        <w:rPr>
          <w:rFonts w:ascii="宋体" w:hAnsi="宋体" w:cs="Times New Roman"/>
          <w:b/>
          <w:color w:val="auto"/>
          <w:sz w:val="13"/>
          <w:szCs w:val="13"/>
          <w:highlight w:val="none"/>
        </w:rPr>
      </w:pPr>
    </w:p>
    <w:p w14:paraId="2547DEDB">
      <w:pPr>
        <w:adjustRightInd w:val="0"/>
        <w:snapToGrid w:val="0"/>
        <w:spacing w:line="360" w:lineRule="auto"/>
        <w:ind w:firstLine="559" w:firstLineChars="199"/>
        <w:rPr>
          <w:rFonts w:hint="default" w:ascii="宋体" w:hAnsi="宋体" w:cs="Times New Roman"/>
          <w:b/>
          <w:color w:val="auto"/>
          <w:sz w:val="28"/>
          <w:szCs w:val="28"/>
          <w:highlight w:val="none"/>
          <w:u w:val="single"/>
          <w:lang w:val="en-US"/>
        </w:rPr>
      </w:pPr>
      <w:r>
        <w:rPr>
          <w:rFonts w:hint="eastAsia" w:ascii="宋体" w:hAnsi="宋体" w:cs="Times New Roman"/>
          <w:b/>
          <w:color w:val="auto"/>
          <w:sz w:val="28"/>
          <w:szCs w:val="28"/>
          <w:highlight w:val="none"/>
        </w:rPr>
        <w:t>委托人（全称）：</w:t>
      </w:r>
      <w:r>
        <w:rPr>
          <w:rFonts w:hint="eastAsia" w:ascii="宋体" w:hAnsi="宋体" w:eastAsia="宋体" w:cs="宋体"/>
          <w:b/>
          <w:bCs/>
          <w:color w:val="auto"/>
          <w:sz w:val="28"/>
          <w:szCs w:val="28"/>
          <w:highlight w:val="none"/>
          <w:u w:val="single"/>
          <w:lang w:val="en-US" w:eastAsia="zh-CN"/>
        </w:rPr>
        <w:t>盖州市自然资源局</w:t>
      </w:r>
      <w:r>
        <w:rPr>
          <w:rFonts w:hint="eastAsia" w:ascii="宋体" w:hAnsi="宋体" w:cs="宋体"/>
          <w:b/>
          <w:bCs/>
          <w:color w:val="auto"/>
          <w:sz w:val="28"/>
          <w:szCs w:val="28"/>
          <w:highlight w:val="none"/>
          <w:u w:val="single"/>
          <w:lang w:val="en-US" w:eastAsia="zh-CN"/>
        </w:rPr>
        <w:t xml:space="preserve">                      </w:t>
      </w:r>
    </w:p>
    <w:p w14:paraId="4D5E31B6">
      <w:pPr>
        <w:adjustRightInd w:val="0"/>
        <w:snapToGrid w:val="0"/>
        <w:spacing w:line="360" w:lineRule="auto"/>
        <w:ind w:firstLine="562" w:firstLineChars="200"/>
        <w:rPr>
          <w:rFonts w:ascii="宋体" w:hAnsi="宋体" w:cs="Times New Roman"/>
          <w:b/>
          <w:color w:val="auto"/>
          <w:sz w:val="28"/>
          <w:szCs w:val="28"/>
          <w:highlight w:val="none"/>
          <w:u w:val="single"/>
        </w:rPr>
      </w:pPr>
      <w:r>
        <w:rPr>
          <w:rFonts w:hint="eastAsia" w:ascii="宋体" w:hAnsi="宋体" w:cs="Times New Roman"/>
          <w:b/>
          <w:color w:val="auto"/>
          <w:sz w:val="28"/>
          <w:szCs w:val="28"/>
          <w:highlight w:val="none"/>
        </w:rPr>
        <w:t>监理人（全称）：</w:t>
      </w:r>
      <w:r>
        <w:rPr>
          <w:rFonts w:hint="eastAsia" w:ascii="宋体" w:hAnsi="宋体" w:cs="Times New Roman"/>
          <w:b/>
          <w:color w:val="auto"/>
          <w:sz w:val="28"/>
          <w:szCs w:val="28"/>
          <w:highlight w:val="none"/>
          <w:u w:val="single"/>
        </w:rPr>
        <w:t xml:space="preserve">                                      </w:t>
      </w:r>
    </w:p>
    <w:p w14:paraId="1B16687C">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根据《中华人民共和国民法典》及其他有关法律、法规，遵循平等、自愿、公平和诚信的原则，双方就下述工程委托监理与相关服务事项协商一致，订立本合同。</w:t>
      </w:r>
    </w:p>
    <w:p w14:paraId="30A70C74">
      <w:pPr>
        <w:spacing w:line="360" w:lineRule="auto"/>
        <w:ind w:firstLine="557" w:firstLineChars="198"/>
        <w:outlineLvl w:val="0"/>
        <w:rPr>
          <w:rFonts w:ascii="宋体" w:hAnsi="宋体" w:cs="Times New Roman"/>
          <w:b/>
          <w:color w:val="auto"/>
          <w:sz w:val="28"/>
          <w:szCs w:val="28"/>
          <w:highlight w:val="none"/>
        </w:rPr>
      </w:pPr>
      <w:bookmarkStart w:id="61" w:name="_Toc19819"/>
      <w:bookmarkStart w:id="62" w:name="_Toc10710"/>
      <w:r>
        <w:rPr>
          <w:rFonts w:hint="eastAsia" w:ascii="宋体" w:hAnsi="宋体" w:cs="Times New Roman"/>
          <w:b/>
          <w:color w:val="auto"/>
          <w:sz w:val="28"/>
          <w:szCs w:val="28"/>
          <w:highlight w:val="none"/>
        </w:rPr>
        <w:t>一、工程概况</w:t>
      </w:r>
      <w:bookmarkEnd w:id="61"/>
      <w:bookmarkEnd w:id="62"/>
    </w:p>
    <w:p w14:paraId="368446E3">
      <w:pPr>
        <w:adjustRightInd w:val="0"/>
        <w:snapToGrid w:val="0"/>
        <w:spacing w:line="360" w:lineRule="auto"/>
        <w:ind w:left="2184" w:leftChars="303" w:hanging="1548" w:hangingChars="553"/>
        <w:rPr>
          <w:rFonts w:hint="eastAsia" w:ascii="宋体" w:hAnsi="宋体" w:cs="Times New Roman"/>
          <w:color w:val="auto"/>
          <w:sz w:val="28"/>
          <w:szCs w:val="28"/>
          <w:highlight w:val="none"/>
          <w:u w:val="single"/>
        </w:rPr>
      </w:pPr>
      <w:r>
        <w:rPr>
          <w:rFonts w:hint="eastAsia" w:ascii="宋体" w:hAnsi="宋体" w:cs="Times New Roman"/>
          <w:color w:val="auto"/>
          <w:sz w:val="28"/>
          <w:szCs w:val="28"/>
          <w:highlight w:val="none"/>
        </w:rPr>
        <w:t>1.工程名称：</w:t>
      </w:r>
      <w:r>
        <w:rPr>
          <w:rFonts w:hint="eastAsia" w:ascii="宋体" w:hAnsi="宋体" w:cs="Times New Roman"/>
          <w:color w:val="auto"/>
          <w:sz w:val="28"/>
          <w:szCs w:val="28"/>
          <w:highlight w:val="none"/>
          <w:u w:val="single"/>
          <w:lang w:val="en-US" w:eastAsia="zh-CN"/>
        </w:rPr>
        <w:t>2024年度营口市历史遗留废弃矿山治理恢复项目监理</w:t>
      </w:r>
      <w:r>
        <w:rPr>
          <w:rFonts w:hint="eastAsia" w:ascii="宋体" w:hAnsi="宋体" w:cs="Times New Roman"/>
          <w:color w:val="auto"/>
          <w:sz w:val="28"/>
          <w:szCs w:val="28"/>
          <w:highlight w:val="none"/>
          <w:u w:val="single"/>
        </w:rPr>
        <w:t>；</w:t>
      </w:r>
    </w:p>
    <w:p w14:paraId="6606B280">
      <w:pPr>
        <w:adjustRightInd w:val="0"/>
        <w:snapToGrid w:val="0"/>
        <w:spacing w:line="360" w:lineRule="auto"/>
        <w:ind w:left="2744" w:leftChars="303" w:hanging="2108" w:hangingChars="753"/>
        <w:rPr>
          <w:rFonts w:ascii="宋体" w:hAnsi="宋体" w:cs="Times New Roman"/>
          <w:b/>
          <w:color w:val="auto"/>
          <w:sz w:val="28"/>
          <w:szCs w:val="28"/>
          <w:highlight w:val="none"/>
          <w:u w:val="single"/>
        </w:rPr>
      </w:pPr>
      <w:r>
        <w:rPr>
          <w:rFonts w:hint="eastAsia" w:ascii="宋体" w:hAnsi="宋体" w:cs="Times New Roman"/>
          <w:color w:val="auto"/>
          <w:sz w:val="28"/>
          <w:szCs w:val="28"/>
          <w:highlight w:val="none"/>
        </w:rPr>
        <w:t>2.工程地点：</w:t>
      </w:r>
      <w:r>
        <w:rPr>
          <w:rFonts w:hint="eastAsia" w:ascii="宋体" w:hAnsi="宋体" w:cs="Times New Roman"/>
          <w:color w:val="auto"/>
          <w:sz w:val="28"/>
          <w:szCs w:val="28"/>
          <w:highlight w:val="none"/>
          <w:u w:val="single"/>
          <w:lang w:val="en-US" w:eastAsia="zh-CN"/>
        </w:rPr>
        <w:t>营口盖州市陈屯镇、杨运镇、二台乡、东城街道、归州街道、九寨镇、青石岭镇、沙岗镇、太阳升街道、团山街道、卧龙泉镇、西海街道、小石棚乡、徐屯镇、榜式堡镇、什字街镇共16个乡镇。</w:t>
      </w:r>
    </w:p>
    <w:p w14:paraId="5EA2D305">
      <w:pPr>
        <w:numPr>
          <w:ilvl w:val="0"/>
          <w:numId w:val="0"/>
        </w:numPr>
        <w:tabs>
          <w:tab w:val="left" w:pos="993"/>
          <w:tab w:val="left" w:pos="1134"/>
        </w:tabs>
        <w:adjustRightInd w:val="0"/>
        <w:snapToGrid w:val="0"/>
        <w:spacing w:line="640" w:lineRule="exact"/>
        <w:ind w:left="2527" w:leftChars="270" w:hanging="1960" w:hangingChars="700"/>
        <w:rPr>
          <w:rFonts w:hint="eastAsia" w:ascii="宋体" w:hAnsi="宋体" w:eastAsia="宋体" w:cs="宋体"/>
          <w:color w:val="auto"/>
          <w:sz w:val="28"/>
          <w:szCs w:val="28"/>
          <w:highlight w:val="none"/>
        </w:rPr>
      </w:pPr>
      <w:r>
        <w:rPr>
          <w:rFonts w:hint="eastAsia" w:ascii="宋体" w:hAnsi="宋体" w:cs="Times New Roman"/>
          <w:color w:val="auto"/>
          <w:sz w:val="28"/>
          <w:szCs w:val="28"/>
          <w:highlight w:val="none"/>
        </w:rPr>
        <w:t>3.工程规模：</w:t>
      </w:r>
      <w:r>
        <w:rPr>
          <w:rFonts w:hint="eastAsia" w:ascii="宋体" w:hAnsi="宋体" w:cs="Times New Roman"/>
          <w:color w:val="auto"/>
          <w:sz w:val="28"/>
          <w:szCs w:val="28"/>
          <w:highlight w:val="none"/>
          <w:u w:val="single"/>
          <w:lang w:val="en-US" w:eastAsia="zh-CN"/>
        </w:rPr>
        <w:t>2024年度营口市历史遗留废弃矿山治理恢复项目监理，主要治理内容包括危岩清理工程、场地平整工程、警示防护工程、截排水工程、客土工程、植被恢复工程、养护工程等。</w:t>
      </w:r>
    </w:p>
    <w:p w14:paraId="01C4FE4A">
      <w:pPr>
        <w:adjustRightInd w:val="0"/>
        <w:snapToGrid w:val="0"/>
        <w:spacing w:line="360" w:lineRule="auto"/>
        <w:ind w:left="2190" w:leftChars="303" w:hanging="1554" w:hangingChars="553"/>
        <w:rPr>
          <w:rFonts w:hint="eastAsia" w:ascii="宋体" w:hAnsi="宋体" w:cs="Times New Roman"/>
          <w:b/>
          <w:color w:val="auto"/>
          <w:sz w:val="28"/>
          <w:szCs w:val="28"/>
          <w:highlight w:val="none"/>
          <w:u w:val="single"/>
        </w:rPr>
      </w:pPr>
    </w:p>
    <w:p w14:paraId="28B8C6EE">
      <w:pPr>
        <w:adjustRightInd w:val="0"/>
        <w:snapToGrid w:val="0"/>
        <w:spacing w:line="360" w:lineRule="auto"/>
        <w:ind w:left="2311" w:leftChars="305" w:hanging="1671" w:hangingChars="597"/>
        <w:rPr>
          <w:rFonts w:ascii="宋体" w:hAnsi="宋体" w:cs="Times New Roman"/>
          <w:color w:val="auto"/>
          <w:sz w:val="28"/>
          <w:szCs w:val="28"/>
          <w:highlight w:val="none"/>
        </w:rPr>
      </w:pPr>
      <w:r>
        <w:rPr>
          <w:rFonts w:hint="eastAsia" w:ascii="宋体" w:hAnsi="宋体" w:cs="Times New Roman"/>
          <w:color w:val="auto"/>
          <w:sz w:val="28"/>
          <w:szCs w:val="28"/>
          <w:highlight w:val="none"/>
        </w:rPr>
        <w:t>4.工程概算投资额或建筑安装工程费：</w:t>
      </w:r>
      <w:r>
        <w:rPr>
          <w:rFonts w:hint="eastAsia" w:ascii="宋体" w:hAnsi="宋体" w:cs="Times New Roman"/>
          <w:b/>
          <w:color w:val="auto"/>
          <w:sz w:val="28"/>
          <w:szCs w:val="28"/>
          <w:highlight w:val="none"/>
          <w:u w:val="single"/>
        </w:rPr>
        <w:t xml:space="preserve">   /   </w:t>
      </w:r>
      <w:r>
        <w:rPr>
          <w:rFonts w:hint="eastAsia" w:ascii="宋体" w:hAnsi="宋体" w:cs="Times New Roman"/>
          <w:color w:val="auto"/>
          <w:sz w:val="28"/>
          <w:szCs w:val="28"/>
          <w:highlight w:val="none"/>
        </w:rPr>
        <w:t>。</w:t>
      </w:r>
    </w:p>
    <w:p w14:paraId="504A2FAB">
      <w:pPr>
        <w:spacing w:line="360" w:lineRule="auto"/>
        <w:ind w:firstLine="557" w:firstLineChars="198"/>
        <w:rPr>
          <w:rFonts w:ascii="宋体" w:hAnsi="宋体" w:cs="Times New Roman"/>
          <w:b/>
          <w:color w:val="auto"/>
          <w:sz w:val="28"/>
          <w:szCs w:val="28"/>
          <w:highlight w:val="none"/>
        </w:rPr>
      </w:pPr>
      <w:r>
        <w:rPr>
          <w:rFonts w:hint="eastAsia" w:ascii="宋体" w:hAnsi="宋体" w:cs="Times New Roman"/>
          <w:b/>
          <w:color w:val="auto"/>
          <w:sz w:val="28"/>
          <w:szCs w:val="28"/>
          <w:highlight w:val="none"/>
        </w:rPr>
        <w:t>二、词语限定</w:t>
      </w:r>
    </w:p>
    <w:p w14:paraId="50C01631">
      <w:pPr>
        <w:adjustRightInd w:val="0"/>
        <w:snapToGrid w:val="0"/>
        <w:spacing w:line="360" w:lineRule="auto"/>
        <w:ind w:firstLine="554" w:firstLineChars="198"/>
        <w:rPr>
          <w:rFonts w:ascii="宋体" w:hAnsi="宋体" w:cs="Times New Roman"/>
          <w:color w:val="auto"/>
          <w:sz w:val="28"/>
          <w:szCs w:val="28"/>
          <w:highlight w:val="none"/>
        </w:rPr>
      </w:pPr>
      <w:r>
        <w:rPr>
          <w:rFonts w:hint="eastAsia" w:ascii="宋体" w:hAnsi="宋体" w:cs="Times New Roman"/>
          <w:color w:val="auto"/>
          <w:sz w:val="28"/>
          <w:szCs w:val="28"/>
          <w:highlight w:val="none"/>
        </w:rPr>
        <w:t>协议书中相关词语的含义与通用条件中的定义与解释相同。</w:t>
      </w:r>
    </w:p>
    <w:p w14:paraId="5F50E251">
      <w:pPr>
        <w:spacing w:line="360" w:lineRule="auto"/>
        <w:ind w:firstLine="557" w:firstLineChars="198"/>
        <w:outlineLvl w:val="0"/>
        <w:rPr>
          <w:rFonts w:ascii="宋体" w:hAnsi="宋体" w:cs="Times New Roman"/>
          <w:b/>
          <w:color w:val="auto"/>
          <w:sz w:val="28"/>
          <w:szCs w:val="28"/>
          <w:highlight w:val="none"/>
        </w:rPr>
      </w:pPr>
      <w:bookmarkStart w:id="63" w:name="_Toc23092"/>
      <w:bookmarkStart w:id="64" w:name="_Toc13573"/>
      <w:r>
        <w:rPr>
          <w:rFonts w:hint="eastAsia" w:ascii="宋体" w:hAnsi="宋体" w:cs="Times New Roman"/>
          <w:b/>
          <w:color w:val="auto"/>
          <w:sz w:val="28"/>
          <w:szCs w:val="28"/>
          <w:highlight w:val="none"/>
        </w:rPr>
        <w:t>三、组成本合同的文件</w:t>
      </w:r>
      <w:bookmarkEnd w:id="63"/>
      <w:bookmarkEnd w:id="64"/>
    </w:p>
    <w:p w14:paraId="444AD66F">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 协议书；</w:t>
      </w:r>
    </w:p>
    <w:p w14:paraId="024F04F8">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 中标通知书（适用于招标工程）或委托书（适用于非招标工程）；</w:t>
      </w:r>
    </w:p>
    <w:p w14:paraId="287D1ED0">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3. 投标文件（适用于招标工程）或监理与相关服务建议书（适用于非招标工程）；</w:t>
      </w:r>
    </w:p>
    <w:p w14:paraId="07D13293">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4. 专用条件；</w:t>
      </w:r>
    </w:p>
    <w:p w14:paraId="720E74BF">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5. 通用条件；</w:t>
      </w:r>
    </w:p>
    <w:p w14:paraId="091DCA45">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 附录，即：</w:t>
      </w:r>
    </w:p>
    <w:p w14:paraId="723C3FF6">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附录A  相关服务的范围和内容</w:t>
      </w:r>
    </w:p>
    <w:p w14:paraId="2CDFEE0C">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附录B  委托人派遣的人员和提供的房屋、资料、设备</w:t>
      </w:r>
    </w:p>
    <w:p w14:paraId="4D9687F3">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本合同签订后，双方依法签订的补充协议也是本合同文件的组成部分。</w:t>
      </w:r>
    </w:p>
    <w:p w14:paraId="51E17286">
      <w:pPr>
        <w:spacing w:line="360" w:lineRule="auto"/>
        <w:ind w:firstLine="557" w:firstLineChars="198"/>
        <w:outlineLvl w:val="0"/>
        <w:rPr>
          <w:rFonts w:ascii="宋体" w:hAnsi="宋体" w:cs="Times New Roman"/>
          <w:b/>
          <w:color w:val="auto"/>
          <w:sz w:val="28"/>
          <w:szCs w:val="28"/>
          <w:highlight w:val="none"/>
        </w:rPr>
      </w:pPr>
      <w:bookmarkStart w:id="65" w:name="_Toc31728"/>
      <w:bookmarkStart w:id="66" w:name="_Toc1336"/>
      <w:r>
        <w:rPr>
          <w:rFonts w:hint="eastAsia" w:ascii="宋体" w:hAnsi="宋体" w:cs="Times New Roman"/>
          <w:b/>
          <w:color w:val="auto"/>
          <w:sz w:val="28"/>
          <w:szCs w:val="28"/>
          <w:highlight w:val="none"/>
        </w:rPr>
        <w:t>四、总监理工程师</w:t>
      </w:r>
      <w:bookmarkEnd w:id="65"/>
      <w:bookmarkEnd w:id="66"/>
    </w:p>
    <w:p w14:paraId="615B6451">
      <w:pPr>
        <w:adjustRightInd w:val="0"/>
        <w:snapToGrid w:val="0"/>
        <w:spacing w:line="360" w:lineRule="auto"/>
        <w:ind w:firstLine="560" w:firstLineChars="200"/>
        <w:rPr>
          <w:rFonts w:ascii="宋体" w:hAnsi="宋体" w:cs="Times New Roman"/>
          <w:b/>
          <w:color w:val="auto"/>
          <w:kern w:val="0"/>
          <w:sz w:val="28"/>
          <w:szCs w:val="28"/>
          <w:highlight w:val="none"/>
        </w:rPr>
      </w:pPr>
      <w:r>
        <w:rPr>
          <w:rFonts w:hint="eastAsia" w:ascii="宋体" w:hAnsi="宋体" w:cs="Times New Roman"/>
          <w:color w:val="auto"/>
          <w:sz w:val="28"/>
          <w:szCs w:val="28"/>
          <w:highlight w:val="none"/>
        </w:rPr>
        <w:t>总监理工程师姓名</w:t>
      </w:r>
      <w:r>
        <w:rPr>
          <w:rFonts w:hint="eastAsia" w:ascii="宋体" w:hAnsi="宋体" w:cs="Times New Roman"/>
          <w:color w:val="auto"/>
          <w:kern w:val="0"/>
          <w:sz w:val="28"/>
          <w:szCs w:val="28"/>
          <w:highlight w:val="none"/>
        </w:rPr>
        <w:t>：</w:t>
      </w:r>
      <w:r>
        <w:rPr>
          <w:rFonts w:hint="eastAsia" w:ascii="宋体" w:hAnsi="宋体" w:cs="Times New Roman"/>
          <w:color w:val="auto"/>
          <w:kern w:val="0"/>
          <w:sz w:val="28"/>
          <w:szCs w:val="28"/>
          <w:highlight w:val="none"/>
          <w:u w:val="single"/>
        </w:rPr>
        <w:t xml:space="preserve">         </w:t>
      </w:r>
      <w:r>
        <w:rPr>
          <w:rFonts w:hint="eastAsia" w:ascii="宋体" w:hAnsi="宋体" w:cs="Times New Roman"/>
          <w:color w:val="auto"/>
          <w:kern w:val="0"/>
          <w:sz w:val="28"/>
          <w:szCs w:val="28"/>
          <w:highlight w:val="none"/>
        </w:rPr>
        <w:t>，</w:t>
      </w:r>
      <w:r>
        <w:rPr>
          <w:rFonts w:hint="eastAsia" w:ascii="宋体" w:hAnsi="宋体" w:cs="Times New Roman"/>
          <w:color w:val="auto"/>
          <w:sz w:val="28"/>
          <w:szCs w:val="28"/>
          <w:highlight w:val="none"/>
        </w:rPr>
        <w:t>身份证号码</w:t>
      </w:r>
      <w:r>
        <w:rPr>
          <w:rFonts w:hint="eastAsia" w:ascii="宋体" w:hAnsi="宋体" w:cs="Times New Roman"/>
          <w:color w:val="auto"/>
          <w:kern w:val="0"/>
          <w:sz w:val="28"/>
          <w:szCs w:val="28"/>
          <w:highlight w:val="none"/>
        </w:rPr>
        <w:t>：</w:t>
      </w:r>
      <w:r>
        <w:rPr>
          <w:rFonts w:hint="eastAsia" w:ascii="宋体" w:hAnsi="宋体" w:cs="Times New Roman"/>
          <w:color w:val="auto"/>
          <w:kern w:val="0"/>
          <w:sz w:val="28"/>
          <w:szCs w:val="28"/>
          <w:highlight w:val="none"/>
          <w:u w:val="single"/>
        </w:rPr>
        <w:t xml:space="preserve">                  </w:t>
      </w:r>
      <w:r>
        <w:rPr>
          <w:rFonts w:hint="eastAsia" w:ascii="宋体" w:hAnsi="宋体" w:cs="Times New Roman"/>
          <w:color w:val="auto"/>
          <w:kern w:val="0"/>
          <w:sz w:val="28"/>
          <w:szCs w:val="28"/>
          <w:highlight w:val="none"/>
        </w:rPr>
        <w:t>，</w:t>
      </w:r>
    </w:p>
    <w:p w14:paraId="3C10B017">
      <w:pPr>
        <w:adjustRightInd w:val="0"/>
        <w:snapToGrid w:val="0"/>
        <w:spacing w:line="360" w:lineRule="auto"/>
        <w:ind w:firstLine="560" w:firstLineChars="200"/>
        <w:rPr>
          <w:rFonts w:ascii="宋体" w:hAnsi="宋体" w:cs="Times New Roman"/>
          <w:b/>
          <w:color w:val="auto"/>
          <w:kern w:val="0"/>
          <w:sz w:val="28"/>
          <w:szCs w:val="28"/>
          <w:highlight w:val="none"/>
          <w:u w:val="single"/>
        </w:rPr>
      </w:pPr>
      <w:r>
        <w:rPr>
          <w:rFonts w:hint="eastAsia" w:ascii="宋体" w:hAnsi="宋体" w:cs="Times New Roman"/>
          <w:color w:val="auto"/>
          <w:sz w:val="28"/>
          <w:szCs w:val="28"/>
          <w:highlight w:val="none"/>
        </w:rPr>
        <w:t>注册号</w:t>
      </w:r>
      <w:r>
        <w:rPr>
          <w:rFonts w:hint="eastAsia" w:ascii="宋体" w:hAnsi="宋体" w:cs="Times New Roman"/>
          <w:b/>
          <w:color w:val="auto"/>
          <w:kern w:val="0"/>
          <w:sz w:val="28"/>
          <w:szCs w:val="28"/>
          <w:highlight w:val="none"/>
        </w:rPr>
        <w:t>：</w:t>
      </w:r>
      <w:r>
        <w:rPr>
          <w:rFonts w:hint="eastAsia" w:ascii="宋体" w:hAnsi="宋体" w:cs="Times New Roman"/>
          <w:bCs/>
          <w:color w:val="auto"/>
          <w:kern w:val="0"/>
          <w:sz w:val="28"/>
          <w:szCs w:val="28"/>
          <w:highlight w:val="none"/>
          <w:u w:val="single"/>
        </w:rPr>
        <w:t xml:space="preserve">         </w:t>
      </w:r>
      <w:r>
        <w:rPr>
          <w:rFonts w:hint="eastAsia" w:ascii="宋体" w:hAnsi="宋体" w:cs="Times New Roman"/>
          <w:b/>
          <w:color w:val="auto"/>
          <w:kern w:val="0"/>
          <w:sz w:val="28"/>
          <w:szCs w:val="28"/>
          <w:highlight w:val="none"/>
        </w:rPr>
        <w:t>。</w:t>
      </w:r>
    </w:p>
    <w:p w14:paraId="7C8775EA">
      <w:pPr>
        <w:spacing w:line="360" w:lineRule="auto"/>
        <w:ind w:firstLine="557" w:firstLineChars="198"/>
        <w:outlineLvl w:val="0"/>
        <w:rPr>
          <w:rFonts w:hint="eastAsia" w:ascii="宋体" w:hAnsi="宋体" w:cs="Times New Roman"/>
          <w:b/>
          <w:color w:val="auto"/>
          <w:sz w:val="28"/>
          <w:szCs w:val="28"/>
          <w:highlight w:val="none"/>
        </w:rPr>
      </w:pPr>
      <w:bookmarkStart w:id="67" w:name="_Toc23845"/>
      <w:bookmarkStart w:id="68" w:name="_Toc30283"/>
      <w:r>
        <w:rPr>
          <w:rFonts w:hint="eastAsia" w:ascii="宋体" w:hAnsi="宋体" w:cs="Times New Roman"/>
          <w:b/>
          <w:color w:val="auto"/>
          <w:sz w:val="28"/>
          <w:szCs w:val="28"/>
          <w:highlight w:val="none"/>
        </w:rPr>
        <w:t>五、签约酬金</w:t>
      </w:r>
      <w:bookmarkEnd w:id="67"/>
      <w:bookmarkEnd w:id="68"/>
    </w:p>
    <w:p w14:paraId="6412C0C5">
      <w:pPr>
        <w:adjustRightInd w:val="0"/>
        <w:snapToGrid w:val="0"/>
        <w:spacing w:line="360" w:lineRule="auto"/>
        <w:ind w:firstLine="560" w:firstLineChars="200"/>
        <w:rPr>
          <w:rFonts w:ascii="宋体" w:hAnsi="宋体" w:cs="Times New Roman"/>
          <w:color w:val="auto"/>
          <w:kern w:val="0"/>
          <w:sz w:val="28"/>
          <w:szCs w:val="28"/>
          <w:highlight w:val="none"/>
          <w:u w:val="single"/>
        </w:rPr>
      </w:pPr>
      <w:r>
        <w:rPr>
          <w:rFonts w:hint="eastAsia" w:ascii="宋体" w:hAnsi="宋体" w:cs="Times New Roman"/>
          <w:color w:val="auto"/>
          <w:sz w:val="28"/>
          <w:szCs w:val="28"/>
          <w:highlight w:val="none"/>
        </w:rPr>
        <w:t>签约酬金：</w:t>
      </w:r>
      <w:r>
        <w:rPr>
          <w:rFonts w:hint="eastAsia" w:ascii="宋体" w:hAnsi="宋体" w:cs="Times New Roman"/>
          <w:color w:val="auto"/>
          <w:sz w:val="28"/>
          <w:szCs w:val="28"/>
          <w:highlight w:val="none"/>
          <w:u w:val="single"/>
        </w:rPr>
        <w:t xml:space="preserve">                          </w:t>
      </w:r>
      <w:r>
        <w:rPr>
          <w:rFonts w:hint="eastAsia" w:ascii="宋体" w:hAnsi="宋体" w:cs="Times New Roman"/>
          <w:color w:val="auto"/>
          <w:w w:val="85"/>
          <w:sz w:val="28"/>
          <w:szCs w:val="28"/>
          <w:highlight w:val="none"/>
        </w:rPr>
        <w:t>。</w:t>
      </w:r>
    </w:p>
    <w:p w14:paraId="6DA85100">
      <w:pPr>
        <w:adjustRightInd w:val="0"/>
        <w:snapToGrid w:val="0"/>
        <w:spacing w:line="360" w:lineRule="auto"/>
        <w:ind w:firstLine="560" w:firstLineChars="2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上述计算的监理费均为含税金额，税率为6%的增值税专用发票。</w:t>
      </w:r>
    </w:p>
    <w:p w14:paraId="22BD3A72">
      <w:pPr>
        <w:adjustRightInd w:val="0"/>
        <w:snapToGrid w:val="0"/>
        <w:spacing w:line="360" w:lineRule="auto"/>
        <w:ind w:firstLine="560" w:firstLineChars="2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1. 监理酬金：</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w:t>
      </w:r>
    </w:p>
    <w:p w14:paraId="288363EE">
      <w:pPr>
        <w:adjustRightInd w:val="0"/>
        <w:snapToGrid w:val="0"/>
        <w:spacing w:line="360" w:lineRule="auto"/>
        <w:ind w:firstLine="560" w:firstLineChars="2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2. 相关服务酬金：</w:t>
      </w:r>
      <w:r>
        <w:rPr>
          <w:rFonts w:hint="eastAsia" w:ascii="宋体" w:hAnsi="宋体" w:cs="Times New Roman"/>
          <w:color w:val="auto"/>
          <w:sz w:val="28"/>
          <w:szCs w:val="28"/>
          <w:highlight w:val="none"/>
          <w:u w:val="single"/>
        </w:rPr>
        <w:t xml:space="preserve">         无        </w:t>
      </w:r>
      <w:r>
        <w:rPr>
          <w:rFonts w:hint="eastAsia" w:ascii="宋体" w:hAnsi="宋体" w:cs="Times New Roman"/>
          <w:color w:val="auto"/>
          <w:sz w:val="28"/>
          <w:szCs w:val="28"/>
          <w:highlight w:val="none"/>
        </w:rPr>
        <w:t>。</w:t>
      </w:r>
    </w:p>
    <w:p w14:paraId="79A86116">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其中：（1）勘察阶段服务酬金：</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w:t>
      </w:r>
    </w:p>
    <w:p w14:paraId="7B03933E">
      <w:pPr>
        <w:adjustRightInd w:val="0"/>
        <w:snapToGrid w:val="0"/>
        <w:spacing w:line="360" w:lineRule="auto"/>
        <w:ind w:firstLine="1274" w:firstLineChars="455"/>
        <w:rPr>
          <w:rFonts w:ascii="宋体" w:hAnsi="宋体" w:cs="Times New Roman"/>
          <w:color w:val="auto"/>
          <w:sz w:val="28"/>
          <w:szCs w:val="28"/>
          <w:highlight w:val="none"/>
        </w:rPr>
      </w:pPr>
      <w:r>
        <w:rPr>
          <w:rFonts w:hint="eastAsia" w:ascii="宋体" w:hAnsi="宋体" w:cs="Times New Roman"/>
          <w:color w:val="auto"/>
          <w:sz w:val="28"/>
          <w:szCs w:val="28"/>
          <w:highlight w:val="none"/>
        </w:rPr>
        <w:t>（2）设计阶段服务酬金：</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w:t>
      </w:r>
    </w:p>
    <w:p w14:paraId="78934762">
      <w:pPr>
        <w:adjustRightInd w:val="0"/>
        <w:snapToGrid w:val="0"/>
        <w:spacing w:line="360" w:lineRule="auto"/>
        <w:ind w:firstLine="1274" w:firstLineChars="455"/>
        <w:rPr>
          <w:rFonts w:ascii="宋体" w:hAnsi="宋体" w:cs="Times New Roman"/>
          <w:color w:val="auto"/>
          <w:sz w:val="28"/>
          <w:szCs w:val="28"/>
          <w:highlight w:val="none"/>
        </w:rPr>
      </w:pPr>
      <w:r>
        <w:rPr>
          <w:rFonts w:hint="eastAsia" w:ascii="宋体" w:hAnsi="宋体" w:cs="Times New Roman"/>
          <w:color w:val="auto"/>
          <w:sz w:val="28"/>
          <w:szCs w:val="28"/>
          <w:highlight w:val="none"/>
        </w:rPr>
        <w:t>（3）保修阶段服务酬金：</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w:t>
      </w:r>
    </w:p>
    <w:p w14:paraId="4B4BEDF0">
      <w:pPr>
        <w:adjustRightInd w:val="0"/>
        <w:snapToGrid w:val="0"/>
        <w:spacing w:line="360" w:lineRule="auto"/>
        <w:ind w:firstLine="1274" w:firstLineChars="455"/>
        <w:rPr>
          <w:rFonts w:ascii="宋体" w:hAnsi="宋体" w:cs="Times New Roman"/>
          <w:color w:val="auto"/>
          <w:sz w:val="28"/>
          <w:szCs w:val="28"/>
          <w:highlight w:val="none"/>
        </w:rPr>
      </w:pPr>
      <w:r>
        <w:rPr>
          <w:rFonts w:hint="eastAsia" w:ascii="宋体" w:hAnsi="宋体" w:cs="Times New Roman"/>
          <w:color w:val="auto"/>
          <w:sz w:val="28"/>
          <w:szCs w:val="28"/>
          <w:highlight w:val="none"/>
        </w:rPr>
        <w:t>（4）其他相关服务酬金：</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w:t>
      </w:r>
    </w:p>
    <w:p w14:paraId="31304874">
      <w:pPr>
        <w:spacing w:line="360" w:lineRule="auto"/>
        <w:ind w:firstLine="557" w:firstLineChars="198"/>
        <w:outlineLvl w:val="0"/>
        <w:rPr>
          <w:rFonts w:ascii="宋体" w:hAnsi="宋体" w:cs="Times New Roman"/>
          <w:b/>
          <w:color w:val="auto"/>
          <w:sz w:val="28"/>
          <w:szCs w:val="28"/>
          <w:highlight w:val="none"/>
        </w:rPr>
      </w:pPr>
      <w:bookmarkStart w:id="69" w:name="_Toc19004"/>
      <w:bookmarkStart w:id="70" w:name="_Toc6460"/>
      <w:r>
        <w:rPr>
          <w:rFonts w:hint="eastAsia" w:ascii="宋体" w:hAnsi="宋体" w:cs="Times New Roman"/>
          <w:b/>
          <w:color w:val="auto"/>
          <w:sz w:val="28"/>
          <w:szCs w:val="28"/>
          <w:highlight w:val="none"/>
        </w:rPr>
        <w:t>六、期限</w:t>
      </w:r>
      <w:bookmarkEnd w:id="69"/>
      <w:bookmarkEnd w:id="70"/>
    </w:p>
    <w:p w14:paraId="2A5D330C">
      <w:pPr>
        <w:adjustRightInd w:val="0"/>
        <w:snapToGrid w:val="0"/>
        <w:spacing w:line="360" w:lineRule="auto"/>
        <w:ind w:firstLine="560" w:firstLineChars="200"/>
        <w:jc w:val="left"/>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1.</w:t>
      </w:r>
      <w:r>
        <w:rPr>
          <w:rFonts w:hint="eastAsia" w:ascii="宋体" w:hAnsi="宋体" w:cs="Times New Roman"/>
          <w:color w:val="auto"/>
          <w:sz w:val="28"/>
          <w:szCs w:val="28"/>
          <w:highlight w:val="none"/>
        </w:rPr>
        <w:t xml:space="preserve"> 监理期限：</w:t>
      </w:r>
    </w:p>
    <w:p w14:paraId="67722872">
      <w:pPr>
        <w:adjustRightInd w:val="0"/>
        <w:snapToGrid w:val="0"/>
        <w:spacing w:line="360" w:lineRule="auto"/>
        <w:ind w:firstLine="1134" w:firstLineChars="405"/>
        <w:jc w:val="left"/>
        <w:rPr>
          <w:rFonts w:hint="eastAsia" w:ascii="宋体" w:hAnsi="宋体" w:eastAsia="宋体" w:cs="Times New Roman"/>
          <w:color w:val="auto"/>
          <w:sz w:val="28"/>
          <w:szCs w:val="28"/>
          <w:highlight w:val="none"/>
        </w:rPr>
      </w:pPr>
      <w:r>
        <w:rPr>
          <w:rFonts w:hint="eastAsia" w:ascii="宋体" w:hAnsi="宋体" w:cs="Times New Roman"/>
          <w:color w:val="auto"/>
          <w:sz w:val="28"/>
          <w:szCs w:val="28"/>
          <w:highlight w:val="none"/>
        </w:rPr>
        <w:t>计划工期：自</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年</w:t>
      </w:r>
      <w:r>
        <w:rPr>
          <w:rFonts w:hint="eastAsia" w:ascii="宋体" w:hAnsi="宋体" w:cs="Times New Roman"/>
          <w:b/>
          <w:color w:val="auto"/>
          <w:kern w:val="0"/>
          <w:sz w:val="28"/>
          <w:szCs w:val="28"/>
          <w:highlight w:val="none"/>
          <w:u w:val="single"/>
        </w:rPr>
        <w:t xml:space="preserve">    </w:t>
      </w:r>
      <w:r>
        <w:rPr>
          <w:rFonts w:hint="eastAsia" w:ascii="宋体" w:hAnsi="宋体" w:cs="Times New Roman"/>
          <w:color w:val="auto"/>
          <w:sz w:val="28"/>
          <w:szCs w:val="28"/>
          <w:highlight w:val="none"/>
        </w:rPr>
        <w:t>月</w:t>
      </w:r>
      <w:r>
        <w:rPr>
          <w:rFonts w:hint="eastAsia" w:ascii="宋体" w:hAnsi="宋体" w:cs="Times New Roman"/>
          <w:b/>
          <w:color w:val="auto"/>
          <w:sz w:val="28"/>
          <w:szCs w:val="28"/>
          <w:highlight w:val="none"/>
          <w:u w:val="single"/>
        </w:rPr>
        <w:t xml:space="preserve">     </w:t>
      </w:r>
      <w:r>
        <w:rPr>
          <w:rFonts w:hint="eastAsia" w:ascii="宋体" w:hAnsi="宋体" w:cs="Times New Roman"/>
          <w:color w:val="auto"/>
          <w:sz w:val="28"/>
          <w:szCs w:val="28"/>
          <w:highlight w:val="none"/>
        </w:rPr>
        <w:t>日始，至</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年</w:t>
      </w:r>
      <w:r>
        <w:rPr>
          <w:rFonts w:hint="eastAsia" w:ascii="宋体" w:hAnsi="宋体" w:cs="Times New Roman"/>
          <w:b/>
          <w:color w:val="auto"/>
          <w:kern w:val="0"/>
          <w:sz w:val="28"/>
          <w:szCs w:val="28"/>
          <w:highlight w:val="none"/>
          <w:u w:val="single"/>
        </w:rPr>
        <w:t xml:space="preserve">    </w:t>
      </w:r>
      <w:r>
        <w:rPr>
          <w:rFonts w:hint="eastAsia" w:ascii="宋体" w:hAnsi="宋体" w:cs="Times New Roman"/>
          <w:color w:val="auto"/>
          <w:sz w:val="28"/>
          <w:szCs w:val="28"/>
          <w:highlight w:val="none"/>
        </w:rPr>
        <w:t>月</w:t>
      </w:r>
      <w:r>
        <w:rPr>
          <w:rFonts w:hint="eastAsia" w:ascii="宋体" w:hAnsi="宋体" w:cs="Times New Roman"/>
          <w:b/>
          <w:color w:val="auto"/>
          <w:sz w:val="28"/>
          <w:szCs w:val="28"/>
          <w:highlight w:val="none"/>
          <w:u w:val="single"/>
        </w:rPr>
        <w:t xml:space="preserve">     </w:t>
      </w:r>
      <w:r>
        <w:rPr>
          <w:rFonts w:hint="eastAsia" w:ascii="宋体" w:hAnsi="宋体" w:cs="Times New Roman"/>
          <w:color w:val="auto"/>
          <w:sz w:val="28"/>
          <w:szCs w:val="28"/>
          <w:highlight w:val="none"/>
        </w:rPr>
        <w:t>日止。（各单体项目以开工报告时间为准）</w:t>
      </w:r>
    </w:p>
    <w:p w14:paraId="1AAD1959">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2.</w:t>
      </w:r>
      <w:r>
        <w:rPr>
          <w:rFonts w:hint="eastAsia" w:ascii="宋体" w:hAnsi="宋体" w:cs="Times New Roman"/>
          <w:color w:val="auto"/>
          <w:sz w:val="28"/>
          <w:szCs w:val="28"/>
          <w:highlight w:val="none"/>
        </w:rPr>
        <w:t xml:space="preserve"> 相关服务期限：</w:t>
      </w:r>
    </w:p>
    <w:p w14:paraId="4A84F930">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（1）</w:t>
      </w:r>
      <w:r>
        <w:rPr>
          <w:rFonts w:hint="eastAsia" w:ascii="宋体" w:hAnsi="宋体" w:cs="Times New Roman"/>
          <w:color w:val="auto"/>
          <w:sz w:val="28"/>
          <w:szCs w:val="28"/>
          <w:highlight w:val="none"/>
        </w:rPr>
        <w:t>勘察阶段服务期限自</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年</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月</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日始，至</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年</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月</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日止。</w:t>
      </w:r>
    </w:p>
    <w:p w14:paraId="3399394C">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（2）</w:t>
      </w:r>
      <w:r>
        <w:rPr>
          <w:rFonts w:hint="eastAsia" w:ascii="宋体" w:hAnsi="宋体" w:cs="Times New Roman"/>
          <w:color w:val="auto"/>
          <w:sz w:val="28"/>
          <w:szCs w:val="28"/>
          <w:highlight w:val="none"/>
        </w:rPr>
        <w:t>设计阶段服务期限自</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年</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月</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日始，至</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年</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月</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日止。</w:t>
      </w:r>
    </w:p>
    <w:p w14:paraId="08D56572">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（3）</w:t>
      </w:r>
      <w:r>
        <w:rPr>
          <w:rFonts w:hint="eastAsia" w:ascii="宋体" w:hAnsi="宋体" w:cs="Times New Roman"/>
          <w:color w:val="auto"/>
          <w:sz w:val="28"/>
          <w:szCs w:val="28"/>
          <w:highlight w:val="none"/>
        </w:rPr>
        <w:t>保修阶段服务期限自</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年</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月</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日始，至</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年</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月</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日止。</w:t>
      </w:r>
    </w:p>
    <w:p w14:paraId="7D6A7D63">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（4）</w:t>
      </w:r>
      <w:r>
        <w:rPr>
          <w:rFonts w:hint="eastAsia" w:ascii="宋体" w:hAnsi="宋体" w:cs="Times New Roman"/>
          <w:color w:val="auto"/>
          <w:sz w:val="28"/>
          <w:szCs w:val="28"/>
          <w:highlight w:val="none"/>
        </w:rPr>
        <w:t>其他相关服务期限自</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年</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月</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日始，至</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年</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月</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日止。</w:t>
      </w:r>
    </w:p>
    <w:p w14:paraId="2ADEA58C">
      <w:pPr>
        <w:ind w:firstLine="557" w:firstLineChars="198"/>
        <w:outlineLvl w:val="0"/>
        <w:rPr>
          <w:rFonts w:ascii="宋体" w:hAnsi="宋体" w:cs="Times New Roman"/>
          <w:b/>
          <w:color w:val="auto"/>
          <w:sz w:val="28"/>
          <w:szCs w:val="28"/>
          <w:highlight w:val="none"/>
        </w:rPr>
      </w:pPr>
      <w:bookmarkStart w:id="71" w:name="_Toc15453"/>
      <w:bookmarkStart w:id="72" w:name="_Toc25856"/>
      <w:r>
        <w:rPr>
          <w:rFonts w:hint="eastAsia" w:ascii="宋体" w:hAnsi="宋体" w:cs="Times New Roman"/>
          <w:b/>
          <w:color w:val="auto"/>
          <w:sz w:val="28"/>
          <w:szCs w:val="28"/>
          <w:highlight w:val="none"/>
        </w:rPr>
        <w:t>七、双方承诺</w:t>
      </w:r>
      <w:bookmarkEnd w:id="71"/>
      <w:bookmarkEnd w:id="72"/>
    </w:p>
    <w:p w14:paraId="2A9A7F74">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 监理人向委托人承诺，按照本合同约定提供监理与相关服务。</w:t>
      </w:r>
    </w:p>
    <w:p w14:paraId="1B9B980E">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 委托人向监理人承诺，按照本合同约定派遣相应的人员，提供</w:t>
      </w:r>
      <w:r>
        <w:rPr>
          <w:rFonts w:ascii="宋体" w:hAnsi="宋体" w:cs="Times New Roman"/>
          <w:color w:val="auto"/>
          <w:sz w:val="28"/>
          <w:szCs w:val="28"/>
          <w:highlight w:val="none"/>
        </w:rPr>
        <w:t>办公场地</w:t>
      </w:r>
      <w:r>
        <w:rPr>
          <w:rFonts w:hint="eastAsia" w:ascii="宋体" w:hAnsi="宋体" w:cs="Times New Roman"/>
          <w:color w:val="auto"/>
          <w:sz w:val="28"/>
          <w:szCs w:val="28"/>
          <w:highlight w:val="none"/>
        </w:rPr>
        <w:t>、资料，并按本合同约定支付酬金。</w:t>
      </w:r>
    </w:p>
    <w:p w14:paraId="0C7338BC">
      <w:pPr>
        <w:ind w:firstLine="557" w:firstLineChars="198"/>
        <w:outlineLvl w:val="0"/>
        <w:rPr>
          <w:rFonts w:ascii="宋体" w:hAnsi="宋体" w:cs="Times New Roman"/>
          <w:b/>
          <w:color w:val="auto"/>
          <w:sz w:val="28"/>
          <w:szCs w:val="28"/>
          <w:highlight w:val="none"/>
        </w:rPr>
      </w:pPr>
      <w:bookmarkStart w:id="73" w:name="_Toc9164"/>
      <w:bookmarkStart w:id="74" w:name="_Toc29190"/>
      <w:r>
        <w:rPr>
          <w:rFonts w:hint="eastAsia" w:ascii="宋体" w:hAnsi="宋体" w:cs="Times New Roman"/>
          <w:b/>
          <w:color w:val="auto"/>
          <w:sz w:val="28"/>
          <w:szCs w:val="28"/>
          <w:highlight w:val="none"/>
        </w:rPr>
        <w:t>八、合同订立</w:t>
      </w:r>
      <w:bookmarkEnd w:id="73"/>
      <w:bookmarkEnd w:id="74"/>
    </w:p>
    <w:p w14:paraId="5796B64E">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 订立时间：</w:t>
      </w:r>
      <w:r>
        <w:rPr>
          <w:rFonts w:hint="eastAsia" w:ascii="华文仿宋" w:hAnsi="华文仿宋" w:eastAsia="华文仿宋" w:cs="Times New Roman"/>
          <w:b/>
          <w:bCs/>
          <w:color w:val="auto"/>
          <w:sz w:val="28"/>
          <w:szCs w:val="28"/>
          <w:highlight w:val="none"/>
          <w:u w:val="single"/>
        </w:rPr>
        <w:t xml:space="preserve">      </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年</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月</w:t>
      </w:r>
      <w:r>
        <w:rPr>
          <w:rFonts w:hint="eastAsia" w:ascii="华文仿宋" w:hAnsi="华文仿宋" w:eastAsia="华文仿宋" w:cs="Times New Roman"/>
          <w:b/>
          <w:bCs/>
          <w:color w:val="auto"/>
          <w:sz w:val="28"/>
          <w:szCs w:val="28"/>
          <w:highlight w:val="none"/>
          <w:u w:val="single"/>
        </w:rPr>
        <w:t xml:space="preserve">    </w:t>
      </w:r>
      <w:r>
        <w:rPr>
          <w:rFonts w:hint="eastAsia" w:ascii="宋体" w:hAnsi="宋体" w:cs="Times New Roman"/>
          <w:color w:val="auto"/>
          <w:sz w:val="28"/>
          <w:szCs w:val="28"/>
          <w:highlight w:val="none"/>
        </w:rPr>
        <w:t>日。</w:t>
      </w:r>
    </w:p>
    <w:p w14:paraId="36244200">
      <w:pPr>
        <w:adjustRightInd w:val="0"/>
        <w:snapToGrid w:val="0"/>
        <w:spacing w:line="360" w:lineRule="auto"/>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 订立地点：</w:t>
      </w:r>
      <w:r>
        <w:rPr>
          <w:rFonts w:hint="eastAsia" w:ascii="宋体" w:hAnsi="宋体" w:cs="Times New Roman"/>
          <w:b/>
          <w:color w:val="auto"/>
          <w:sz w:val="28"/>
          <w:szCs w:val="28"/>
          <w:highlight w:val="none"/>
          <w:u w:val="single"/>
        </w:rPr>
        <w:t xml:space="preserve">                 </w:t>
      </w:r>
      <w:r>
        <w:rPr>
          <w:rFonts w:hint="eastAsia" w:ascii="宋体" w:hAnsi="宋体" w:cs="Times New Roman"/>
          <w:color w:val="auto"/>
          <w:sz w:val="28"/>
          <w:szCs w:val="28"/>
          <w:highlight w:val="none"/>
        </w:rPr>
        <w:t>。</w:t>
      </w:r>
    </w:p>
    <w:p w14:paraId="5D920436">
      <w:pPr>
        <w:adjustRightInd w:val="0"/>
        <w:snapToGrid w:val="0"/>
        <w:spacing w:line="360" w:lineRule="auto"/>
        <w:ind w:firstLine="560" w:firstLineChars="2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3. 本合同一式</w:t>
      </w:r>
      <w:r>
        <w:rPr>
          <w:rFonts w:hint="eastAsia" w:ascii="华文仿宋" w:hAnsi="华文仿宋" w:eastAsia="华文仿宋" w:cs="Times New Roman"/>
          <w:color w:val="auto"/>
          <w:sz w:val="28"/>
          <w:szCs w:val="28"/>
          <w:highlight w:val="none"/>
          <w:u w:val="single"/>
        </w:rPr>
        <w:t xml:space="preserve"> </w:t>
      </w:r>
      <w:r>
        <w:rPr>
          <w:rFonts w:hint="eastAsia" w:ascii="宋体" w:hAnsi="宋体" w:cs="Times New Roman"/>
          <w:color w:val="auto"/>
          <w:sz w:val="28"/>
          <w:szCs w:val="28"/>
          <w:highlight w:val="none"/>
          <w:u w:val="single"/>
        </w:rPr>
        <w:t xml:space="preserve">六 </w:t>
      </w:r>
      <w:r>
        <w:rPr>
          <w:rFonts w:hint="eastAsia" w:ascii="宋体" w:hAnsi="宋体" w:cs="Times New Roman"/>
          <w:color w:val="auto"/>
          <w:sz w:val="28"/>
          <w:szCs w:val="28"/>
          <w:highlight w:val="none"/>
        </w:rPr>
        <w:t>份，具有同等法律效力，委托方执</w:t>
      </w:r>
      <w:r>
        <w:rPr>
          <w:rFonts w:hint="eastAsia" w:ascii="宋体" w:hAnsi="宋体" w:cs="Times New Roman"/>
          <w:color w:val="auto"/>
          <w:sz w:val="28"/>
          <w:szCs w:val="28"/>
          <w:highlight w:val="none"/>
          <w:u w:val="single"/>
        </w:rPr>
        <w:t>三</w:t>
      </w:r>
      <w:r>
        <w:rPr>
          <w:rFonts w:hint="eastAsia" w:ascii="宋体" w:hAnsi="宋体" w:cs="Times New Roman"/>
          <w:color w:val="auto"/>
          <w:sz w:val="28"/>
          <w:szCs w:val="28"/>
          <w:highlight w:val="none"/>
        </w:rPr>
        <w:t>份，监理方执</w:t>
      </w:r>
      <w:r>
        <w:rPr>
          <w:rFonts w:hint="eastAsia" w:ascii="宋体" w:hAnsi="宋体" w:cs="Times New Roman"/>
          <w:color w:val="auto"/>
          <w:sz w:val="28"/>
          <w:szCs w:val="28"/>
          <w:highlight w:val="none"/>
          <w:u w:val="single"/>
        </w:rPr>
        <w:t>三</w:t>
      </w:r>
      <w:r>
        <w:rPr>
          <w:rFonts w:hint="eastAsia" w:ascii="宋体" w:hAnsi="宋体" w:cs="Times New Roman"/>
          <w:color w:val="auto"/>
          <w:sz w:val="28"/>
          <w:szCs w:val="28"/>
          <w:highlight w:val="none"/>
        </w:rPr>
        <w:t>份。</w:t>
      </w:r>
    </w:p>
    <w:p w14:paraId="50D8F135">
      <w:pPr>
        <w:adjustRightInd w:val="0"/>
        <w:snapToGrid w:val="0"/>
        <w:spacing w:line="360" w:lineRule="auto"/>
        <w:ind w:firstLine="560" w:firstLineChars="200"/>
        <w:rPr>
          <w:rFonts w:hint="eastAsia" w:ascii="宋体" w:hAnsi="宋体" w:cs="Times New Roman"/>
          <w:color w:val="auto"/>
          <w:sz w:val="28"/>
          <w:szCs w:val="28"/>
          <w:highlight w:val="none"/>
        </w:rPr>
      </w:pPr>
    </w:p>
    <w:tbl>
      <w:tblPr>
        <w:tblStyle w:val="27"/>
        <w:tblW w:w="0" w:type="auto"/>
        <w:jc w:val="center"/>
        <w:tblLayout w:type="fixed"/>
        <w:tblCellMar>
          <w:top w:w="0" w:type="dxa"/>
          <w:left w:w="0" w:type="dxa"/>
          <w:bottom w:w="0" w:type="dxa"/>
          <w:right w:w="0" w:type="dxa"/>
        </w:tblCellMar>
      </w:tblPr>
      <w:tblGrid>
        <w:gridCol w:w="4528"/>
        <w:gridCol w:w="4500"/>
      </w:tblGrid>
      <w:tr w14:paraId="681B1CA8">
        <w:tblPrEx>
          <w:tblCellMar>
            <w:top w:w="0" w:type="dxa"/>
            <w:left w:w="0" w:type="dxa"/>
            <w:bottom w:w="0" w:type="dxa"/>
            <w:right w:w="0" w:type="dxa"/>
          </w:tblCellMar>
        </w:tblPrEx>
        <w:trPr>
          <w:trHeight w:val="5347" w:hRule="atLeast"/>
          <w:jc w:val="center"/>
        </w:trPr>
        <w:tc>
          <w:tcPr>
            <w:tcW w:w="45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641F4D18">
            <w:pPr>
              <w:widowControl/>
              <w:spacing w:before="156" w:line="360" w:lineRule="auto"/>
              <w:rPr>
                <w:rFonts w:ascii="宋体" w:hAnsi="宋体" w:eastAsia="宋体"/>
                <w:color w:val="auto"/>
                <w:spacing w:val="6"/>
                <w:kern w:val="0"/>
                <w:sz w:val="28"/>
                <w:highlight w:val="none"/>
                <w:u w:val="single"/>
              </w:rPr>
            </w:pPr>
            <w:r>
              <w:rPr>
                <w:rFonts w:hint="eastAsia" w:ascii="宋体" w:hAnsi="宋体" w:eastAsia="宋体"/>
                <w:color w:val="auto"/>
                <w:spacing w:val="6"/>
                <w:kern w:val="0"/>
                <w:sz w:val="28"/>
                <w:highlight w:val="none"/>
              </w:rPr>
              <w:t>委托人：</w:t>
            </w:r>
            <w:r>
              <w:rPr>
                <w:rFonts w:hint="eastAsia" w:ascii="宋体" w:hAnsi="宋体" w:eastAsia="宋体"/>
                <w:color w:val="auto"/>
                <w:spacing w:val="6"/>
                <w:kern w:val="0"/>
                <w:sz w:val="28"/>
                <w:highlight w:val="none"/>
                <w:u w:val="single"/>
              </w:rPr>
              <w:t xml:space="preserve">                  </w:t>
            </w:r>
          </w:p>
          <w:p w14:paraId="59A0FF77">
            <w:pPr>
              <w:widowControl/>
              <w:spacing w:before="156" w:line="360" w:lineRule="auto"/>
              <w:rPr>
                <w:rFonts w:hint="eastAsia" w:ascii="宋体" w:hAnsi="宋体" w:eastAsia="宋体"/>
                <w:color w:val="auto"/>
                <w:kern w:val="0"/>
                <w:sz w:val="28"/>
                <w:highlight w:val="none"/>
              </w:rPr>
            </w:pPr>
            <w:r>
              <w:rPr>
                <w:rFonts w:hint="eastAsia" w:ascii="宋体" w:hAnsi="宋体" w:eastAsia="宋体"/>
                <w:color w:val="auto"/>
                <w:spacing w:val="6"/>
                <w:kern w:val="0"/>
                <w:sz w:val="28"/>
                <w:highlight w:val="none"/>
              </w:rPr>
              <w:t>（盖章）</w:t>
            </w:r>
          </w:p>
          <w:p w14:paraId="45B1310C">
            <w:pPr>
              <w:widowControl/>
              <w:spacing w:line="360" w:lineRule="auto"/>
              <w:rPr>
                <w:rFonts w:hint="eastAsia" w:ascii="宋体" w:hAnsi="宋体" w:eastAsia="宋体"/>
                <w:color w:val="auto"/>
                <w:kern w:val="0"/>
                <w:sz w:val="28"/>
                <w:highlight w:val="none"/>
              </w:rPr>
            </w:pPr>
            <w:r>
              <w:rPr>
                <w:rFonts w:hint="eastAsia" w:ascii="宋体" w:hAnsi="宋体" w:eastAsia="宋体"/>
                <w:color w:val="auto"/>
                <w:spacing w:val="6"/>
                <w:kern w:val="0"/>
                <w:sz w:val="28"/>
                <w:szCs w:val="28"/>
                <w:highlight w:val="none"/>
              </w:rPr>
              <w:t>法定代表人或委托人：</w:t>
            </w:r>
            <w:r>
              <w:rPr>
                <w:rFonts w:hint="eastAsia" w:ascii="宋体" w:hAnsi="宋体" w:eastAsia="宋体"/>
                <w:color w:val="auto"/>
                <w:spacing w:val="6"/>
                <w:kern w:val="0"/>
                <w:sz w:val="28"/>
                <w:szCs w:val="28"/>
                <w:highlight w:val="none"/>
                <w:u w:val="single"/>
              </w:rPr>
              <w:t xml:space="preserve">       </w:t>
            </w:r>
            <w:r>
              <w:rPr>
                <w:rFonts w:hint="eastAsia" w:ascii="宋体" w:hAnsi="宋体" w:eastAsia="宋体"/>
                <w:color w:val="auto"/>
                <w:kern w:val="0"/>
                <w:sz w:val="28"/>
                <w:highlight w:val="none"/>
              </w:rPr>
              <w:t xml:space="preserve">  </w:t>
            </w:r>
          </w:p>
          <w:p w14:paraId="5F2546A3">
            <w:pPr>
              <w:widowControl/>
              <w:spacing w:line="360" w:lineRule="auto"/>
              <w:rPr>
                <w:rFonts w:hint="eastAsia" w:ascii="宋体" w:hAnsi="宋体" w:eastAsia="宋体"/>
                <w:color w:val="auto"/>
                <w:kern w:val="0"/>
                <w:sz w:val="28"/>
                <w:highlight w:val="none"/>
              </w:rPr>
            </w:pPr>
            <w:r>
              <w:rPr>
                <w:rFonts w:hint="eastAsia" w:ascii="宋体" w:hAnsi="宋体" w:eastAsia="宋体"/>
                <w:color w:val="auto"/>
                <w:spacing w:val="6"/>
                <w:kern w:val="0"/>
                <w:sz w:val="28"/>
                <w:highlight w:val="none"/>
              </w:rPr>
              <w:t>住所：</w:t>
            </w:r>
            <w:r>
              <w:rPr>
                <w:rFonts w:hint="eastAsia" w:ascii="宋体" w:hAnsi="宋体" w:eastAsia="宋体"/>
                <w:color w:val="auto"/>
                <w:spacing w:val="6"/>
                <w:kern w:val="0"/>
                <w:sz w:val="28"/>
                <w:highlight w:val="none"/>
                <w:u w:val="single"/>
              </w:rPr>
              <w:t xml:space="preserve">                   </w:t>
            </w:r>
          </w:p>
          <w:p w14:paraId="2806CCEE">
            <w:pPr>
              <w:widowControl/>
              <w:spacing w:line="360" w:lineRule="auto"/>
              <w:rPr>
                <w:rFonts w:hint="eastAsia" w:ascii="宋体" w:hAnsi="宋体" w:eastAsia="宋体"/>
                <w:color w:val="auto"/>
                <w:kern w:val="0"/>
                <w:sz w:val="28"/>
                <w:highlight w:val="none"/>
              </w:rPr>
            </w:pPr>
            <w:r>
              <w:rPr>
                <w:rFonts w:hint="eastAsia" w:ascii="宋体" w:hAnsi="宋体" w:eastAsia="宋体"/>
                <w:color w:val="auto"/>
                <w:spacing w:val="6"/>
                <w:kern w:val="0"/>
                <w:sz w:val="28"/>
                <w:highlight w:val="none"/>
              </w:rPr>
              <w:t>邮编：</w:t>
            </w:r>
            <w:r>
              <w:rPr>
                <w:rFonts w:hint="eastAsia" w:ascii="宋体" w:hAnsi="宋体" w:eastAsia="宋体"/>
                <w:color w:val="auto"/>
                <w:spacing w:val="6"/>
                <w:kern w:val="0"/>
                <w:sz w:val="28"/>
                <w:highlight w:val="none"/>
                <w:u w:val="single"/>
              </w:rPr>
              <w:t xml:space="preserve">                    </w:t>
            </w:r>
          </w:p>
          <w:p w14:paraId="6D49E3BF">
            <w:pPr>
              <w:widowControl/>
              <w:spacing w:line="360" w:lineRule="auto"/>
              <w:rPr>
                <w:rFonts w:hint="eastAsia" w:ascii="宋体" w:hAnsi="宋体" w:eastAsia="宋体"/>
                <w:color w:val="auto"/>
                <w:kern w:val="0"/>
                <w:sz w:val="28"/>
                <w:highlight w:val="none"/>
              </w:rPr>
            </w:pPr>
            <w:r>
              <w:rPr>
                <w:rFonts w:hint="eastAsia" w:ascii="宋体" w:hAnsi="宋体" w:eastAsia="宋体"/>
                <w:color w:val="auto"/>
                <w:spacing w:val="6"/>
                <w:kern w:val="0"/>
                <w:sz w:val="28"/>
                <w:highlight w:val="none"/>
              </w:rPr>
              <w:t>开户银行：</w:t>
            </w:r>
            <w:r>
              <w:rPr>
                <w:rFonts w:hint="eastAsia" w:ascii="宋体" w:hAnsi="宋体" w:eastAsia="宋体"/>
                <w:color w:val="auto"/>
                <w:spacing w:val="6"/>
                <w:kern w:val="0"/>
                <w:sz w:val="28"/>
                <w:highlight w:val="none"/>
                <w:u w:val="single"/>
              </w:rPr>
              <w:t xml:space="preserve">               </w:t>
            </w:r>
          </w:p>
          <w:p w14:paraId="2C64E167">
            <w:pPr>
              <w:widowControl/>
              <w:spacing w:line="360" w:lineRule="auto"/>
              <w:rPr>
                <w:rFonts w:ascii="宋体" w:hAnsi="宋体" w:eastAsia="宋体"/>
                <w:color w:val="auto"/>
                <w:sz w:val="28"/>
                <w:highlight w:val="none"/>
                <w:u w:val="single"/>
              </w:rPr>
            </w:pPr>
            <w:r>
              <w:rPr>
                <w:rFonts w:hint="eastAsia" w:ascii="宋体" w:hAnsi="宋体" w:eastAsia="宋体"/>
                <w:color w:val="auto"/>
                <w:spacing w:val="6"/>
                <w:kern w:val="0"/>
                <w:sz w:val="28"/>
                <w:highlight w:val="none"/>
              </w:rPr>
              <w:t>账号：</w:t>
            </w:r>
            <w:r>
              <w:rPr>
                <w:rFonts w:hint="eastAsia" w:ascii="宋体" w:hAnsi="宋体" w:eastAsia="宋体"/>
                <w:color w:val="auto"/>
                <w:spacing w:val="6"/>
                <w:kern w:val="0"/>
                <w:sz w:val="28"/>
                <w:highlight w:val="none"/>
                <w:u w:val="single"/>
              </w:rPr>
              <w:t xml:space="preserve">                     </w:t>
            </w:r>
          </w:p>
          <w:p w14:paraId="41AF6638">
            <w:pPr>
              <w:widowControl/>
              <w:spacing w:line="360" w:lineRule="auto"/>
              <w:rPr>
                <w:rFonts w:ascii="宋体" w:hAnsi="宋体" w:eastAsia="宋体"/>
                <w:color w:val="auto"/>
                <w:spacing w:val="6"/>
                <w:kern w:val="0"/>
                <w:sz w:val="28"/>
                <w:highlight w:val="none"/>
                <w:u w:val="single"/>
              </w:rPr>
            </w:pPr>
            <w:r>
              <w:rPr>
                <w:rFonts w:hint="eastAsia" w:ascii="宋体" w:hAnsi="宋体" w:eastAsia="宋体"/>
                <w:color w:val="auto"/>
                <w:spacing w:val="6"/>
                <w:kern w:val="0"/>
                <w:sz w:val="28"/>
                <w:highlight w:val="none"/>
              </w:rPr>
              <w:t>电话：</w:t>
            </w:r>
            <w:r>
              <w:rPr>
                <w:rFonts w:hint="eastAsia" w:ascii="宋体" w:hAnsi="宋体" w:eastAsia="宋体"/>
                <w:color w:val="auto"/>
                <w:spacing w:val="6"/>
                <w:kern w:val="0"/>
                <w:sz w:val="28"/>
                <w:highlight w:val="none"/>
                <w:u w:val="single"/>
              </w:rPr>
              <w:t xml:space="preserve">                     </w:t>
            </w:r>
          </w:p>
          <w:p w14:paraId="3B09F325">
            <w:pPr>
              <w:widowControl/>
              <w:spacing w:line="360" w:lineRule="auto"/>
              <w:rPr>
                <w:rFonts w:ascii="宋体" w:hAnsi="宋体" w:eastAsia="宋体"/>
                <w:color w:val="auto"/>
                <w:spacing w:val="6"/>
                <w:kern w:val="0"/>
                <w:sz w:val="28"/>
                <w:highlight w:val="none"/>
                <w:u w:val="single"/>
              </w:rPr>
            </w:pPr>
            <w:r>
              <w:rPr>
                <w:rFonts w:hint="eastAsia" w:ascii="宋体" w:hAnsi="宋体" w:eastAsia="宋体"/>
                <w:color w:val="auto"/>
                <w:spacing w:val="6"/>
                <w:kern w:val="0"/>
                <w:sz w:val="28"/>
                <w:highlight w:val="none"/>
              </w:rPr>
              <w:t>传真：</w:t>
            </w:r>
            <w:r>
              <w:rPr>
                <w:rFonts w:hint="eastAsia" w:ascii="宋体" w:hAnsi="宋体" w:eastAsia="宋体"/>
                <w:color w:val="auto"/>
                <w:spacing w:val="6"/>
                <w:kern w:val="0"/>
                <w:sz w:val="28"/>
                <w:highlight w:val="none"/>
                <w:u w:val="single"/>
              </w:rPr>
              <w:t xml:space="preserve">                  </w:t>
            </w:r>
          </w:p>
          <w:p w14:paraId="45211940">
            <w:pPr>
              <w:widowControl/>
              <w:spacing w:line="360" w:lineRule="auto"/>
              <w:rPr>
                <w:rFonts w:ascii="宋体" w:hAnsi="宋体" w:eastAsia="宋体"/>
                <w:color w:val="auto"/>
                <w:spacing w:val="6"/>
                <w:kern w:val="0"/>
                <w:sz w:val="28"/>
                <w:highlight w:val="none"/>
              </w:rPr>
            </w:pPr>
            <w:r>
              <w:rPr>
                <w:rFonts w:hint="eastAsia" w:ascii="宋体" w:hAnsi="宋体" w:eastAsia="宋体"/>
                <w:color w:val="auto"/>
                <w:spacing w:val="6"/>
                <w:kern w:val="0"/>
                <w:sz w:val="28"/>
                <w:highlight w:val="none"/>
              </w:rPr>
              <w:t>电子邮箱：</w:t>
            </w:r>
            <w:r>
              <w:rPr>
                <w:rFonts w:hint="eastAsia" w:ascii="宋体" w:hAnsi="宋体" w:eastAsia="宋体"/>
                <w:color w:val="auto"/>
                <w:spacing w:val="6"/>
                <w:kern w:val="0"/>
                <w:sz w:val="28"/>
                <w:highlight w:val="none"/>
                <w:u w:val="single"/>
              </w:rPr>
              <w:t xml:space="preserve">                  </w:t>
            </w:r>
          </w:p>
          <w:p w14:paraId="3FD5CAB5">
            <w:pPr>
              <w:widowControl/>
              <w:spacing w:line="360" w:lineRule="auto"/>
              <w:rPr>
                <w:rFonts w:hint="eastAsia" w:ascii="宋体" w:hAnsi="宋体" w:eastAsia="宋体"/>
                <w:color w:val="auto"/>
                <w:sz w:val="28"/>
                <w:highlight w:val="none"/>
                <w:u w:val="single"/>
              </w:rPr>
            </w:pPr>
          </w:p>
        </w:tc>
        <w:tc>
          <w:tcPr>
            <w:tcW w:w="45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7F17484">
            <w:pPr>
              <w:widowControl/>
              <w:spacing w:before="156" w:line="360" w:lineRule="auto"/>
              <w:rPr>
                <w:rFonts w:ascii="宋体" w:hAnsi="宋体" w:eastAsia="宋体"/>
                <w:color w:val="auto"/>
                <w:kern w:val="0"/>
                <w:sz w:val="28"/>
                <w:szCs w:val="28"/>
                <w:highlight w:val="none"/>
              </w:rPr>
            </w:pPr>
            <w:r>
              <w:rPr>
                <w:rFonts w:hint="eastAsia" w:ascii="宋体" w:hAnsi="宋体" w:eastAsia="宋体"/>
                <w:color w:val="auto"/>
                <w:spacing w:val="6"/>
                <w:kern w:val="0"/>
                <w:sz w:val="28"/>
                <w:szCs w:val="28"/>
                <w:highlight w:val="none"/>
              </w:rPr>
              <w:t>监理人：</w:t>
            </w:r>
            <w:r>
              <w:rPr>
                <w:rFonts w:hint="eastAsia" w:ascii="宋体" w:hAnsi="宋体" w:eastAsia="宋体"/>
                <w:color w:val="auto"/>
                <w:spacing w:val="6"/>
                <w:kern w:val="0"/>
                <w:sz w:val="28"/>
                <w:szCs w:val="28"/>
                <w:highlight w:val="none"/>
                <w:u w:val="single"/>
              </w:rPr>
              <w:t xml:space="preserve">                  </w:t>
            </w:r>
          </w:p>
          <w:p w14:paraId="150CE2B7">
            <w:pPr>
              <w:widowControl/>
              <w:spacing w:before="156" w:line="360" w:lineRule="auto"/>
              <w:rPr>
                <w:rFonts w:hint="eastAsia" w:ascii="宋体" w:hAnsi="宋体" w:eastAsia="宋体"/>
                <w:color w:val="auto"/>
                <w:spacing w:val="6"/>
                <w:kern w:val="0"/>
                <w:sz w:val="28"/>
                <w:szCs w:val="28"/>
                <w:highlight w:val="none"/>
              </w:rPr>
            </w:pPr>
            <w:r>
              <w:rPr>
                <w:rFonts w:hint="eastAsia" w:ascii="宋体" w:hAnsi="宋体" w:eastAsia="宋体"/>
                <w:color w:val="auto"/>
                <w:spacing w:val="6"/>
                <w:kern w:val="0"/>
                <w:sz w:val="28"/>
                <w:highlight w:val="none"/>
              </w:rPr>
              <w:t>（盖章）</w:t>
            </w:r>
          </w:p>
          <w:p w14:paraId="0C266C4E">
            <w:pPr>
              <w:widowControl/>
              <w:spacing w:line="360" w:lineRule="auto"/>
              <w:rPr>
                <w:rFonts w:hint="eastAsia" w:ascii="宋体" w:hAnsi="宋体" w:eastAsia="宋体"/>
                <w:color w:val="auto"/>
                <w:kern w:val="0"/>
                <w:sz w:val="28"/>
                <w:szCs w:val="28"/>
                <w:highlight w:val="none"/>
              </w:rPr>
            </w:pPr>
            <w:r>
              <w:rPr>
                <w:rFonts w:hint="eastAsia" w:ascii="宋体" w:hAnsi="宋体" w:eastAsia="宋体"/>
                <w:color w:val="auto"/>
                <w:spacing w:val="6"/>
                <w:kern w:val="0"/>
                <w:sz w:val="28"/>
                <w:szCs w:val="28"/>
                <w:highlight w:val="none"/>
              </w:rPr>
              <w:t>法定代表人或委托人：</w:t>
            </w:r>
            <w:r>
              <w:rPr>
                <w:rFonts w:hint="eastAsia" w:ascii="宋体" w:hAnsi="宋体" w:eastAsia="宋体"/>
                <w:color w:val="auto"/>
                <w:spacing w:val="6"/>
                <w:kern w:val="0"/>
                <w:sz w:val="28"/>
                <w:szCs w:val="28"/>
                <w:highlight w:val="none"/>
                <w:u w:val="single"/>
              </w:rPr>
              <w:t xml:space="preserve">       </w:t>
            </w:r>
          </w:p>
          <w:p w14:paraId="7D8A067F">
            <w:pPr>
              <w:widowControl/>
              <w:spacing w:line="360" w:lineRule="auto"/>
              <w:rPr>
                <w:rFonts w:ascii="宋体" w:hAnsi="宋体" w:eastAsia="宋体"/>
                <w:color w:val="auto"/>
                <w:kern w:val="0"/>
                <w:sz w:val="28"/>
                <w:szCs w:val="28"/>
                <w:highlight w:val="none"/>
                <w:u w:val="single"/>
              </w:rPr>
            </w:pPr>
            <w:r>
              <w:rPr>
                <w:rFonts w:hint="eastAsia" w:ascii="宋体" w:hAnsi="宋体" w:eastAsia="宋体"/>
                <w:color w:val="auto"/>
                <w:spacing w:val="6"/>
                <w:kern w:val="0"/>
                <w:sz w:val="28"/>
                <w:szCs w:val="28"/>
                <w:highlight w:val="none"/>
              </w:rPr>
              <w:t>住所：</w:t>
            </w:r>
            <w:r>
              <w:rPr>
                <w:rFonts w:hint="eastAsia" w:ascii="宋体" w:hAnsi="宋体" w:eastAsia="宋体"/>
                <w:color w:val="auto"/>
                <w:spacing w:val="6"/>
                <w:kern w:val="0"/>
                <w:sz w:val="28"/>
                <w:szCs w:val="28"/>
                <w:highlight w:val="none"/>
                <w:u w:val="single"/>
              </w:rPr>
              <w:t xml:space="preserve">                     </w:t>
            </w:r>
          </w:p>
          <w:p w14:paraId="79AA0300">
            <w:pPr>
              <w:widowControl/>
              <w:spacing w:line="360" w:lineRule="auto"/>
              <w:rPr>
                <w:rFonts w:hint="eastAsia" w:ascii="宋体" w:hAnsi="宋体" w:eastAsia="宋体"/>
                <w:color w:val="auto"/>
                <w:kern w:val="0"/>
                <w:sz w:val="28"/>
                <w:szCs w:val="28"/>
                <w:highlight w:val="none"/>
              </w:rPr>
            </w:pPr>
            <w:r>
              <w:rPr>
                <w:rFonts w:hint="eastAsia" w:ascii="宋体" w:hAnsi="宋体" w:eastAsia="宋体"/>
                <w:color w:val="auto"/>
                <w:spacing w:val="6"/>
                <w:kern w:val="0"/>
                <w:sz w:val="28"/>
                <w:szCs w:val="28"/>
                <w:highlight w:val="none"/>
              </w:rPr>
              <w:t>邮编：</w:t>
            </w:r>
            <w:r>
              <w:rPr>
                <w:rFonts w:hint="eastAsia" w:ascii="宋体" w:hAnsi="宋体" w:eastAsia="宋体"/>
                <w:color w:val="auto"/>
                <w:spacing w:val="6"/>
                <w:kern w:val="0"/>
                <w:sz w:val="28"/>
                <w:szCs w:val="28"/>
                <w:highlight w:val="none"/>
                <w:u w:val="single"/>
              </w:rPr>
              <w:t xml:space="preserve">                    </w:t>
            </w:r>
          </w:p>
          <w:p w14:paraId="25EC8233">
            <w:pPr>
              <w:widowControl/>
              <w:spacing w:line="360" w:lineRule="auto"/>
              <w:rPr>
                <w:rFonts w:ascii="宋体" w:hAnsi="宋体" w:eastAsia="宋体"/>
                <w:color w:val="auto"/>
                <w:spacing w:val="6"/>
                <w:kern w:val="0"/>
                <w:sz w:val="28"/>
                <w:szCs w:val="28"/>
                <w:highlight w:val="none"/>
                <w:u w:val="single"/>
              </w:rPr>
            </w:pPr>
            <w:r>
              <w:rPr>
                <w:rFonts w:hint="eastAsia" w:ascii="宋体" w:hAnsi="宋体" w:eastAsia="宋体"/>
                <w:color w:val="auto"/>
                <w:spacing w:val="6"/>
                <w:kern w:val="0"/>
                <w:sz w:val="28"/>
                <w:szCs w:val="28"/>
                <w:highlight w:val="none"/>
              </w:rPr>
              <w:t>开户银行：</w:t>
            </w:r>
            <w:r>
              <w:rPr>
                <w:rFonts w:hint="eastAsia" w:ascii="宋体" w:hAnsi="宋体" w:eastAsia="宋体"/>
                <w:color w:val="auto"/>
                <w:sz w:val="28"/>
                <w:szCs w:val="28"/>
                <w:highlight w:val="none"/>
                <w:u w:val="single"/>
              </w:rPr>
              <w:t xml:space="preserve"> </w:t>
            </w:r>
            <w:r>
              <w:rPr>
                <w:rFonts w:hint="eastAsia" w:ascii="宋体" w:hAnsi="宋体" w:eastAsia="宋体"/>
                <w:color w:val="auto"/>
                <w:spacing w:val="6"/>
                <w:kern w:val="0"/>
                <w:sz w:val="28"/>
                <w:szCs w:val="28"/>
                <w:highlight w:val="none"/>
                <w:u w:val="single"/>
              </w:rPr>
              <w:t xml:space="preserve">                </w:t>
            </w:r>
          </w:p>
          <w:p w14:paraId="583CA207">
            <w:pPr>
              <w:widowControl/>
              <w:spacing w:line="360" w:lineRule="auto"/>
              <w:rPr>
                <w:rFonts w:hint="eastAsia" w:ascii="宋体" w:hAnsi="宋体" w:eastAsia="宋体"/>
                <w:color w:val="auto"/>
                <w:spacing w:val="6"/>
                <w:kern w:val="0"/>
                <w:sz w:val="28"/>
                <w:szCs w:val="28"/>
                <w:highlight w:val="none"/>
                <w:u w:val="single"/>
              </w:rPr>
            </w:pPr>
            <w:r>
              <w:rPr>
                <w:rFonts w:hint="eastAsia" w:ascii="宋体" w:hAnsi="宋体" w:eastAsia="宋体"/>
                <w:color w:val="auto"/>
                <w:spacing w:val="6"/>
                <w:kern w:val="0"/>
                <w:sz w:val="28"/>
                <w:szCs w:val="28"/>
                <w:highlight w:val="none"/>
              </w:rPr>
              <w:t>账号：</w:t>
            </w:r>
            <w:r>
              <w:rPr>
                <w:rFonts w:hint="eastAsia" w:ascii="宋体" w:hAnsi="宋体" w:eastAsia="宋体"/>
                <w:color w:val="auto"/>
                <w:spacing w:val="6"/>
                <w:kern w:val="0"/>
                <w:sz w:val="28"/>
                <w:szCs w:val="28"/>
                <w:highlight w:val="none"/>
                <w:u w:val="single"/>
              </w:rPr>
              <w:t xml:space="preserve">                    </w:t>
            </w:r>
          </w:p>
          <w:p w14:paraId="0245730D">
            <w:pPr>
              <w:widowControl/>
              <w:spacing w:line="360" w:lineRule="auto"/>
              <w:rPr>
                <w:rFonts w:ascii="宋体" w:hAnsi="宋体" w:eastAsia="宋体"/>
                <w:color w:val="auto"/>
                <w:kern w:val="0"/>
                <w:sz w:val="28"/>
                <w:szCs w:val="28"/>
                <w:highlight w:val="none"/>
              </w:rPr>
            </w:pPr>
            <w:r>
              <w:rPr>
                <w:rFonts w:hint="eastAsia" w:ascii="宋体" w:hAnsi="宋体" w:eastAsia="宋体"/>
                <w:color w:val="auto"/>
                <w:spacing w:val="6"/>
                <w:kern w:val="0"/>
                <w:sz w:val="28"/>
                <w:szCs w:val="28"/>
                <w:highlight w:val="none"/>
              </w:rPr>
              <w:t>电话：</w:t>
            </w:r>
            <w:r>
              <w:rPr>
                <w:rFonts w:hint="eastAsia" w:ascii="宋体" w:hAnsi="宋体" w:eastAsia="宋体"/>
                <w:color w:val="auto"/>
                <w:spacing w:val="6"/>
                <w:kern w:val="0"/>
                <w:sz w:val="28"/>
                <w:szCs w:val="28"/>
                <w:highlight w:val="none"/>
                <w:u w:val="single"/>
              </w:rPr>
              <w:t xml:space="preserve">                    </w:t>
            </w:r>
          </w:p>
          <w:p w14:paraId="0D33AB23">
            <w:pPr>
              <w:widowControl/>
              <w:spacing w:line="360" w:lineRule="auto"/>
              <w:rPr>
                <w:rFonts w:ascii="宋体" w:hAnsi="宋体" w:eastAsia="宋体"/>
                <w:color w:val="auto"/>
                <w:kern w:val="0"/>
                <w:sz w:val="28"/>
                <w:szCs w:val="28"/>
                <w:highlight w:val="none"/>
              </w:rPr>
            </w:pPr>
            <w:r>
              <w:rPr>
                <w:rFonts w:hint="eastAsia" w:ascii="宋体" w:hAnsi="宋体" w:eastAsia="宋体"/>
                <w:color w:val="auto"/>
                <w:spacing w:val="6"/>
                <w:kern w:val="0"/>
                <w:sz w:val="28"/>
                <w:szCs w:val="28"/>
                <w:highlight w:val="none"/>
              </w:rPr>
              <w:t>传真：</w:t>
            </w:r>
            <w:r>
              <w:rPr>
                <w:rFonts w:hint="eastAsia" w:ascii="宋体" w:hAnsi="宋体" w:eastAsia="宋体"/>
                <w:color w:val="auto"/>
                <w:spacing w:val="6"/>
                <w:kern w:val="0"/>
                <w:sz w:val="28"/>
                <w:szCs w:val="28"/>
                <w:highlight w:val="none"/>
                <w:u w:val="single"/>
              </w:rPr>
              <w:t xml:space="preserve">                    </w:t>
            </w:r>
          </w:p>
          <w:p w14:paraId="4F7B06A8">
            <w:pPr>
              <w:widowControl/>
              <w:spacing w:line="360" w:lineRule="auto"/>
              <w:rPr>
                <w:rFonts w:ascii="宋体" w:hAnsi="宋体" w:eastAsia="宋体"/>
                <w:color w:val="auto"/>
                <w:spacing w:val="6"/>
                <w:kern w:val="0"/>
                <w:sz w:val="28"/>
                <w:szCs w:val="28"/>
                <w:highlight w:val="none"/>
              </w:rPr>
            </w:pPr>
            <w:r>
              <w:rPr>
                <w:rFonts w:hint="eastAsia" w:ascii="宋体" w:hAnsi="宋体" w:eastAsia="宋体"/>
                <w:color w:val="auto"/>
                <w:spacing w:val="6"/>
                <w:kern w:val="0"/>
                <w:sz w:val="28"/>
                <w:szCs w:val="28"/>
                <w:highlight w:val="none"/>
              </w:rPr>
              <w:t>电子邮箱：</w:t>
            </w:r>
            <w:r>
              <w:rPr>
                <w:rFonts w:hint="eastAsia" w:ascii="宋体" w:hAnsi="宋体" w:eastAsia="宋体"/>
                <w:color w:val="auto"/>
                <w:spacing w:val="6"/>
                <w:kern w:val="0"/>
                <w:sz w:val="28"/>
                <w:szCs w:val="28"/>
                <w:highlight w:val="none"/>
                <w:u w:val="single"/>
              </w:rPr>
              <w:t xml:space="preserve">                 </w:t>
            </w:r>
          </w:p>
          <w:p w14:paraId="1F62315C">
            <w:pPr>
              <w:widowControl/>
              <w:spacing w:line="360" w:lineRule="auto"/>
              <w:rPr>
                <w:rFonts w:hint="eastAsia" w:ascii="宋体" w:hAnsi="宋体" w:eastAsia="宋体"/>
                <w:color w:val="auto"/>
                <w:kern w:val="0"/>
                <w:sz w:val="28"/>
                <w:highlight w:val="none"/>
              </w:rPr>
            </w:pPr>
          </w:p>
        </w:tc>
      </w:tr>
    </w:tbl>
    <w:p w14:paraId="4FB2B755">
      <w:pPr>
        <w:adjustRightInd w:val="0"/>
        <w:snapToGrid w:val="0"/>
        <w:spacing w:line="360" w:lineRule="auto"/>
        <w:ind w:firstLine="560" w:firstLineChars="200"/>
        <w:rPr>
          <w:rFonts w:hint="eastAsia" w:ascii="宋体" w:hAnsi="宋体" w:cs="Times New Roman"/>
          <w:color w:val="auto"/>
          <w:sz w:val="28"/>
          <w:szCs w:val="28"/>
          <w:highlight w:val="none"/>
        </w:rPr>
      </w:pPr>
    </w:p>
    <w:p w14:paraId="353374D0">
      <w:pPr>
        <w:adjustRightInd w:val="0"/>
        <w:snapToGrid w:val="0"/>
        <w:spacing w:line="360" w:lineRule="auto"/>
        <w:ind w:firstLine="560" w:firstLineChars="200"/>
        <w:rPr>
          <w:rFonts w:hint="eastAsia" w:ascii="宋体" w:hAnsi="宋体" w:cs="Times New Roman"/>
          <w:color w:val="auto"/>
          <w:sz w:val="28"/>
          <w:szCs w:val="28"/>
          <w:highlight w:val="none"/>
        </w:rPr>
      </w:pPr>
    </w:p>
    <w:p w14:paraId="10297F97">
      <w:pPr>
        <w:adjustRightInd w:val="0"/>
        <w:snapToGrid w:val="0"/>
        <w:spacing w:line="360" w:lineRule="auto"/>
        <w:ind w:firstLine="560" w:firstLineChars="200"/>
        <w:rPr>
          <w:rFonts w:hint="eastAsia" w:ascii="宋体" w:hAnsi="宋体" w:cs="Times New Roman"/>
          <w:color w:val="auto"/>
          <w:sz w:val="28"/>
          <w:szCs w:val="28"/>
          <w:highlight w:val="none"/>
        </w:rPr>
      </w:pPr>
    </w:p>
    <w:p w14:paraId="27A0ADD1">
      <w:pPr>
        <w:adjustRightInd w:val="0"/>
        <w:snapToGrid w:val="0"/>
        <w:spacing w:line="360" w:lineRule="auto"/>
        <w:ind w:firstLine="560" w:firstLineChars="200"/>
        <w:rPr>
          <w:rFonts w:hint="eastAsia" w:ascii="宋体" w:hAnsi="宋体" w:cs="Times New Roman"/>
          <w:color w:val="auto"/>
          <w:sz w:val="28"/>
          <w:szCs w:val="28"/>
          <w:highlight w:val="none"/>
        </w:rPr>
      </w:pPr>
    </w:p>
    <w:p w14:paraId="03F6B351">
      <w:pPr>
        <w:adjustRightInd w:val="0"/>
        <w:snapToGrid w:val="0"/>
        <w:spacing w:line="360" w:lineRule="auto"/>
        <w:ind w:firstLine="560" w:firstLineChars="200"/>
        <w:rPr>
          <w:rFonts w:hint="eastAsia" w:ascii="宋体" w:hAnsi="宋体" w:cs="Times New Roman"/>
          <w:color w:val="auto"/>
          <w:sz w:val="28"/>
          <w:szCs w:val="28"/>
          <w:highlight w:val="none"/>
        </w:rPr>
      </w:pPr>
    </w:p>
    <w:p w14:paraId="6AFEE219">
      <w:pPr>
        <w:adjustRightInd w:val="0"/>
        <w:snapToGrid w:val="0"/>
        <w:spacing w:line="360" w:lineRule="auto"/>
        <w:ind w:firstLine="560" w:firstLineChars="200"/>
        <w:rPr>
          <w:rFonts w:hint="eastAsia" w:ascii="宋体" w:hAnsi="宋体" w:cs="Times New Roman"/>
          <w:color w:val="auto"/>
          <w:sz w:val="28"/>
          <w:szCs w:val="28"/>
          <w:highlight w:val="none"/>
        </w:rPr>
      </w:pPr>
    </w:p>
    <w:p w14:paraId="6F742BAB">
      <w:pPr>
        <w:adjustRightInd w:val="0"/>
        <w:snapToGrid w:val="0"/>
        <w:spacing w:line="360" w:lineRule="auto"/>
        <w:ind w:firstLine="560" w:firstLineChars="200"/>
        <w:rPr>
          <w:rFonts w:hint="eastAsia" w:ascii="宋体" w:hAnsi="宋体" w:cs="Times New Roman"/>
          <w:color w:val="auto"/>
          <w:sz w:val="28"/>
          <w:szCs w:val="28"/>
          <w:highlight w:val="none"/>
        </w:rPr>
      </w:pPr>
    </w:p>
    <w:p w14:paraId="7F3B459B">
      <w:pPr>
        <w:pageBreakBefore/>
        <w:jc w:val="center"/>
        <w:rPr>
          <w:rFonts w:ascii="宋体" w:hAnsi="宋体" w:cs="Times New Roman"/>
          <w:b/>
          <w:color w:val="auto"/>
          <w:sz w:val="28"/>
          <w:szCs w:val="28"/>
          <w:highlight w:val="none"/>
        </w:rPr>
      </w:pPr>
      <w:r>
        <w:rPr>
          <w:rFonts w:hint="eastAsia" w:ascii="宋体" w:hAnsi="宋体" w:cs="Times New Roman"/>
          <w:b/>
          <w:color w:val="auto"/>
          <w:sz w:val="28"/>
          <w:szCs w:val="28"/>
          <w:highlight w:val="none"/>
        </w:rPr>
        <w:t>第二部分  通用条件</w:t>
      </w:r>
    </w:p>
    <w:p w14:paraId="0F5C38DD">
      <w:pPr>
        <w:jc w:val="center"/>
        <w:rPr>
          <w:rFonts w:ascii="宋体" w:hAnsi="宋体" w:cs="Times New Roman"/>
          <w:b/>
          <w:color w:val="auto"/>
          <w:sz w:val="24"/>
          <w:highlight w:val="none"/>
        </w:rPr>
      </w:pPr>
    </w:p>
    <w:p w14:paraId="671F6688">
      <w:pPr>
        <w:spacing w:line="440" w:lineRule="exact"/>
        <w:rPr>
          <w:rFonts w:ascii="宋体" w:hAnsi="宋体" w:cs="Times New Roman"/>
          <w:b/>
          <w:color w:val="auto"/>
          <w:sz w:val="28"/>
          <w:szCs w:val="28"/>
          <w:highlight w:val="none"/>
        </w:rPr>
      </w:pPr>
      <w:r>
        <w:rPr>
          <w:rFonts w:hint="eastAsia" w:ascii="宋体" w:hAnsi="宋体" w:cs="Times New Roman"/>
          <w:b/>
          <w:color w:val="auto"/>
          <w:szCs w:val="32"/>
          <w:highlight w:val="none"/>
        </w:rPr>
        <w:t xml:space="preserve">1. </w:t>
      </w:r>
      <w:r>
        <w:rPr>
          <w:rFonts w:hint="eastAsia" w:ascii="宋体" w:hAnsi="宋体" w:cs="Times New Roman"/>
          <w:b/>
          <w:color w:val="auto"/>
          <w:sz w:val="28"/>
          <w:szCs w:val="28"/>
          <w:highlight w:val="none"/>
        </w:rPr>
        <w:t>定义与解释</w:t>
      </w:r>
    </w:p>
    <w:p w14:paraId="3CBB5E45">
      <w:pPr>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1.1 </w:t>
      </w:r>
      <w:r>
        <w:rPr>
          <w:rFonts w:hint="eastAsia" w:ascii="宋体" w:hAnsi="宋体" w:cs="Times New Roman"/>
          <w:bCs/>
          <w:color w:val="auto"/>
          <w:sz w:val="28"/>
          <w:szCs w:val="28"/>
          <w:highlight w:val="none"/>
        </w:rPr>
        <w:t>定义</w:t>
      </w:r>
    </w:p>
    <w:p w14:paraId="6010548A">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除根据上下文另有其意义外，组成本合同的全部文件中的下列名词和用语应具有本款所赋予的含义：</w:t>
      </w:r>
    </w:p>
    <w:p w14:paraId="4B9BBFF5">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1.1.1 “工程”是指按照本合同约定实施监理与相关服务的建设工程。</w:t>
      </w:r>
    </w:p>
    <w:p w14:paraId="20E1E842">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1.1.2 “委托人”是指本合同中委托监理与相关服务的一方，及其合法的继承人或受让人。</w:t>
      </w:r>
    </w:p>
    <w:p w14:paraId="24B84BEA">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1.1.3 “监理人”是指本合同中提供监理与相关服务的一方，及其合法的继承人。</w:t>
      </w:r>
    </w:p>
    <w:p w14:paraId="245A3BA3">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1.1.4 “承包人”是指在工程范围内与委托人签订勘察、设计、施工等有关合同的当事人，及其合法的继承人。</w:t>
      </w:r>
    </w:p>
    <w:p w14:paraId="01DD60AF">
      <w:pPr>
        <w:pStyle w:val="16"/>
        <w:spacing w:line="440" w:lineRule="exact"/>
        <w:ind w:firstLine="560" w:firstLineChars="200"/>
        <w:rPr>
          <w:rFonts w:hint="eastAsia" w:hAnsi="宋体" w:eastAsia="仿宋_GB2312" w:cs="Times New Roman"/>
          <w:color w:val="auto"/>
          <w:sz w:val="28"/>
          <w:szCs w:val="28"/>
          <w:highlight w:val="none"/>
        </w:rPr>
      </w:pPr>
      <w:r>
        <w:rPr>
          <w:rFonts w:hint="eastAsia" w:hAnsi="宋体" w:eastAsia="仿宋_GB2312" w:cs="Times New Roman"/>
          <w:color w:val="auto"/>
          <w:sz w:val="28"/>
          <w:szCs w:val="28"/>
          <w:highlight w:val="none"/>
        </w:rPr>
        <w:t xml:space="preserve">1.1.5 </w:t>
      </w:r>
      <w:r>
        <w:rPr>
          <w:rFonts w:hint="eastAsia" w:ascii="宋体" w:hAnsi="宋体" w:eastAsia="宋体" w:cs="宋体"/>
          <w:color w:val="auto"/>
          <w:sz w:val="28"/>
          <w:szCs w:val="28"/>
          <w:highlight w:val="none"/>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1E7066C">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1.1.6 “相关服务”是指监理人受委托人的委托 ，按照本合同约定，在勘察、设计、保修等阶段提供的服务活动。</w:t>
      </w:r>
    </w:p>
    <w:p w14:paraId="2487DE23">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1.1.7 “正常工作”指本合同订立时通用条件和专用条件中约定的监理人的工作。</w:t>
      </w:r>
    </w:p>
    <w:p w14:paraId="7F66F4C8">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1.1.8 “附加工作”是指本合同约定的正常工作以外监理人的工作。</w:t>
      </w:r>
    </w:p>
    <w:p w14:paraId="29CAA80D">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1.1.9 “项目监理机构”是指监理人派驻工程负责履行本合同的组织机构。</w:t>
      </w:r>
    </w:p>
    <w:p w14:paraId="45E2E4CD">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1.1.10 “总监理工程师”是指由监理人的法定代表人书面授权，全面负责履行本合同、主持项目监理机构工作的注册监理工程师。</w:t>
      </w:r>
    </w:p>
    <w:p w14:paraId="6886A018">
      <w:pPr>
        <w:adjustRightInd w:val="0"/>
        <w:snapToGrid w:val="0"/>
        <w:spacing w:line="440" w:lineRule="exact"/>
        <w:ind w:firstLine="554" w:firstLineChars="198"/>
        <w:rPr>
          <w:rFonts w:ascii="宋体" w:hAnsi="宋体" w:cs="Times New Roman"/>
          <w:color w:val="auto"/>
          <w:sz w:val="28"/>
          <w:szCs w:val="28"/>
          <w:highlight w:val="none"/>
        </w:rPr>
      </w:pPr>
      <w:r>
        <w:rPr>
          <w:rFonts w:hint="eastAsia" w:ascii="宋体" w:hAnsi="宋体" w:cs="Times New Roman"/>
          <w:color w:val="auto"/>
          <w:sz w:val="28"/>
          <w:szCs w:val="28"/>
          <w:highlight w:val="none"/>
        </w:rPr>
        <w:t>1.1.11 “酬金”是指监理人履行本合同义务，委托人按照本合同约定给付监理人的金额。</w:t>
      </w:r>
    </w:p>
    <w:p w14:paraId="50AB681B">
      <w:pPr>
        <w:adjustRightInd w:val="0"/>
        <w:snapToGrid w:val="0"/>
        <w:spacing w:line="440" w:lineRule="exact"/>
        <w:ind w:firstLine="554" w:firstLineChars="198"/>
        <w:rPr>
          <w:rFonts w:ascii="宋体" w:hAnsi="宋体" w:cs="Times New Roman"/>
          <w:color w:val="auto"/>
          <w:sz w:val="28"/>
          <w:szCs w:val="28"/>
          <w:highlight w:val="none"/>
        </w:rPr>
      </w:pPr>
      <w:r>
        <w:rPr>
          <w:rFonts w:hint="eastAsia" w:ascii="宋体" w:hAnsi="宋体" w:cs="Times New Roman"/>
          <w:color w:val="auto"/>
          <w:sz w:val="28"/>
          <w:szCs w:val="28"/>
          <w:highlight w:val="none"/>
        </w:rPr>
        <w:t>1.1.12 “正常工作</w:t>
      </w:r>
      <w:r>
        <w:rPr>
          <w:rFonts w:hint="eastAsia" w:ascii="宋体" w:hAnsi="宋体"/>
          <w:color w:val="auto"/>
          <w:kern w:val="0"/>
          <w:sz w:val="28"/>
          <w:szCs w:val="28"/>
          <w:highlight w:val="none"/>
        </w:rPr>
        <w:t>酬金”</w:t>
      </w:r>
      <w:r>
        <w:rPr>
          <w:rFonts w:hint="eastAsia" w:ascii="宋体" w:hAnsi="宋体" w:cs="Times New Roman"/>
          <w:color w:val="auto"/>
          <w:sz w:val="28"/>
          <w:szCs w:val="28"/>
          <w:highlight w:val="none"/>
        </w:rPr>
        <w:t>是指监理人完成正常工作，委托人应给付监理人并在协议书中载明的签约</w:t>
      </w:r>
      <w:r>
        <w:rPr>
          <w:rFonts w:hint="eastAsia" w:ascii="宋体" w:hAnsi="宋体"/>
          <w:color w:val="auto"/>
          <w:kern w:val="0"/>
          <w:sz w:val="28"/>
          <w:szCs w:val="28"/>
          <w:highlight w:val="none"/>
        </w:rPr>
        <w:t>酬金额</w:t>
      </w:r>
      <w:r>
        <w:rPr>
          <w:rFonts w:hint="eastAsia" w:ascii="宋体" w:hAnsi="宋体" w:cs="Times New Roman"/>
          <w:color w:val="auto"/>
          <w:sz w:val="28"/>
          <w:szCs w:val="28"/>
          <w:highlight w:val="none"/>
        </w:rPr>
        <w:t>。</w:t>
      </w:r>
    </w:p>
    <w:p w14:paraId="184C07BB">
      <w:pPr>
        <w:adjustRightInd w:val="0"/>
        <w:snapToGrid w:val="0"/>
        <w:spacing w:line="440" w:lineRule="exact"/>
        <w:ind w:firstLine="554" w:firstLineChars="198"/>
        <w:rPr>
          <w:rFonts w:ascii="宋体" w:hAnsi="宋体" w:cs="Times New Roman"/>
          <w:color w:val="auto"/>
          <w:sz w:val="28"/>
          <w:szCs w:val="28"/>
          <w:highlight w:val="none"/>
        </w:rPr>
      </w:pPr>
      <w:r>
        <w:rPr>
          <w:rFonts w:hint="eastAsia" w:ascii="宋体" w:hAnsi="宋体" w:cs="Times New Roman"/>
          <w:color w:val="auto"/>
          <w:sz w:val="28"/>
          <w:szCs w:val="28"/>
          <w:highlight w:val="none"/>
        </w:rPr>
        <w:t>1.1.13 “附加工作酬金”是指监理人完成附加工作，委托人应给付监理人的金额。</w:t>
      </w:r>
    </w:p>
    <w:p w14:paraId="4D90A438">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1.1.14 “一方”是指委托人或监理人；“双方”是指委托人和监理人；“第三方”是指除委托人和监理人以外的有关方。</w:t>
      </w:r>
    </w:p>
    <w:p w14:paraId="3C40F947">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1.1.15 “书面形式”是指合同书、信件和数据电文（包括电报、电传、传真、电子数据交换和电子邮件）等可以有形地表现所载内容的形式。</w:t>
      </w:r>
    </w:p>
    <w:p w14:paraId="22478B2F">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1.1.16 “天”是指第一天零时至第二天零时的时间。</w:t>
      </w:r>
    </w:p>
    <w:p w14:paraId="0D4D406F">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1.1.17“月”是指按公历从一个月中任何一天开始的一个公历月时间。</w:t>
      </w:r>
    </w:p>
    <w:p w14:paraId="6FA6EE1D">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5023ACF8">
      <w:pPr>
        <w:adjustRightInd w:val="0"/>
        <w:snapToGrid w:val="0"/>
        <w:spacing w:line="440" w:lineRule="exact"/>
        <w:ind w:left="210" w:leftChars="100"/>
        <w:rPr>
          <w:rFonts w:ascii="宋体" w:hAnsi="宋体" w:cs="Times New Roman"/>
          <w:color w:val="auto"/>
          <w:sz w:val="28"/>
          <w:szCs w:val="28"/>
          <w:highlight w:val="none"/>
        </w:rPr>
      </w:pPr>
      <w:r>
        <w:rPr>
          <w:rFonts w:hint="eastAsia" w:ascii="宋体" w:hAnsi="宋体" w:cs="Times New Roman"/>
          <w:bCs/>
          <w:color w:val="auto"/>
          <w:sz w:val="28"/>
          <w:szCs w:val="28"/>
          <w:highlight w:val="none"/>
        </w:rPr>
        <w:t xml:space="preserve">1.2 </w:t>
      </w:r>
      <w:r>
        <w:rPr>
          <w:rFonts w:hint="eastAsia" w:ascii="宋体" w:hAnsi="宋体" w:cs="Times New Roman"/>
          <w:color w:val="auto"/>
          <w:sz w:val="28"/>
          <w:szCs w:val="28"/>
          <w:highlight w:val="none"/>
        </w:rPr>
        <w:t>解释</w:t>
      </w:r>
    </w:p>
    <w:p w14:paraId="21F5A104">
      <w:pPr>
        <w:tabs>
          <w:tab w:val="left" w:pos="6140"/>
        </w:tabs>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1.2.1本合同使用中文书写、解释和说明。如专用条件约定使用两种及以上语言文字时，应以中文为准。</w:t>
      </w:r>
    </w:p>
    <w:p w14:paraId="43723E0A">
      <w:pPr>
        <w:tabs>
          <w:tab w:val="left" w:pos="6140"/>
        </w:tabs>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1.2.2 组成本合同的下列文件彼此应能相互解释、互为说明。除专用条件另有约定外，本合同文件的解释顺序如下：</w:t>
      </w:r>
    </w:p>
    <w:p w14:paraId="7AEE101F">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（1）协议书；</w:t>
      </w:r>
    </w:p>
    <w:p w14:paraId="279AE040">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（2）中标通知书（适用于招标工程）或委托书（适用于非招标工程）；</w:t>
      </w:r>
    </w:p>
    <w:p w14:paraId="3A1C6370">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（3）专用条件及附录A、附录B；</w:t>
      </w:r>
    </w:p>
    <w:p w14:paraId="669E6E0D">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（4）通用条件；</w:t>
      </w:r>
    </w:p>
    <w:p w14:paraId="4AF0CF87">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（5）投标文件（适用于招标工程）或监理与相关服务建议书（适用于非招标工程）。</w:t>
      </w:r>
    </w:p>
    <w:p w14:paraId="69175EF1">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双方签订的补充协议与其他文件发生矛盾或歧义时，属于同一类内容的文件，应以最新签署的为准。</w:t>
      </w:r>
    </w:p>
    <w:p w14:paraId="426BCDB0">
      <w:pPr>
        <w:spacing w:line="440" w:lineRule="exact"/>
        <w:rPr>
          <w:rFonts w:ascii="宋体" w:hAnsi="宋体" w:cs="Times New Roman"/>
          <w:b/>
          <w:color w:val="auto"/>
          <w:sz w:val="28"/>
          <w:szCs w:val="28"/>
          <w:highlight w:val="none"/>
        </w:rPr>
      </w:pPr>
      <w:r>
        <w:rPr>
          <w:rFonts w:hint="eastAsia" w:ascii="宋体" w:hAnsi="宋体" w:cs="Times New Roman"/>
          <w:b/>
          <w:color w:val="auto"/>
          <w:sz w:val="28"/>
          <w:szCs w:val="28"/>
          <w:highlight w:val="none"/>
        </w:rPr>
        <w:t>2. 监理人的义务</w:t>
      </w:r>
    </w:p>
    <w:p w14:paraId="0ECC9FF2">
      <w:pPr>
        <w:adjustRightInd w:val="0"/>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2.1 监理的范围和工作内容</w:t>
      </w:r>
    </w:p>
    <w:p w14:paraId="24DA7252">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2.1.1 监理范围在专用条件中约定。</w:t>
      </w:r>
    </w:p>
    <w:p w14:paraId="5D6B2F8A">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2.1.2 除专用条件另有约定外，监理工作内容包括：</w:t>
      </w:r>
    </w:p>
    <w:p w14:paraId="5D32687F">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（1）收到工程设计文件后编制监理规划，并在第一次工地会议7天前报委托人。根据有关规定和监理工作需要，编制监理实施细则；</w:t>
      </w:r>
    </w:p>
    <w:p w14:paraId="3627ADE5">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（2）熟悉工程设计文件，并参加由委托人主持的图纸会审和设计交底会议；</w:t>
      </w:r>
    </w:p>
    <w:p w14:paraId="0AF500F0">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（3）参加由委托人主持的第一次工地会议；主持监理例会并根据工程需要主持或参加专题会议；</w:t>
      </w:r>
    </w:p>
    <w:p w14:paraId="5C8C9D63">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（4）审查施工承包人提交的施工组织设计，重点审查其中的质量安全技术措施、专项施工方案与工程建设强制性标准的符合性；</w:t>
      </w:r>
    </w:p>
    <w:p w14:paraId="24C81DEB">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 xml:space="preserve">（5）检查施工承包人工程质量、安全生产管理制度及组织机构和人员资格； </w:t>
      </w:r>
    </w:p>
    <w:p w14:paraId="5350BB1E">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（6）检查施工承包人专职安全生产管理人员的配备情况；</w:t>
      </w:r>
    </w:p>
    <w:p w14:paraId="5899B7EB">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（7）审查施工承包人提交的施工进度计划，核查承包人对施工进度计划的调整；</w:t>
      </w:r>
    </w:p>
    <w:p w14:paraId="4AD26143">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（8）检查施工承包人的试验室；</w:t>
      </w:r>
    </w:p>
    <w:p w14:paraId="28701FD3">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（9）审核施工分包人资质条件；</w:t>
      </w:r>
    </w:p>
    <w:p w14:paraId="414A77C3">
      <w:pPr>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（10）查验施工承包人的施工测量放线成果；</w:t>
      </w:r>
    </w:p>
    <w:p w14:paraId="28339E61">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（11）审查工程开工条件，对条件具备的签发开工令；</w:t>
      </w:r>
    </w:p>
    <w:p w14:paraId="33C58601">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（12）审查施工承包人报送的工程材料、构配件、设备质量证明文件的有效性和符合性，并按规定对用于工程的材料采取平行检验或见证取样方式进行抽检；</w:t>
      </w:r>
    </w:p>
    <w:p w14:paraId="26DFF8D7">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（13）审核施工承包人提交的工程款支付申请，签发或出具工程款支付证书，并报委托人审核、批准；</w:t>
      </w:r>
    </w:p>
    <w:p w14:paraId="1118EA52">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（14）在巡视、旁站和检验过程中，发现工程质量、施工安全存在事故隐患的，要求施工承包人整改并报委托人；</w:t>
      </w:r>
    </w:p>
    <w:p w14:paraId="76C45BA0">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（15）经委托人同意，签发工程暂停令和复工令；</w:t>
      </w:r>
    </w:p>
    <w:p w14:paraId="2D0F24C5">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（16）审查施工承包人提交的采用新材料、新工艺、新技术、新设备的论证材料及相关验收标准；</w:t>
      </w:r>
    </w:p>
    <w:p w14:paraId="09545599">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（17）验收隐蔽工程、分部分项工程；</w:t>
      </w:r>
    </w:p>
    <w:p w14:paraId="7AEA9287">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（18）审查施工承包人提交的工程变更申请，协调处理施工进度调整、费用索赔、合同争议等事项；</w:t>
      </w:r>
    </w:p>
    <w:p w14:paraId="6580E164">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（19）审查施工承包人提交的竣工验收申请，编写工程质量评估报告；</w:t>
      </w:r>
    </w:p>
    <w:p w14:paraId="0BF19865">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（20）参加工程竣工验收，签署竣工验收意见；</w:t>
      </w:r>
    </w:p>
    <w:p w14:paraId="05B87614">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（21）审查施工承包人提交的竣工结算申请并报委托人；</w:t>
      </w:r>
    </w:p>
    <w:p w14:paraId="0D774C61">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（22）编制、整理工程监理归档文件并报委托人。</w:t>
      </w:r>
    </w:p>
    <w:p w14:paraId="5C8CA2CA">
      <w:pPr>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2.1.3 相关服务的范围和内容在附录A中约定。</w:t>
      </w:r>
    </w:p>
    <w:p w14:paraId="317DA361">
      <w:pPr>
        <w:spacing w:line="440" w:lineRule="exact"/>
        <w:ind w:firstLine="280" w:firstLine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2.2 </w:t>
      </w:r>
      <w:r>
        <w:rPr>
          <w:rFonts w:hint="eastAsia" w:ascii="宋体" w:hAnsi="宋体" w:cs="Times New Roman"/>
          <w:bCs/>
          <w:color w:val="auto"/>
          <w:sz w:val="28"/>
          <w:szCs w:val="28"/>
          <w:highlight w:val="none"/>
        </w:rPr>
        <w:t>监理与相关服务依据</w:t>
      </w:r>
    </w:p>
    <w:p w14:paraId="03757FF8">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2.2.1 监理依据包括：</w:t>
      </w:r>
    </w:p>
    <w:p w14:paraId="12320792">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（1）适用的法律、行政法规及部门规章；</w:t>
      </w:r>
    </w:p>
    <w:p w14:paraId="62273EFC">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（2）与工程有关的标准；</w:t>
      </w:r>
    </w:p>
    <w:p w14:paraId="5C2183C9">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（3）工程设计及有关文件；</w:t>
      </w:r>
    </w:p>
    <w:p w14:paraId="6557E3BF">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（4）本合同及委托人与第三方签订的与实施工程有关的其他合同。</w:t>
      </w:r>
    </w:p>
    <w:p w14:paraId="1AC62D20">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双方根据工程的行业和地域特点，在专用条件中具体约定监理依据。</w:t>
      </w:r>
    </w:p>
    <w:p w14:paraId="37D19C3C">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2.2.2 相关服务依据在专用条件中约定。</w:t>
      </w:r>
    </w:p>
    <w:p w14:paraId="67AC2FFD">
      <w:pPr>
        <w:spacing w:line="440" w:lineRule="exact"/>
        <w:ind w:firstLine="280" w:firstLine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2.3 </w:t>
      </w:r>
      <w:r>
        <w:rPr>
          <w:rFonts w:hint="eastAsia" w:ascii="宋体" w:hAnsi="宋体"/>
          <w:color w:val="auto"/>
          <w:kern w:val="0"/>
          <w:sz w:val="28"/>
          <w:szCs w:val="28"/>
          <w:highlight w:val="none"/>
        </w:rPr>
        <w:t>项目监理机构和人员</w:t>
      </w:r>
    </w:p>
    <w:p w14:paraId="4921F58A">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2.3.1 监理人应组建满足工作需要的项目监理机构，配备必要的检测设备。项目监理机构的主要人员应具有相应的资格条件。</w:t>
      </w:r>
    </w:p>
    <w:p w14:paraId="5D9ED94E">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sz w:val="28"/>
          <w:szCs w:val="28"/>
          <w:highlight w:val="none"/>
        </w:rPr>
        <w:t>2.3.2本合同履行过程中，总监理工程师及重要岗位监理人员应保持相对</w:t>
      </w:r>
      <w:r>
        <w:rPr>
          <w:rFonts w:hint="eastAsia" w:ascii="宋体" w:hAnsi="宋体" w:cs="Times New Roman"/>
          <w:color w:val="auto"/>
          <w:kern w:val="0"/>
          <w:sz w:val="28"/>
          <w:szCs w:val="28"/>
          <w:highlight w:val="none"/>
        </w:rPr>
        <w:t>稳定，以保证监理工作正常进行。</w:t>
      </w:r>
    </w:p>
    <w:p w14:paraId="3E7FFF0B">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1B6B46BF">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2.3.4 监理人应及时更换有下列情形之一的监理人员：</w:t>
      </w:r>
    </w:p>
    <w:p w14:paraId="6C2D2741">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（1）严重过失行为的；</w:t>
      </w:r>
    </w:p>
    <w:p w14:paraId="05E5A083">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（2）有违法行为不能履行职责的；</w:t>
      </w:r>
    </w:p>
    <w:p w14:paraId="10A94AE9">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（3）涉嫌犯罪的；</w:t>
      </w:r>
    </w:p>
    <w:p w14:paraId="1BA7ADE2">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（4）不能胜任岗位职责的；</w:t>
      </w:r>
    </w:p>
    <w:p w14:paraId="795679AE">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（5）严重违反职业道德的；</w:t>
      </w:r>
    </w:p>
    <w:p w14:paraId="3B6D4114">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（6）专用条件约定的其他情形。</w:t>
      </w:r>
    </w:p>
    <w:p w14:paraId="030F936D">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2.3.5 委托人可要求监理人更换不能胜任本职工作的项目监理机构人员。</w:t>
      </w:r>
    </w:p>
    <w:p w14:paraId="7F754F8F">
      <w:pPr>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2.4 </w:t>
      </w:r>
      <w:r>
        <w:rPr>
          <w:rFonts w:hint="eastAsia" w:ascii="宋体" w:hAnsi="宋体"/>
          <w:color w:val="auto"/>
          <w:kern w:val="0"/>
          <w:sz w:val="28"/>
          <w:szCs w:val="28"/>
          <w:highlight w:val="none"/>
        </w:rPr>
        <w:t>履行职责</w:t>
      </w:r>
    </w:p>
    <w:p w14:paraId="40C846EB">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监理人应遵循职业道德准则和行为规范，严格按照法律法规、工程建设有关标准及本合同履行职责。</w:t>
      </w:r>
    </w:p>
    <w:p w14:paraId="5B374736">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2.4.1 在监理与相关服务范围内，委托人和承包人提出的意见和要求，监理人应及时提出处置意见。当委托人与承包人之间发生合同争议时，监理人应协助委托人、承包人协商解决。</w:t>
      </w:r>
    </w:p>
    <w:p w14:paraId="590B875C">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2.4.2 当委托人与承包人之间的合同争议提交仲裁机构仲裁或人民法院审理时，监理人应提供必要的证明资料。</w:t>
      </w:r>
    </w:p>
    <w:p w14:paraId="2E11BA0F">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2.4.3 监理人应在专用条件约定的授权范围内，处理委托人与承包人所签订合同的变更事宜。如果变更超过授权范围，应以书面形式报委托人批准。</w:t>
      </w:r>
    </w:p>
    <w:p w14:paraId="659B4BD2">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在紧急情况下，为了保护财产和人身安全，监理人所发出的指令未能事先报委托人批准时，应在发出指令后的24小时内以书面形式报委托人。</w:t>
      </w:r>
    </w:p>
    <w:p w14:paraId="3A00A396">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2.4.4 除专用条件另有约定外，监理人发现承包人的人员不能胜任本职工作的，有权要求承包人予以调换。</w:t>
      </w:r>
    </w:p>
    <w:p w14:paraId="3D771F56">
      <w:pPr>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2.5 提交</w:t>
      </w:r>
      <w:r>
        <w:rPr>
          <w:rFonts w:hint="eastAsia" w:ascii="宋体" w:hAnsi="宋体"/>
          <w:color w:val="auto"/>
          <w:kern w:val="0"/>
          <w:sz w:val="28"/>
          <w:szCs w:val="28"/>
          <w:highlight w:val="none"/>
        </w:rPr>
        <w:t>报告</w:t>
      </w:r>
    </w:p>
    <w:p w14:paraId="3E0FAAD8">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监理人应按专用条件约定的种类、时间和份数向委托人提交监理与相关服务的报告。</w:t>
      </w:r>
    </w:p>
    <w:p w14:paraId="6923D9C1">
      <w:pPr>
        <w:spacing w:line="440" w:lineRule="exact"/>
        <w:ind w:left="210" w:leftChars="1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2.6 文件资料</w:t>
      </w:r>
    </w:p>
    <w:p w14:paraId="72C91622">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在本合同履行期内，监理人应在现场保留工作所用的图纸、报告及记录监理工作的相关文件。工程竣工后，应当按照档案管理规定将监理有关文件归档。</w:t>
      </w:r>
    </w:p>
    <w:p w14:paraId="22EFF389">
      <w:pPr>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2.7 </w:t>
      </w:r>
      <w:r>
        <w:rPr>
          <w:rFonts w:hint="eastAsia" w:ascii="宋体" w:hAnsi="宋体"/>
          <w:color w:val="auto"/>
          <w:kern w:val="0"/>
          <w:sz w:val="28"/>
          <w:szCs w:val="28"/>
          <w:highlight w:val="none"/>
        </w:rPr>
        <w:t>使用委托人的财产</w:t>
      </w:r>
    </w:p>
    <w:p w14:paraId="6A495C4A">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EDF1CC9">
      <w:pPr>
        <w:spacing w:line="440" w:lineRule="exact"/>
        <w:rPr>
          <w:rFonts w:ascii="宋体" w:hAnsi="宋体" w:cs="Times New Roman"/>
          <w:b/>
          <w:color w:val="auto"/>
          <w:kern w:val="0"/>
          <w:sz w:val="28"/>
          <w:szCs w:val="28"/>
          <w:highlight w:val="none"/>
        </w:rPr>
      </w:pPr>
      <w:r>
        <w:rPr>
          <w:rFonts w:hint="eastAsia" w:ascii="宋体" w:hAnsi="宋体" w:cs="Times New Roman"/>
          <w:b/>
          <w:color w:val="auto"/>
          <w:kern w:val="0"/>
          <w:sz w:val="28"/>
          <w:szCs w:val="28"/>
          <w:highlight w:val="none"/>
        </w:rPr>
        <w:t>3．委托人的义务</w:t>
      </w:r>
    </w:p>
    <w:p w14:paraId="0938F606">
      <w:pPr>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3.1 </w:t>
      </w:r>
      <w:r>
        <w:rPr>
          <w:rFonts w:hint="eastAsia" w:ascii="宋体" w:hAnsi="宋体"/>
          <w:color w:val="auto"/>
          <w:kern w:val="0"/>
          <w:sz w:val="28"/>
          <w:szCs w:val="28"/>
          <w:highlight w:val="none"/>
        </w:rPr>
        <w:t>告知</w:t>
      </w:r>
    </w:p>
    <w:p w14:paraId="3CFDF062">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委托人应在委托人与承包人签订的合同中明确监理人、总监理工程师和授予项目监理机构的权限。如有变更，应及时通知承包人。</w:t>
      </w:r>
    </w:p>
    <w:p w14:paraId="558EA0C5">
      <w:pPr>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3.2 </w:t>
      </w:r>
      <w:r>
        <w:rPr>
          <w:rFonts w:hint="eastAsia" w:ascii="宋体" w:hAnsi="宋体"/>
          <w:color w:val="auto"/>
          <w:kern w:val="0"/>
          <w:sz w:val="28"/>
          <w:szCs w:val="28"/>
          <w:highlight w:val="none"/>
        </w:rPr>
        <w:t>提供资料</w:t>
      </w:r>
    </w:p>
    <w:p w14:paraId="35313BC6">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委托人应按照附录B约定，无偿向监理人提供工程有关的资料。在本合同履行过程中，委托人应及时向监理人提供最新的与工程有关的资料。</w:t>
      </w:r>
    </w:p>
    <w:p w14:paraId="11CC7EDA">
      <w:pPr>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3.3 </w:t>
      </w:r>
      <w:r>
        <w:rPr>
          <w:rFonts w:hint="eastAsia" w:ascii="宋体" w:hAnsi="宋体"/>
          <w:color w:val="auto"/>
          <w:kern w:val="0"/>
          <w:sz w:val="28"/>
          <w:szCs w:val="28"/>
          <w:highlight w:val="none"/>
        </w:rPr>
        <w:t>提供工作条件</w:t>
      </w:r>
    </w:p>
    <w:p w14:paraId="642642BD">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委托人应为监理人完成监理与相关服务提供必要的条件。</w:t>
      </w:r>
    </w:p>
    <w:p w14:paraId="4AD20D20">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 xml:space="preserve">3.3.1 </w:t>
      </w:r>
      <w:r>
        <w:rPr>
          <w:rFonts w:hint="eastAsia" w:ascii="宋体" w:hAnsi="宋体" w:cs="Times New Roman"/>
          <w:color w:val="auto"/>
          <w:sz w:val="28"/>
          <w:szCs w:val="28"/>
          <w:highlight w:val="none"/>
        </w:rPr>
        <w:t>委托人应按照附录B约定，派遣相应的人员，提供房屋、设备，供监理人</w:t>
      </w:r>
      <w:r>
        <w:rPr>
          <w:rFonts w:hint="eastAsia" w:ascii="宋体" w:hAnsi="宋体" w:cs="Times New Roman"/>
          <w:color w:val="auto"/>
          <w:kern w:val="0"/>
          <w:sz w:val="28"/>
          <w:szCs w:val="28"/>
          <w:highlight w:val="none"/>
        </w:rPr>
        <w:t>无偿</w:t>
      </w:r>
      <w:r>
        <w:rPr>
          <w:rFonts w:hint="eastAsia" w:ascii="宋体" w:hAnsi="宋体" w:cs="Times New Roman"/>
          <w:color w:val="auto"/>
          <w:sz w:val="28"/>
          <w:szCs w:val="28"/>
          <w:highlight w:val="none"/>
        </w:rPr>
        <w:t>使用。</w:t>
      </w:r>
    </w:p>
    <w:p w14:paraId="1DD65A15">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3.3.2 委托人应负责协调工程建设中所有外部关系，为监理人履行本合同提供必要的外部条件。</w:t>
      </w:r>
    </w:p>
    <w:p w14:paraId="5B651212">
      <w:pPr>
        <w:snapToGrid w:val="0"/>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3.4 </w:t>
      </w:r>
      <w:r>
        <w:rPr>
          <w:rFonts w:hint="eastAsia" w:ascii="宋体" w:hAnsi="宋体"/>
          <w:color w:val="auto"/>
          <w:kern w:val="0"/>
          <w:sz w:val="28"/>
          <w:szCs w:val="28"/>
          <w:highlight w:val="none"/>
        </w:rPr>
        <w:t>委托人代表</w:t>
      </w:r>
    </w:p>
    <w:p w14:paraId="1159981D">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3803EC6B">
      <w:pPr>
        <w:snapToGrid w:val="0"/>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3.5 </w:t>
      </w:r>
      <w:r>
        <w:rPr>
          <w:rFonts w:hint="eastAsia" w:ascii="宋体" w:hAnsi="宋体"/>
          <w:color w:val="auto"/>
          <w:kern w:val="0"/>
          <w:sz w:val="28"/>
          <w:szCs w:val="28"/>
          <w:highlight w:val="none"/>
        </w:rPr>
        <w:t>委托人意见或要求</w:t>
      </w:r>
    </w:p>
    <w:p w14:paraId="23A8A1E1">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在本合同约定的监理与相关服务工作范围内，委托人对承包人的任何意见或要求应通知监理人，由监理人向承包人发出相应指令。</w:t>
      </w:r>
    </w:p>
    <w:p w14:paraId="09546817">
      <w:pPr>
        <w:snapToGrid w:val="0"/>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3.6 </w:t>
      </w:r>
      <w:r>
        <w:rPr>
          <w:rFonts w:hint="eastAsia" w:ascii="宋体" w:hAnsi="宋体"/>
          <w:color w:val="auto"/>
          <w:kern w:val="0"/>
          <w:sz w:val="28"/>
          <w:szCs w:val="28"/>
          <w:highlight w:val="none"/>
        </w:rPr>
        <w:t>答复</w:t>
      </w:r>
    </w:p>
    <w:p w14:paraId="7FE724D4">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委托人应在专用条件约定的时间内，对监理人以书面形式提交并要求作出决定的事宜，给予书面答复。逾期未答复的，视为委托人认可。</w:t>
      </w:r>
    </w:p>
    <w:p w14:paraId="56E5A148">
      <w:pPr>
        <w:snapToGrid w:val="0"/>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3.7 </w:t>
      </w:r>
      <w:r>
        <w:rPr>
          <w:rFonts w:hint="eastAsia" w:ascii="宋体" w:hAnsi="宋体"/>
          <w:color w:val="auto"/>
          <w:kern w:val="0"/>
          <w:sz w:val="28"/>
          <w:szCs w:val="28"/>
          <w:highlight w:val="none"/>
        </w:rPr>
        <w:t>支付</w:t>
      </w:r>
    </w:p>
    <w:p w14:paraId="64249A32">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委托人应按本合同约定，向监理人支付酬金。</w:t>
      </w:r>
    </w:p>
    <w:p w14:paraId="49E46C46">
      <w:pPr>
        <w:snapToGrid w:val="0"/>
        <w:spacing w:line="440" w:lineRule="exact"/>
        <w:rPr>
          <w:rFonts w:ascii="宋体" w:hAnsi="宋体" w:cs="Times New Roman"/>
          <w:b/>
          <w:bCs/>
          <w:color w:val="auto"/>
          <w:sz w:val="28"/>
          <w:szCs w:val="28"/>
          <w:highlight w:val="none"/>
        </w:rPr>
      </w:pPr>
      <w:r>
        <w:rPr>
          <w:rFonts w:hint="eastAsia" w:ascii="宋体" w:hAnsi="宋体" w:cs="Times New Roman"/>
          <w:b/>
          <w:bCs/>
          <w:color w:val="auto"/>
          <w:sz w:val="28"/>
          <w:szCs w:val="28"/>
          <w:highlight w:val="none"/>
        </w:rPr>
        <w:t>4. 违约责任</w:t>
      </w:r>
    </w:p>
    <w:p w14:paraId="50DE325D">
      <w:pPr>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4.1 </w:t>
      </w:r>
      <w:r>
        <w:rPr>
          <w:rFonts w:hint="eastAsia" w:ascii="宋体" w:hAnsi="宋体"/>
          <w:color w:val="auto"/>
          <w:kern w:val="0"/>
          <w:sz w:val="28"/>
          <w:szCs w:val="28"/>
          <w:highlight w:val="none"/>
        </w:rPr>
        <w:t>监理人的违约责任</w:t>
      </w:r>
    </w:p>
    <w:p w14:paraId="45571DDC">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监理人未履行本合同义务的，应承担相应的责任。</w:t>
      </w:r>
    </w:p>
    <w:p w14:paraId="26C6AD2D">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4.1.1 因监理人</w:t>
      </w:r>
      <w:r>
        <w:rPr>
          <w:rFonts w:hint="eastAsia" w:ascii="宋体" w:hAnsi="宋体"/>
          <w:color w:val="auto"/>
          <w:kern w:val="0"/>
          <w:sz w:val="28"/>
          <w:szCs w:val="28"/>
          <w:highlight w:val="none"/>
        </w:rPr>
        <w:t>违反本合同约定</w:t>
      </w:r>
      <w:r>
        <w:rPr>
          <w:rFonts w:hint="eastAsia" w:ascii="宋体" w:hAnsi="宋体" w:cs="Times New Roman"/>
          <w:color w:val="auto"/>
          <w:sz w:val="28"/>
          <w:szCs w:val="28"/>
          <w:highlight w:val="none"/>
        </w:rPr>
        <w:t>给委托人造成损失的，监理人应当赔偿委托人损失</w:t>
      </w:r>
      <w:r>
        <w:rPr>
          <w:rFonts w:hint="eastAsia" w:ascii="宋体" w:hAnsi="宋体" w:cs="Times New Roman"/>
          <w:color w:val="auto"/>
          <w:kern w:val="0"/>
          <w:sz w:val="28"/>
          <w:szCs w:val="28"/>
          <w:highlight w:val="none"/>
        </w:rPr>
        <w:t>。赔偿金额的确定方法在专用条件中约定。监理人承担部分赔偿责任的，其承担赔偿金额由双方协商确定。</w:t>
      </w:r>
    </w:p>
    <w:p w14:paraId="68DEC283">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4.1.2 监理人向委托人的索赔不成立时，监理人应赔偿委托人由此发生的费用。</w:t>
      </w:r>
    </w:p>
    <w:p w14:paraId="29AE10A1">
      <w:pPr>
        <w:snapToGrid w:val="0"/>
        <w:spacing w:line="440" w:lineRule="exact"/>
        <w:ind w:firstLine="280" w:firstLine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4.2 委</w:t>
      </w:r>
      <w:r>
        <w:rPr>
          <w:rFonts w:hint="eastAsia" w:ascii="宋体" w:hAnsi="宋体"/>
          <w:color w:val="auto"/>
          <w:kern w:val="0"/>
          <w:sz w:val="28"/>
          <w:szCs w:val="28"/>
          <w:highlight w:val="none"/>
        </w:rPr>
        <w:t>托人的违约责任</w:t>
      </w:r>
    </w:p>
    <w:p w14:paraId="5303CC75">
      <w:pPr>
        <w:adjustRightInd w:val="0"/>
        <w:snapToGrid w:val="0"/>
        <w:spacing w:line="440" w:lineRule="exact"/>
        <w:ind w:firstLine="560" w:firstLineChars="200"/>
        <w:rPr>
          <w:rFonts w:ascii="宋体" w:hAnsi="宋体"/>
          <w:color w:val="auto"/>
          <w:kern w:val="0"/>
          <w:sz w:val="28"/>
          <w:szCs w:val="28"/>
          <w:highlight w:val="none"/>
        </w:rPr>
      </w:pPr>
      <w:r>
        <w:rPr>
          <w:rFonts w:hint="eastAsia" w:ascii="宋体" w:hAnsi="宋体" w:cs="Times New Roman"/>
          <w:color w:val="auto"/>
          <w:kern w:val="0"/>
          <w:sz w:val="28"/>
          <w:szCs w:val="28"/>
          <w:highlight w:val="none"/>
        </w:rPr>
        <w:t>委托人未履行本合同义务的，应承担相应的责任。</w:t>
      </w:r>
    </w:p>
    <w:p w14:paraId="07B63166">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4.2.1 委托人违反本合同约定造成监理人损失的，委托人应予以赔偿。</w:t>
      </w:r>
    </w:p>
    <w:p w14:paraId="6DE722E7">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4.2.2 委托人向监理人的索赔不成立时，应赔偿监理人由此引起的费用。</w:t>
      </w:r>
    </w:p>
    <w:p w14:paraId="31CFBF52">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4.2.3 委托人未能按期支付酬金超过28天，应按专用条件约定支付逾期付款利息。</w:t>
      </w:r>
    </w:p>
    <w:p w14:paraId="4057F465">
      <w:pPr>
        <w:spacing w:line="440" w:lineRule="exact"/>
        <w:ind w:firstLine="280" w:firstLineChars="1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4.3 除外责任</w:t>
      </w:r>
    </w:p>
    <w:p w14:paraId="4CE5015C">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因非监理人的原因，且监理人无过错，发生工程质量事故、安全事故、工期延误等造成的损失，监理人不承担赔偿责任。</w:t>
      </w:r>
    </w:p>
    <w:p w14:paraId="3FCC4916">
      <w:pPr>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因不可抗力导致本合同全部或部分不能履行时，双方各自承担其因此而造成的损失、损害。</w:t>
      </w:r>
    </w:p>
    <w:p w14:paraId="5D3BA54B">
      <w:pPr>
        <w:snapToGrid w:val="0"/>
        <w:spacing w:line="440" w:lineRule="exact"/>
        <w:rPr>
          <w:rFonts w:ascii="宋体" w:hAnsi="宋体" w:cs="Times New Roman"/>
          <w:b/>
          <w:bCs/>
          <w:color w:val="auto"/>
          <w:sz w:val="28"/>
          <w:szCs w:val="28"/>
          <w:highlight w:val="none"/>
        </w:rPr>
      </w:pPr>
      <w:r>
        <w:rPr>
          <w:rFonts w:hint="eastAsia" w:ascii="宋体" w:hAnsi="宋体" w:cs="Times New Roman"/>
          <w:b/>
          <w:bCs/>
          <w:color w:val="auto"/>
          <w:sz w:val="28"/>
          <w:szCs w:val="28"/>
          <w:highlight w:val="none"/>
        </w:rPr>
        <w:t>5. 支付</w:t>
      </w:r>
    </w:p>
    <w:p w14:paraId="2EFE647C">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5.1 </w:t>
      </w:r>
      <w:r>
        <w:rPr>
          <w:rFonts w:hint="eastAsia" w:ascii="宋体" w:hAnsi="宋体" w:cs="Times New Roman"/>
          <w:bCs/>
          <w:color w:val="auto"/>
          <w:sz w:val="28"/>
          <w:szCs w:val="28"/>
          <w:highlight w:val="none"/>
        </w:rPr>
        <w:t>支付货币</w:t>
      </w:r>
    </w:p>
    <w:p w14:paraId="210B3FBB">
      <w:pPr>
        <w:snapToGrid w:val="0"/>
        <w:spacing w:line="440" w:lineRule="exact"/>
        <w:ind w:firstLine="560" w:firstLineChars="200"/>
        <w:rPr>
          <w:rFonts w:ascii="宋体" w:hAnsi="宋体" w:cs="Times New Roman"/>
          <w:bCs/>
          <w:color w:val="auto"/>
          <w:sz w:val="28"/>
          <w:szCs w:val="28"/>
          <w:highlight w:val="none"/>
        </w:rPr>
      </w:pPr>
      <w:r>
        <w:rPr>
          <w:rFonts w:hint="eastAsia" w:ascii="宋体" w:hAnsi="宋体" w:cs="Times New Roman"/>
          <w:color w:val="auto"/>
          <w:sz w:val="28"/>
          <w:szCs w:val="28"/>
          <w:highlight w:val="none"/>
        </w:rPr>
        <w:t>除专用条件另有约定外，酬金均以人民币支付。涉及外币支付的，所采用的货币种类、比例和汇率在专用条件中约定。</w:t>
      </w:r>
    </w:p>
    <w:p w14:paraId="1A5E546E">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5.2 支付申请</w:t>
      </w:r>
    </w:p>
    <w:p w14:paraId="729E17CA">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监理人应在本合同约定的每次应付款时间的7天前，向委托人提交支付申请书。支付申请书应当说明当期应付款总额，并列出当期应支付的款项及其金额。</w:t>
      </w:r>
    </w:p>
    <w:p w14:paraId="16F313C6">
      <w:pPr>
        <w:snapToGrid w:val="0"/>
        <w:spacing w:line="440" w:lineRule="exact"/>
        <w:rPr>
          <w:rFonts w:ascii="宋体" w:hAnsi="宋体" w:cs="Times New Roman"/>
          <w:color w:val="auto"/>
          <w:sz w:val="28"/>
          <w:szCs w:val="28"/>
          <w:highlight w:val="none"/>
        </w:rPr>
      </w:pPr>
      <w:r>
        <w:rPr>
          <w:rFonts w:hint="eastAsia" w:ascii="宋体" w:hAnsi="宋体" w:cs="Times New Roman"/>
          <w:color w:val="auto"/>
          <w:sz w:val="28"/>
          <w:szCs w:val="28"/>
          <w:highlight w:val="none"/>
        </w:rPr>
        <w:t xml:space="preserve"> 5.3 支付酬金</w:t>
      </w:r>
    </w:p>
    <w:p w14:paraId="01D92F22">
      <w:pPr>
        <w:snapToGrid w:val="0"/>
        <w:spacing w:line="440" w:lineRule="exact"/>
        <w:ind w:firstLine="480"/>
        <w:rPr>
          <w:rFonts w:ascii="宋体" w:hAnsi="宋体" w:cs="Times New Roman"/>
          <w:color w:val="auto"/>
          <w:sz w:val="28"/>
          <w:szCs w:val="28"/>
          <w:highlight w:val="none"/>
        </w:rPr>
      </w:pPr>
      <w:r>
        <w:rPr>
          <w:rFonts w:hint="eastAsia" w:ascii="宋体" w:hAnsi="宋体" w:cs="Times New Roman"/>
          <w:color w:val="auto"/>
          <w:sz w:val="28"/>
          <w:szCs w:val="28"/>
          <w:highlight w:val="none"/>
        </w:rPr>
        <w:t>支付的酬金包括正常工作酬金、附加工作酬金、合理化建议奖励金额及费用。</w:t>
      </w:r>
    </w:p>
    <w:p w14:paraId="27BA149B">
      <w:pPr>
        <w:snapToGrid w:val="0"/>
        <w:spacing w:line="440" w:lineRule="exact"/>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  5.4 </w:t>
      </w:r>
      <w:r>
        <w:rPr>
          <w:rFonts w:hint="eastAsia" w:ascii="宋体" w:hAnsi="宋体" w:cs="Times New Roman"/>
          <w:bCs/>
          <w:color w:val="auto"/>
          <w:sz w:val="28"/>
          <w:szCs w:val="28"/>
          <w:highlight w:val="none"/>
        </w:rPr>
        <w:t>有争议部分的付款</w:t>
      </w:r>
    </w:p>
    <w:p w14:paraId="383EBDE4">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15EBBE5D">
      <w:pPr>
        <w:snapToGrid w:val="0"/>
        <w:spacing w:line="440" w:lineRule="exact"/>
        <w:rPr>
          <w:rFonts w:ascii="宋体" w:hAnsi="宋体" w:cs="Times New Roman"/>
          <w:b/>
          <w:bCs/>
          <w:color w:val="auto"/>
          <w:sz w:val="28"/>
          <w:szCs w:val="28"/>
          <w:highlight w:val="none"/>
        </w:rPr>
      </w:pPr>
      <w:r>
        <w:rPr>
          <w:rFonts w:hint="eastAsia" w:ascii="宋体" w:hAnsi="宋体" w:cs="Times New Roman"/>
          <w:b/>
          <w:bCs/>
          <w:color w:val="auto"/>
          <w:sz w:val="28"/>
          <w:szCs w:val="28"/>
          <w:highlight w:val="none"/>
        </w:rPr>
        <w:t>6. 合同生效、变更、暂停、解除与终止</w:t>
      </w:r>
    </w:p>
    <w:p w14:paraId="54DB3FED">
      <w:pPr>
        <w:spacing w:line="440" w:lineRule="exact"/>
        <w:ind w:left="210" w:leftChars="100"/>
        <w:rPr>
          <w:rFonts w:ascii="宋体" w:hAnsi="宋体" w:cs="Times New Roman"/>
          <w:color w:val="auto"/>
          <w:sz w:val="28"/>
          <w:szCs w:val="28"/>
          <w:highlight w:val="none"/>
        </w:rPr>
      </w:pPr>
      <w:r>
        <w:rPr>
          <w:rFonts w:hint="eastAsia" w:ascii="宋体" w:hAnsi="宋体" w:cs="Times New Roman"/>
          <w:color w:val="auto"/>
          <w:sz w:val="28"/>
          <w:szCs w:val="28"/>
          <w:highlight w:val="none"/>
        </w:rPr>
        <w:t>6.1生效</w:t>
      </w:r>
    </w:p>
    <w:p w14:paraId="2A85EE5C">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除法律另有规定或者专用条件另有约定外，委托人和监理人的法定代表人或其授权代理人在协议书上签字并盖单位章后本合同生效。</w:t>
      </w:r>
    </w:p>
    <w:p w14:paraId="529CDEC2">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6.2</w:t>
      </w:r>
      <w:r>
        <w:rPr>
          <w:rFonts w:hint="eastAsia" w:ascii="宋体" w:hAnsi="宋体" w:cs="Times New Roman"/>
          <w:bCs/>
          <w:color w:val="auto"/>
          <w:sz w:val="28"/>
          <w:szCs w:val="28"/>
          <w:highlight w:val="none"/>
        </w:rPr>
        <w:t>变更</w:t>
      </w:r>
    </w:p>
    <w:p w14:paraId="6969C6C4">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6.2.1 任何一方提出变更请求时，双方经协商一致后可进行变更。</w:t>
      </w:r>
    </w:p>
    <w:p w14:paraId="071D72B4">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35DA1364">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10621E87">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6.2.4合同签订后，遇有与工程相关的法律法规、标准颁布或修订的，双方应遵照执行。由此引起监理与相关服务的范围、时间、酬金变化的，双方应通过协商进行相应调整。</w:t>
      </w:r>
    </w:p>
    <w:p w14:paraId="490D2511">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6.2.5 因非监理人原因造成工程概算投资额或建筑安装工程费增加时，正常工作酬金应作相应调整。调整方法在专用条件中约定。</w:t>
      </w:r>
    </w:p>
    <w:p w14:paraId="472C6C39">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6.2.6 因工程规模、监理范围的变化导致监理人的正常工作量减少时，正常工作酬金应作相应调整。调整方法在专用条件中约定。</w:t>
      </w:r>
    </w:p>
    <w:p w14:paraId="0297AD16">
      <w:pPr>
        <w:snapToGrid w:val="0"/>
        <w:spacing w:line="440" w:lineRule="exact"/>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  6.3 暂停与</w:t>
      </w:r>
      <w:r>
        <w:rPr>
          <w:rFonts w:hint="eastAsia" w:ascii="宋体" w:hAnsi="宋体" w:cs="Times New Roman"/>
          <w:bCs/>
          <w:color w:val="auto"/>
          <w:sz w:val="28"/>
          <w:szCs w:val="28"/>
          <w:highlight w:val="none"/>
        </w:rPr>
        <w:t>解除</w:t>
      </w:r>
    </w:p>
    <w:p w14:paraId="64CC025C">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除双方协商一致可以解除本合同外，当一方无正当理由未履行本合同约定的义务时，另一方可以根据本合同约定暂停履行本合同直至解除本合同。</w:t>
      </w:r>
    </w:p>
    <w:p w14:paraId="3363F081">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7481AEB6">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因解除本合同或解除监理人的部分义务导致监理人遭受的损失，除依法可以免除责任的情况外，应由委托人予以补偿，补偿金额由双方协商确定。</w:t>
      </w:r>
    </w:p>
    <w:p w14:paraId="5773ED7F">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解除本合同的协议必须采取书面形式，协议未达成之前，本合同仍然有效。</w:t>
      </w:r>
    </w:p>
    <w:p w14:paraId="4EE74DE3">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F3C344E">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s="Times New Roman"/>
          <w:color w:val="auto"/>
          <w:kern w:val="0"/>
          <w:sz w:val="28"/>
          <w:szCs w:val="28"/>
          <w:highlight w:val="none"/>
        </w:rPr>
        <w:t>的</w:t>
      </w:r>
      <w:r>
        <w:rPr>
          <w:rFonts w:hint="eastAsia" w:ascii="宋体" w:hAnsi="宋体" w:cs="Times New Roman"/>
          <w:color w:val="auto"/>
          <w:sz w:val="28"/>
          <w:szCs w:val="28"/>
          <w:highlight w:val="none"/>
        </w:rPr>
        <w:t>酬金支付至本合同解除日，且应承担第4.2款约定的责任。</w:t>
      </w:r>
    </w:p>
    <w:p w14:paraId="3C6B681E">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s="Times New Roman"/>
          <w:color w:val="auto"/>
          <w:kern w:val="0"/>
          <w:sz w:val="28"/>
          <w:szCs w:val="28"/>
          <w:highlight w:val="none"/>
        </w:rPr>
        <w:t>的</w:t>
      </w:r>
      <w:r>
        <w:rPr>
          <w:rFonts w:hint="eastAsia" w:ascii="宋体" w:hAnsi="宋体" w:cs="Times New Roman"/>
          <w:color w:val="auto"/>
          <w:sz w:val="28"/>
          <w:szCs w:val="28"/>
          <w:highlight w:val="none"/>
        </w:rPr>
        <w:t>酬金支付至</w:t>
      </w:r>
      <w:r>
        <w:rPr>
          <w:rFonts w:hint="eastAsia" w:ascii="宋体" w:hAnsi="宋体" w:cs="Times New Roman"/>
          <w:color w:val="auto"/>
          <w:kern w:val="0"/>
          <w:sz w:val="28"/>
          <w:szCs w:val="28"/>
          <w:highlight w:val="none"/>
        </w:rPr>
        <w:t>限期改正通知到达监理人之日</w:t>
      </w:r>
      <w:r>
        <w:rPr>
          <w:rFonts w:hint="eastAsia" w:ascii="宋体" w:hAnsi="宋体" w:cs="Times New Roman"/>
          <w:color w:val="auto"/>
          <w:sz w:val="28"/>
          <w:szCs w:val="28"/>
          <w:highlight w:val="none"/>
        </w:rPr>
        <w:t>，但监理人应承担第4.1款约定的责任。</w:t>
      </w:r>
    </w:p>
    <w:p w14:paraId="7965DF04">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64B8F6F">
      <w:pPr>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sz w:val="28"/>
          <w:szCs w:val="28"/>
          <w:highlight w:val="none"/>
        </w:rPr>
        <w:t>6.3.5 因不可抗力致使本合同部分或全部不能履行时，一方应立即通知另一方，可暂停或解除本合同。</w:t>
      </w:r>
    </w:p>
    <w:p w14:paraId="31D2F242">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6.3.6 本合同解除后，本合同约定的有关结算、清理、争议解决方式的条件仍然有效。</w:t>
      </w:r>
    </w:p>
    <w:p w14:paraId="69F49B80">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6.4 </w:t>
      </w:r>
      <w:r>
        <w:rPr>
          <w:rFonts w:hint="eastAsia" w:ascii="宋体" w:hAnsi="宋体" w:cs="Times New Roman"/>
          <w:bCs/>
          <w:color w:val="auto"/>
          <w:sz w:val="28"/>
          <w:szCs w:val="28"/>
          <w:highlight w:val="none"/>
        </w:rPr>
        <w:t>终止</w:t>
      </w:r>
    </w:p>
    <w:p w14:paraId="3C20D932">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以下条件全部满足时，本合同即告终止：</w:t>
      </w:r>
    </w:p>
    <w:p w14:paraId="470ADDFB">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（1）监理人完成本合同约定的全部工作；</w:t>
      </w:r>
    </w:p>
    <w:p w14:paraId="12881748">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（2）委托人与监理人结清并支付全部酬金。</w:t>
      </w:r>
    </w:p>
    <w:p w14:paraId="7A06A723">
      <w:pPr>
        <w:snapToGrid w:val="0"/>
        <w:spacing w:line="440" w:lineRule="exact"/>
        <w:rPr>
          <w:rFonts w:ascii="宋体" w:hAnsi="宋体" w:cs="Times New Roman"/>
          <w:b/>
          <w:bCs/>
          <w:color w:val="auto"/>
          <w:sz w:val="28"/>
          <w:szCs w:val="28"/>
          <w:highlight w:val="none"/>
        </w:rPr>
      </w:pPr>
      <w:r>
        <w:rPr>
          <w:rFonts w:hint="eastAsia" w:ascii="宋体" w:hAnsi="宋体" w:cs="Times New Roman"/>
          <w:b/>
          <w:bCs/>
          <w:color w:val="auto"/>
          <w:sz w:val="28"/>
          <w:szCs w:val="28"/>
          <w:highlight w:val="none"/>
        </w:rPr>
        <w:t>7. 争议解决</w:t>
      </w:r>
    </w:p>
    <w:p w14:paraId="367F5F42">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7.1</w:t>
      </w:r>
      <w:r>
        <w:rPr>
          <w:rFonts w:hint="eastAsia" w:ascii="宋体" w:hAnsi="宋体" w:cs="Times New Roman"/>
          <w:bCs/>
          <w:color w:val="auto"/>
          <w:sz w:val="28"/>
          <w:szCs w:val="28"/>
          <w:highlight w:val="none"/>
        </w:rPr>
        <w:t>协商</w:t>
      </w:r>
    </w:p>
    <w:p w14:paraId="0E113014">
      <w:pPr>
        <w:snapToGrid w:val="0"/>
        <w:spacing w:line="440" w:lineRule="exact"/>
        <w:ind w:firstLine="560" w:firstLineChars="200"/>
        <w:rPr>
          <w:rFonts w:ascii="宋体" w:hAnsi="宋体" w:cs="Times New Roman"/>
          <w:bCs/>
          <w:color w:val="auto"/>
          <w:sz w:val="28"/>
          <w:szCs w:val="28"/>
          <w:highlight w:val="none"/>
        </w:rPr>
      </w:pPr>
      <w:r>
        <w:rPr>
          <w:rFonts w:hint="eastAsia" w:ascii="宋体" w:hAnsi="宋体" w:cs="Times New Roman"/>
          <w:color w:val="auto"/>
          <w:sz w:val="28"/>
          <w:szCs w:val="28"/>
          <w:highlight w:val="none"/>
        </w:rPr>
        <w:t>双方应本着诚信原则协商解决彼此间的争议。</w:t>
      </w:r>
    </w:p>
    <w:p w14:paraId="52D3C40D">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7.2</w:t>
      </w:r>
      <w:r>
        <w:rPr>
          <w:rFonts w:hint="eastAsia" w:ascii="宋体" w:hAnsi="宋体" w:cs="Times New Roman"/>
          <w:bCs/>
          <w:color w:val="auto"/>
          <w:sz w:val="28"/>
          <w:szCs w:val="28"/>
          <w:highlight w:val="none"/>
        </w:rPr>
        <w:t>调解</w:t>
      </w:r>
    </w:p>
    <w:p w14:paraId="50227A1C">
      <w:pPr>
        <w:snapToGrid w:val="0"/>
        <w:spacing w:line="440" w:lineRule="exact"/>
        <w:ind w:firstLine="560" w:firstLineChars="200"/>
        <w:rPr>
          <w:rFonts w:ascii="宋体" w:hAnsi="宋体" w:cs="Times New Roman"/>
          <w:bCs/>
          <w:color w:val="auto"/>
          <w:sz w:val="28"/>
          <w:szCs w:val="28"/>
          <w:highlight w:val="none"/>
        </w:rPr>
      </w:pPr>
      <w:r>
        <w:rPr>
          <w:rFonts w:hint="eastAsia" w:ascii="宋体" w:hAnsi="宋体" w:cs="Times New Roman"/>
          <w:color w:val="auto"/>
          <w:sz w:val="28"/>
          <w:szCs w:val="28"/>
          <w:highlight w:val="none"/>
        </w:rPr>
        <w:t>如果双方不能在14天内或双方商定的其他时间内解决本合同争议，可以将其提交给专用条件约定的或事后达成协议的调解人进行调解。</w:t>
      </w:r>
    </w:p>
    <w:p w14:paraId="3A5D3B86">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7.3</w:t>
      </w:r>
      <w:r>
        <w:rPr>
          <w:rFonts w:hint="eastAsia" w:ascii="宋体" w:hAnsi="宋体" w:cs="Times New Roman"/>
          <w:bCs/>
          <w:color w:val="auto"/>
          <w:sz w:val="28"/>
          <w:szCs w:val="28"/>
          <w:highlight w:val="none"/>
        </w:rPr>
        <w:t>仲裁或诉讼</w:t>
      </w:r>
    </w:p>
    <w:p w14:paraId="5CCB4CA9">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双方均有权不经调解直接向专用条件约定的仲裁机构申请仲裁或向有管辖权的人民法院提起诉讼。</w:t>
      </w:r>
    </w:p>
    <w:p w14:paraId="10D599BF">
      <w:pPr>
        <w:snapToGrid w:val="0"/>
        <w:spacing w:line="440" w:lineRule="exact"/>
        <w:rPr>
          <w:rFonts w:ascii="宋体" w:hAnsi="宋体" w:cs="Times New Roman"/>
          <w:b/>
          <w:bCs/>
          <w:color w:val="auto"/>
          <w:sz w:val="28"/>
          <w:szCs w:val="28"/>
          <w:highlight w:val="none"/>
        </w:rPr>
      </w:pPr>
      <w:r>
        <w:rPr>
          <w:rFonts w:hint="eastAsia" w:ascii="宋体" w:hAnsi="宋体" w:cs="Times New Roman"/>
          <w:b/>
          <w:bCs/>
          <w:color w:val="auto"/>
          <w:sz w:val="28"/>
          <w:szCs w:val="28"/>
          <w:highlight w:val="none"/>
        </w:rPr>
        <w:t>8. 其他</w:t>
      </w:r>
    </w:p>
    <w:p w14:paraId="158BC281">
      <w:pPr>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8.1 </w:t>
      </w:r>
      <w:r>
        <w:rPr>
          <w:rFonts w:hint="eastAsia" w:ascii="宋体" w:hAnsi="宋体" w:cs="Times New Roman"/>
          <w:bCs/>
          <w:color w:val="auto"/>
          <w:sz w:val="28"/>
          <w:szCs w:val="28"/>
          <w:highlight w:val="none"/>
        </w:rPr>
        <w:t>外出考察费用</w:t>
      </w:r>
    </w:p>
    <w:p w14:paraId="60FE6263">
      <w:pPr>
        <w:snapToGrid w:val="0"/>
        <w:spacing w:line="440" w:lineRule="exact"/>
        <w:ind w:firstLine="560" w:firstLineChars="200"/>
        <w:rPr>
          <w:rFonts w:ascii="宋体" w:hAnsi="宋体" w:cs="Times New Roman"/>
          <w:bCs/>
          <w:color w:val="auto"/>
          <w:sz w:val="28"/>
          <w:szCs w:val="28"/>
          <w:highlight w:val="none"/>
        </w:rPr>
      </w:pPr>
      <w:r>
        <w:rPr>
          <w:rFonts w:hint="eastAsia" w:ascii="宋体" w:hAnsi="宋体" w:cs="Times New Roman"/>
          <w:color w:val="auto"/>
          <w:sz w:val="28"/>
          <w:szCs w:val="28"/>
          <w:highlight w:val="none"/>
        </w:rPr>
        <w:t>经委托人同意，监理人员外出考察发生的费用由委托人审核后支付。</w:t>
      </w:r>
    </w:p>
    <w:p w14:paraId="36634814">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8.2 </w:t>
      </w:r>
      <w:r>
        <w:rPr>
          <w:rFonts w:hint="eastAsia" w:ascii="宋体" w:hAnsi="宋体" w:cs="Times New Roman"/>
          <w:bCs/>
          <w:color w:val="auto"/>
          <w:sz w:val="28"/>
          <w:szCs w:val="28"/>
          <w:highlight w:val="none"/>
        </w:rPr>
        <w:t>检测费用</w:t>
      </w:r>
    </w:p>
    <w:p w14:paraId="187F4840">
      <w:pPr>
        <w:snapToGrid w:val="0"/>
        <w:spacing w:line="440" w:lineRule="exact"/>
        <w:ind w:firstLine="560" w:firstLineChars="200"/>
        <w:rPr>
          <w:rFonts w:ascii="宋体" w:hAnsi="宋体" w:cs="Times New Roman"/>
          <w:bCs/>
          <w:color w:val="auto"/>
          <w:sz w:val="28"/>
          <w:szCs w:val="28"/>
          <w:highlight w:val="none"/>
        </w:rPr>
      </w:pPr>
      <w:r>
        <w:rPr>
          <w:rFonts w:hint="eastAsia" w:ascii="宋体" w:hAnsi="宋体" w:cs="Times New Roman"/>
          <w:color w:val="auto"/>
          <w:sz w:val="28"/>
          <w:szCs w:val="28"/>
          <w:highlight w:val="none"/>
        </w:rPr>
        <w:t>委托人要求监理人进行的材料和设备检测所发生的费用，由委托人支付，支付时间在专用条件中约定。</w:t>
      </w:r>
    </w:p>
    <w:p w14:paraId="730A33C5">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8.3 </w:t>
      </w:r>
      <w:r>
        <w:rPr>
          <w:rFonts w:hint="eastAsia" w:ascii="宋体" w:hAnsi="宋体" w:cs="Times New Roman"/>
          <w:bCs/>
          <w:color w:val="auto"/>
          <w:sz w:val="28"/>
          <w:szCs w:val="28"/>
          <w:highlight w:val="none"/>
        </w:rPr>
        <w:t>咨询费用</w:t>
      </w:r>
    </w:p>
    <w:p w14:paraId="566215BA">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经委托人同意，根据工程需要由监理人组织的相关咨询论证会以及聘请相关专家等发生的费用由委托人支付，支付时间在专用条件中约定。</w:t>
      </w:r>
    </w:p>
    <w:p w14:paraId="63D92673">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8.4 </w:t>
      </w:r>
      <w:r>
        <w:rPr>
          <w:rFonts w:hint="eastAsia" w:ascii="宋体" w:hAnsi="宋体" w:cs="Times New Roman"/>
          <w:bCs/>
          <w:color w:val="auto"/>
          <w:sz w:val="28"/>
          <w:szCs w:val="28"/>
          <w:highlight w:val="none"/>
        </w:rPr>
        <w:t>奖励</w:t>
      </w:r>
    </w:p>
    <w:p w14:paraId="77B0D531">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4650FB1A">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8.5 </w:t>
      </w:r>
      <w:r>
        <w:rPr>
          <w:rFonts w:hint="eastAsia" w:ascii="宋体" w:hAnsi="宋体" w:cs="Times New Roman"/>
          <w:bCs/>
          <w:color w:val="auto"/>
          <w:sz w:val="28"/>
          <w:szCs w:val="28"/>
          <w:highlight w:val="none"/>
        </w:rPr>
        <w:t>守法诚信</w:t>
      </w:r>
    </w:p>
    <w:p w14:paraId="178D3E76">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监理人及其工作人员不得从与实施工程有关的第三方处获得任何经济利益。</w:t>
      </w:r>
    </w:p>
    <w:p w14:paraId="2CEE2EAA">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8.6 </w:t>
      </w:r>
      <w:r>
        <w:rPr>
          <w:rFonts w:hint="eastAsia" w:ascii="宋体" w:hAnsi="宋体" w:cs="Times New Roman"/>
          <w:bCs/>
          <w:color w:val="auto"/>
          <w:sz w:val="28"/>
          <w:szCs w:val="28"/>
          <w:highlight w:val="none"/>
        </w:rPr>
        <w:t>保密</w:t>
      </w:r>
    </w:p>
    <w:p w14:paraId="0722A2C4">
      <w:pPr>
        <w:snapToGrid w:val="0"/>
        <w:spacing w:line="440" w:lineRule="exact"/>
        <w:ind w:firstLine="560" w:firstLineChars="200"/>
        <w:rPr>
          <w:rFonts w:ascii="宋体" w:hAnsi="宋体" w:cs="Times New Roman"/>
          <w:bCs/>
          <w:color w:val="auto"/>
          <w:sz w:val="28"/>
          <w:szCs w:val="28"/>
          <w:highlight w:val="none"/>
        </w:rPr>
      </w:pPr>
      <w:r>
        <w:rPr>
          <w:rFonts w:hint="eastAsia" w:ascii="宋体" w:hAnsi="宋体" w:cs="Times New Roman"/>
          <w:color w:val="auto"/>
          <w:sz w:val="28"/>
          <w:szCs w:val="28"/>
          <w:highlight w:val="none"/>
        </w:rPr>
        <w:t>双方不得泄露对方申明的保密资料，亦不得泄露与实施工程有关的第三方所提供的保密资料，保密事项在专用条件中约定。</w:t>
      </w:r>
    </w:p>
    <w:p w14:paraId="5C28834C">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8.7 </w:t>
      </w:r>
      <w:r>
        <w:rPr>
          <w:rFonts w:hint="eastAsia" w:ascii="宋体" w:hAnsi="宋体" w:cs="Times New Roman"/>
          <w:bCs/>
          <w:color w:val="auto"/>
          <w:sz w:val="28"/>
          <w:szCs w:val="28"/>
          <w:highlight w:val="none"/>
        </w:rPr>
        <w:t>通知</w:t>
      </w:r>
    </w:p>
    <w:p w14:paraId="5F27AA7E">
      <w:pPr>
        <w:snapToGrid w:val="0"/>
        <w:spacing w:line="440" w:lineRule="exact"/>
        <w:ind w:firstLine="560" w:firstLineChars="200"/>
        <w:rPr>
          <w:rFonts w:ascii="宋体" w:hAnsi="宋体" w:cs="Times New Roman"/>
          <w:bCs/>
          <w:color w:val="auto"/>
          <w:sz w:val="28"/>
          <w:szCs w:val="28"/>
          <w:highlight w:val="none"/>
        </w:rPr>
      </w:pPr>
      <w:r>
        <w:rPr>
          <w:rFonts w:hint="eastAsia" w:ascii="宋体" w:hAnsi="宋体" w:cs="Times New Roman"/>
          <w:color w:val="auto"/>
          <w:sz w:val="28"/>
          <w:szCs w:val="28"/>
          <w:highlight w:val="none"/>
        </w:rPr>
        <w:t>本合同涉及的通知均应当采用书面形式，并在送达对方时生效，收件人应书面签收。</w:t>
      </w:r>
    </w:p>
    <w:p w14:paraId="0C5356D1">
      <w:pPr>
        <w:snapToGrid w:val="0"/>
        <w:spacing w:line="440" w:lineRule="exact"/>
        <w:ind w:left="210" w:left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8.8 </w:t>
      </w:r>
      <w:r>
        <w:rPr>
          <w:rFonts w:hint="eastAsia" w:ascii="宋体" w:hAnsi="宋体" w:cs="Times New Roman"/>
          <w:bCs/>
          <w:color w:val="auto"/>
          <w:sz w:val="28"/>
          <w:szCs w:val="28"/>
          <w:highlight w:val="none"/>
        </w:rPr>
        <w:t>著作权</w:t>
      </w:r>
    </w:p>
    <w:p w14:paraId="29EC1813">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监理人对其编制的文件拥有著作权。</w:t>
      </w:r>
    </w:p>
    <w:p w14:paraId="372630DF">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C2FB4FE">
      <w:pPr>
        <w:pageBreakBefore/>
        <w:jc w:val="center"/>
        <w:rPr>
          <w:rFonts w:ascii="宋体" w:hAnsi="宋体" w:cs="Times New Roman"/>
          <w:b/>
          <w:color w:val="auto"/>
          <w:sz w:val="28"/>
          <w:szCs w:val="28"/>
          <w:highlight w:val="none"/>
        </w:rPr>
      </w:pPr>
      <w:r>
        <w:rPr>
          <w:rFonts w:hint="eastAsia" w:ascii="宋体" w:hAnsi="宋体" w:cs="Times New Roman"/>
          <w:b/>
          <w:color w:val="auto"/>
          <w:sz w:val="28"/>
          <w:szCs w:val="28"/>
          <w:highlight w:val="none"/>
        </w:rPr>
        <w:t>第三部分  专用条件</w:t>
      </w:r>
    </w:p>
    <w:p w14:paraId="0D904B3F">
      <w:pPr>
        <w:jc w:val="center"/>
        <w:rPr>
          <w:rFonts w:ascii="宋体" w:hAnsi="宋体" w:cs="Times New Roman"/>
          <w:b/>
          <w:color w:val="auto"/>
          <w:sz w:val="24"/>
          <w:highlight w:val="none"/>
        </w:rPr>
      </w:pPr>
    </w:p>
    <w:p w14:paraId="276A3971">
      <w:pPr>
        <w:adjustRightInd w:val="0"/>
        <w:snapToGrid w:val="0"/>
        <w:spacing w:line="440" w:lineRule="exact"/>
        <w:rPr>
          <w:rFonts w:ascii="宋体" w:hAnsi="宋体" w:cs="Times New Roman"/>
          <w:b/>
          <w:color w:val="auto"/>
          <w:sz w:val="28"/>
          <w:szCs w:val="28"/>
          <w:highlight w:val="none"/>
        </w:rPr>
      </w:pPr>
      <w:r>
        <w:rPr>
          <w:rFonts w:hint="eastAsia" w:ascii="宋体" w:hAnsi="宋体" w:cs="Times New Roman"/>
          <w:b/>
          <w:color w:val="auto"/>
          <w:szCs w:val="32"/>
          <w:highlight w:val="none"/>
        </w:rPr>
        <w:t xml:space="preserve">1. </w:t>
      </w:r>
      <w:r>
        <w:rPr>
          <w:rFonts w:hint="eastAsia" w:ascii="宋体" w:hAnsi="宋体" w:cs="Times New Roman"/>
          <w:b/>
          <w:color w:val="auto"/>
          <w:sz w:val="28"/>
          <w:szCs w:val="28"/>
          <w:highlight w:val="none"/>
        </w:rPr>
        <w:t>定义与解释</w:t>
      </w:r>
    </w:p>
    <w:p w14:paraId="46A50E9D">
      <w:pPr>
        <w:adjustRightInd w:val="0"/>
        <w:snapToGrid w:val="0"/>
        <w:spacing w:line="440" w:lineRule="exact"/>
        <w:rPr>
          <w:rFonts w:ascii="宋体" w:hAnsi="宋体" w:cs="Times New Roman"/>
          <w:color w:val="auto"/>
          <w:sz w:val="28"/>
          <w:szCs w:val="28"/>
          <w:highlight w:val="none"/>
        </w:rPr>
      </w:pPr>
      <w:r>
        <w:rPr>
          <w:rFonts w:hint="eastAsia" w:ascii="宋体" w:hAnsi="宋体" w:cs="Times New Roman"/>
          <w:color w:val="auto"/>
          <w:sz w:val="28"/>
          <w:szCs w:val="28"/>
          <w:highlight w:val="none"/>
        </w:rPr>
        <w:t xml:space="preserve">  1.2  解释</w:t>
      </w:r>
    </w:p>
    <w:p w14:paraId="5F6308CA">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1.2.1 本合同文件除使用中文外，还可用</w:t>
      </w:r>
      <w:r>
        <w:rPr>
          <w:rFonts w:hint="eastAsia" w:ascii="宋体" w:hAnsi="宋体" w:cs="Times New Roman"/>
          <w:color w:val="auto"/>
          <w:sz w:val="28"/>
          <w:szCs w:val="28"/>
          <w:highlight w:val="none"/>
          <w:u w:val="single"/>
        </w:rPr>
        <w:t xml:space="preserve">  </w:t>
      </w:r>
      <w:r>
        <w:rPr>
          <w:rFonts w:hint="eastAsia" w:ascii="宋体" w:hAnsi="宋体" w:cs="Times New Roman"/>
          <w:b/>
          <w:color w:val="auto"/>
          <w:sz w:val="28"/>
          <w:szCs w:val="28"/>
          <w:highlight w:val="none"/>
          <w:u w:val="single"/>
        </w:rPr>
        <w:t>无</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w:t>
      </w:r>
    </w:p>
    <w:p w14:paraId="471582BE">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1.2.2 约定本合同文件的解释顺序为：</w:t>
      </w:r>
      <w:r>
        <w:rPr>
          <w:rFonts w:hint="eastAsia" w:ascii="宋体" w:hAnsi="宋体" w:cs="Times New Roman"/>
          <w:color w:val="auto"/>
          <w:sz w:val="28"/>
          <w:szCs w:val="28"/>
          <w:highlight w:val="none"/>
          <w:u w:val="single"/>
        </w:rPr>
        <w:t xml:space="preserve"> </w:t>
      </w:r>
      <w:r>
        <w:rPr>
          <w:rFonts w:hint="eastAsia" w:ascii="宋体" w:hAnsi="宋体" w:cs="Times New Roman"/>
          <w:b/>
          <w:color w:val="auto"/>
          <w:sz w:val="28"/>
          <w:szCs w:val="28"/>
          <w:highlight w:val="none"/>
          <w:u w:val="single"/>
        </w:rPr>
        <w:t>通用条件</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w:t>
      </w:r>
    </w:p>
    <w:p w14:paraId="2AEF8F36">
      <w:pPr>
        <w:adjustRightInd w:val="0"/>
        <w:snapToGrid w:val="0"/>
        <w:spacing w:line="440" w:lineRule="exact"/>
        <w:rPr>
          <w:rFonts w:ascii="宋体" w:hAnsi="宋体" w:cs="Times New Roman"/>
          <w:b/>
          <w:color w:val="auto"/>
          <w:sz w:val="28"/>
          <w:szCs w:val="28"/>
          <w:highlight w:val="none"/>
        </w:rPr>
      </w:pPr>
      <w:r>
        <w:rPr>
          <w:rFonts w:hint="eastAsia" w:ascii="宋体" w:hAnsi="宋体" w:cs="Times New Roman"/>
          <w:b/>
          <w:color w:val="auto"/>
          <w:sz w:val="28"/>
          <w:szCs w:val="28"/>
          <w:highlight w:val="none"/>
        </w:rPr>
        <w:t>2. 监理人义务</w:t>
      </w:r>
    </w:p>
    <w:p w14:paraId="3622C448">
      <w:pPr>
        <w:adjustRightInd w:val="0"/>
        <w:snapToGrid w:val="0"/>
        <w:spacing w:line="440" w:lineRule="exact"/>
        <w:ind w:firstLine="274" w:firstLineChars="98"/>
        <w:rPr>
          <w:rFonts w:ascii="宋体" w:hAnsi="宋体" w:cs="Times New Roman"/>
          <w:color w:val="auto"/>
          <w:sz w:val="28"/>
          <w:szCs w:val="28"/>
          <w:highlight w:val="none"/>
        </w:rPr>
      </w:pPr>
      <w:r>
        <w:rPr>
          <w:rFonts w:hint="eastAsia" w:ascii="宋体" w:hAnsi="宋体" w:cs="Times New Roman"/>
          <w:color w:val="auto"/>
          <w:sz w:val="28"/>
          <w:szCs w:val="28"/>
          <w:highlight w:val="none"/>
        </w:rPr>
        <w:t>2.1 监理的范围和</w:t>
      </w:r>
      <w:r>
        <w:rPr>
          <w:rFonts w:hint="eastAsia" w:ascii="宋体" w:hAnsi="宋体" w:cs="Times New Roman"/>
          <w:bCs/>
          <w:color w:val="auto"/>
          <w:sz w:val="28"/>
          <w:szCs w:val="28"/>
          <w:highlight w:val="none"/>
        </w:rPr>
        <w:t>内容</w:t>
      </w:r>
    </w:p>
    <w:p w14:paraId="7EB03A7B">
      <w:pPr>
        <w:adjustRightInd w:val="0"/>
        <w:snapToGrid w:val="0"/>
        <w:spacing w:line="440" w:lineRule="exact"/>
        <w:ind w:firstLine="560" w:firstLineChars="200"/>
        <w:rPr>
          <w:rFonts w:ascii="宋体" w:hAnsi="宋体" w:cs="Times New Roman"/>
          <w:color w:val="auto"/>
          <w:sz w:val="28"/>
          <w:szCs w:val="28"/>
          <w:highlight w:val="none"/>
          <w:u w:val="single"/>
        </w:rPr>
      </w:pPr>
      <w:r>
        <w:rPr>
          <w:rFonts w:hint="eastAsia" w:ascii="宋体" w:hAnsi="宋体" w:cs="Times New Roman"/>
          <w:color w:val="auto"/>
          <w:sz w:val="28"/>
          <w:szCs w:val="28"/>
          <w:highlight w:val="none"/>
        </w:rPr>
        <w:t>2.1.1 监理范围包括：</w:t>
      </w:r>
      <w:r>
        <w:rPr>
          <w:rFonts w:hint="eastAsia" w:ascii="宋体" w:hAnsi="宋体" w:cs="Times New Roman"/>
          <w:b/>
          <w:color w:val="auto"/>
          <w:sz w:val="28"/>
          <w:szCs w:val="28"/>
          <w:highlight w:val="none"/>
          <w:u w:val="single"/>
        </w:rPr>
        <w:t>对招标文件和投标文件涉及的监理工作内容进行监理，主要为</w:t>
      </w:r>
      <w:r>
        <w:rPr>
          <w:rFonts w:hint="eastAsia" w:ascii="宋体" w:hAnsi="宋体" w:cs="Times New Roman"/>
          <w:b/>
          <w:color w:val="auto"/>
          <w:sz w:val="28"/>
          <w:szCs w:val="28"/>
          <w:highlight w:val="none"/>
          <w:u w:val="single"/>
          <w:lang w:val="en-US" w:eastAsia="zh-CN"/>
        </w:rPr>
        <w:t>危岩清理工程、场地平整工程、警示防护工程、截排水工程、客土工程、植被恢复工程、养护工程等</w:t>
      </w:r>
      <w:r>
        <w:rPr>
          <w:rFonts w:hint="eastAsia" w:ascii="宋体" w:hAnsi="宋体" w:cs="Times New Roman"/>
          <w:b/>
          <w:color w:val="auto"/>
          <w:sz w:val="28"/>
          <w:szCs w:val="28"/>
          <w:highlight w:val="none"/>
          <w:u w:val="single"/>
        </w:rPr>
        <w:t>。</w:t>
      </w:r>
    </w:p>
    <w:p w14:paraId="61E827FC">
      <w:pPr>
        <w:adjustRightInd w:val="0"/>
        <w:snapToGrid w:val="0"/>
        <w:spacing w:line="440" w:lineRule="exact"/>
        <w:ind w:firstLine="560" w:firstLineChars="200"/>
        <w:rPr>
          <w:rFonts w:ascii="宋体" w:hAnsi="宋体" w:cs="Times New Roman"/>
          <w:color w:val="auto"/>
          <w:sz w:val="28"/>
          <w:szCs w:val="28"/>
          <w:highlight w:val="none"/>
          <w:u w:val="single"/>
        </w:rPr>
      </w:pPr>
      <w:r>
        <w:rPr>
          <w:rFonts w:hint="eastAsia" w:ascii="宋体" w:hAnsi="宋体" w:cs="Times New Roman"/>
          <w:color w:val="auto"/>
          <w:sz w:val="28"/>
          <w:szCs w:val="28"/>
          <w:highlight w:val="none"/>
        </w:rPr>
        <w:t>2.1.2 监理工作内容还包括：</w:t>
      </w:r>
      <w:r>
        <w:rPr>
          <w:rFonts w:hint="eastAsia" w:ascii="宋体" w:hAnsi="宋体" w:cs="Times New Roman"/>
          <w:b/>
          <w:color w:val="auto"/>
          <w:sz w:val="28"/>
          <w:szCs w:val="28"/>
          <w:highlight w:val="none"/>
          <w:u w:val="single"/>
        </w:rPr>
        <w:t>对工程的建设进度、质量、投资进行控制，对安全及文明施工、合同信息进行管理，协调有关单位之间的工作关系</w:t>
      </w:r>
      <w:r>
        <w:rPr>
          <w:rFonts w:hint="eastAsia" w:ascii="宋体" w:hAnsi="宋体" w:cs="Times New Roman"/>
          <w:color w:val="auto"/>
          <w:sz w:val="28"/>
          <w:szCs w:val="28"/>
          <w:highlight w:val="none"/>
          <w:u w:val="single"/>
        </w:rPr>
        <w:t>。</w:t>
      </w:r>
    </w:p>
    <w:p w14:paraId="3BF58D58">
      <w:pPr>
        <w:spacing w:line="440" w:lineRule="exact"/>
        <w:ind w:firstLine="274" w:firstLineChars="98"/>
        <w:rPr>
          <w:rFonts w:ascii="宋体" w:hAnsi="宋体" w:cs="Times New Roman"/>
          <w:color w:val="auto"/>
          <w:sz w:val="28"/>
          <w:szCs w:val="28"/>
          <w:highlight w:val="none"/>
        </w:rPr>
      </w:pPr>
      <w:r>
        <w:rPr>
          <w:rFonts w:hint="eastAsia" w:ascii="宋体" w:hAnsi="宋体" w:cs="Times New Roman"/>
          <w:color w:val="auto"/>
          <w:sz w:val="28"/>
          <w:szCs w:val="28"/>
          <w:highlight w:val="none"/>
        </w:rPr>
        <w:t>2.2 监理与相关服务依据</w:t>
      </w:r>
    </w:p>
    <w:p w14:paraId="78A19113">
      <w:pPr>
        <w:pStyle w:val="48"/>
        <w:spacing w:line="440" w:lineRule="exact"/>
        <w:ind w:firstLine="413" w:firstLineChars="147"/>
        <w:outlineLvl w:val="0"/>
        <w:rPr>
          <w:rFonts w:ascii="宋体" w:hAnsi="宋体" w:cs="Times New Roman"/>
          <w:color w:val="auto"/>
          <w:sz w:val="28"/>
          <w:szCs w:val="28"/>
          <w:highlight w:val="none"/>
        </w:rPr>
      </w:pPr>
      <w:bookmarkStart w:id="75" w:name="_Toc26800"/>
      <w:bookmarkStart w:id="76" w:name="_Toc23806"/>
      <w:r>
        <w:rPr>
          <w:rFonts w:hint="eastAsia" w:ascii="宋体" w:hAnsi="宋体" w:cs="Times New Roman"/>
          <w:color w:val="auto"/>
          <w:sz w:val="28"/>
          <w:szCs w:val="28"/>
          <w:highlight w:val="none"/>
        </w:rPr>
        <w:t>2.2.1 监理依据包括：</w:t>
      </w:r>
      <w:bookmarkEnd w:id="75"/>
      <w:bookmarkEnd w:id="76"/>
    </w:p>
    <w:p w14:paraId="433171BC">
      <w:pPr>
        <w:pStyle w:val="48"/>
        <w:spacing w:line="440" w:lineRule="exact"/>
        <w:ind w:firstLine="413" w:firstLineChars="147"/>
        <w:outlineLvl w:val="0"/>
        <w:rPr>
          <w:rFonts w:ascii="宋体" w:hAnsi="宋体" w:cs="Times New Roman"/>
          <w:bCs w:val="0"/>
          <w:color w:val="auto"/>
          <w:kern w:val="2"/>
          <w:sz w:val="28"/>
          <w:szCs w:val="28"/>
          <w:highlight w:val="none"/>
          <w:u w:val="single"/>
        </w:rPr>
      </w:pPr>
      <w:bookmarkStart w:id="77" w:name="_Toc19058"/>
      <w:bookmarkStart w:id="78" w:name="_Toc32021"/>
      <w:r>
        <w:rPr>
          <w:rFonts w:hint="eastAsia" w:ascii="宋体" w:hAnsi="宋体" w:cs="Times New Roman"/>
          <w:bCs w:val="0"/>
          <w:color w:val="auto"/>
          <w:kern w:val="2"/>
          <w:sz w:val="28"/>
          <w:szCs w:val="28"/>
          <w:highlight w:val="none"/>
          <w:u w:val="single"/>
        </w:rPr>
        <w:t>（1）国家标准GB50319-2013《建设工程监理规范》及地方政府建设行政管理部门颁发的关于设计、施工、监理等方面的法律、法规、办法、条例、规定、通知等法规性文件。</w:t>
      </w:r>
      <w:bookmarkEnd w:id="77"/>
      <w:bookmarkEnd w:id="78"/>
    </w:p>
    <w:p w14:paraId="40177900">
      <w:pPr>
        <w:spacing w:line="440" w:lineRule="exact"/>
        <w:ind w:firstLine="422" w:firstLineChars="150"/>
        <w:outlineLvl w:val="0"/>
        <w:rPr>
          <w:rFonts w:ascii="宋体" w:hAnsi="宋体" w:eastAsia="宋体" w:cs="Times New Roman"/>
          <w:b/>
          <w:color w:val="auto"/>
          <w:sz w:val="28"/>
          <w:szCs w:val="28"/>
          <w:highlight w:val="none"/>
          <w:u w:val="single"/>
        </w:rPr>
      </w:pPr>
      <w:bookmarkStart w:id="79" w:name="_Toc11065"/>
      <w:bookmarkStart w:id="80" w:name="_Toc14109"/>
      <w:r>
        <w:rPr>
          <w:rFonts w:hint="eastAsia" w:ascii="宋体" w:hAnsi="宋体" w:eastAsia="宋体" w:cs="Times New Roman"/>
          <w:b/>
          <w:color w:val="auto"/>
          <w:sz w:val="28"/>
          <w:szCs w:val="28"/>
          <w:highlight w:val="none"/>
          <w:u w:val="single"/>
        </w:rPr>
        <w:t>（2）委托人与承包人签订的工程施工合同；</w:t>
      </w:r>
      <w:bookmarkEnd w:id="79"/>
      <w:bookmarkEnd w:id="80"/>
    </w:p>
    <w:p w14:paraId="6F635F7D">
      <w:pPr>
        <w:spacing w:line="440" w:lineRule="exact"/>
        <w:ind w:firstLine="419" w:firstLineChars="149"/>
        <w:outlineLvl w:val="0"/>
        <w:rPr>
          <w:rFonts w:ascii="宋体" w:hAnsi="宋体" w:eastAsia="宋体" w:cs="Times New Roman"/>
          <w:b/>
          <w:color w:val="auto"/>
          <w:sz w:val="28"/>
          <w:szCs w:val="28"/>
          <w:highlight w:val="none"/>
          <w:u w:val="single"/>
        </w:rPr>
      </w:pPr>
      <w:bookmarkStart w:id="81" w:name="_Toc20917"/>
      <w:bookmarkStart w:id="82" w:name="_Toc24902"/>
      <w:r>
        <w:rPr>
          <w:rFonts w:hint="eastAsia" w:ascii="宋体" w:hAnsi="宋体" w:eastAsia="宋体" w:cs="Times New Roman"/>
          <w:b/>
          <w:color w:val="auto"/>
          <w:sz w:val="28"/>
          <w:szCs w:val="28"/>
          <w:highlight w:val="none"/>
          <w:u w:val="single"/>
        </w:rPr>
        <w:t>（3）经批准的设计文件、图纸和说明书；</w:t>
      </w:r>
      <w:bookmarkEnd w:id="81"/>
      <w:bookmarkEnd w:id="82"/>
    </w:p>
    <w:p w14:paraId="449AC5D7">
      <w:pPr>
        <w:spacing w:line="440" w:lineRule="exact"/>
        <w:ind w:firstLine="419" w:firstLineChars="149"/>
        <w:outlineLvl w:val="0"/>
        <w:rPr>
          <w:rFonts w:ascii="宋体" w:hAnsi="宋体" w:eastAsia="宋体" w:cs="Times New Roman"/>
          <w:b/>
          <w:color w:val="auto"/>
          <w:sz w:val="28"/>
          <w:szCs w:val="28"/>
          <w:highlight w:val="none"/>
          <w:u w:val="single"/>
        </w:rPr>
      </w:pPr>
      <w:bookmarkStart w:id="83" w:name="_Toc31392"/>
      <w:bookmarkStart w:id="84" w:name="_Toc23767"/>
      <w:r>
        <w:rPr>
          <w:rFonts w:hint="eastAsia" w:ascii="宋体" w:hAnsi="宋体" w:eastAsia="宋体" w:cs="Times New Roman"/>
          <w:b/>
          <w:color w:val="auto"/>
          <w:sz w:val="28"/>
          <w:szCs w:val="28"/>
          <w:highlight w:val="none"/>
          <w:u w:val="single"/>
        </w:rPr>
        <w:t>（4）国家和有关部门颁布的有关规范、规程、标准等</w:t>
      </w:r>
      <w:bookmarkEnd w:id="83"/>
      <w:bookmarkEnd w:id="84"/>
    </w:p>
    <w:p w14:paraId="5024875E">
      <w:pPr>
        <w:spacing w:line="440" w:lineRule="exact"/>
        <w:ind w:left="2" w:firstLine="419" w:firstLineChars="149"/>
        <w:outlineLvl w:val="0"/>
        <w:rPr>
          <w:rFonts w:ascii="宋体" w:hAnsi="宋体" w:cs="Times New Roman"/>
          <w:b/>
          <w:color w:val="auto"/>
          <w:sz w:val="28"/>
          <w:szCs w:val="28"/>
          <w:highlight w:val="none"/>
          <w:u w:val="single"/>
        </w:rPr>
      </w:pPr>
      <w:bookmarkStart w:id="85" w:name="_Toc17729"/>
      <w:bookmarkStart w:id="86" w:name="_Toc29859"/>
      <w:r>
        <w:rPr>
          <w:rFonts w:hint="eastAsia" w:ascii="宋体" w:hAnsi="宋体" w:eastAsia="宋体" w:cs="Times New Roman"/>
          <w:b/>
          <w:color w:val="auto"/>
          <w:sz w:val="28"/>
          <w:szCs w:val="28"/>
          <w:highlight w:val="none"/>
          <w:u w:val="single"/>
        </w:rPr>
        <w:t>（5）监理合同（包括招标、投标文件等）</w:t>
      </w:r>
      <w:r>
        <w:rPr>
          <w:rFonts w:hint="eastAsia" w:ascii="宋体" w:hAnsi="宋体" w:cs="Times New Roman"/>
          <w:b/>
          <w:color w:val="auto"/>
          <w:sz w:val="28"/>
          <w:szCs w:val="28"/>
          <w:highlight w:val="none"/>
          <w:u w:val="single"/>
        </w:rPr>
        <w:t>。</w:t>
      </w:r>
      <w:bookmarkEnd w:id="85"/>
      <w:bookmarkEnd w:id="86"/>
      <w:r>
        <w:rPr>
          <w:rFonts w:hint="eastAsia" w:ascii="宋体" w:hAnsi="宋体" w:cs="Times New Roman"/>
          <w:b/>
          <w:color w:val="auto"/>
          <w:sz w:val="28"/>
          <w:szCs w:val="28"/>
          <w:highlight w:val="none"/>
          <w:u w:val="single"/>
        </w:rPr>
        <w:t xml:space="preserve"> </w:t>
      </w:r>
    </w:p>
    <w:p w14:paraId="34FBEF9A">
      <w:pPr>
        <w:spacing w:line="440" w:lineRule="exact"/>
        <w:rPr>
          <w:rFonts w:ascii="宋体" w:hAnsi="宋体" w:cs="Times New Roman"/>
          <w:color w:val="auto"/>
          <w:sz w:val="28"/>
          <w:szCs w:val="28"/>
          <w:highlight w:val="none"/>
        </w:rPr>
      </w:pPr>
      <w:r>
        <w:rPr>
          <w:rFonts w:hint="eastAsia" w:ascii="宋体" w:hAnsi="宋体" w:cs="Times New Roman"/>
          <w:color w:val="auto"/>
          <w:sz w:val="28"/>
          <w:szCs w:val="28"/>
          <w:highlight w:val="none"/>
        </w:rPr>
        <w:t xml:space="preserve">  2.3</w:t>
      </w:r>
      <w:r>
        <w:rPr>
          <w:rFonts w:hint="eastAsia" w:ascii="宋体" w:hAnsi="宋体"/>
          <w:color w:val="auto"/>
          <w:kern w:val="0"/>
          <w:sz w:val="28"/>
          <w:szCs w:val="28"/>
          <w:highlight w:val="none"/>
        </w:rPr>
        <w:t>项目监理机构和人员</w:t>
      </w:r>
    </w:p>
    <w:p w14:paraId="22554B9F">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 xml:space="preserve">2.3.4 </w:t>
      </w:r>
      <w:r>
        <w:rPr>
          <w:rFonts w:hint="eastAsia" w:ascii="宋体" w:hAnsi="宋体" w:cs="Times New Roman"/>
          <w:color w:val="auto"/>
          <w:kern w:val="0"/>
          <w:sz w:val="28"/>
          <w:szCs w:val="28"/>
          <w:highlight w:val="none"/>
        </w:rPr>
        <w:t>更换监理人员的其他情形：</w:t>
      </w:r>
      <w:r>
        <w:rPr>
          <w:rFonts w:hint="eastAsia" w:ascii="宋体" w:hAnsi="宋体" w:cs="Times New Roman"/>
          <w:b/>
          <w:color w:val="auto"/>
          <w:sz w:val="28"/>
          <w:szCs w:val="28"/>
          <w:highlight w:val="none"/>
          <w:u w:val="single"/>
        </w:rPr>
        <w:t>通用条件2.3.3</w:t>
      </w:r>
      <w:r>
        <w:rPr>
          <w:rFonts w:hint="eastAsia" w:ascii="宋体" w:hAnsi="宋体" w:cs="Times New Roman"/>
          <w:color w:val="auto"/>
          <w:kern w:val="0"/>
          <w:sz w:val="28"/>
          <w:szCs w:val="28"/>
          <w:highlight w:val="none"/>
        </w:rPr>
        <w:t>。</w:t>
      </w:r>
    </w:p>
    <w:p w14:paraId="32E590E1">
      <w:pPr>
        <w:spacing w:line="440" w:lineRule="exact"/>
        <w:ind w:firstLine="274" w:firstLineChars="98"/>
        <w:rPr>
          <w:rFonts w:ascii="宋体" w:hAnsi="宋体" w:cs="Times New Roman"/>
          <w:color w:val="auto"/>
          <w:sz w:val="28"/>
          <w:szCs w:val="28"/>
          <w:highlight w:val="none"/>
        </w:rPr>
      </w:pPr>
      <w:r>
        <w:rPr>
          <w:rFonts w:hint="eastAsia" w:ascii="宋体" w:hAnsi="宋体" w:cs="Times New Roman"/>
          <w:color w:val="auto"/>
          <w:sz w:val="28"/>
          <w:szCs w:val="28"/>
          <w:highlight w:val="none"/>
        </w:rPr>
        <w:t xml:space="preserve">2.4 </w:t>
      </w:r>
      <w:r>
        <w:rPr>
          <w:rFonts w:hint="eastAsia" w:ascii="宋体" w:hAnsi="宋体"/>
          <w:color w:val="auto"/>
          <w:kern w:val="0"/>
          <w:sz w:val="28"/>
          <w:szCs w:val="28"/>
          <w:highlight w:val="none"/>
        </w:rPr>
        <w:t>履行职责</w:t>
      </w:r>
    </w:p>
    <w:p w14:paraId="340066BC">
      <w:pPr>
        <w:adjustRightInd w:val="0"/>
        <w:snapToGrid w:val="0"/>
        <w:spacing w:line="440" w:lineRule="exact"/>
        <w:ind w:firstLine="560" w:firstLineChars="200"/>
        <w:rPr>
          <w:rFonts w:ascii="宋体" w:hAnsi="宋体" w:cs="Times New Roman"/>
          <w:b/>
          <w:color w:val="auto"/>
          <w:sz w:val="28"/>
          <w:szCs w:val="28"/>
          <w:highlight w:val="none"/>
          <w:u w:val="single"/>
        </w:rPr>
      </w:pPr>
      <w:r>
        <w:rPr>
          <w:rFonts w:hint="eastAsia" w:ascii="宋体" w:hAnsi="宋体" w:cs="Times New Roman"/>
          <w:color w:val="auto"/>
          <w:sz w:val="28"/>
          <w:szCs w:val="28"/>
          <w:highlight w:val="none"/>
        </w:rPr>
        <w:t>2.4.3 对监理人的授权范围：</w:t>
      </w:r>
      <w:r>
        <w:rPr>
          <w:rFonts w:hint="eastAsia" w:ascii="宋体" w:hAnsi="宋体" w:cs="Times New Roman"/>
          <w:color w:val="auto"/>
          <w:sz w:val="28"/>
          <w:szCs w:val="28"/>
          <w:highlight w:val="none"/>
          <w:u w:val="single"/>
        </w:rPr>
        <w:t xml:space="preserve"> </w:t>
      </w:r>
      <w:r>
        <w:rPr>
          <w:rFonts w:hint="eastAsia" w:ascii="宋体" w:hAnsi="宋体" w:cs="Times New Roman"/>
          <w:b/>
          <w:color w:val="auto"/>
          <w:sz w:val="28"/>
          <w:szCs w:val="28"/>
          <w:highlight w:val="none"/>
          <w:u w:val="single"/>
        </w:rPr>
        <w:t>《建设工程监理规范》GB/T50319-2013规定职责权限。</w:t>
      </w:r>
    </w:p>
    <w:p w14:paraId="62CE631A">
      <w:pPr>
        <w:adjustRightInd w:val="0"/>
        <w:snapToGrid w:val="0"/>
        <w:spacing w:line="440" w:lineRule="exact"/>
        <w:ind w:firstLine="560" w:firstLineChars="200"/>
        <w:outlineLvl w:val="0"/>
        <w:rPr>
          <w:rFonts w:ascii="宋体" w:hAnsi="宋体" w:cs="Times New Roman"/>
          <w:color w:val="auto"/>
          <w:sz w:val="28"/>
          <w:szCs w:val="28"/>
          <w:highlight w:val="none"/>
        </w:rPr>
      </w:pPr>
      <w:bookmarkStart w:id="87" w:name="_Toc1475"/>
      <w:bookmarkStart w:id="88" w:name="_Toc25558"/>
      <w:r>
        <w:rPr>
          <w:rFonts w:hint="eastAsia" w:ascii="宋体" w:hAnsi="宋体" w:cs="Times New Roman"/>
          <w:color w:val="auto"/>
          <w:sz w:val="28"/>
          <w:szCs w:val="28"/>
          <w:highlight w:val="none"/>
        </w:rPr>
        <w:t>在涉及工程延期</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天内和（或）金额</w:t>
      </w:r>
      <w:r>
        <w:rPr>
          <w:rFonts w:hint="eastAsia" w:ascii="宋体" w:hAnsi="宋体" w:cs="Times New Roman"/>
          <w:color w:val="auto"/>
          <w:sz w:val="28"/>
          <w:szCs w:val="28"/>
          <w:highlight w:val="none"/>
          <w:u w:val="single"/>
        </w:rPr>
        <w:t>／</w:t>
      </w:r>
      <w:r>
        <w:rPr>
          <w:rFonts w:hint="eastAsia" w:ascii="宋体" w:hAnsi="宋体" w:cs="Times New Roman"/>
          <w:color w:val="auto"/>
          <w:sz w:val="28"/>
          <w:szCs w:val="28"/>
          <w:highlight w:val="none"/>
        </w:rPr>
        <w:t>万元内的变更，监理人不需请示委托人即可向承包人发布变更通知。</w:t>
      </w:r>
      <w:bookmarkEnd w:id="87"/>
      <w:bookmarkEnd w:id="88"/>
    </w:p>
    <w:p w14:paraId="43FD3CB3">
      <w:pPr>
        <w:adjustRightInd w:val="0"/>
        <w:snapToGrid w:val="0"/>
        <w:spacing w:line="440" w:lineRule="exact"/>
        <w:ind w:firstLine="420" w:firstLineChars="15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2.4.4 监理人有权要求承包人调换其人员</w:t>
      </w:r>
      <w:r>
        <w:rPr>
          <w:rFonts w:hint="eastAsia" w:ascii="宋体" w:hAnsi="宋体" w:cs="Times New Roman"/>
          <w:color w:val="auto"/>
          <w:sz w:val="28"/>
          <w:szCs w:val="28"/>
          <w:highlight w:val="none"/>
        </w:rPr>
        <w:t>的限制条件：</w:t>
      </w:r>
      <w:r>
        <w:rPr>
          <w:rFonts w:hint="eastAsia" w:ascii="宋体" w:hAnsi="宋体" w:cs="Times New Roman"/>
          <w:color w:val="auto"/>
          <w:sz w:val="28"/>
          <w:szCs w:val="28"/>
          <w:highlight w:val="none"/>
          <w:u w:val="single"/>
        </w:rPr>
        <w:t xml:space="preserve">无。 </w:t>
      </w:r>
    </w:p>
    <w:p w14:paraId="35196FE2">
      <w:pPr>
        <w:adjustRightInd w:val="0"/>
        <w:snapToGrid w:val="0"/>
        <w:spacing w:line="440" w:lineRule="exact"/>
        <w:ind w:firstLine="140" w:firstLineChars="50"/>
        <w:rPr>
          <w:rFonts w:ascii="宋体" w:hAnsi="宋体" w:cs="Times New Roman"/>
          <w:color w:val="auto"/>
          <w:sz w:val="28"/>
          <w:szCs w:val="28"/>
          <w:highlight w:val="none"/>
        </w:rPr>
      </w:pPr>
      <w:r>
        <w:rPr>
          <w:rFonts w:hint="eastAsia" w:ascii="宋体" w:hAnsi="宋体" w:cs="Times New Roman"/>
          <w:color w:val="auto"/>
          <w:kern w:val="0"/>
          <w:sz w:val="28"/>
          <w:szCs w:val="28"/>
          <w:highlight w:val="none"/>
        </w:rPr>
        <w:t xml:space="preserve">2.5 </w:t>
      </w:r>
      <w:r>
        <w:rPr>
          <w:rFonts w:hint="eastAsia" w:ascii="宋体" w:hAnsi="宋体" w:cs="Times New Roman"/>
          <w:color w:val="auto"/>
          <w:sz w:val="28"/>
          <w:szCs w:val="28"/>
          <w:highlight w:val="none"/>
        </w:rPr>
        <w:t>提交</w:t>
      </w:r>
      <w:r>
        <w:rPr>
          <w:rFonts w:hint="eastAsia" w:ascii="宋体" w:hAnsi="宋体"/>
          <w:color w:val="auto"/>
          <w:kern w:val="0"/>
          <w:sz w:val="28"/>
          <w:szCs w:val="28"/>
          <w:highlight w:val="none"/>
        </w:rPr>
        <w:t>报告</w:t>
      </w:r>
    </w:p>
    <w:p w14:paraId="68AE2287">
      <w:pPr>
        <w:adjustRightInd w:val="0"/>
        <w:snapToGrid w:val="0"/>
        <w:spacing w:line="440" w:lineRule="exact"/>
        <w:ind w:firstLine="525"/>
        <w:rPr>
          <w:rFonts w:ascii="宋体" w:hAnsi="宋体" w:cs="Times New Roman"/>
          <w:color w:val="auto"/>
          <w:sz w:val="28"/>
          <w:szCs w:val="28"/>
          <w:highlight w:val="none"/>
          <w:u w:val="single"/>
        </w:rPr>
      </w:pPr>
      <w:r>
        <w:rPr>
          <w:rFonts w:hint="eastAsia" w:ascii="宋体" w:hAnsi="宋体" w:cs="Times New Roman"/>
          <w:color w:val="auto"/>
          <w:sz w:val="28"/>
          <w:szCs w:val="28"/>
          <w:highlight w:val="none"/>
        </w:rPr>
        <w:t>监理人应提交报告的种类(</w:t>
      </w:r>
      <w:r>
        <w:rPr>
          <w:rFonts w:hint="eastAsia" w:ascii="宋体" w:hAnsi="宋体"/>
          <w:color w:val="auto"/>
          <w:kern w:val="0"/>
          <w:sz w:val="28"/>
          <w:szCs w:val="28"/>
          <w:highlight w:val="none"/>
        </w:rPr>
        <w:t>包括监理规划、监理月报及约定的专项报告)</w:t>
      </w:r>
      <w:r>
        <w:rPr>
          <w:rFonts w:hint="eastAsia" w:ascii="宋体" w:hAnsi="宋体" w:cs="Times New Roman"/>
          <w:color w:val="auto"/>
          <w:sz w:val="28"/>
          <w:szCs w:val="28"/>
          <w:highlight w:val="none"/>
        </w:rPr>
        <w:t>、时间和份数</w:t>
      </w:r>
      <w:r>
        <w:rPr>
          <w:rFonts w:hint="eastAsia" w:ascii="宋体" w:hAnsi="宋体"/>
          <w:color w:val="auto"/>
          <w:kern w:val="0"/>
          <w:sz w:val="28"/>
          <w:szCs w:val="28"/>
          <w:highlight w:val="none"/>
        </w:rPr>
        <w:t>：</w:t>
      </w:r>
      <w:r>
        <w:rPr>
          <w:rFonts w:hint="eastAsia" w:ascii="宋体" w:hAnsi="宋体" w:cs="Times New Roman"/>
          <w:b/>
          <w:color w:val="auto"/>
          <w:sz w:val="28"/>
          <w:szCs w:val="28"/>
          <w:highlight w:val="none"/>
          <w:u w:val="single"/>
        </w:rPr>
        <w:t>开工前7天报监理规划，每月5日前报上个月监理月报，每次例会后3天报监理例会纪要</w:t>
      </w:r>
      <w:r>
        <w:rPr>
          <w:rFonts w:hint="eastAsia" w:ascii="宋体" w:hAnsi="宋体" w:cs="Times New Roman"/>
          <w:color w:val="auto"/>
          <w:sz w:val="28"/>
          <w:szCs w:val="28"/>
          <w:highlight w:val="none"/>
        </w:rPr>
        <w:t>。</w:t>
      </w:r>
    </w:p>
    <w:p w14:paraId="42B732C5">
      <w:pPr>
        <w:spacing w:line="440" w:lineRule="exact"/>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 2.7 </w:t>
      </w:r>
      <w:r>
        <w:rPr>
          <w:rFonts w:hint="eastAsia" w:ascii="宋体" w:hAnsi="宋体"/>
          <w:color w:val="auto"/>
          <w:kern w:val="0"/>
          <w:sz w:val="28"/>
          <w:szCs w:val="28"/>
          <w:highlight w:val="none"/>
        </w:rPr>
        <w:t>使用委托人的财产</w:t>
      </w:r>
    </w:p>
    <w:p w14:paraId="23677AA8">
      <w:pPr>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sz w:val="28"/>
          <w:szCs w:val="28"/>
          <w:highlight w:val="none"/>
        </w:rPr>
        <w:t>附录B中由委托人无偿提供的房屋、设备的所有权属于：</w:t>
      </w:r>
      <w:r>
        <w:rPr>
          <w:rFonts w:hint="eastAsia" w:ascii="宋体" w:hAnsi="宋体" w:cs="Times New Roman"/>
          <w:color w:val="auto"/>
          <w:sz w:val="28"/>
          <w:szCs w:val="28"/>
          <w:highlight w:val="none"/>
          <w:u w:val="single"/>
        </w:rPr>
        <w:t xml:space="preserve">  无  </w:t>
      </w:r>
      <w:r>
        <w:rPr>
          <w:rFonts w:hint="eastAsia" w:ascii="宋体" w:hAnsi="宋体" w:cs="Times New Roman"/>
          <w:color w:val="auto"/>
          <w:sz w:val="28"/>
          <w:szCs w:val="28"/>
          <w:highlight w:val="none"/>
        </w:rPr>
        <w:t>。</w:t>
      </w:r>
    </w:p>
    <w:p w14:paraId="68367BA1">
      <w:pPr>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sz w:val="28"/>
          <w:szCs w:val="28"/>
          <w:highlight w:val="none"/>
        </w:rPr>
        <w:t>监理人应在本合同终止后</w:t>
      </w:r>
      <w:r>
        <w:rPr>
          <w:rFonts w:hint="eastAsia" w:ascii="宋体" w:hAnsi="宋体" w:cs="Times New Roman"/>
          <w:color w:val="auto"/>
          <w:sz w:val="28"/>
          <w:szCs w:val="28"/>
          <w:highlight w:val="none"/>
          <w:u w:val="single"/>
        </w:rPr>
        <w:t xml:space="preserve"> 无 </w:t>
      </w:r>
      <w:r>
        <w:rPr>
          <w:rFonts w:hint="eastAsia" w:ascii="宋体" w:hAnsi="宋体" w:cs="Times New Roman"/>
          <w:color w:val="auto"/>
          <w:sz w:val="28"/>
          <w:szCs w:val="28"/>
          <w:highlight w:val="none"/>
        </w:rPr>
        <w:t>天内移交委托人无偿提供的房屋、设备，移交的时间和方式为：</w:t>
      </w:r>
      <w:r>
        <w:rPr>
          <w:rFonts w:hint="eastAsia" w:ascii="宋体" w:hAnsi="宋体" w:cs="Times New Roman"/>
          <w:color w:val="auto"/>
          <w:sz w:val="28"/>
          <w:szCs w:val="28"/>
          <w:highlight w:val="none"/>
          <w:u w:val="single"/>
        </w:rPr>
        <w:t xml:space="preserve">     无    </w:t>
      </w:r>
      <w:r>
        <w:rPr>
          <w:rFonts w:hint="eastAsia" w:ascii="宋体" w:hAnsi="宋体" w:cs="Times New Roman"/>
          <w:color w:val="auto"/>
          <w:sz w:val="28"/>
          <w:szCs w:val="28"/>
          <w:highlight w:val="none"/>
        </w:rPr>
        <w:t>。</w:t>
      </w:r>
    </w:p>
    <w:p w14:paraId="63291264">
      <w:pPr>
        <w:adjustRightInd w:val="0"/>
        <w:snapToGrid w:val="0"/>
        <w:spacing w:line="440" w:lineRule="exact"/>
        <w:rPr>
          <w:rFonts w:ascii="宋体" w:hAnsi="宋体" w:cs="Times New Roman"/>
          <w:b/>
          <w:color w:val="auto"/>
          <w:sz w:val="28"/>
          <w:szCs w:val="28"/>
          <w:highlight w:val="none"/>
        </w:rPr>
      </w:pPr>
      <w:r>
        <w:rPr>
          <w:rFonts w:hint="eastAsia" w:ascii="宋体" w:hAnsi="宋体" w:cs="Times New Roman"/>
          <w:b/>
          <w:color w:val="auto"/>
          <w:kern w:val="0"/>
          <w:sz w:val="28"/>
          <w:szCs w:val="28"/>
          <w:highlight w:val="none"/>
        </w:rPr>
        <w:t xml:space="preserve">3. 委托人义务  </w:t>
      </w:r>
    </w:p>
    <w:p w14:paraId="2D9A8FD2">
      <w:pPr>
        <w:snapToGrid w:val="0"/>
        <w:spacing w:line="440" w:lineRule="exact"/>
        <w:rPr>
          <w:rFonts w:ascii="宋体" w:hAnsi="宋体" w:cs="Times New Roman"/>
          <w:color w:val="auto"/>
          <w:sz w:val="28"/>
          <w:szCs w:val="28"/>
          <w:highlight w:val="none"/>
        </w:rPr>
      </w:pPr>
      <w:r>
        <w:rPr>
          <w:rFonts w:hint="eastAsia" w:ascii="宋体" w:hAnsi="宋体" w:cs="Times New Roman"/>
          <w:color w:val="auto"/>
          <w:sz w:val="28"/>
          <w:szCs w:val="28"/>
          <w:highlight w:val="none"/>
        </w:rPr>
        <w:t xml:space="preserve">  </w:t>
      </w:r>
      <w:r>
        <w:rPr>
          <w:rFonts w:hint="eastAsia" w:ascii="宋体" w:hAnsi="宋体" w:cs="Times New Roman"/>
          <w:color w:val="auto"/>
          <w:kern w:val="0"/>
          <w:sz w:val="28"/>
          <w:szCs w:val="28"/>
          <w:highlight w:val="none"/>
        </w:rPr>
        <w:t xml:space="preserve">3.4 </w:t>
      </w:r>
      <w:r>
        <w:rPr>
          <w:rFonts w:hint="eastAsia" w:ascii="宋体" w:hAnsi="宋体"/>
          <w:color w:val="auto"/>
          <w:kern w:val="0"/>
          <w:sz w:val="28"/>
          <w:szCs w:val="28"/>
          <w:highlight w:val="none"/>
        </w:rPr>
        <w:t>委托人代表</w:t>
      </w:r>
    </w:p>
    <w:p w14:paraId="02CEF4E8">
      <w:pPr>
        <w:adjustRightInd w:val="0"/>
        <w:snapToGrid w:val="0"/>
        <w:spacing w:line="440" w:lineRule="exact"/>
        <w:ind w:firstLine="560" w:firstLineChars="200"/>
        <w:rPr>
          <w:rFonts w:ascii="宋体" w:hAnsi="宋体" w:cs="Times New Roman"/>
          <w:color w:val="auto"/>
          <w:sz w:val="28"/>
          <w:szCs w:val="28"/>
          <w:highlight w:val="none"/>
          <w:u w:val="single"/>
        </w:rPr>
      </w:pPr>
      <w:r>
        <w:rPr>
          <w:rFonts w:hint="eastAsia" w:ascii="宋体" w:hAnsi="宋体" w:cs="Times New Roman"/>
          <w:color w:val="auto"/>
          <w:sz w:val="28"/>
          <w:szCs w:val="28"/>
          <w:highlight w:val="none"/>
        </w:rPr>
        <w:t>委托人代表为：</w:t>
      </w:r>
      <w:r>
        <w:rPr>
          <w:rFonts w:hint="eastAsia" w:ascii="宋体" w:hAnsi="宋体" w:cs="Times New Roman"/>
          <w:color w:val="auto"/>
          <w:sz w:val="28"/>
          <w:szCs w:val="28"/>
          <w:highlight w:val="none"/>
          <w:u w:val="single"/>
        </w:rPr>
        <w:t xml:space="preserve">    无    </w:t>
      </w:r>
      <w:r>
        <w:rPr>
          <w:rFonts w:hint="eastAsia" w:ascii="宋体" w:hAnsi="宋体" w:cs="Times New Roman"/>
          <w:color w:val="auto"/>
          <w:sz w:val="28"/>
          <w:szCs w:val="28"/>
          <w:highlight w:val="none"/>
        </w:rPr>
        <w:t>。</w:t>
      </w:r>
    </w:p>
    <w:p w14:paraId="346F4086">
      <w:pPr>
        <w:adjustRightInd w:val="0"/>
        <w:snapToGrid w:val="0"/>
        <w:spacing w:line="440" w:lineRule="exact"/>
        <w:ind w:firstLine="274" w:firstLineChars="98"/>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3.6 </w:t>
      </w:r>
      <w:r>
        <w:rPr>
          <w:rFonts w:hint="eastAsia" w:ascii="宋体" w:hAnsi="宋体"/>
          <w:color w:val="auto"/>
          <w:kern w:val="0"/>
          <w:sz w:val="28"/>
          <w:szCs w:val="28"/>
          <w:highlight w:val="none"/>
        </w:rPr>
        <w:t>答复</w:t>
      </w:r>
    </w:p>
    <w:p w14:paraId="26879647">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委托人同意在</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天内，对监理人书面提交并要求做出决定的事宜给予书面答复。</w:t>
      </w:r>
    </w:p>
    <w:p w14:paraId="2BD3A4BC">
      <w:pPr>
        <w:snapToGrid w:val="0"/>
        <w:spacing w:line="440" w:lineRule="exact"/>
        <w:rPr>
          <w:rFonts w:ascii="宋体" w:hAnsi="宋体" w:cs="Times New Roman"/>
          <w:b/>
          <w:bCs/>
          <w:color w:val="auto"/>
          <w:sz w:val="28"/>
          <w:szCs w:val="28"/>
          <w:highlight w:val="none"/>
        </w:rPr>
      </w:pPr>
      <w:r>
        <w:rPr>
          <w:rFonts w:hint="eastAsia" w:ascii="宋体" w:hAnsi="宋体" w:cs="Times New Roman"/>
          <w:b/>
          <w:bCs/>
          <w:color w:val="auto"/>
          <w:sz w:val="28"/>
          <w:szCs w:val="28"/>
          <w:highlight w:val="none"/>
        </w:rPr>
        <w:t>4. 违约责任</w:t>
      </w:r>
    </w:p>
    <w:p w14:paraId="619A763F">
      <w:pPr>
        <w:spacing w:line="440" w:lineRule="exact"/>
        <w:ind w:left="210" w:left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 xml:space="preserve">4.1 </w:t>
      </w:r>
      <w:r>
        <w:rPr>
          <w:rFonts w:hint="eastAsia" w:ascii="宋体" w:hAnsi="宋体"/>
          <w:color w:val="auto"/>
          <w:kern w:val="0"/>
          <w:sz w:val="28"/>
          <w:szCs w:val="28"/>
          <w:highlight w:val="none"/>
        </w:rPr>
        <w:t>监理人的违约责任</w:t>
      </w:r>
    </w:p>
    <w:p w14:paraId="17FC5E5E">
      <w:pPr>
        <w:adjustRightInd w:val="0"/>
        <w:snapToGrid w:val="0"/>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4.1.1监理人赔偿金额按下列方法确定：</w:t>
      </w:r>
    </w:p>
    <w:p w14:paraId="2E5C8013">
      <w:pPr>
        <w:adjustRightInd w:val="0"/>
        <w:snapToGrid w:val="0"/>
        <w:spacing w:line="440" w:lineRule="exact"/>
        <w:ind w:firstLine="560" w:firstLineChars="200"/>
        <w:rPr>
          <w:rFonts w:ascii="宋体" w:hAnsi="宋体"/>
          <w:color w:val="auto"/>
          <w:kern w:val="0"/>
          <w:sz w:val="28"/>
          <w:szCs w:val="28"/>
          <w:highlight w:val="none"/>
        </w:rPr>
      </w:pPr>
      <w:r>
        <w:rPr>
          <w:rFonts w:hint="eastAsia" w:ascii="宋体" w:hAnsi="宋体" w:cs="Times New Roman"/>
          <w:color w:val="auto"/>
          <w:sz w:val="28"/>
          <w:szCs w:val="28"/>
          <w:highlight w:val="none"/>
        </w:rPr>
        <w:t>赔偿金＝直接经济损失×正常工作酬金÷工程概算</w:t>
      </w:r>
      <w:r>
        <w:rPr>
          <w:rFonts w:hint="eastAsia" w:ascii="宋体" w:hAnsi="宋体"/>
          <w:color w:val="auto"/>
          <w:kern w:val="0"/>
          <w:sz w:val="28"/>
          <w:szCs w:val="28"/>
          <w:highlight w:val="none"/>
        </w:rPr>
        <w:t>投资额（或建筑安装工程费）</w:t>
      </w:r>
    </w:p>
    <w:p w14:paraId="6006289E">
      <w:pPr>
        <w:snapToGrid w:val="0"/>
        <w:spacing w:line="440" w:lineRule="exact"/>
        <w:ind w:firstLine="280" w:firstLineChars="100"/>
        <w:rPr>
          <w:rFonts w:ascii="宋体" w:hAnsi="宋体"/>
          <w:color w:val="auto"/>
          <w:kern w:val="0"/>
          <w:sz w:val="28"/>
          <w:szCs w:val="28"/>
          <w:highlight w:val="none"/>
        </w:rPr>
      </w:pPr>
      <w:r>
        <w:rPr>
          <w:rFonts w:hint="eastAsia" w:ascii="宋体" w:hAnsi="宋体" w:cs="Times New Roman"/>
          <w:color w:val="auto"/>
          <w:kern w:val="0"/>
          <w:sz w:val="28"/>
          <w:szCs w:val="28"/>
          <w:highlight w:val="none"/>
        </w:rPr>
        <w:t>4.2 委</w:t>
      </w:r>
      <w:r>
        <w:rPr>
          <w:rFonts w:hint="eastAsia" w:ascii="宋体" w:hAnsi="宋体"/>
          <w:color w:val="auto"/>
          <w:kern w:val="0"/>
          <w:sz w:val="28"/>
          <w:szCs w:val="28"/>
          <w:highlight w:val="none"/>
        </w:rPr>
        <w:t>托人的违约责任</w:t>
      </w:r>
    </w:p>
    <w:p w14:paraId="2874C62C">
      <w:pPr>
        <w:spacing w:line="440" w:lineRule="exact"/>
        <w:ind w:firstLine="560" w:firstLineChars="200"/>
        <w:rPr>
          <w:rFonts w:ascii="宋体" w:hAnsi="宋体" w:cs="Times New Roman"/>
          <w:color w:val="auto"/>
          <w:kern w:val="0"/>
          <w:sz w:val="28"/>
          <w:szCs w:val="28"/>
          <w:highlight w:val="none"/>
        </w:rPr>
      </w:pPr>
      <w:r>
        <w:rPr>
          <w:rFonts w:hint="eastAsia" w:ascii="宋体" w:hAnsi="宋体" w:cs="Times New Roman"/>
          <w:color w:val="auto"/>
          <w:sz w:val="28"/>
          <w:szCs w:val="28"/>
          <w:highlight w:val="none"/>
        </w:rPr>
        <w:t>4.2.3 委托人</w:t>
      </w:r>
      <w:r>
        <w:rPr>
          <w:rFonts w:hint="eastAsia" w:ascii="宋体" w:hAnsi="宋体" w:cs="Times New Roman"/>
          <w:color w:val="auto"/>
          <w:kern w:val="0"/>
          <w:sz w:val="28"/>
          <w:szCs w:val="28"/>
          <w:highlight w:val="none"/>
        </w:rPr>
        <w:t>逾期付款利息按下列方法确定：</w:t>
      </w:r>
    </w:p>
    <w:p w14:paraId="6F3ED6FD">
      <w:pPr>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逾期付款利息＝当期应付款总额×银行同期贷款利率×拖延支付天数</w:t>
      </w:r>
    </w:p>
    <w:p w14:paraId="3760C6F8">
      <w:pPr>
        <w:snapToGrid w:val="0"/>
        <w:spacing w:line="440" w:lineRule="exact"/>
        <w:rPr>
          <w:rFonts w:ascii="宋体" w:hAnsi="宋体" w:cs="Times New Roman"/>
          <w:b/>
          <w:bCs/>
          <w:color w:val="auto"/>
          <w:sz w:val="28"/>
          <w:szCs w:val="28"/>
          <w:highlight w:val="none"/>
          <w:u w:val="single"/>
        </w:rPr>
      </w:pPr>
      <w:r>
        <w:rPr>
          <w:rFonts w:hint="eastAsia" w:ascii="宋体" w:hAnsi="宋体" w:cs="Times New Roman"/>
          <w:b/>
          <w:bCs/>
          <w:color w:val="auto"/>
          <w:sz w:val="28"/>
          <w:szCs w:val="28"/>
          <w:highlight w:val="none"/>
        </w:rPr>
        <w:t>5. 支付：</w:t>
      </w:r>
    </w:p>
    <w:p w14:paraId="47791CB8">
      <w:pPr>
        <w:snapToGrid w:val="0"/>
        <w:spacing w:line="440" w:lineRule="exact"/>
        <w:ind w:firstLine="280" w:firstLineChars="100"/>
        <w:rPr>
          <w:rFonts w:ascii="宋体" w:hAnsi="宋体" w:cs="Times New Roman"/>
          <w:bCs/>
          <w:color w:val="auto"/>
          <w:sz w:val="28"/>
          <w:szCs w:val="28"/>
          <w:highlight w:val="none"/>
        </w:rPr>
      </w:pPr>
      <w:r>
        <w:rPr>
          <w:rFonts w:hint="eastAsia" w:ascii="宋体" w:hAnsi="宋体" w:cs="Times New Roman"/>
          <w:color w:val="auto"/>
          <w:sz w:val="28"/>
          <w:szCs w:val="28"/>
          <w:highlight w:val="none"/>
        </w:rPr>
        <w:t xml:space="preserve">5.1 </w:t>
      </w:r>
      <w:r>
        <w:rPr>
          <w:rFonts w:hint="eastAsia" w:ascii="宋体" w:hAnsi="宋体" w:cs="Times New Roman"/>
          <w:bCs/>
          <w:color w:val="auto"/>
          <w:sz w:val="28"/>
          <w:szCs w:val="28"/>
          <w:highlight w:val="none"/>
        </w:rPr>
        <w:t>支付货币</w:t>
      </w:r>
    </w:p>
    <w:p w14:paraId="2038EB41">
      <w:pPr>
        <w:snapToGrid w:val="0"/>
        <w:spacing w:line="440" w:lineRule="exact"/>
        <w:ind w:firstLine="560" w:firstLineChars="2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币种为：</w:t>
      </w:r>
      <w:r>
        <w:rPr>
          <w:rFonts w:hint="eastAsia" w:ascii="宋体" w:hAnsi="宋体" w:cs="Times New Roman"/>
          <w:color w:val="auto"/>
          <w:sz w:val="28"/>
          <w:szCs w:val="28"/>
          <w:highlight w:val="none"/>
          <w:u w:val="single"/>
        </w:rPr>
        <w:t>人民币</w:t>
      </w:r>
      <w:r>
        <w:rPr>
          <w:rFonts w:hint="eastAsia" w:ascii="宋体" w:hAnsi="宋体" w:cs="Times New Roman"/>
          <w:color w:val="auto"/>
          <w:sz w:val="28"/>
          <w:szCs w:val="28"/>
          <w:highlight w:val="none"/>
        </w:rPr>
        <w:t>，比例为：</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，汇率为：</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 xml:space="preserve">。 </w:t>
      </w:r>
    </w:p>
    <w:p w14:paraId="38ED15DB">
      <w:pPr>
        <w:snapToGrid w:val="0"/>
        <w:spacing w:line="440" w:lineRule="exact"/>
        <w:ind w:firstLine="280" w:firstLineChars="1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5.2支付酬金</w:t>
      </w:r>
    </w:p>
    <w:p w14:paraId="2E5F7870">
      <w:pPr>
        <w:snapToGrid w:val="0"/>
        <w:spacing w:line="440" w:lineRule="exact"/>
        <w:ind w:firstLine="560" w:firstLineChars="200"/>
        <w:rPr>
          <w:rFonts w:ascii="宋体" w:hAnsi="宋体" w:eastAsia="宋体" w:cs="Times New Roman"/>
          <w:color w:val="auto"/>
          <w:sz w:val="28"/>
          <w:szCs w:val="28"/>
          <w:highlight w:val="none"/>
        </w:rPr>
      </w:pPr>
      <w:r>
        <w:rPr>
          <w:rFonts w:hint="eastAsia" w:ascii="宋体" w:hAnsi="宋体" w:cs="Times New Roman"/>
          <w:color w:val="auto"/>
          <w:sz w:val="28"/>
          <w:szCs w:val="28"/>
          <w:highlight w:val="none"/>
        </w:rPr>
        <w:t>本次监理招标的施工监理服务费为</w:t>
      </w:r>
      <w:r>
        <w:rPr>
          <w:rFonts w:hint="eastAsia" w:ascii="宋体" w:hAnsi="宋体" w:cs="Times New Roman"/>
          <w:color w:val="auto"/>
          <w:sz w:val="28"/>
          <w:szCs w:val="28"/>
          <w:highlight w:val="none"/>
          <w:lang w:val="en-US" w:eastAsia="zh-CN"/>
        </w:rPr>
        <w:t>:</w:t>
      </w:r>
      <w:r>
        <w:rPr>
          <w:rFonts w:hint="eastAsia" w:ascii="宋体" w:hAnsi="宋体" w:eastAsia="宋体" w:cs="Times New Roman"/>
          <w:color w:val="auto"/>
          <w:sz w:val="28"/>
          <w:szCs w:val="28"/>
          <w:highlight w:val="none"/>
          <w:u w:val="single"/>
          <w:lang w:val="en-US" w:eastAsia="zh-CN"/>
        </w:rPr>
        <w:t>合同签订人员进场后7日内支付合同额的30%为预付款</w:t>
      </w:r>
      <w:r>
        <w:rPr>
          <w:rFonts w:hint="eastAsia" w:ascii="宋体" w:hAnsi="宋体" w:cs="Times New Roman"/>
          <w:color w:val="auto"/>
          <w:sz w:val="28"/>
          <w:szCs w:val="28"/>
          <w:highlight w:val="none"/>
          <w:u w:val="single"/>
          <w:lang w:val="en-US" w:eastAsia="zh-CN"/>
        </w:rPr>
        <w:t>；工程整体施工进度达到70%时，支付至监理费的50%；工程整体施工进度达到100%时，支付至监理费的80%，全部工程验收合格后，支付至监理费的100%。</w:t>
      </w:r>
    </w:p>
    <w:p w14:paraId="27F800A2">
      <w:pPr>
        <w:snapToGrid w:val="0"/>
        <w:spacing w:line="440" w:lineRule="exact"/>
        <w:ind w:firstLine="280" w:firstLineChars="100"/>
        <w:rPr>
          <w:rFonts w:hint="eastAsia" w:ascii="宋体" w:hAnsi="宋体" w:cs="Times New Roman"/>
          <w:color w:val="auto"/>
          <w:kern w:val="0"/>
          <w:sz w:val="28"/>
          <w:szCs w:val="28"/>
          <w:highlight w:val="none"/>
        </w:rPr>
      </w:pPr>
      <w:r>
        <w:rPr>
          <w:rFonts w:hint="eastAsia" w:ascii="宋体" w:hAnsi="宋体" w:cs="Times New Roman"/>
          <w:color w:val="auto"/>
          <w:kern w:val="0"/>
          <w:sz w:val="28"/>
          <w:szCs w:val="28"/>
          <w:highlight w:val="none"/>
        </w:rPr>
        <w:t>5.3 支付进度</w:t>
      </w:r>
    </w:p>
    <w:p w14:paraId="70A3ABFD">
      <w:pPr>
        <w:snapToGrid w:val="0"/>
        <w:spacing w:line="440" w:lineRule="exact"/>
        <w:ind w:firstLine="560" w:firstLineChars="200"/>
        <w:rPr>
          <w:rFonts w:ascii="宋体" w:hAnsi="宋体" w:cs="Times New Roman"/>
          <w:bCs/>
          <w:color w:val="auto"/>
          <w:sz w:val="28"/>
          <w:szCs w:val="28"/>
          <w:highlight w:val="none"/>
        </w:rPr>
      </w:pPr>
      <w:r>
        <w:rPr>
          <w:rFonts w:hint="eastAsia" w:ascii="宋体" w:hAnsi="宋体" w:cs="Times New Roman"/>
          <w:bCs/>
          <w:color w:val="auto"/>
          <w:sz w:val="28"/>
          <w:szCs w:val="28"/>
          <w:highlight w:val="none"/>
        </w:rPr>
        <w:t>按施工工程进度同比例拨付合同价款监理服务费。</w:t>
      </w:r>
    </w:p>
    <w:p w14:paraId="18121DAA">
      <w:pPr>
        <w:snapToGrid w:val="0"/>
        <w:spacing w:line="440" w:lineRule="exact"/>
        <w:ind w:firstLine="560" w:firstLineChars="200"/>
        <w:rPr>
          <w:rFonts w:ascii="宋体" w:hAnsi="宋体" w:eastAsia="宋体" w:cs="Times New Roman"/>
          <w:bCs/>
          <w:color w:val="auto"/>
          <w:sz w:val="28"/>
          <w:szCs w:val="28"/>
          <w:highlight w:val="none"/>
        </w:rPr>
      </w:pPr>
      <w:r>
        <w:rPr>
          <w:rFonts w:hint="eastAsia" w:ascii="宋体" w:hAnsi="宋体" w:cs="Times New Roman"/>
          <w:bCs/>
          <w:color w:val="auto"/>
          <w:sz w:val="28"/>
          <w:szCs w:val="28"/>
          <w:highlight w:val="none"/>
        </w:rPr>
        <w:t>工程竣工经决算审计后，监理人提交一式三份完整的结算资料并经委托人确认监理费结算额后，支付剩余的监理费。</w:t>
      </w:r>
    </w:p>
    <w:p w14:paraId="442944C6">
      <w:pPr>
        <w:snapToGrid w:val="0"/>
        <w:spacing w:line="440" w:lineRule="exact"/>
        <w:ind w:firstLine="560" w:firstLineChars="200"/>
        <w:rPr>
          <w:rFonts w:ascii="宋体" w:hAnsi="宋体" w:cs="Times New Roman"/>
          <w:b/>
          <w:color w:val="auto"/>
          <w:sz w:val="28"/>
          <w:szCs w:val="28"/>
          <w:highlight w:val="none"/>
          <w:u w:val="single"/>
        </w:rPr>
      </w:pPr>
      <w:r>
        <w:rPr>
          <w:rFonts w:hint="eastAsia"/>
          <w:color w:val="auto"/>
          <w:sz w:val="28"/>
          <w:szCs w:val="28"/>
          <w:highlight w:val="none"/>
        </w:rPr>
        <w:t>发包人向监理人支付款项前，监理人应向发包人提供等额正规发票。</w:t>
      </w:r>
    </w:p>
    <w:p w14:paraId="14B8B778">
      <w:pPr>
        <w:snapToGrid w:val="0"/>
        <w:spacing w:line="440" w:lineRule="exact"/>
        <w:rPr>
          <w:rFonts w:ascii="宋体" w:hAnsi="宋体" w:cs="Times New Roman"/>
          <w:b/>
          <w:bCs/>
          <w:color w:val="auto"/>
          <w:sz w:val="28"/>
          <w:szCs w:val="28"/>
          <w:highlight w:val="none"/>
        </w:rPr>
      </w:pPr>
      <w:r>
        <w:rPr>
          <w:rFonts w:hint="eastAsia" w:ascii="宋体" w:hAnsi="宋体" w:cs="Times New Roman"/>
          <w:bCs/>
          <w:color w:val="auto"/>
          <w:sz w:val="28"/>
          <w:szCs w:val="28"/>
          <w:highlight w:val="none"/>
        </w:rPr>
        <w:t>6</w:t>
      </w:r>
      <w:r>
        <w:rPr>
          <w:rFonts w:hint="eastAsia" w:ascii="宋体" w:hAnsi="宋体" w:cs="Times New Roman"/>
          <w:b/>
          <w:bCs/>
          <w:color w:val="auto"/>
          <w:sz w:val="28"/>
          <w:szCs w:val="28"/>
          <w:highlight w:val="none"/>
        </w:rPr>
        <w:t>. 合同生效、变更、暂停、解除与终止</w:t>
      </w:r>
    </w:p>
    <w:p w14:paraId="65810C66">
      <w:pPr>
        <w:adjustRightInd w:val="0"/>
        <w:snapToGrid w:val="0"/>
        <w:spacing w:line="440" w:lineRule="exact"/>
        <w:ind w:firstLine="280" w:firstLineChars="100"/>
        <w:rPr>
          <w:rFonts w:ascii="宋体" w:hAnsi="宋体" w:cs="Times New Roman"/>
          <w:color w:val="auto"/>
          <w:sz w:val="28"/>
          <w:szCs w:val="28"/>
          <w:highlight w:val="none"/>
        </w:rPr>
      </w:pPr>
      <w:r>
        <w:rPr>
          <w:rFonts w:hint="eastAsia" w:ascii="宋体" w:hAnsi="宋体" w:cs="Times New Roman"/>
          <w:color w:val="auto"/>
          <w:sz w:val="28"/>
          <w:szCs w:val="28"/>
          <w:highlight w:val="none"/>
        </w:rPr>
        <w:t>6.1 生效</w:t>
      </w:r>
    </w:p>
    <w:p w14:paraId="2D789CC3">
      <w:pPr>
        <w:adjustRightInd w:val="0"/>
        <w:snapToGrid w:val="0"/>
        <w:spacing w:line="440" w:lineRule="exact"/>
        <w:ind w:firstLine="480"/>
        <w:rPr>
          <w:rFonts w:ascii="宋体" w:hAnsi="宋体" w:cs="Times New Roman"/>
          <w:color w:val="auto"/>
          <w:sz w:val="28"/>
          <w:szCs w:val="28"/>
          <w:highlight w:val="none"/>
        </w:rPr>
      </w:pPr>
      <w:r>
        <w:rPr>
          <w:rFonts w:hint="eastAsia" w:ascii="宋体" w:hAnsi="宋体" w:cs="Times New Roman"/>
          <w:color w:val="auto"/>
          <w:sz w:val="28"/>
          <w:szCs w:val="28"/>
          <w:highlight w:val="none"/>
        </w:rPr>
        <w:t>本合同生效条件：</w:t>
      </w:r>
      <w:r>
        <w:rPr>
          <w:rFonts w:hint="eastAsia" w:ascii="宋体" w:hAnsi="宋体" w:cs="Times New Roman"/>
          <w:b/>
          <w:color w:val="auto"/>
          <w:sz w:val="28"/>
          <w:szCs w:val="28"/>
          <w:highlight w:val="none"/>
          <w:u w:val="single"/>
        </w:rPr>
        <w:t>通用条件</w:t>
      </w:r>
      <w:r>
        <w:rPr>
          <w:rFonts w:hint="eastAsia" w:ascii="宋体" w:hAnsi="宋体" w:cs="Times New Roman"/>
          <w:color w:val="auto"/>
          <w:sz w:val="28"/>
          <w:szCs w:val="28"/>
          <w:highlight w:val="none"/>
          <w:u w:val="single"/>
        </w:rPr>
        <w:t xml:space="preserve"> </w:t>
      </w:r>
      <w:r>
        <w:rPr>
          <w:rFonts w:hint="eastAsia" w:ascii="宋体" w:hAnsi="宋体" w:cs="Times New Roman"/>
          <w:color w:val="auto"/>
          <w:sz w:val="28"/>
          <w:szCs w:val="28"/>
          <w:highlight w:val="none"/>
        </w:rPr>
        <w:t>。</w:t>
      </w:r>
    </w:p>
    <w:p w14:paraId="27CD2FAB">
      <w:pPr>
        <w:snapToGrid w:val="0"/>
        <w:spacing w:line="440" w:lineRule="exact"/>
        <w:rPr>
          <w:rFonts w:hint="eastAsia" w:ascii="宋体" w:hAnsi="宋体" w:cs="Times New Roman"/>
          <w:b/>
          <w:color w:val="auto"/>
          <w:sz w:val="28"/>
          <w:szCs w:val="28"/>
          <w:highlight w:val="none"/>
        </w:rPr>
      </w:pPr>
      <w:r>
        <w:rPr>
          <w:rFonts w:hint="eastAsia" w:ascii="宋体" w:hAnsi="宋体" w:cs="Times New Roman"/>
          <w:b/>
          <w:bCs/>
          <w:color w:val="auto"/>
          <w:sz w:val="28"/>
          <w:szCs w:val="28"/>
          <w:highlight w:val="none"/>
        </w:rPr>
        <w:t>7. 争议解决</w:t>
      </w:r>
    </w:p>
    <w:p w14:paraId="3E5B825A">
      <w:pPr>
        <w:snapToGrid w:val="0"/>
        <w:spacing w:line="440" w:lineRule="exact"/>
        <w:ind w:firstLine="274" w:firstLineChars="98"/>
        <w:rPr>
          <w:rFonts w:ascii="宋体" w:hAnsi="宋体" w:cs="Times New Roman"/>
          <w:color w:val="auto"/>
          <w:sz w:val="28"/>
          <w:szCs w:val="28"/>
          <w:highlight w:val="none"/>
        </w:rPr>
      </w:pPr>
      <w:r>
        <w:rPr>
          <w:rFonts w:hint="eastAsia" w:ascii="宋体" w:hAnsi="宋体" w:cs="Times New Roman"/>
          <w:color w:val="auto"/>
          <w:sz w:val="28"/>
          <w:szCs w:val="28"/>
          <w:highlight w:val="none"/>
        </w:rPr>
        <w:t xml:space="preserve">7.2 </w:t>
      </w:r>
      <w:r>
        <w:rPr>
          <w:rFonts w:hint="eastAsia" w:ascii="宋体" w:hAnsi="宋体" w:cs="Times New Roman"/>
          <w:bCs/>
          <w:color w:val="auto"/>
          <w:sz w:val="28"/>
          <w:szCs w:val="28"/>
          <w:highlight w:val="none"/>
        </w:rPr>
        <w:t>调解</w:t>
      </w:r>
    </w:p>
    <w:p w14:paraId="05C96373">
      <w:pPr>
        <w:snapToGrid w:val="0"/>
        <w:spacing w:line="440" w:lineRule="exact"/>
        <w:ind w:firstLine="548" w:firstLineChars="196"/>
        <w:rPr>
          <w:rFonts w:ascii="宋体" w:hAnsi="宋体" w:cs="Times New Roman"/>
          <w:color w:val="auto"/>
          <w:sz w:val="28"/>
          <w:szCs w:val="28"/>
          <w:highlight w:val="none"/>
        </w:rPr>
      </w:pPr>
      <w:r>
        <w:rPr>
          <w:rFonts w:hint="eastAsia" w:ascii="宋体" w:hAnsi="宋体" w:cs="Times New Roman"/>
          <w:color w:val="auto"/>
          <w:sz w:val="28"/>
          <w:szCs w:val="28"/>
          <w:highlight w:val="none"/>
        </w:rPr>
        <w:t>本合同争议进行调解时，可提交</w:t>
      </w:r>
      <w:r>
        <w:rPr>
          <w:rFonts w:hint="eastAsia" w:ascii="宋体" w:hAnsi="宋体" w:cs="Times New Roman"/>
          <w:color w:val="auto"/>
          <w:sz w:val="28"/>
          <w:szCs w:val="28"/>
          <w:highlight w:val="none"/>
          <w:u w:val="single"/>
        </w:rPr>
        <w:t xml:space="preserve">       </w:t>
      </w:r>
      <w:r>
        <w:rPr>
          <w:rFonts w:hint="eastAsia" w:ascii="宋体" w:hAnsi="宋体" w:cs="Times New Roman"/>
          <w:b/>
          <w:color w:val="auto"/>
          <w:sz w:val="28"/>
          <w:szCs w:val="28"/>
          <w:highlight w:val="none"/>
          <w:u w:val="single"/>
        </w:rPr>
        <w:t xml:space="preserve"> </w:t>
      </w:r>
      <w:r>
        <w:rPr>
          <w:rFonts w:hint="eastAsia" w:ascii="宋体" w:hAnsi="宋体" w:cs="Times New Roman"/>
          <w:color w:val="auto"/>
          <w:sz w:val="28"/>
          <w:szCs w:val="28"/>
          <w:highlight w:val="none"/>
        </w:rPr>
        <w:t>进行调解。</w:t>
      </w:r>
    </w:p>
    <w:p w14:paraId="74DE0D86">
      <w:pPr>
        <w:snapToGrid w:val="0"/>
        <w:spacing w:line="440" w:lineRule="exact"/>
        <w:ind w:firstLine="274" w:firstLineChars="98"/>
        <w:rPr>
          <w:rFonts w:ascii="宋体" w:hAnsi="宋体" w:cs="Times New Roman"/>
          <w:color w:val="auto"/>
          <w:sz w:val="28"/>
          <w:szCs w:val="28"/>
          <w:highlight w:val="none"/>
        </w:rPr>
      </w:pPr>
      <w:r>
        <w:rPr>
          <w:rFonts w:hint="eastAsia" w:ascii="宋体" w:hAnsi="宋体" w:cs="Times New Roman"/>
          <w:color w:val="auto"/>
          <w:sz w:val="28"/>
          <w:szCs w:val="28"/>
          <w:highlight w:val="none"/>
        </w:rPr>
        <w:t xml:space="preserve">7.3 </w:t>
      </w:r>
      <w:r>
        <w:rPr>
          <w:rFonts w:hint="eastAsia" w:ascii="宋体" w:hAnsi="宋体" w:cs="Times New Roman"/>
          <w:bCs/>
          <w:color w:val="auto"/>
          <w:sz w:val="28"/>
          <w:szCs w:val="28"/>
          <w:highlight w:val="none"/>
        </w:rPr>
        <w:t>仲裁或诉讼</w:t>
      </w:r>
    </w:p>
    <w:p w14:paraId="1448EF4A">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合同争议的最终解决方式为下列第</w:t>
      </w:r>
      <w:r>
        <w:rPr>
          <w:rFonts w:hint="eastAsia" w:ascii="宋体" w:hAnsi="宋体" w:cs="Times New Roman"/>
          <w:b/>
          <w:color w:val="auto"/>
          <w:sz w:val="28"/>
          <w:szCs w:val="28"/>
          <w:highlight w:val="none"/>
          <w:u w:val="single"/>
        </w:rPr>
        <w:t>（</w:t>
      </w:r>
      <w:r>
        <w:rPr>
          <w:rFonts w:ascii="宋体" w:hAnsi="宋体" w:cs="Times New Roman"/>
          <w:b/>
          <w:color w:val="auto"/>
          <w:sz w:val="28"/>
          <w:szCs w:val="28"/>
          <w:highlight w:val="none"/>
          <w:u w:val="single"/>
        </w:rPr>
        <w:t>2</w:t>
      </w:r>
      <w:r>
        <w:rPr>
          <w:rFonts w:hint="eastAsia" w:ascii="宋体" w:hAnsi="宋体" w:cs="Times New Roman"/>
          <w:b/>
          <w:color w:val="auto"/>
          <w:sz w:val="28"/>
          <w:szCs w:val="28"/>
          <w:highlight w:val="none"/>
          <w:u w:val="single"/>
        </w:rPr>
        <w:t>）</w:t>
      </w:r>
      <w:r>
        <w:rPr>
          <w:rFonts w:hint="eastAsia" w:ascii="宋体" w:hAnsi="宋体" w:cs="Times New Roman"/>
          <w:color w:val="auto"/>
          <w:sz w:val="28"/>
          <w:szCs w:val="28"/>
          <w:highlight w:val="none"/>
        </w:rPr>
        <w:t>种方式：</w:t>
      </w:r>
    </w:p>
    <w:p w14:paraId="6668B002">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（1）提请</w:t>
      </w:r>
      <w:r>
        <w:rPr>
          <w:rFonts w:hint="eastAsia" w:ascii="宋体" w:hAnsi="宋体" w:cs="Times New Roman"/>
          <w:color w:val="auto"/>
          <w:sz w:val="28"/>
          <w:szCs w:val="28"/>
          <w:highlight w:val="none"/>
          <w:u w:val="single"/>
        </w:rPr>
        <w:t xml:space="preserve"> </w:t>
      </w:r>
      <w:r>
        <w:rPr>
          <w:rFonts w:ascii="宋体" w:hAnsi="宋体" w:cs="Times New Roman"/>
          <w:b/>
          <w:color w:val="auto"/>
          <w:sz w:val="28"/>
          <w:szCs w:val="28"/>
          <w:highlight w:val="none"/>
          <w:u w:val="single"/>
        </w:rPr>
        <w:t xml:space="preserve">  </w:t>
      </w:r>
      <w:r>
        <w:rPr>
          <w:rFonts w:hint="eastAsia" w:ascii="宋体" w:hAnsi="宋体" w:cs="Times New Roman"/>
          <w:b/>
          <w:color w:val="auto"/>
          <w:sz w:val="28"/>
          <w:szCs w:val="28"/>
          <w:highlight w:val="none"/>
          <w:u w:val="single"/>
        </w:rPr>
        <w:t>/</w:t>
      </w:r>
      <w:r>
        <w:rPr>
          <w:rFonts w:ascii="宋体" w:hAnsi="宋体" w:cs="Times New Roman"/>
          <w:b/>
          <w:color w:val="auto"/>
          <w:sz w:val="28"/>
          <w:szCs w:val="28"/>
          <w:highlight w:val="none"/>
          <w:u w:val="single"/>
        </w:rPr>
        <w:t xml:space="preserve">   </w:t>
      </w:r>
      <w:r>
        <w:rPr>
          <w:rFonts w:hint="eastAsia" w:ascii="宋体" w:hAnsi="宋体" w:cs="Times New Roman"/>
          <w:color w:val="auto"/>
          <w:sz w:val="28"/>
          <w:szCs w:val="28"/>
          <w:highlight w:val="none"/>
        </w:rPr>
        <w:t>仲裁委员会进行仲裁。</w:t>
      </w:r>
    </w:p>
    <w:p w14:paraId="6C3C55B1">
      <w:pPr>
        <w:adjustRightInd w:val="0"/>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（2）向</w:t>
      </w:r>
      <w:r>
        <w:rPr>
          <w:rFonts w:hint="eastAsia" w:ascii="宋体" w:hAnsi="宋体" w:cs="Times New Roman"/>
          <w:color w:val="auto"/>
          <w:sz w:val="28"/>
          <w:szCs w:val="28"/>
          <w:highlight w:val="none"/>
          <w:u w:val="single"/>
        </w:rPr>
        <w:t xml:space="preserve">      </w:t>
      </w:r>
      <w:r>
        <w:rPr>
          <w:rFonts w:ascii="宋体" w:hAnsi="宋体" w:cs="Times New Roman"/>
          <w:color w:val="auto"/>
          <w:sz w:val="28"/>
          <w:szCs w:val="28"/>
          <w:highlight w:val="none"/>
        </w:rPr>
        <w:t>有管辖权的</w:t>
      </w:r>
      <w:r>
        <w:rPr>
          <w:rFonts w:hint="eastAsia" w:ascii="宋体" w:hAnsi="宋体" w:cs="Times New Roman"/>
          <w:color w:val="auto"/>
          <w:sz w:val="28"/>
          <w:szCs w:val="28"/>
          <w:highlight w:val="none"/>
        </w:rPr>
        <w:t>人民法院提起诉讼。</w:t>
      </w:r>
    </w:p>
    <w:p w14:paraId="4D99F852">
      <w:pPr>
        <w:adjustRightInd w:val="0"/>
        <w:snapToGrid w:val="0"/>
        <w:spacing w:line="440" w:lineRule="exact"/>
        <w:rPr>
          <w:rFonts w:ascii="宋体" w:hAnsi="宋体" w:cs="Times New Roman"/>
          <w:b/>
          <w:bCs/>
          <w:color w:val="auto"/>
          <w:sz w:val="28"/>
          <w:szCs w:val="28"/>
          <w:highlight w:val="none"/>
        </w:rPr>
      </w:pPr>
      <w:r>
        <w:rPr>
          <w:rFonts w:hint="eastAsia" w:ascii="宋体" w:hAnsi="宋体" w:cs="Times New Roman"/>
          <w:b/>
          <w:bCs/>
          <w:color w:val="auto"/>
          <w:sz w:val="28"/>
          <w:szCs w:val="28"/>
          <w:highlight w:val="none"/>
        </w:rPr>
        <w:t>8. 其他</w:t>
      </w:r>
    </w:p>
    <w:p w14:paraId="00184753">
      <w:pPr>
        <w:adjustRightInd w:val="0"/>
        <w:snapToGrid w:val="0"/>
        <w:spacing w:line="440" w:lineRule="exact"/>
        <w:rPr>
          <w:rFonts w:ascii="宋体" w:hAnsi="宋体" w:cs="Times New Roman"/>
          <w:bCs/>
          <w:color w:val="auto"/>
          <w:sz w:val="28"/>
          <w:szCs w:val="28"/>
          <w:highlight w:val="none"/>
        </w:rPr>
      </w:pPr>
      <w:r>
        <w:rPr>
          <w:rFonts w:hint="eastAsia" w:ascii="宋体" w:hAnsi="宋体" w:cs="Times New Roman"/>
          <w:b/>
          <w:bCs/>
          <w:color w:val="auto"/>
          <w:sz w:val="28"/>
          <w:szCs w:val="28"/>
          <w:highlight w:val="none"/>
        </w:rPr>
        <w:t xml:space="preserve">  </w:t>
      </w:r>
      <w:r>
        <w:rPr>
          <w:rFonts w:hint="eastAsia" w:ascii="宋体" w:hAnsi="宋体" w:cs="Times New Roman"/>
          <w:bCs/>
          <w:color w:val="auto"/>
          <w:sz w:val="28"/>
          <w:szCs w:val="28"/>
          <w:highlight w:val="none"/>
        </w:rPr>
        <w:t>8.2 检测费用</w:t>
      </w:r>
    </w:p>
    <w:p w14:paraId="6E80A5B0">
      <w:pPr>
        <w:adjustRightInd w:val="0"/>
        <w:snapToGrid w:val="0"/>
        <w:spacing w:line="440" w:lineRule="exact"/>
        <w:rPr>
          <w:rFonts w:ascii="宋体" w:hAnsi="宋体" w:cs="Times New Roman"/>
          <w:bCs/>
          <w:color w:val="auto"/>
          <w:sz w:val="28"/>
          <w:szCs w:val="28"/>
          <w:highlight w:val="none"/>
        </w:rPr>
      </w:pPr>
      <w:r>
        <w:rPr>
          <w:rFonts w:hint="eastAsia" w:ascii="宋体" w:hAnsi="宋体" w:cs="Times New Roman"/>
          <w:bCs/>
          <w:color w:val="auto"/>
          <w:sz w:val="28"/>
          <w:szCs w:val="28"/>
          <w:highlight w:val="none"/>
        </w:rPr>
        <w:t xml:space="preserve">    委托人应在检测工作完成后</w:t>
      </w:r>
      <w:r>
        <w:rPr>
          <w:rFonts w:hint="eastAsia" w:ascii="宋体" w:hAnsi="宋体" w:cs="Times New Roman"/>
          <w:color w:val="auto"/>
          <w:sz w:val="28"/>
          <w:szCs w:val="28"/>
          <w:highlight w:val="none"/>
          <w:u w:val="single"/>
        </w:rPr>
        <w:t xml:space="preserve">  ／   </w:t>
      </w:r>
      <w:r>
        <w:rPr>
          <w:rFonts w:hint="eastAsia" w:ascii="宋体" w:hAnsi="宋体" w:cs="Times New Roman"/>
          <w:bCs/>
          <w:color w:val="auto"/>
          <w:sz w:val="28"/>
          <w:szCs w:val="28"/>
          <w:highlight w:val="none"/>
        </w:rPr>
        <w:t>天内支付检测费用。</w:t>
      </w:r>
    </w:p>
    <w:p w14:paraId="67FE2D62">
      <w:pPr>
        <w:adjustRightInd w:val="0"/>
        <w:snapToGrid w:val="0"/>
        <w:spacing w:line="440" w:lineRule="exact"/>
        <w:rPr>
          <w:rFonts w:ascii="宋体" w:hAnsi="宋体" w:cs="Times New Roman"/>
          <w:bCs/>
          <w:color w:val="auto"/>
          <w:sz w:val="28"/>
          <w:szCs w:val="28"/>
          <w:highlight w:val="none"/>
        </w:rPr>
      </w:pPr>
      <w:r>
        <w:rPr>
          <w:rFonts w:hint="eastAsia" w:ascii="宋体" w:hAnsi="宋体" w:cs="Times New Roman"/>
          <w:bCs/>
          <w:color w:val="auto"/>
          <w:sz w:val="28"/>
          <w:szCs w:val="28"/>
          <w:highlight w:val="none"/>
        </w:rPr>
        <w:t xml:space="preserve">  8.3 咨询费用</w:t>
      </w:r>
    </w:p>
    <w:p w14:paraId="3BB9CA71">
      <w:pPr>
        <w:adjustRightInd w:val="0"/>
        <w:snapToGrid w:val="0"/>
        <w:spacing w:line="440" w:lineRule="exact"/>
        <w:rPr>
          <w:rFonts w:ascii="宋体" w:hAnsi="宋体" w:cs="Times New Roman"/>
          <w:bCs/>
          <w:color w:val="auto"/>
          <w:sz w:val="28"/>
          <w:szCs w:val="28"/>
          <w:highlight w:val="none"/>
        </w:rPr>
      </w:pPr>
      <w:r>
        <w:rPr>
          <w:rFonts w:hint="eastAsia" w:ascii="宋体" w:hAnsi="宋体" w:cs="Times New Roman"/>
          <w:bCs/>
          <w:color w:val="auto"/>
          <w:sz w:val="28"/>
          <w:szCs w:val="28"/>
          <w:highlight w:val="none"/>
        </w:rPr>
        <w:t xml:space="preserve">    委托人应在咨询工作完成后</w:t>
      </w:r>
      <w:r>
        <w:rPr>
          <w:rFonts w:hint="eastAsia" w:ascii="宋体" w:hAnsi="宋体" w:cs="Times New Roman"/>
          <w:color w:val="auto"/>
          <w:sz w:val="28"/>
          <w:szCs w:val="28"/>
          <w:highlight w:val="none"/>
          <w:u w:val="single"/>
        </w:rPr>
        <w:t xml:space="preserve">  ／   </w:t>
      </w:r>
      <w:r>
        <w:rPr>
          <w:rFonts w:hint="eastAsia" w:ascii="宋体" w:hAnsi="宋体" w:cs="Times New Roman"/>
          <w:bCs/>
          <w:color w:val="auto"/>
          <w:sz w:val="28"/>
          <w:szCs w:val="28"/>
          <w:highlight w:val="none"/>
        </w:rPr>
        <w:t>天内支付咨询费用。</w:t>
      </w:r>
    </w:p>
    <w:p w14:paraId="6F87C853">
      <w:pPr>
        <w:snapToGrid w:val="0"/>
        <w:spacing w:line="440" w:lineRule="exact"/>
        <w:ind w:firstLine="274" w:firstLineChars="98"/>
        <w:rPr>
          <w:rFonts w:ascii="宋体" w:hAnsi="宋体" w:cs="Times New Roman"/>
          <w:color w:val="auto"/>
          <w:sz w:val="28"/>
          <w:szCs w:val="28"/>
          <w:highlight w:val="none"/>
        </w:rPr>
      </w:pPr>
      <w:r>
        <w:rPr>
          <w:rFonts w:hint="eastAsia" w:ascii="宋体" w:hAnsi="宋体" w:cs="Times New Roman"/>
          <w:color w:val="auto"/>
          <w:sz w:val="28"/>
          <w:szCs w:val="28"/>
          <w:highlight w:val="none"/>
        </w:rPr>
        <w:t>8.4 奖励</w:t>
      </w:r>
    </w:p>
    <w:p w14:paraId="65584FCE">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合理化建议的奖励金额按下列方法确定为：</w:t>
      </w:r>
    </w:p>
    <w:p w14:paraId="6874B576">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奖励金额＝工程投资节省额×奖励金额的比率；</w:t>
      </w:r>
    </w:p>
    <w:p w14:paraId="00800098">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奖励金额的比率为</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w:t>
      </w:r>
    </w:p>
    <w:p w14:paraId="4A35D0CF">
      <w:pPr>
        <w:adjustRightInd w:val="0"/>
        <w:snapToGrid w:val="0"/>
        <w:spacing w:line="440" w:lineRule="exact"/>
        <w:ind w:firstLine="274" w:firstLineChars="98"/>
        <w:rPr>
          <w:rFonts w:ascii="宋体" w:hAnsi="宋体" w:cs="Times New Roman"/>
          <w:color w:val="auto"/>
          <w:sz w:val="28"/>
          <w:szCs w:val="28"/>
          <w:highlight w:val="none"/>
        </w:rPr>
      </w:pPr>
      <w:r>
        <w:rPr>
          <w:rFonts w:hint="eastAsia" w:ascii="宋体" w:hAnsi="宋体" w:cs="Times New Roman"/>
          <w:color w:val="auto"/>
          <w:sz w:val="28"/>
          <w:szCs w:val="28"/>
          <w:highlight w:val="none"/>
        </w:rPr>
        <w:t>8.6 保密</w:t>
      </w:r>
    </w:p>
    <w:p w14:paraId="0566FA07">
      <w:pPr>
        <w:adjustRightInd w:val="0"/>
        <w:snapToGrid w:val="0"/>
        <w:spacing w:line="440" w:lineRule="exact"/>
        <w:ind w:firstLine="560" w:firstLineChars="200"/>
        <w:rPr>
          <w:rFonts w:ascii="宋体" w:hAnsi="宋体" w:cs="Times New Roman"/>
          <w:color w:val="auto"/>
          <w:sz w:val="28"/>
          <w:szCs w:val="28"/>
          <w:highlight w:val="none"/>
          <w:u w:val="single"/>
        </w:rPr>
      </w:pPr>
      <w:r>
        <w:rPr>
          <w:rFonts w:hint="eastAsia" w:ascii="宋体" w:hAnsi="宋体" w:cs="Times New Roman"/>
          <w:color w:val="auto"/>
          <w:sz w:val="28"/>
          <w:szCs w:val="28"/>
          <w:highlight w:val="none"/>
        </w:rPr>
        <w:t>委托人申明的保密事项和期限：</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w:t>
      </w:r>
    </w:p>
    <w:p w14:paraId="6BF0EC22">
      <w:pPr>
        <w:adjustRightInd w:val="0"/>
        <w:snapToGrid w:val="0"/>
        <w:spacing w:line="440" w:lineRule="exact"/>
        <w:ind w:firstLine="560" w:firstLineChars="200"/>
        <w:rPr>
          <w:rFonts w:ascii="宋体" w:hAnsi="宋体" w:cs="Times New Roman"/>
          <w:color w:val="auto"/>
          <w:sz w:val="28"/>
          <w:szCs w:val="28"/>
          <w:highlight w:val="none"/>
          <w:u w:val="single"/>
        </w:rPr>
      </w:pPr>
      <w:r>
        <w:rPr>
          <w:rFonts w:hint="eastAsia" w:ascii="宋体" w:hAnsi="宋体" w:cs="Times New Roman"/>
          <w:color w:val="auto"/>
          <w:sz w:val="28"/>
          <w:szCs w:val="28"/>
          <w:highlight w:val="none"/>
        </w:rPr>
        <w:t>监理人申明的保密事项和期限：</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w:t>
      </w:r>
    </w:p>
    <w:p w14:paraId="1781851E">
      <w:pPr>
        <w:adjustRightInd w:val="0"/>
        <w:snapToGrid w:val="0"/>
        <w:spacing w:line="440" w:lineRule="exact"/>
        <w:ind w:firstLine="560" w:firstLineChars="200"/>
        <w:rPr>
          <w:rFonts w:ascii="宋体" w:hAnsi="宋体" w:cs="Times New Roman"/>
          <w:color w:val="auto"/>
          <w:sz w:val="28"/>
          <w:szCs w:val="28"/>
          <w:highlight w:val="none"/>
          <w:u w:val="single"/>
        </w:rPr>
      </w:pPr>
      <w:r>
        <w:rPr>
          <w:rFonts w:hint="eastAsia" w:ascii="宋体" w:hAnsi="宋体" w:cs="Times New Roman"/>
          <w:color w:val="auto"/>
          <w:sz w:val="28"/>
          <w:szCs w:val="28"/>
          <w:highlight w:val="none"/>
        </w:rPr>
        <w:t>第三方申明的保密事项和期限：</w:t>
      </w: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w:t>
      </w:r>
    </w:p>
    <w:p w14:paraId="2E7A1298">
      <w:pPr>
        <w:snapToGrid w:val="0"/>
        <w:spacing w:line="440" w:lineRule="exact"/>
        <w:ind w:firstLine="274" w:firstLineChars="98"/>
        <w:rPr>
          <w:rFonts w:ascii="宋体" w:hAnsi="宋体" w:cs="Times New Roman"/>
          <w:bCs/>
          <w:color w:val="auto"/>
          <w:sz w:val="28"/>
          <w:szCs w:val="28"/>
          <w:highlight w:val="none"/>
        </w:rPr>
      </w:pPr>
      <w:r>
        <w:rPr>
          <w:rFonts w:hint="eastAsia" w:ascii="宋体" w:hAnsi="宋体" w:cs="Times New Roman"/>
          <w:color w:val="auto"/>
          <w:sz w:val="28"/>
          <w:szCs w:val="28"/>
          <w:highlight w:val="none"/>
        </w:rPr>
        <w:t>8.8</w:t>
      </w:r>
      <w:r>
        <w:rPr>
          <w:rFonts w:hint="eastAsia" w:ascii="宋体" w:hAnsi="宋体" w:cs="Times New Roman"/>
          <w:bCs/>
          <w:color w:val="auto"/>
          <w:sz w:val="28"/>
          <w:szCs w:val="28"/>
          <w:highlight w:val="none"/>
        </w:rPr>
        <w:t>著作权</w:t>
      </w:r>
    </w:p>
    <w:p w14:paraId="3081B4ED">
      <w:pPr>
        <w:snapToGrid w:val="0"/>
        <w:spacing w:line="440" w:lineRule="exact"/>
        <w:ind w:firstLine="560" w:firstLineChars="200"/>
        <w:rPr>
          <w:rFonts w:ascii="宋体" w:hAnsi="宋体" w:cs="Times New Roman"/>
          <w:color w:val="auto"/>
          <w:sz w:val="28"/>
          <w:szCs w:val="28"/>
          <w:highlight w:val="none"/>
        </w:rPr>
      </w:pPr>
      <w:r>
        <w:rPr>
          <w:rFonts w:hint="eastAsia" w:ascii="宋体" w:hAnsi="宋体" w:cs="Times New Roman"/>
          <w:color w:val="auto"/>
          <w:sz w:val="28"/>
          <w:szCs w:val="28"/>
          <w:highlight w:val="none"/>
        </w:rPr>
        <w:t>监理人在本合同履行期间及本合同终止后两年内出版涉及本工程的有关监理与相关服务的资料的限制条件：</w:t>
      </w:r>
    </w:p>
    <w:p w14:paraId="3246B29F">
      <w:pPr>
        <w:adjustRightInd w:val="0"/>
        <w:snapToGrid w:val="0"/>
        <w:spacing w:before="217" w:beforeLines="50" w:after="217" w:afterLines="50" w:line="440" w:lineRule="exact"/>
        <w:rPr>
          <w:rFonts w:ascii="宋体" w:hAnsi="宋体" w:cs="Times New Roman"/>
          <w:color w:val="auto"/>
          <w:sz w:val="28"/>
          <w:szCs w:val="28"/>
          <w:highlight w:val="none"/>
          <w:u w:val="single"/>
        </w:rPr>
      </w:pPr>
      <w:r>
        <w:rPr>
          <w:rFonts w:hint="eastAsia" w:ascii="宋体" w:hAnsi="宋体" w:cs="Times New Roman"/>
          <w:color w:val="auto"/>
          <w:sz w:val="28"/>
          <w:szCs w:val="28"/>
          <w:highlight w:val="none"/>
          <w:u w:val="single"/>
        </w:rPr>
        <w:t xml:space="preserve">                      /                            </w:t>
      </w:r>
    </w:p>
    <w:p w14:paraId="0FAEFA2B">
      <w:pPr>
        <w:adjustRightInd w:val="0"/>
        <w:snapToGrid w:val="0"/>
        <w:spacing w:before="217" w:beforeLines="50" w:after="217" w:afterLines="50" w:line="440" w:lineRule="exact"/>
        <w:rPr>
          <w:rFonts w:ascii="宋体" w:hAnsi="宋体" w:cs="Times New Roman"/>
          <w:color w:val="auto"/>
          <w:sz w:val="28"/>
          <w:szCs w:val="28"/>
          <w:highlight w:val="none"/>
        </w:rPr>
      </w:pPr>
      <w:r>
        <w:rPr>
          <w:rFonts w:hint="eastAsia" w:ascii="宋体" w:hAnsi="宋体" w:cs="Times New Roman"/>
          <w:color w:val="auto"/>
          <w:sz w:val="28"/>
          <w:szCs w:val="28"/>
          <w:highlight w:val="none"/>
          <w:u w:val="single"/>
        </w:rPr>
        <w:t xml:space="preserve">                      /                            </w:t>
      </w:r>
      <w:r>
        <w:rPr>
          <w:rFonts w:hint="eastAsia" w:ascii="宋体" w:hAnsi="宋体" w:cs="Times New Roman"/>
          <w:color w:val="auto"/>
          <w:sz w:val="28"/>
          <w:szCs w:val="28"/>
          <w:highlight w:val="none"/>
        </w:rPr>
        <w:t>。</w:t>
      </w:r>
    </w:p>
    <w:p w14:paraId="3BE86E34">
      <w:pPr>
        <w:adjustRightInd w:val="0"/>
        <w:snapToGrid w:val="0"/>
        <w:spacing w:before="217" w:beforeLines="50" w:after="217" w:afterLines="50" w:line="440" w:lineRule="exact"/>
        <w:ind w:firstLine="280" w:firstLineChars="100"/>
        <w:rPr>
          <w:rFonts w:ascii="宋体" w:hAnsi="宋体" w:cs="Times New Roman"/>
          <w:color w:val="auto"/>
          <w:sz w:val="28"/>
          <w:szCs w:val="28"/>
          <w:highlight w:val="none"/>
        </w:rPr>
      </w:pPr>
    </w:p>
    <w:p w14:paraId="46F926E4">
      <w:pPr>
        <w:adjustRightInd w:val="0"/>
        <w:snapToGrid w:val="0"/>
        <w:spacing w:before="217" w:beforeLines="50" w:after="217" w:afterLines="50" w:line="440" w:lineRule="exact"/>
        <w:ind w:firstLine="280" w:firstLineChars="100"/>
        <w:rPr>
          <w:rFonts w:ascii="宋体" w:hAnsi="宋体" w:cs="Times New Roman"/>
          <w:color w:val="auto"/>
          <w:sz w:val="28"/>
          <w:szCs w:val="28"/>
          <w:highlight w:val="none"/>
        </w:rPr>
      </w:pPr>
      <w:r>
        <w:rPr>
          <w:rFonts w:hint="eastAsia" w:ascii="宋体" w:hAnsi="宋体" w:cs="Times New Roman"/>
          <w:color w:val="auto"/>
          <w:sz w:val="28"/>
          <w:szCs w:val="28"/>
          <w:highlight w:val="none"/>
        </w:rPr>
        <w:t>9. 补充条款</w:t>
      </w:r>
    </w:p>
    <w:p w14:paraId="2F164585">
      <w:pPr>
        <w:adjustRightInd w:val="0"/>
        <w:snapToGrid w:val="0"/>
        <w:spacing w:before="217" w:beforeLines="50" w:after="217" w:afterLines="50" w:line="440" w:lineRule="exact"/>
        <w:rPr>
          <w:rFonts w:ascii="宋体" w:hAnsi="宋体" w:cs="Times New Roman"/>
          <w:color w:val="auto"/>
          <w:sz w:val="28"/>
          <w:szCs w:val="28"/>
          <w:highlight w:val="none"/>
          <w:u w:val="single"/>
        </w:rPr>
      </w:pPr>
      <w:r>
        <w:rPr>
          <w:rFonts w:hint="eastAsia" w:ascii="宋体" w:hAnsi="宋体" w:cs="Times New Roman"/>
          <w:color w:val="auto"/>
          <w:sz w:val="28"/>
          <w:szCs w:val="28"/>
          <w:highlight w:val="none"/>
          <w:u w:val="single"/>
        </w:rPr>
        <w:t xml:space="preserve">        /           。</w:t>
      </w:r>
    </w:p>
    <w:p w14:paraId="2BDD4A70">
      <w:pPr>
        <w:spacing w:line="360" w:lineRule="auto"/>
        <w:rPr>
          <w:rFonts w:hint="eastAsia" w:ascii="宋体" w:hAnsi="宋体" w:eastAsia="宋体" w:cs="宋体"/>
          <w:color w:val="auto"/>
          <w:highlight w:val="none"/>
        </w:rPr>
      </w:pPr>
    </w:p>
    <w:p w14:paraId="53868A7E">
      <w:pPr>
        <w:spacing w:line="360" w:lineRule="auto"/>
        <w:rPr>
          <w:rFonts w:hint="eastAsia" w:ascii="宋体" w:hAnsi="宋体" w:eastAsia="宋体" w:cs="宋体"/>
          <w:color w:val="auto"/>
          <w:highlight w:val="none"/>
        </w:rPr>
      </w:pPr>
    </w:p>
    <w:p w14:paraId="376ECE61">
      <w:pPr>
        <w:spacing w:line="360" w:lineRule="auto"/>
        <w:rPr>
          <w:rFonts w:hint="eastAsia" w:ascii="宋体" w:hAnsi="宋体" w:eastAsia="宋体" w:cs="宋体"/>
          <w:color w:val="auto"/>
          <w:highlight w:val="none"/>
        </w:rPr>
      </w:pPr>
    </w:p>
    <w:p w14:paraId="4467FE25">
      <w:pPr>
        <w:spacing w:line="360" w:lineRule="auto"/>
        <w:rPr>
          <w:rFonts w:hint="eastAsia" w:ascii="宋体" w:hAnsi="宋体" w:eastAsia="宋体" w:cs="宋体"/>
          <w:color w:val="auto"/>
          <w:highlight w:val="none"/>
        </w:rPr>
      </w:pPr>
    </w:p>
    <w:p w14:paraId="42FFFE36">
      <w:pPr>
        <w:spacing w:line="360" w:lineRule="auto"/>
        <w:rPr>
          <w:rFonts w:hint="eastAsia" w:ascii="宋体" w:hAnsi="宋体" w:eastAsia="宋体" w:cs="宋体"/>
          <w:color w:val="auto"/>
          <w:highlight w:val="none"/>
        </w:rPr>
      </w:pPr>
    </w:p>
    <w:p w14:paraId="6C7802F1">
      <w:pPr>
        <w:spacing w:line="360" w:lineRule="auto"/>
        <w:rPr>
          <w:rFonts w:hint="eastAsia" w:ascii="宋体" w:hAnsi="宋体" w:eastAsia="宋体" w:cs="宋体"/>
          <w:color w:val="auto"/>
          <w:highlight w:val="none"/>
        </w:rPr>
      </w:pPr>
    </w:p>
    <w:p w14:paraId="6E1CF40C">
      <w:pPr>
        <w:spacing w:line="360" w:lineRule="auto"/>
        <w:rPr>
          <w:rFonts w:hint="eastAsia" w:ascii="宋体" w:hAnsi="宋体" w:eastAsia="宋体" w:cs="宋体"/>
          <w:color w:val="auto"/>
          <w:highlight w:val="none"/>
        </w:rPr>
      </w:pPr>
    </w:p>
    <w:p w14:paraId="15467976">
      <w:pPr>
        <w:spacing w:line="360" w:lineRule="auto"/>
        <w:rPr>
          <w:rFonts w:hint="eastAsia" w:ascii="宋体" w:hAnsi="宋体" w:eastAsia="宋体" w:cs="宋体"/>
          <w:color w:val="auto"/>
          <w:highlight w:val="none"/>
        </w:rPr>
      </w:pPr>
    </w:p>
    <w:p w14:paraId="3A289A43">
      <w:pPr>
        <w:spacing w:line="360" w:lineRule="auto"/>
        <w:rPr>
          <w:rFonts w:hint="eastAsia" w:ascii="宋体" w:hAnsi="宋体" w:eastAsia="宋体" w:cs="宋体"/>
          <w:color w:val="auto"/>
          <w:highlight w:val="none"/>
        </w:rPr>
      </w:pPr>
    </w:p>
    <w:p w14:paraId="2EF53B35">
      <w:pPr>
        <w:spacing w:line="360" w:lineRule="auto"/>
        <w:rPr>
          <w:rFonts w:hint="eastAsia" w:ascii="宋体" w:hAnsi="宋体" w:eastAsia="宋体" w:cs="宋体"/>
          <w:color w:val="auto"/>
          <w:highlight w:val="none"/>
        </w:rPr>
      </w:pPr>
    </w:p>
    <w:p w14:paraId="617D9A17">
      <w:pPr>
        <w:spacing w:line="360" w:lineRule="auto"/>
        <w:rPr>
          <w:rFonts w:hint="eastAsia" w:ascii="宋体" w:hAnsi="宋体" w:eastAsia="宋体" w:cs="宋体"/>
          <w:color w:val="auto"/>
          <w:highlight w:val="none"/>
        </w:rPr>
      </w:pPr>
    </w:p>
    <w:p w14:paraId="78823592">
      <w:pPr>
        <w:spacing w:line="360" w:lineRule="auto"/>
        <w:rPr>
          <w:rFonts w:hint="eastAsia" w:ascii="宋体" w:hAnsi="宋体" w:eastAsia="宋体" w:cs="宋体"/>
          <w:color w:val="auto"/>
          <w:highlight w:val="none"/>
        </w:rPr>
      </w:pPr>
    </w:p>
    <w:p w14:paraId="22E08BD6">
      <w:pPr>
        <w:spacing w:line="360" w:lineRule="auto"/>
        <w:rPr>
          <w:rFonts w:hint="eastAsia" w:ascii="宋体" w:hAnsi="宋体" w:eastAsia="宋体" w:cs="宋体"/>
          <w:color w:val="auto"/>
          <w:highlight w:val="none"/>
        </w:rPr>
      </w:pPr>
    </w:p>
    <w:p w14:paraId="3A0CE9EE">
      <w:pPr>
        <w:spacing w:line="360" w:lineRule="auto"/>
        <w:rPr>
          <w:rFonts w:hint="eastAsia" w:ascii="宋体" w:hAnsi="宋体" w:eastAsia="宋体" w:cs="宋体"/>
          <w:color w:val="auto"/>
          <w:highlight w:val="none"/>
        </w:rPr>
      </w:pPr>
    </w:p>
    <w:p w14:paraId="497114CE">
      <w:pPr>
        <w:spacing w:line="360" w:lineRule="auto"/>
        <w:rPr>
          <w:rFonts w:hint="eastAsia" w:ascii="宋体" w:hAnsi="宋体" w:eastAsia="宋体" w:cs="宋体"/>
          <w:color w:val="auto"/>
          <w:highlight w:val="none"/>
        </w:rPr>
      </w:pPr>
    </w:p>
    <w:p w14:paraId="7B2343E5">
      <w:pPr>
        <w:spacing w:line="360" w:lineRule="auto"/>
        <w:rPr>
          <w:rFonts w:hint="eastAsia" w:ascii="宋体" w:hAnsi="宋体" w:eastAsia="宋体" w:cs="宋体"/>
          <w:color w:val="auto"/>
          <w:highlight w:val="none"/>
        </w:rPr>
      </w:pPr>
    </w:p>
    <w:p w14:paraId="43BCB0D6">
      <w:pPr>
        <w:spacing w:line="360" w:lineRule="auto"/>
        <w:rPr>
          <w:rFonts w:hint="eastAsia" w:ascii="宋体" w:hAnsi="宋体" w:eastAsia="宋体" w:cs="宋体"/>
          <w:color w:val="auto"/>
          <w:highlight w:val="none"/>
        </w:rPr>
      </w:pPr>
    </w:p>
    <w:p w14:paraId="3D623B68">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ab/>
      </w:r>
      <w:bookmarkStart w:id="89" w:name="_Toc350515653"/>
      <w:bookmarkStart w:id="90" w:name="_Toc1908"/>
      <w:r>
        <w:rPr>
          <w:rFonts w:hint="eastAsia" w:ascii="宋体" w:hAnsi="宋体" w:eastAsia="宋体" w:cs="宋体"/>
          <w:color w:val="auto"/>
          <w:w w:val="90"/>
          <w:highlight w:val="none"/>
        </w:rPr>
        <w:t xml:space="preserve"> </w:t>
      </w:r>
      <w:bookmarkEnd w:id="89"/>
      <w:bookmarkEnd w:id="90"/>
      <w:bookmarkStart w:id="91" w:name="_Toc3046"/>
      <w:bookmarkStart w:id="92" w:name="_Toc30143"/>
      <w:r>
        <w:rPr>
          <w:rFonts w:hint="eastAsia" w:ascii="宋体" w:hAnsi="宋体" w:cs="宋体"/>
          <w:color w:val="auto"/>
          <w:w w:val="90"/>
          <w:highlight w:val="none"/>
          <w:lang w:val="en-US" w:eastAsia="zh-CN"/>
        </w:rPr>
        <w:t>技术要求</w:t>
      </w:r>
      <w:bookmarkEnd w:id="91"/>
      <w:bookmarkEnd w:id="92"/>
    </w:p>
    <w:p w14:paraId="1FEACF02">
      <w:pPr>
        <w:numPr>
          <w:ilvl w:val="1"/>
          <w:numId w:val="0"/>
        </w:numPr>
        <w:spacing w:line="360" w:lineRule="auto"/>
        <w:rPr>
          <w:rFonts w:hint="eastAsia" w:ascii="宋体" w:hAnsi="宋体" w:eastAsia="宋体"/>
          <w:b/>
          <w:color w:val="auto"/>
          <w:sz w:val="28"/>
          <w:szCs w:val="28"/>
          <w:highlight w:val="none"/>
        </w:rPr>
      </w:pPr>
      <w:r>
        <w:rPr>
          <w:rFonts w:hint="eastAsia" w:ascii="宋体" w:hAnsi="宋体" w:eastAsia="宋体" w:cs="宋体"/>
          <w:b/>
          <w:color w:val="auto"/>
          <w:kern w:val="0"/>
          <w:highlight w:val="none"/>
        </w:rPr>
        <w:br w:type="page"/>
      </w:r>
      <w:bookmarkStart w:id="93" w:name="_Toc34282764"/>
      <w:r>
        <w:rPr>
          <w:rFonts w:hint="eastAsia" w:ascii="宋体" w:hAnsi="宋体" w:eastAsia="宋体"/>
          <w:b/>
          <w:color w:val="auto"/>
          <w:sz w:val="28"/>
          <w:szCs w:val="28"/>
          <w:highlight w:val="none"/>
        </w:rPr>
        <w:t>一、工程概况</w:t>
      </w:r>
      <w:bookmarkEnd w:id="93"/>
    </w:p>
    <w:p w14:paraId="17617FF8">
      <w:pPr>
        <w:spacing w:line="360" w:lineRule="auto"/>
        <w:rPr>
          <w:rFonts w:hint="eastAsia" w:ascii="宋体" w:hAnsi="宋体" w:eastAsia="宋体"/>
          <w:b/>
          <w:color w:val="auto"/>
          <w:sz w:val="28"/>
          <w:szCs w:val="28"/>
          <w:highlight w:val="none"/>
        </w:rPr>
      </w:pPr>
      <w:bookmarkStart w:id="94" w:name="_Toc34282765"/>
      <w:r>
        <w:rPr>
          <w:rFonts w:hint="eastAsia" w:ascii="宋体" w:hAnsi="宋体" w:eastAsia="宋体"/>
          <w:b/>
          <w:color w:val="auto"/>
          <w:sz w:val="28"/>
          <w:szCs w:val="28"/>
          <w:highlight w:val="none"/>
        </w:rPr>
        <w:t>二、本项目工程监理范围</w:t>
      </w:r>
      <w:bookmarkEnd w:id="94"/>
    </w:p>
    <w:p w14:paraId="428BF119">
      <w:pPr>
        <w:spacing w:line="360" w:lineRule="auto"/>
        <w:ind w:firstLine="561"/>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监理招标范围：</w:t>
      </w:r>
      <w:r>
        <w:rPr>
          <w:rFonts w:hint="eastAsia" w:ascii="宋体" w:hAnsi="宋体" w:eastAsia="宋体"/>
          <w:color w:val="auto"/>
          <w:sz w:val="28"/>
          <w:szCs w:val="28"/>
          <w:highlight w:val="none"/>
          <w:lang w:val="en-US" w:eastAsia="zh-CN"/>
        </w:rPr>
        <w:t>2024年度营口市历史遗留废弃矿山治理恢复项目监理</w:t>
      </w:r>
      <w:r>
        <w:rPr>
          <w:rFonts w:hint="eastAsia" w:ascii="宋体" w:hAnsi="宋体" w:eastAsia="宋体"/>
          <w:color w:val="auto"/>
          <w:sz w:val="28"/>
          <w:szCs w:val="28"/>
          <w:highlight w:val="none"/>
        </w:rPr>
        <w:t>服务工作。</w:t>
      </w:r>
    </w:p>
    <w:p w14:paraId="28223D89">
      <w:pPr>
        <w:spacing w:line="360" w:lineRule="auto"/>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三、派驻本工程监理人员要求</w:t>
      </w:r>
    </w:p>
    <w:p w14:paraId="5A982025">
      <w:pPr>
        <w:spacing w:line="360" w:lineRule="auto"/>
        <w:rPr>
          <w:rFonts w:ascii="宋体" w:hAnsi="宋体" w:eastAsia="宋体"/>
          <w:color w:val="auto"/>
          <w:sz w:val="28"/>
          <w:szCs w:val="28"/>
          <w:highlight w:val="none"/>
        </w:rPr>
      </w:pPr>
      <w:r>
        <w:rPr>
          <w:rFonts w:ascii="宋体" w:hAnsi="宋体" w:eastAsia="宋体"/>
          <w:color w:val="auto"/>
          <w:sz w:val="28"/>
          <w:szCs w:val="28"/>
          <w:highlight w:val="none"/>
        </w:rPr>
        <w:t>1、总监理工程师</w:t>
      </w:r>
    </w:p>
    <w:p w14:paraId="74C99AA8">
      <w:pPr>
        <w:spacing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监理单位设总监理工程师</w:t>
      </w:r>
      <w:r>
        <w:rPr>
          <w:rFonts w:ascii="宋体" w:hAnsi="宋体" w:eastAsia="宋体"/>
          <w:color w:val="auto"/>
          <w:sz w:val="28"/>
          <w:szCs w:val="28"/>
          <w:highlight w:val="none"/>
        </w:rPr>
        <w:t>1人，总监必须具有国家注册监理工程师资格</w:t>
      </w:r>
      <w:r>
        <w:rPr>
          <w:rFonts w:hint="eastAsia" w:ascii="宋体" w:hAnsi="宋体" w:eastAsia="宋体"/>
          <w:color w:val="auto"/>
          <w:sz w:val="28"/>
          <w:szCs w:val="28"/>
          <w:highlight w:val="none"/>
          <w:lang w:eastAsia="zh-CN"/>
        </w:rPr>
        <w:t>、</w:t>
      </w:r>
      <w:r>
        <w:rPr>
          <w:rFonts w:hint="eastAsia" w:ascii="宋体" w:hAnsi="宋体"/>
          <w:bCs/>
          <w:color w:val="auto"/>
          <w:sz w:val="28"/>
          <w:szCs w:val="28"/>
          <w:highlight w:val="none"/>
          <w:lang w:val="en-US" w:eastAsia="zh-CN"/>
        </w:rPr>
        <w:t>高</w:t>
      </w:r>
      <w:r>
        <w:rPr>
          <w:rFonts w:hint="eastAsia" w:ascii="宋体" w:hAnsi="宋体" w:eastAsia="宋体"/>
          <w:bCs/>
          <w:color w:val="auto"/>
          <w:sz w:val="28"/>
          <w:szCs w:val="28"/>
          <w:highlight w:val="none"/>
        </w:rPr>
        <w:t>级工程师及以上职称证书（水文地质、工程地质、环境地质等相关专业）</w:t>
      </w:r>
      <w:r>
        <w:rPr>
          <w:rFonts w:ascii="宋体" w:hAnsi="宋体" w:eastAsia="宋体"/>
          <w:color w:val="auto"/>
          <w:sz w:val="28"/>
          <w:szCs w:val="28"/>
          <w:highlight w:val="none"/>
        </w:rPr>
        <w:t>和总监理工程师任命书，经验丰富，身体健康，作风正派，具有良好的组织协调能力。</w:t>
      </w:r>
    </w:p>
    <w:p w14:paraId="72AA53BF">
      <w:pPr>
        <w:spacing w:line="360" w:lineRule="auto"/>
        <w:rPr>
          <w:rFonts w:ascii="宋体" w:hAnsi="宋体" w:eastAsia="宋体"/>
          <w:color w:val="auto"/>
          <w:sz w:val="28"/>
          <w:szCs w:val="28"/>
          <w:highlight w:val="none"/>
        </w:rPr>
      </w:pPr>
      <w:r>
        <w:rPr>
          <w:rFonts w:ascii="宋体" w:hAnsi="宋体" w:eastAsia="宋体"/>
          <w:color w:val="auto"/>
          <w:sz w:val="28"/>
          <w:szCs w:val="28"/>
          <w:highlight w:val="none"/>
        </w:rPr>
        <w:t>2、监理工程师</w:t>
      </w:r>
    </w:p>
    <w:p w14:paraId="44B379F2">
      <w:pPr>
        <w:spacing w:line="360" w:lineRule="auto"/>
        <w:rPr>
          <w:rFonts w:ascii="宋体" w:hAnsi="宋体" w:eastAsia="宋体"/>
          <w:color w:val="auto"/>
          <w:sz w:val="28"/>
          <w:szCs w:val="28"/>
          <w:highlight w:val="none"/>
        </w:rPr>
      </w:pPr>
      <w:r>
        <w:rPr>
          <w:rFonts w:ascii="宋体" w:hAnsi="宋体" w:eastAsia="宋体"/>
          <w:color w:val="auto"/>
          <w:sz w:val="28"/>
          <w:szCs w:val="28"/>
          <w:highlight w:val="none"/>
        </w:rPr>
        <w:t>人员配备</w:t>
      </w:r>
    </w:p>
    <w:p w14:paraId="3C2F3ADA">
      <w:pPr>
        <w:spacing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监理单位人员的配备应保证专业配备齐全且各专业均有足够的数量；除非委托人要求，监理单位不得撤换投标文件中确定的总监与其他主要监理人员，否则视为违约。</w:t>
      </w:r>
    </w:p>
    <w:p w14:paraId="1FF65CCF">
      <w:pPr>
        <w:spacing w:line="360" w:lineRule="auto"/>
        <w:rPr>
          <w:rFonts w:ascii="宋体" w:hAnsi="宋体" w:eastAsia="宋体"/>
          <w:color w:val="auto"/>
          <w:sz w:val="28"/>
          <w:szCs w:val="28"/>
          <w:highlight w:val="none"/>
        </w:rPr>
      </w:pPr>
      <w:r>
        <w:rPr>
          <w:rFonts w:ascii="宋体" w:hAnsi="宋体" w:eastAsia="宋体"/>
          <w:color w:val="auto"/>
          <w:sz w:val="28"/>
          <w:szCs w:val="28"/>
          <w:highlight w:val="none"/>
        </w:rPr>
        <w:t>3、项目监理机构</w:t>
      </w:r>
    </w:p>
    <w:p w14:paraId="0686A307">
      <w:pPr>
        <w:spacing w:line="360" w:lineRule="auto"/>
        <w:rPr>
          <w:rFonts w:ascii="宋体" w:hAnsi="宋体" w:eastAsia="宋体"/>
          <w:color w:val="auto"/>
          <w:sz w:val="28"/>
          <w:szCs w:val="28"/>
          <w:highlight w:val="none"/>
        </w:rPr>
      </w:pPr>
      <w:r>
        <w:rPr>
          <w:rFonts w:ascii="宋体" w:hAnsi="宋体" w:eastAsia="宋体"/>
          <w:color w:val="auto"/>
          <w:sz w:val="28"/>
          <w:szCs w:val="28"/>
          <w:highlight w:val="none"/>
        </w:rPr>
        <w:t>3．1项目监理机构组织健全，监理区域与人员划分、分工合理。</w:t>
      </w:r>
    </w:p>
    <w:p w14:paraId="64E33A84">
      <w:pPr>
        <w:spacing w:line="360" w:lineRule="auto"/>
        <w:rPr>
          <w:rFonts w:hint="eastAsia" w:ascii="宋体" w:hAnsi="宋体" w:eastAsia="宋体"/>
          <w:color w:val="auto"/>
          <w:sz w:val="28"/>
          <w:szCs w:val="28"/>
          <w:highlight w:val="none"/>
        </w:rPr>
      </w:pPr>
      <w:r>
        <w:rPr>
          <w:rFonts w:ascii="宋体" w:hAnsi="宋体" w:eastAsia="宋体"/>
          <w:color w:val="auto"/>
          <w:sz w:val="28"/>
          <w:szCs w:val="28"/>
          <w:highlight w:val="none"/>
        </w:rPr>
        <w:t>3．2根据该工程实际，设置不少于1个项目监理部。</w:t>
      </w:r>
    </w:p>
    <w:p w14:paraId="4BD052C8">
      <w:pPr>
        <w:spacing w:line="360" w:lineRule="auto"/>
        <w:rPr>
          <w:rFonts w:hint="eastAsia" w:ascii="宋体" w:hAnsi="宋体" w:eastAsia="宋体"/>
          <w:color w:val="auto"/>
          <w:sz w:val="28"/>
          <w:szCs w:val="28"/>
          <w:highlight w:val="none"/>
        </w:rPr>
      </w:pPr>
      <w:r>
        <w:rPr>
          <w:rFonts w:hint="eastAsia" w:ascii="宋体" w:hAnsi="宋体" w:eastAsia="宋体"/>
          <w:b/>
          <w:color w:val="auto"/>
          <w:sz w:val="28"/>
          <w:szCs w:val="28"/>
          <w:highlight w:val="none"/>
        </w:rPr>
        <w:t>四、其他</w:t>
      </w:r>
    </w:p>
    <w:p w14:paraId="5FA71783">
      <w:pPr>
        <w:spacing w:line="360" w:lineRule="auto"/>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要求监理单位严格按照国家的有关规程和规定，对上述项目，特别是各专业工程施工的全过程（包括竣工档案及保修项目监理）进行全面监理，以保证项目建成后达到合格标准。</w:t>
      </w:r>
    </w:p>
    <w:p w14:paraId="52331257">
      <w:pPr>
        <w:pStyle w:val="35"/>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p>
    <w:p w14:paraId="3F63E020">
      <w:pPr>
        <w:pStyle w:val="35"/>
        <w:widowControl/>
        <w:spacing w:line="360" w:lineRule="auto"/>
        <w:ind w:firstLine="0" w:firstLineChars="0"/>
        <w:jc w:val="left"/>
        <w:rPr>
          <w:rFonts w:hint="eastAsia" w:ascii="宋体" w:hAnsi="宋体" w:eastAsia="宋体" w:cs="宋体"/>
          <w:color w:val="auto"/>
          <w:sz w:val="24"/>
          <w:szCs w:val="20"/>
          <w:highlight w:val="none"/>
        </w:rPr>
      </w:pPr>
    </w:p>
    <w:p w14:paraId="2FF43832">
      <w:pPr>
        <w:rPr>
          <w:rFonts w:hint="eastAsia" w:ascii="宋体" w:hAnsi="宋体" w:eastAsia="宋体" w:cs="宋体"/>
          <w:color w:val="auto"/>
          <w:w w:val="90"/>
          <w:highlight w:val="none"/>
        </w:rPr>
      </w:pPr>
      <w:r>
        <w:rPr>
          <w:rFonts w:hint="eastAsia" w:ascii="宋体" w:hAnsi="宋体" w:eastAsia="宋体" w:cs="宋体"/>
          <w:color w:val="auto"/>
          <w:w w:val="90"/>
          <w:highlight w:val="none"/>
        </w:rPr>
        <w:br w:type="page"/>
      </w:r>
    </w:p>
    <w:p w14:paraId="78983450">
      <w:pPr>
        <w:pStyle w:val="3"/>
        <w:ind w:firstLine="0" w:firstLineChars="0"/>
        <w:jc w:val="center"/>
        <w:rPr>
          <w:rFonts w:hint="eastAsia" w:ascii="宋体" w:hAnsi="宋体" w:eastAsia="宋体" w:cs="宋体"/>
          <w:color w:val="auto"/>
          <w:sz w:val="44"/>
          <w:szCs w:val="44"/>
          <w:highlight w:val="none"/>
        </w:rPr>
      </w:pPr>
      <w:bookmarkStart w:id="95" w:name="_Toc6454"/>
      <w:bookmarkStart w:id="96" w:name="_Toc292357057"/>
    </w:p>
    <w:p w14:paraId="6C4EAFF5">
      <w:pPr>
        <w:pStyle w:val="3"/>
        <w:ind w:firstLine="0" w:firstLineChars="0"/>
        <w:jc w:val="center"/>
        <w:rPr>
          <w:rFonts w:hint="eastAsia" w:ascii="宋体" w:hAnsi="宋体" w:eastAsia="宋体" w:cs="宋体"/>
          <w:color w:val="auto"/>
          <w:sz w:val="44"/>
          <w:szCs w:val="44"/>
          <w:highlight w:val="none"/>
        </w:rPr>
      </w:pPr>
    </w:p>
    <w:p w14:paraId="167C99DB">
      <w:pPr>
        <w:pStyle w:val="3"/>
        <w:ind w:firstLine="0" w:firstLineChars="0"/>
        <w:jc w:val="center"/>
        <w:rPr>
          <w:rFonts w:hint="eastAsia" w:ascii="宋体" w:hAnsi="宋体" w:eastAsia="宋体" w:cs="宋体"/>
          <w:color w:val="auto"/>
          <w:sz w:val="44"/>
          <w:szCs w:val="44"/>
          <w:highlight w:val="none"/>
        </w:rPr>
      </w:pPr>
    </w:p>
    <w:p w14:paraId="22C05AB3">
      <w:pPr>
        <w:pStyle w:val="3"/>
        <w:ind w:firstLine="0" w:firstLineChars="0"/>
        <w:jc w:val="center"/>
        <w:rPr>
          <w:rFonts w:hint="eastAsia" w:ascii="宋体" w:hAnsi="宋体" w:eastAsia="宋体" w:cs="宋体"/>
          <w:color w:val="auto"/>
          <w:sz w:val="44"/>
          <w:szCs w:val="44"/>
          <w:highlight w:val="none"/>
        </w:rPr>
      </w:pPr>
    </w:p>
    <w:p w14:paraId="22A2247A">
      <w:pPr>
        <w:pStyle w:val="3"/>
        <w:ind w:firstLine="0" w:firstLineChars="0"/>
        <w:jc w:val="center"/>
        <w:rPr>
          <w:rFonts w:hint="eastAsia" w:ascii="宋体" w:hAnsi="宋体" w:eastAsia="宋体" w:cs="宋体"/>
          <w:color w:val="auto"/>
          <w:sz w:val="44"/>
          <w:szCs w:val="44"/>
          <w:highlight w:val="none"/>
        </w:rPr>
      </w:pPr>
    </w:p>
    <w:p w14:paraId="5241EAA1">
      <w:pPr>
        <w:rPr>
          <w:rFonts w:hint="eastAsia"/>
          <w:highlight w:val="none"/>
        </w:rPr>
      </w:pPr>
    </w:p>
    <w:p w14:paraId="0F0A6DD1">
      <w:pPr>
        <w:pStyle w:val="3"/>
        <w:ind w:firstLine="0" w:firstLineChars="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六</w:t>
      </w:r>
      <w:r>
        <w:rPr>
          <w:rFonts w:hint="eastAsia" w:ascii="宋体" w:hAnsi="宋体" w:eastAsia="宋体" w:cs="宋体"/>
          <w:color w:val="auto"/>
          <w:sz w:val="44"/>
          <w:szCs w:val="44"/>
          <w:highlight w:val="none"/>
        </w:rPr>
        <w:t>章  技术规范</w:t>
      </w:r>
      <w:bookmarkEnd w:id="95"/>
      <w:bookmarkEnd w:id="96"/>
    </w:p>
    <w:p w14:paraId="085FAE16">
      <w:pPr>
        <w:spacing w:line="360" w:lineRule="auto"/>
        <w:ind w:firstLine="560" w:firstLineChars="200"/>
        <w:rPr>
          <w:rFonts w:hint="eastAsia" w:ascii="宋体" w:hAnsi="宋体" w:eastAsia="宋体"/>
          <w:color w:val="auto"/>
          <w:sz w:val="28"/>
          <w:highlight w:val="none"/>
        </w:rPr>
      </w:pPr>
    </w:p>
    <w:p w14:paraId="5616997F">
      <w:pPr>
        <w:spacing w:line="360" w:lineRule="auto"/>
        <w:ind w:firstLine="560" w:firstLineChars="200"/>
        <w:rPr>
          <w:rFonts w:hint="eastAsia" w:ascii="宋体" w:hAnsi="宋体" w:eastAsia="宋体"/>
          <w:color w:val="auto"/>
          <w:sz w:val="28"/>
          <w:highlight w:val="none"/>
        </w:rPr>
      </w:pPr>
    </w:p>
    <w:p w14:paraId="3F381847">
      <w:pPr>
        <w:spacing w:line="360" w:lineRule="auto"/>
        <w:ind w:firstLine="560" w:firstLineChars="200"/>
        <w:rPr>
          <w:rFonts w:hint="eastAsia" w:ascii="宋体" w:hAnsi="宋体" w:eastAsia="宋体"/>
          <w:color w:val="auto"/>
          <w:sz w:val="28"/>
          <w:highlight w:val="none"/>
        </w:rPr>
      </w:pPr>
    </w:p>
    <w:p w14:paraId="32CF84AF">
      <w:pPr>
        <w:spacing w:line="360" w:lineRule="auto"/>
        <w:ind w:firstLine="560" w:firstLineChars="200"/>
        <w:rPr>
          <w:rFonts w:hint="eastAsia" w:ascii="宋体" w:hAnsi="宋体" w:eastAsia="宋体"/>
          <w:color w:val="auto"/>
          <w:sz w:val="28"/>
          <w:highlight w:val="none"/>
        </w:rPr>
      </w:pPr>
    </w:p>
    <w:p w14:paraId="6B30B015">
      <w:pPr>
        <w:spacing w:line="360" w:lineRule="auto"/>
        <w:ind w:firstLine="560" w:firstLineChars="200"/>
        <w:rPr>
          <w:rFonts w:hint="eastAsia" w:ascii="宋体" w:hAnsi="宋体" w:eastAsia="宋体"/>
          <w:color w:val="auto"/>
          <w:sz w:val="28"/>
          <w:highlight w:val="none"/>
        </w:rPr>
      </w:pPr>
    </w:p>
    <w:p w14:paraId="66DC2B9E">
      <w:pPr>
        <w:spacing w:line="360" w:lineRule="auto"/>
        <w:ind w:firstLine="560" w:firstLineChars="200"/>
        <w:rPr>
          <w:rFonts w:hint="eastAsia" w:ascii="宋体" w:hAnsi="宋体" w:eastAsia="宋体"/>
          <w:color w:val="auto"/>
          <w:sz w:val="28"/>
          <w:highlight w:val="none"/>
        </w:rPr>
      </w:pPr>
    </w:p>
    <w:p w14:paraId="43B7A60D">
      <w:pPr>
        <w:spacing w:line="360" w:lineRule="auto"/>
        <w:ind w:firstLine="560" w:firstLineChars="200"/>
        <w:rPr>
          <w:rFonts w:hint="eastAsia" w:ascii="宋体" w:hAnsi="宋体" w:eastAsia="宋体"/>
          <w:color w:val="auto"/>
          <w:sz w:val="28"/>
          <w:highlight w:val="none"/>
        </w:rPr>
      </w:pPr>
    </w:p>
    <w:p w14:paraId="328D0F95">
      <w:pPr>
        <w:spacing w:line="360" w:lineRule="auto"/>
        <w:ind w:firstLine="560" w:firstLineChars="200"/>
        <w:rPr>
          <w:rFonts w:hint="eastAsia" w:ascii="宋体" w:hAnsi="宋体" w:eastAsia="宋体"/>
          <w:color w:val="auto"/>
          <w:sz w:val="28"/>
          <w:highlight w:val="none"/>
        </w:rPr>
      </w:pPr>
    </w:p>
    <w:p w14:paraId="2BDFD96E">
      <w:pPr>
        <w:spacing w:line="360" w:lineRule="auto"/>
        <w:ind w:firstLine="560" w:firstLineChars="200"/>
        <w:rPr>
          <w:rFonts w:hint="eastAsia" w:ascii="宋体" w:hAnsi="宋体" w:eastAsia="宋体"/>
          <w:color w:val="auto"/>
          <w:sz w:val="28"/>
          <w:highlight w:val="none"/>
        </w:rPr>
      </w:pPr>
    </w:p>
    <w:p w14:paraId="199297CC">
      <w:pPr>
        <w:spacing w:line="360" w:lineRule="auto"/>
        <w:ind w:firstLine="560" w:firstLineChars="200"/>
        <w:rPr>
          <w:rFonts w:hint="eastAsia" w:ascii="宋体" w:hAnsi="宋体" w:eastAsia="宋体"/>
          <w:color w:val="auto"/>
          <w:sz w:val="28"/>
          <w:highlight w:val="none"/>
        </w:rPr>
      </w:pPr>
    </w:p>
    <w:p w14:paraId="553BA424">
      <w:pPr>
        <w:spacing w:line="360" w:lineRule="auto"/>
        <w:ind w:firstLine="560" w:firstLineChars="200"/>
        <w:rPr>
          <w:rFonts w:hint="eastAsia" w:ascii="宋体" w:hAnsi="宋体" w:eastAsia="宋体"/>
          <w:color w:val="auto"/>
          <w:sz w:val="28"/>
          <w:highlight w:val="none"/>
        </w:rPr>
      </w:pPr>
    </w:p>
    <w:p w14:paraId="44550BB9">
      <w:pPr>
        <w:spacing w:line="360" w:lineRule="auto"/>
        <w:ind w:firstLine="560" w:firstLineChars="200"/>
        <w:rPr>
          <w:rFonts w:hint="eastAsia" w:ascii="宋体" w:hAnsi="宋体" w:eastAsia="宋体"/>
          <w:color w:val="auto"/>
          <w:sz w:val="28"/>
          <w:highlight w:val="none"/>
        </w:rPr>
      </w:pPr>
    </w:p>
    <w:p w14:paraId="42BFE049">
      <w:pPr>
        <w:spacing w:line="360" w:lineRule="auto"/>
        <w:ind w:firstLine="560" w:firstLineChars="200"/>
        <w:rPr>
          <w:rFonts w:hint="eastAsia" w:ascii="宋体" w:hAnsi="宋体" w:eastAsia="宋体"/>
          <w:color w:val="auto"/>
          <w:sz w:val="28"/>
          <w:highlight w:val="none"/>
        </w:rPr>
      </w:pPr>
    </w:p>
    <w:p w14:paraId="12E4C173">
      <w:pPr>
        <w:spacing w:line="360" w:lineRule="auto"/>
        <w:ind w:firstLine="560" w:firstLineChars="200"/>
        <w:rPr>
          <w:rFonts w:hint="eastAsia" w:ascii="宋体" w:hAnsi="宋体" w:eastAsia="宋体"/>
          <w:color w:val="auto"/>
          <w:sz w:val="28"/>
          <w:highlight w:val="none"/>
        </w:rPr>
      </w:pPr>
    </w:p>
    <w:p w14:paraId="502059AA">
      <w:pPr>
        <w:spacing w:line="360" w:lineRule="auto"/>
        <w:ind w:firstLine="560" w:firstLineChars="200"/>
        <w:rPr>
          <w:rFonts w:hint="eastAsia" w:ascii="宋体" w:hAnsi="宋体" w:eastAsia="宋体"/>
          <w:color w:val="auto"/>
          <w:sz w:val="28"/>
          <w:highlight w:val="none"/>
        </w:rPr>
      </w:pPr>
    </w:p>
    <w:p w14:paraId="4AB8D220">
      <w:pPr>
        <w:spacing w:line="360" w:lineRule="auto"/>
        <w:ind w:firstLine="560" w:firstLineChars="200"/>
        <w:rPr>
          <w:rFonts w:hint="eastAsia" w:ascii="宋体" w:hAnsi="宋体" w:eastAsia="宋体"/>
          <w:color w:val="auto"/>
          <w:sz w:val="28"/>
          <w:highlight w:val="none"/>
        </w:rPr>
      </w:pPr>
    </w:p>
    <w:p w14:paraId="448DAD8D">
      <w:pPr>
        <w:spacing w:line="360" w:lineRule="auto"/>
        <w:ind w:firstLine="560" w:firstLineChars="200"/>
        <w:rPr>
          <w:rFonts w:hint="eastAsia" w:ascii="宋体" w:hAnsi="宋体" w:eastAsia="宋体"/>
          <w:color w:val="auto"/>
          <w:sz w:val="28"/>
          <w:highlight w:val="none"/>
        </w:rPr>
      </w:pPr>
      <w:r>
        <w:rPr>
          <w:rFonts w:hint="eastAsia" w:ascii="宋体" w:hAnsi="宋体" w:eastAsia="宋体"/>
          <w:color w:val="auto"/>
          <w:sz w:val="28"/>
          <w:highlight w:val="none"/>
        </w:rPr>
        <w:t>本工程的监理服务均须执行中华人民共和国国家标准及有关现行的规程、标准、规范、办法，及建设部、辽宁省建设行政主管部门下发的有关建设工程监理方面的文件、规定。</w:t>
      </w:r>
    </w:p>
    <w:p w14:paraId="4C0A4CD7">
      <w:pPr>
        <w:ind w:firstLine="425"/>
        <w:rPr>
          <w:rFonts w:hint="eastAsia" w:ascii="仿宋_GB2312"/>
          <w:color w:val="auto"/>
          <w:highlight w:val="none"/>
        </w:rPr>
      </w:pPr>
    </w:p>
    <w:p w14:paraId="494A8630">
      <w:pPr>
        <w:ind w:firstLine="425"/>
        <w:rPr>
          <w:rFonts w:hint="eastAsia" w:ascii="仿宋_GB2312"/>
          <w:color w:val="auto"/>
          <w:highlight w:val="none"/>
        </w:rPr>
      </w:pPr>
    </w:p>
    <w:p w14:paraId="30D17CC6">
      <w:pPr>
        <w:rPr>
          <w:rFonts w:hint="eastAsia" w:ascii="仿宋_GB2312"/>
          <w:color w:val="auto"/>
          <w:sz w:val="28"/>
          <w:highlight w:val="none"/>
        </w:rPr>
      </w:pPr>
    </w:p>
    <w:p w14:paraId="53103E0A">
      <w:pPr>
        <w:rPr>
          <w:rFonts w:hint="eastAsia" w:ascii="仿宋_GB2312"/>
          <w:color w:val="auto"/>
          <w:sz w:val="28"/>
          <w:highlight w:val="none"/>
        </w:rPr>
      </w:pPr>
    </w:p>
    <w:p w14:paraId="38CEBC56">
      <w:pPr>
        <w:rPr>
          <w:rFonts w:hint="eastAsia" w:ascii="仿宋_GB2312"/>
          <w:color w:val="auto"/>
          <w:sz w:val="28"/>
          <w:highlight w:val="none"/>
        </w:rPr>
      </w:pPr>
    </w:p>
    <w:p w14:paraId="7DCF5217">
      <w:pPr>
        <w:rPr>
          <w:rFonts w:hint="eastAsia" w:ascii="仿宋_GB2312"/>
          <w:color w:val="auto"/>
          <w:sz w:val="28"/>
          <w:highlight w:val="none"/>
        </w:rPr>
      </w:pPr>
    </w:p>
    <w:p w14:paraId="0557FA1F">
      <w:pPr>
        <w:rPr>
          <w:rFonts w:hint="eastAsia" w:ascii="仿宋_GB2312"/>
          <w:color w:val="auto"/>
          <w:sz w:val="28"/>
          <w:highlight w:val="none"/>
        </w:rPr>
      </w:pPr>
    </w:p>
    <w:p w14:paraId="08BCA44D">
      <w:pPr>
        <w:rPr>
          <w:rFonts w:hint="eastAsia" w:ascii="仿宋_GB2312"/>
          <w:color w:val="auto"/>
          <w:sz w:val="28"/>
          <w:highlight w:val="none"/>
        </w:rPr>
      </w:pPr>
    </w:p>
    <w:p w14:paraId="2505FC05">
      <w:pPr>
        <w:rPr>
          <w:rFonts w:hint="eastAsia" w:ascii="仿宋_GB2312"/>
          <w:color w:val="auto"/>
          <w:sz w:val="28"/>
          <w:highlight w:val="none"/>
        </w:rPr>
      </w:pPr>
    </w:p>
    <w:p w14:paraId="42B89413">
      <w:pPr>
        <w:rPr>
          <w:rFonts w:hint="eastAsia" w:ascii="仿宋_GB2312"/>
          <w:color w:val="auto"/>
          <w:sz w:val="28"/>
          <w:highlight w:val="none"/>
        </w:rPr>
      </w:pPr>
    </w:p>
    <w:p w14:paraId="65C1609A">
      <w:pPr>
        <w:pStyle w:val="3"/>
        <w:ind w:firstLine="0" w:firstLineChars="0"/>
        <w:rPr>
          <w:rFonts w:hint="eastAsia" w:eastAsia="黑体"/>
          <w:color w:val="auto"/>
          <w:sz w:val="48"/>
          <w:highlight w:val="none"/>
        </w:rPr>
      </w:pPr>
      <w:bookmarkStart w:id="97" w:name="_Hlt68911530"/>
      <w:bookmarkStart w:id="98" w:name="_Toc34282766"/>
    </w:p>
    <w:p w14:paraId="2AAA29F1">
      <w:pPr>
        <w:pStyle w:val="3"/>
        <w:ind w:firstLine="0" w:firstLineChars="0"/>
        <w:rPr>
          <w:rFonts w:hint="eastAsia" w:eastAsia="黑体"/>
          <w:color w:val="auto"/>
          <w:sz w:val="48"/>
          <w:highlight w:val="none"/>
        </w:rPr>
      </w:pPr>
    </w:p>
    <w:p w14:paraId="62A4C568">
      <w:pPr>
        <w:pStyle w:val="3"/>
        <w:ind w:firstLine="0" w:firstLineChars="0"/>
        <w:rPr>
          <w:rFonts w:hint="eastAsia" w:eastAsia="黑体"/>
          <w:color w:val="auto"/>
          <w:sz w:val="48"/>
          <w:highlight w:val="none"/>
        </w:rPr>
      </w:pPr>
    </w:p>
    <w:p w14:paraId="28F445CC">
      <w:pPr>
        <w:rPr>
          <w:rFonts w:hint="eastAsia" w:eastAsia="黑体"/>
          <w:color w:val="auto"/>
          <w:sz w:val="48"/>
          <w:highlight w:val="none"/>
        </w:rPr>
      </w:pPr>
    </w:p>
    <w:p w14:paraId="4616BEC3">
      <w:pPr>
        <w:pStyle w:val="11"/>
        <w:rPr>
          <w:rFonts w:hint="eastAsia" w:eastAsia="黑体"/>
          <w:color w:val="auto"/>
          <w:sz w:val="48"/>
          <w:highlight w:val="none"/>
        </w:rPr>
      </w:pPr>
    </w:p>
    <w:p w14:paraId="23A4507A">
      <w:pPr>
        <w:pStyle w:val="12"/>
        <w:rPr>
          <w:rFonts w:hint="eastAsia" w:eastAsia="黑体"/>
          <w:color w:val="auto"/>
          <w:sz w:val="48"/>
          <w:highlight w:val="none"/>
        </w:rPr>
      </w:pPr>
    </w:p>
    <w:p w14:paraId="3DA9109C">
      <w:pPr>
        <w:pStyle w:val="12"/>
        <w:rPr>
          <w:rFonts w:hint="eastAsia" w:eastAsia="黑体"/>
          <w:color w:val="auto"/>
          <w:sz w:val="48"/>
          <w:highlight w:val="none"/>
        </w:rPr>
      </w:pPr>
    </w:p>
    <w:p w14:paraId="1251641F">
      <w:pPr>
        <w:pStyle w:val="3"/>
        <w:ind w:firstLine="0" w:firstLineChars="0"/>
        <w:rPr>
          <w:rFonts w:hint="eastAsia" w:eastAsia="黑体"/>
          <w:color w:val="auto"/>
          <w:sz w:val="48"/>
          <w:highlight w:val="none"/>
        </w:rPr>
      </w:pPr>
    </w:p>
    <w:p w14:paraId="4DAE96CC">
      <w:pPr>
        <w:rPr>
          <w:rFonts w:hint="eastAsia" w:eastAsia="黑体"/>
          <w:color w:val="auto"/>
          <w:sz w:val="48"/>
          <w:highlight w:val="none"/>
        </w:rPr>
      </w:pPr>
    </w:p>
    <w:p w14:paraId="3C869791">
      <w:pPr>
        <w:rPr>
          <w:rFonts w:hint="eastAsia" w:eastAsia="黑体"/>
          <w:color w:val="auto"/>
          <w:sz w:val="48"/>
          <w:highlight w:val="none"/>
        </w:rPr>
      </w:pPr>
    </w:p>
    <w:p w14:paraId="32E2A700">
      <w:pPr>
        <w:rPr>
          <w:rFonts w:hint="eastAsia" w:eastAsia="黑体"/>
          <w:color w:val="auto"/>
          <w:sz w:val="48"/>
          <w:highlight w:val="none"/>
        </w:rPr>
      </w:pPr>
    </w:p>
    <w:p w14:paraId="574319AD">
      <w:pPr>
        <w:rPr>
          <w:rFonts w:hint="eastAsia" w:eastAsia="黑体"/>
          <w:color w:val="auto"/>
          <w:sz w:val="48"/>
          <w:highlight w:val="none"/>
        </w:rPr>
      </w:pPr>
    </w:p>
    <w:p w14:paraId="40ACF8B8">
      <w:pPr>
        <w:rPr>
          <w:rFonts w:hint="eastAsia" w:eastAsia="黑体"/>
          <w:color w:val="auto"/>
          <w:sz w:val="48"/>
          <w:highlight w:val="none"/>
        </w:rPr>
      </w:pPr>
    </w:p>
    <w:p w14:paraId="5907D2FF">
      <w:pPr>
        <w:rPr>
          <w:rFonts w:hint="eastAsia" w:eastAsia="黑体"/>
          <w:color w:val="auto"/>
          <w:sz w:val="48"/>
          <w:highlight w:val="none"/>
        </w:rPr>
      </w:pPr>
    </w:p>
    <w:p w14:paraId="01D62E40">
      <w:pPr>
        <w:rPr>
          <w:rFonts w:hint="eastAsia" w:eastAsia="黑体"/>
          <w:color w:val="auto"/>
          <w:sz w:val="48"/>
          <w:highlight w:val="none"/>
        </w:rPr>
      </w:pPr>
    </w:p>
    <w:p w14:paraId="3E0AD7C7">
      <w:pPr>
        <w:rPr>
          <w:rFonts w:hint="eastAsia" w:eastAsia="黑体"/>
          <w:color w:val="auto"/>
          <w:sz w:val="48"/>
          <w:highlight w:val="none"/>
        </w:rPr>
      </w:pPr>
    </w:p>
    <w:p w14:paraId="741E574B">
      <w:pPr>
        <w:rPr>
          <w:rFonts w:hint="eastAsia" w:eastAsia="黑体"/>
          <w:color w:val="auto"/>
          <w:sz w:val="48"/>
          <w:highlight w:val="none"/>
        </w:rPr>
      </w:pPr>
    </w:p>
    <w:p w14:paraId="508B8E8D">
      <w:pPr>
        <w:rPr>
          <w:rFonts w:hint="eastAsia" w:eastAsia="黑体"/>
          <w:color w:val="auto"/>
          <w:sz w:val="48"/>
          <w:highlight w:val="none"/>
        </w:rPr>
      </w:pPr>
    </w:p>
    <w:p w14:paraId="3444EB3A">
      <w:pPr>
        <w:rPr>
          <w:rFonts w:hint="eastAsia" w:eastAsia="黑体"/>
          <w:color w:val="auto"/>
          <w:sz w:val="48"/>
          <w:highlight w:val="none"/>
        </w:rPr>
      </w:pPr>
    </w:p>
    <w:p w14:paraId="273196FF">
      <w:pPr>
        <w:rPr>
          <w:rFonts w:hint="eastAsia" w:eastAsia="黑体"/>
          <w:color w:val="auto"/>
          <w:sz w:val="48"/>
          <w:highlight w:val="none"/>
        </w:rPr>
      </w:pPr>
    </w:p>
    <w:p w14:paraId="61750299">
      <w:pPr>
        <w:rPr>
          <w:rFonts w:hint="eastAsia" w:eastAsia="黑体"/>
          <w:color w:val="auto"/>
          <w:sz w:val="48"/>
          <w:highlight w:val="none"/>
        </w:rPr>
      </w:pPr>
    </w:p>
    <w:p w14:paraId="4D4C5A2C">
      <w:pPr>
        <w:rPr>
          <w:rFonts w:hint="eastAsia" w:eastAsia="黑体"/>
          <w:color w:val="auto"/>
          <w:sz w:val="48"/>
          <w:highlight w:val="none"/>
        </w:rPr>
      </w:pPr>
    </w:p>
    <w:p w14:paraId="06254557">
      <w:pPr>
        <w:rPr>
          <w:rFonts w:hint="eastAsia" w:eastAsia="黑体"/>
          <w:color w:val="auto"/>
          <w:sz w:val="48"/>
          <w:highlight w:val="none"/>
        </w:rPr>
      </w:pPr>
    </w:p>
    <w:p w14:paraId="41DC58D2">
      <w:pPr>
        <w:pStyle w:val="3"/>
        <w:ind w:firstLine="0" w:firstLineChars="0"/>
        <w:rPr>
          <w:rFonts w:hint="eastAsia" w:eastAsia="黑体"/>
          <w:color w:val="auto"/>
          <w:sz w:val="48"/>
          <w:highlight w:val="none"/>
        </w:rPr>
      </w:pPr>
    </w:p>
    <w:p w14:paraId="3229FD14">
      <w:pPr>
        <w:pStyle w:val="3"/>
        <w:ind w:firstLine="0" w:firstLineChars="0"/>
        <w:jc w:val="center"/>
        <w:rPr>
          <w:rFonts w:hint="eastAsia" w:ascii="宋体" w:hAnsi="宋体" w:eastAsia="宋体" w:cs="宋体"/>
          <w:color w:val="auto"/>
          <w:sz w:val="44"/>
          <w:szCs w:val="44"/>
          <w:highlight w:val="none"/>
        </w:rPr>
      </w:pPr>
      <w:bookmarkStart w:id="99" w:name="_Toc292357058"/>
      <w:bookmarkStart w:id="100" w:name="_Toc31932"/>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七</w:t>
      </w:r>
      <w:r>
        <w:rPr>
          <w:rFonts w:hint="eastAsia" w:ascii="宋体" w:hAnsi="宋体" w:eastAsia="宋体" w:cs="宋体"/>
          <w:color w:val="auto"/>
          <w:sz w:val="44"/>
          <w:szCs w:val="44"/>
          <w:highlight w:val="none"/>
        </w:rPr>
        <w:t>章  商务部分</w:t>
      </w:r>
      <w:bookmarkEnd w:id="97"/>
      <w:bookmarkEnd w:id="98"/>
      <w:bookmarkEnd w:id="99"/>
      <w:bookmarkEnd w:id="100"/>
      <w:bookmarkStart w:id="101" w:name="_Toc532348623"/>
      <w:bookmarkStart w:id="102" w:name="_Toc34282767"/>
      <w:bookmarkStart w:id="103" w:name="_Toc68798164"/>
    </w:p>
    <w:p w14:paraId="09A6F411">
      <w:pPr>
        <w:rPr>
          <w:rFonts w:hint="eastAsia"/>
          <w:color w:val="auto"/>
          <w:highlight w:val="none"/>
        </w:rPr>
      </w:pPr>
    </w:p>
    <w:p w14:paraId="397972E4">
      <w:pPr>
        <w:rPr>
          <w:rFonts w:hint="eastAsia"/>
          <w:color w:val="auto"/>
          <w:highlight w:val="none"/>
        </w:rPr>
      </w:pPr>
    </w:p>
    <w:p w14:paraId="70FD59D9">
      <w:pPr>
        <w:rPr>
          <w:rFonts w:hint="eastAsia"/>
          <w:color w:val="auto"/>
          <w:highlight w:val="none"/>
        </w:rPr>
      </w:pPr>
    </w:p>
    <w:p w14:paraId="17183C8A">
      <w:pPr>
        <w:rPr>
          <w:rFonts w:hint="eastAsia"/>
          <w:color w:val="auto"/>
          <w:highlight w:val="none"/>
        </w:rPr>
      </w:pPr>
    </w:p>
    <w:p w14:paraId="6C9BCE83">
      <w:pPr>
        <w:rPr>
          <w:rFonts w:hint="eastAsia"/>
          <w:color w:val="auto"/>
          <w:highlight w:val="none"/>
        </w:rPr>
      </w:pPr>
    </w:p>
    <w:p w14:paraId="6D23B7C4">
      <w:pPr>
        <w:rPr>
          <w:rFonts w:hint="eastAsia"/>
          <w:color w:val="auto"/>
          <w:highlight w:val="none"/>
        </w:rPr>
      </w:pPr>
    </w:p>
    <w:p w14:paraId="39B4AC15">
      <w:pPr>
        <w:rPr>
          <w:rFonts w:hint="eastAsia"/>
          <w:color w:val="auto"/>
          <w:highlight w:val="none"/>
        </w:rPr>
      </w:pPr>
    </w:p>
    <w:p w14:paraId="7DECD449">
      <w:pPr>
        <w:rPr>
          <w:rFonts w:hint="eastAsia"/>
          <w:color w:val="auto"/>
          <w:highlight w:val="none"/>
        </w:rPr>
      </w:pPr>
    </w:p>
    <w:p w14:paraId="520842B5">
      <w:pPr>
        <w:rPr>
          <w:rFonts w:hint="eastAsia"/>
          <w:color w:val="auto"/>
          <w:highlight w:val="none"/>
        </w:rPr>
      </w:pPr>
    </w:p>
    <w:p w14:paraId="2EC37A59">
      <w:pPr>
        <w:rPr>
          <w:rFonts w:hint="eastAsia"/>
          <w:color w:val="auto"/>
          <w:highlight w:val="none"/>
        </w:rPr>
      </w:pPr>
    </w:p>
    <w:bookmarkEnd w:id="101"/>
    <w:bookmarkEnd w:id="102"/>
    <w:bookmarkEnd w:id="103"/>
    <w:p w14:paraId="1742AB66">
      <w:pPr>
        <w:pStyle w:val="3"/>
        <w:ind w:firstLine="0" w:firstLineChars="0"/>
        <w:jc w:val="center"/>
        <w:rPr>
          <w:rFonts w:hint="eastAsia" w:ascii="宋体" w:hAnsi="宋体" w:eastAsia="宋体"/>
          <w:color w:val="auto"/>
          <w:sz w:val="28"/>
          <w:szCs w:val="28"/>
          <w:highlight w:val="none"/>
        </w:rPr>
      </w:pPr>
      <w:bookmarkStart w:id="104" w:name="_Toc292357059"/>
      <w:bookmarkStart w:id="105" w:name="_Toc271267373"/>
      <w:r>
        <w:rPr>
          <w:rFonts w:hint="eastAsia" w:ascii="宋体" w:hAnsi="宋体" w:eastAsia="宋体"/>
          <w:color w:val="auto"/>
          <w:sz w:val="28"/>
          <w:szCs w:val="24"/>
          <w:highlight w:val="none"/>
        </w:rPr>
        <w:br w:type="page"/>
      </w:r>
      <w:bookmarkStart w:id="106" w:name="_Toc12248"/>
      <w:r>
        <w:rPr>
          <w:rFonts w:hint="eastAsia" w:ascii="宋体" w:hAnsi="宋体" w:eastAsia="宋体"/>
          <w:color w:val="auto"/>
          <w:sz w:val="28"/>
          <w:szCs w:val="28"/>
          <w:highlight w:val="none"/>
        </w:rPr>
        <w:t>一、投</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标</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书</w:t>
      </w:r>
      <w:bookmarkEnd w:id="104"/>
      <w:bookmarkEnd w:id="105"/>
      <w:bookmarkEnd w:id="106"/>
    </w:p>
    <w:p w14:paraId="68E0E75C">
      <w:pPr>
        <w:spacing w:line="360" w:lineRule="auto"/>
        <w:rPr>
          <w:rFonts w:ascii="宋体" w:hAnsi="宋体" w:eastAsia="宋体"/>
          <w:b/>
          <w:color w:val="auto"/>
          <w:sz w:val="28"/>
          <w:szCs w:val="28"/>
          <w:highlight w:val="none"/>
        </w:rPr>
      </w:pP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w:t>
      </w:r>
    </w:p>
    <w:p w14:paraId="0BDD84C0">
      <w:pPr>
        <w:spacing w:line="360" w:lineRule="auto"/>
        <w:ind w:firstLine="465"/>
        <w:rPr>
          <w:rFonts w:ascii="宋体" w:hAnsi="宋体" w:eastAsia="宋体"/>
          <w:color w:val="auto"/>
          <w:sz w:val="28"/>
          <w:szCs w:val="28"/>
          <w:highlight w:val="none"/>
        </w:rPr>
      </w:pPr>
      <w:r>
        <w:rPr>
          <w:rFonts w:ascii="宋体" w:hAnsi="宋体" w:eastAsia="宋体"/>
          <w:color w:val="auto"/>
          <w:sz w:val="28"/>
          <w:szCs w:val="28"/>
          <w:highlight w:val="none"/>
        </w:rPr>
        <w:t>1</w:t>
      </w:r>
      <w:r>
        <w:rPr>
          <w:rFonts w:hint="eastAsia" w:ascii="宋体" w:hAnsi="宋体" w:eastAsia="宋体"/>
          <w:color w:val="auto"/>
          <w:sz w:val="28"/>
          <w:szCs w:val="28"/>
          <w:highlight w:val="none"/>
        </w:rPr>
        <w:t>.</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根据已收到的招标编号为</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的</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工程监理招标文件，遵照《中华人民共和国招标投标法》等有关规定，我单位经考察现场和研究上述工程招标文件的投标须知、合同条款、技术规范、图纸和其他有关文件后,我方愿以</w:t>
      </w:r>
      <w:r>
        <w:rPr>
          <w:rFonts w:hint="eastAsia" w:ascii="宋体" w:hAnsi="宋体" w:eastAsia="宋体"/>
          <w:color w:val="auto"/>
          <w:sz w:val="28"/>
          <w:szCs w:val="28"/>
          <w:highlight w:val="none"/>
          <w:shd w:val="clear" w:color="auto" w:fill="FFFFFF"/>
        </w:rPr>
        <w:t>投标价格：人民币（大写）</w:t>
      </w:r>
      <w:r>
        <w:rPr>
          <w:rFonts w:hint="eastAsia" w:ascii="宋体" w:hAnsi="宋体" w:eastAsia="宋体"/>
          <w:color w:val="auto"/>
          <w:sz w:val="28"/>
          <w:szCs w:val="28"/>
          <w:highlight w:val="none"/>
          <w:u w:val="single"/>
          <w:shd w:val="clear" w:color="auto" w:fill="FFFFFF"/>
        </w:rPr>
        <w:t xml:space="preserve">              元；（小写）           元</w:t>
      </w:r>
      <w:r>
        <w:rPr>
          <w:rFonts w:ascii="宋体" w:hAnsi="宋体" w:eastAsia="宋体"/>
          <w:color w:val="auto"/>
          <w:sz w:val="28"/>
          <w:szCs w:val="28"/>
          <w:highlight w:val="none"/>
          <w:shd w:val="clear" w:color="auto" w:fill="FFFFFF"/>
        </w:rPr>
        <w:t>的报价和按合同约定有权得到的其它监理服务报酬，严格按照图纸、合同条款、质量标准的条件要求，承包上述工程的工程监理任务。</w:t>
      </w:r>
    </w:p>
    <w:p w14:paraId="0001CA92">
      <w:pPr>
        <w:spacing w:line="360" w:lineRule="auto"/>
        <w:ind w:firstLine="3"/>
        <w:rPr>
          <w:rFonts w:hint="eastAsia" w:ascii="宋体" w:hAnsi="宋体" w:eastAsia="宋体"/>
          <w:color w:val="auto"/>
          <w:sz w:val="28"/>
          <w:szCs w:val="28"/>
          <w:highlight w:val="none"/>
        </w:rPr>
      </w:pPr>
      <w:r>
        <w:rPr>
          <w:rFonts w:ascii="宋体" w:hAnsi="宋体" w:eastAsia="宋体"/>
          <w:color w:val="auto"/>
          <w:sz w:val="28"/>
          <w:szCs w:val="28"/>
          <w:highlight w:val="none"/>
        </w:rPr>
        <w:t>2</w:t>
      </w:r>
      <w:r>
        <w:rPr>
          <w:rFonts w:hint="eastAsia" w:ascii="宋体" w:hAnsi="宋体" w:eastAsia="宋体"/>
          <w:color w:val="auto"/>
          <w:sz w:val="28"/>
          <w:szCs w:val="28"/>
          <w:highlight w:val="none"/>
        </w:rPr>
        <w:t>．一旦我方中标，我方保证在招标文件中规定的工期</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内完成工程监理工作。</w:t>
      </w:r>
    </w:p>
    <w:p w14:paraId="78751AF2">
      <w:pPr>
        <w:spacing w:line="360" w:lineRule="auto"/>
        <w:ind w:right="-44" w:rightChars="-21"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3．如果我方中标，我方将派投标文件中所指定的项目总监及主要监理人员进行工程监理，若我方中途更换项目总监及主要监理人员，我方愿意接受任何处罚。</w:t>
      </w:r>
    </w:p>
    <w:p w14:paraId="62E85A85">
      <w:pPr>
        <w:spacing w:line="360" w:lineRule="auto"/>
        <w:ind w:firstLine="454"/>
        <w:rPr>
          <w:rFonts w:ascii="宋体" w:hAnsi="宋体" w:eastAsia="宋体"/>
          <w:color w:val="auto"/>
          <w:sz w:val="28"/>
          <w:szCs w:val="28"/>
          <w:highlight w:val="none"/>
        </w:rPr>
      </w:pPr>
      <w:r>
        <w:rPr>
          <w:rFonts w:hint="eastAsia" w:ascii="宋体" w:hAnsi="宋体" w:eastAsia="宋体"/>
          <w:color w:val="auto"/>
          <w:sz w:val="28"/>
          <w:szCs w:val="28"/>
          <w:highlight w:val="none"/>
        </w:rPr>
        <w:t>4</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我方同意所递交的投标文件在“投标须知”第11.1条规定的投标有效期内有效，在此期间内我方的投标有可能中标，我方将受此约束。</w:t>
      </w:r>
    </w:p>
    <w:p w14:paraId="50F64F10">
      <w:pPr>
        <w:spacing w:line="360" w:lineRule="auto"/>
        <w:ind w:firstLine="454"/>
        <w:rPr>
          <w:rFonts w:ascii="宋体" w:hAnsi="宋体" w:eastAsia="宋体"/>
          <w:color w:val="auto"/>
          <w:sz w:val="28"/>
          <w:szCs w:val="28"/>
          <w:highlight w:val="none"/>
        </w:rPr>
      </w:pPr>
      <w:r>
        <w:rPr>
          <w:rFonts w:hint="eastAsia" w:ascii="宋体" w:hAnsi="宋体" w:eastAsia="宋体"/>
          <w:color w:val="auto"/>
          <w:sz w:val="28"/>
          <w:szCs w:val="28"/>
          <w:highlight w:val="none"/>
        </w:rPr>
        <w:t>5</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除非另外达成协议并生效，你方的中标通知书和本投标文件将构成约束我们双方的合同。</w:t>
      </w:r>
    </w:p>
    <w:p w14:paraId="70BCD330">
      <w:pPr>
        <w:spacing w:line="360" w:lineRule="auto"/>
        <w:ind w:firstLine="454"/>
        <w:rPr>
          <w:rFonts w:ascii="宋体" w:hAnsi="宋体" w:eastAsia="宋体"/>
          <w:color w:val="auto"/>
          <w:sz w:val="28"/>
          <w:szCs w:val="28"/>
          <w:highlight w:val="none"/>
        </w:rPr>
      </w:pPr>
      <w:r>
        <w:rPr>
          <w:rFonts w:hint="eastAsia" w:ascii="宋体" w:hAnsi="宋体" w:eastAsia="宋体"/>
          <w:color w:val="auto"/>
          <w:sz w:val="28"/>
          <w:szCs w:val="28"/>
          <w:highlight w:val="none"/>
        </w:rPr>
        <w:t>6</w:t>
      </w:r>
      <w:r>
        <w:rPr>
          <w:rFonts w:ascii="宋体" w:hAnsi="宋体" w:eastAsia="宋体"/>
          <w:color w:val="auto"/>
          <w:sz w:val="28"/>
          <w:szCs w:val="28"/>
          <w:highlight w:val="none"/>
        </w:rPr>
        <w:t>.</w:t>
      </w:r>
      <w:r>
        <w:rPr>
          <w:rFonts w:hint="eastAsia" w:ascii="宋体" w:hAnsi="宋体" w:eastAsia="宋体"/>
          <w:color w:val="auto"/>
          <w:sz w:val="28"/>
          <w:szCs w:val="28"/>
          <w:highlight w:val="none"/>
        </w:rPr>
        <w:t xml:space="preserve"> 我方提交</w:t>
      </w:r>
      <w:r>
        <w:rPr>
          <w:rFonts w:hint="eastAsia" w:ascii="宋体" w:hAnsi="宋体" w:eastAsia="宋体"/>
          <w:color w:val="auto"/>
          <w:sz w:val="28"/>
          <w:szCs w:val="28"/>
          <w:highlight w:val="none"/>
          <w:u w:val="single"/>
        </w:rPr>
        <w:t>（币种、金额、单位）</w:t>
      </w:r>
      <w:r>
        <w:rPr>
          <w:rFonts w:hint="eastAsia" w:ascii="宋体" w:hAnsi="宋体" w:eastAsia="宋体"/>
          <w:color w:val="auto"/>
          <w:sz w:val="28"/>
          <w:szCs w:val="28"/>
          <w:highlight w:val="none"/>
        </w:rPr>
        <w:t>作为投标保证金。</w:t>
      </w:r>
    </w:p>
    <w:p w14:paraId="2E3E3B40">
      <w:pPr>
        <w:spacing w:line="360" w:lineRule="auto"/>
        <w:ind w:firstLine="454"/>
        <w:rPr>
          <w:rFonts w:ascii="宋体" w:hAnsi="宋体" w:eastAsia="宋体"/>
          <w:color w:val="auto"/>
          <w:sz w:val="28"/>
          <w:szCs w:val="28"/>
          <w:highlight w:val="none"/>
        </w:rPr>
      </w:pPr>
      <w:r>
        <w:rPr>
          <w:rFonts w:hint="eastAsia" w:ascii="宋体" w:hAnsi="宋体" w:eastAsia="宋体"/>
          <w:color w:val="auto"/>
          <w:sz w:val="28"/>
          <w:szCs w:val="28"/>
          <w:highlight w:val="none"/>
        </w:rPr>
        <w:t>投标人：（盖章）</w:t>
      </w:r>
    </w:p>
    <w:p w14:paraId="0B89C41C">
      <w:pPr>
        <w:spacing w:line="360" w:lineRule="auto"/>
        <w:ind w:firstLine="454"/>
        <w:rPr>
          <w:rFonts w:ascii="宋体" w:hAnsi="宋体" w:eastAsia="宋体"/>
          <w:color w:val="auto"/>
          <w:sz w:val="28"/>
          <w:szCs w:val="28"/>
          <w:highlight w:val="none"/>
        </w:rPr>
      </w:pPr>
      <w:r>
        <w:rPr>
          <w:rFonts w:hint="eastAsia" w:ascii="宋体" w:hAnsi="宋体" w:eastAsia="宋体"/>
          <w:color w:val="auto"/>
          <w:sz w:val="28"/>
          <w:szCs w:val="28"/>
          <w:highlight w:val="none"/>
        </w:rPr>
        <w:t>单位地址</w:t>
      </w:r>
      <w:r>
        <w:rPr>
          <w:rFonts w:ascii="宋体" w:hAnsi="宋体" w:eastAsia="宋体"/>
          <w:color w:val="auto"/>
          <w:sz w:val="28"/>
          <w:szCs w:val="28"/>
          <w:highlight w:val="none"/>
        </w:rPr>
        <w:t>:</w:t>
      </w:r>
    </w:p>
    <w:p w14:paraId="12C11D0C">
      <w:pPr>
        <w:spacing w:line="360" w:lineRule="auto"/>
        <w:ind w:firstLine="454"/>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法定代表人：（签字、盖章）</w:t>
      </w:r>
    </w:p>
    <w:p w14:paraId="552F4AFC">
      <w:pPr>
        <w:spacing w:line="360" w:lineRule="auto"/>
        <w:ind w:firstLine="454"/>
        <w:rPr>
          <w:rFonts w:ascii="宋体" w:hAnsi="宋体" w:eastAsia="宋体"/>
          <w:color w:val="auto"/>
          <w:sz w:val="28"/>
          <w:szCs w:val="28"/>
          <w:highlight w:val="none"/>
        </w:rPr>
      </w:pPr>
      <w:r>
        <w:rPr>
          <w:rFonts w:hint="eastAsia" w:ascii="宋体" w:hAnsi="宋体" w:eastAsia="宋体"/>
          <w:color w:val="auto"/>
          <w:sz w:val="28"/>
          <w:szCs w:val="28"/>
          <w:highlight w:val="none"/>
        </w:rPr>
        <w:t>邮政编码</w:t>
      </w:r>
      <w:r>
        <w:rPr>
          <w:rFonts w:ascii="宋体" w:hAnsi="宋体" w:eastAsia="宋体"/>
          <w:color w:val="auto"/>
          <w:sz w:val="28"/>
          <w:szCs w:val="28"/>
          <w:highlight w:val="none"/>
        </w:rPr>
        <w:t>:</w:t>
      </w:r>
    </w:p>
    <w:p w14:paraId="42314028">
      <w:pPr>
        <w:spacing w:line="360" w:lineRule="auto"/>
        <w:ind w:firstLine="454"/>
        <w:rPr>
          <w:rFonts w:ascii="宋体" w:hAnsi="宋体" w:eastAsia="宋体"/>
          <w:color w:val="auto"/>
          <w:sz w:val="28"/>
          <w:szCs w:val="28"/>
          <w:highlight w:val="none"/>
        </w:rPr>
      </w:pPr>
      <w:r>
        <w:rPr>
          <w:rFonts w:hint="eastAsia" w:ascii="宋体" w:hAnsi="宋体" w:eastAsia="宋体"/>
          <w:color w:val="auto"/>
          <w:sz w:val="28"/>
          <w:szCs w:val="28"/>
          <w:highlight w:val="none"/>
        </w:rPr>
        <w:t>电</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话</w:t>
      </w:r>
      <w:r>
        <w:rPr>
          <w:rFonts w:ascii="宋体" w:hAnsi="宋体" w:eastAsia="宋体"/>
          <w:color w:val="auto"/>
          <w:sz w:val="28"/>
          <w:szCs w:val="28"/>
          <w:highlight w:val="none"/>
        </w:rPr>
        <w:t>:</w:t>
      </w:r>
    </w:p>
    <w:p w14:paraId="7D30A193">
      <w:pPr>
        <w:spacing w:line="360" w:lineRule="auto"/>
        <w:ind w:firstLine="454"/>
        <w:rPr>
          <w:rFonts w:ascii="宋体" w:hAnsi="宋体" w:eastAsia="宋体"/>
          <w:color w:val="auto"/>
          <w:sz w:val="28"/>
          <w:szCs w:val="28"/>
          <w:highlight w:val="none"/>
        </w:rPr>
      </w:pPr>
      <w:r>
        <w:rPr>
          <w:rFonts w:hint="eastAsia" w:ascii="宋体" w:hAnsi="宋体" w:eastAsia="宋体"/>
          <w:color w:val="auto"/>
          <w:sz w:val="28"/>
          <w:szCs w:val="28"/>
          <w:highlight w:val="none"/>
        </w:rPr>
        <w:t>传</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真</w:t>
      </w:r>
      <w:r>
        <w:rPr>
          <w:rFonts w:ascii="宋体" w:hAnsi="宋体" w:eastAsia="宋体"/>
          <w:color w:val="auto"/>
          <w:sz w:val="28"/>
          <w:szCs w:val="28"/>
          <w:highlight w:val="none"/>
        </w:rPr>
        <w:t>:</w:t>
      </w:r>
    </w:p>
    <w:p w14:paraId="12BE1B38">
      <w:pPr>
        <w:spacing w:line="360" w:lineRule="auto"/>
        <w:ind w:firstLine="454"/>
        <w:rPr>
          <w:rFonts w:hint="eastAsia" w:ascii="宋体" w:hAnsi="宋体" w:eastAsia="宋体"/>
          <w:color w:val="auto"/>
          <w:sz w:val="28"/>
          <w:szCs w:val="28"/>
          <w:highlight w:val="none"/>
        </w:rPr>
      </w:pPr>
      <w:r>
        <w:rPr>
          <w:rFonts w:hint="eastAsia" w:ascii="宋体" w:hAnsi="宋体" w:eastAsia="宋体"/>
          <w:color w:val="auto"/>
          <w:sz w:val="28"/>
          <w:szCs w:val="28"/>
          <w:highlight w:val="none"/>
        </w:rPr>
        <w:t>银行账号：（包括开户行地址、电话等）</w:t>
      </w:r>
    </w:p>
    <w:p w14:paraId="61D7B5E1">
      <w:pPr>
        <w:rPr>
          <w:rFonts w:hint="eastAsia" w:ascii="宋体" w:hAnsi="宋体" w:eastAsia="宋体"/>
          <w:color w:val="auto"/>
          <w:sz w:val="28"/>
          <w:szCs w:val="28"/>
          <w:highlight w:val="none"/>
        </w:rPr>
      </w:pPr>
    </w:p>
    <w:p w14:paraId="3DEF3091">
      <w:pPr>
        <w:ind w:firstLine="454"/>
        <w:rPr>
          <w:rFonts w:hint="eastAsia" w:ascii="宋体" w:hAnsi="宋体" w:eastAsia="宋体"/>
          <w:color w:val="auto"/>
          <w:sz w:val="28"/>
          <w:szCs w:val="28"/>
          <w:highlight w:val="none"/>
        </w:rPr>
      </w:pPr>
    </w:p>
    <w:p w14:paraId="0CB10CD4">
      <w:pPr>
        <w:pStyle w:val="16"/>
        <w:adjustRightInd w:val="0"/>
        <w:snapToGrid w:val="0"/>
        <w:spacing w:line="360" w:lineRule="auto"/>
        <w:ind w:firstLine="700" w:firstLineChars="250"/>
        <w:rPr>
          <w:rFonts w:hint="eastAsia" w:ascii="仿宋_GB2312"/>
          <w:color w:val="auto"/>
          <w:sz w:val="24"/>
          <w:highlight w:val="none"/>
        </w:rPr>
      </w:pPr>
      <w:r>
        <w:rPr>
          <w:rFonts w:hint="eastAsia" w:hAnsi="宋体"/>
          <w:color w:val="auto"/>
          <w:sz w:val="28"/>
          <w:szCs w:val="28"/>
          <w:highlight w:val="none"/>
        </w:rPr>
        <w:t xml:space="preserve">                                 日期</w:t>
      </w:r>
      <w:r>
        <w:rPr>
          <w:rFonts w:hAnsi="宋体"/>
          <w:color w:val="auto"/>
          <w:sz w:val="28"/>
          <w:szCs w:val="28"/>
          <w:highlight w:val="none"/>
        </w:rPr>
        <w:t>:</w:t>
      </w:r>
      <w:r>
        <w:rPr>
          <w:rFonts w:hAnsi="宋体"/>
          <w:color w:val="auto"/>
          <w:sz w:val="28"/>
          <w:szCs w:val="28"/>
          <w:highlight w:val="none"/>
          <w:u w:val="single"/>
        </w:rPr>
        <w:t xml:space="preserve">     </w:t>
      </w:r>
      <w:r>
        <w:rPr>
          <w:rFonts w:hint="eastAsia" w:hAnsi="宋体"/>
          <w:color w:val="auto"/>
          <w:sz w:val="28"/>
          <w:szCs w:val="28"/>
          <w:highlight w:val="none"/>
        </w:rPr>
        <w:t>年</w:t>
      </w:r>
      <w:r>
        <w:rPr>
          <w:rFonts w:hAnsi="宋体"/>
          <w:color w:val="auto"/>
          <w:sz w:val="28"/>
          <w:szCs w:val="28"/>
          <w:highlight w:val="none"/>
          <w:u w:val="single"/>
        </w:rPr>
        <w:t xml:space="preserve">    </w:t>
      </w:r>
      <w:r>
        <w:rPr>
          <w:rFonts w:hint="eastAsia" w:hAnsi="宋体"/>
          <w:color w:val="auto"/>
          <w:sz w:val="28"/>
          <w:szCs w:val="28"/>
          <w:highlight w:val="none"/>
        </w:rPr>
        <w:t>月</w:t>
      </w:r>
      <w:r>
        <w:rPr>
          <w:rFonts w:hAnsi="宋体"/>
          <w:color w:val="auto"/>
          <w:sz w:val="28"/>
          <w:szCs w:val="28"/>
          <w:highlight w:val="none"/>
          <w:u w:val="single"/>
        </w:rPr>
        <w:t xml:space="preserve">    </w:t>
      </w:r>
      <w:r>
        <w:rPr>
          <w:rFonts w:hint="eastAsia" w:hAnsi="宋体"/>
          <w:color w:val="auto"/>
          <w:sz w:val="28"/>
          <w:szCs w:val="28"/>
          <w:highlight w:val="none"/>
        </w:rPr>
        <w:t>日</w:t>
      </w:r>
      <w:r>
        <w:rPr>
          <w:rFonts w:ascii="仿宋_GB2312"/>
          <w:color w:val="auto"/>
          <w:sz w:val="24"/>
          <w:highlight w:val="none"/>
        </w:rPr>
        <w:br w:type="page"/>
      </w:r>
    </w:p>
    <w:p w14:paraId="73436B8D">
      <w:pPr>
        <w:pStyle w:val="3"/>
        <w:spacing w:line="360" w:lineRule="auto"/>
        <w:ind w:firstLine="0" w:firstLineChars="0"/>
        <w:jc w:val="center"/>
        <w:rPr>
          <w:rFonts w:hint="eastAsia" w:ascii="宋体" w:hAnsi="宋体" w:eastAsia="宋体"/>
          <w:color w:val="auto"/>
          <w:sz w:val="28"/>
          <w:szCs w:val="28"/>
          <w:highlight w:val="none"/>
        </w:rPr>
      </w:pPr>
      <w:bookmarkStart w:id="107" w:name="_Toc34282768"/>
      <w:bookmarkStart w:id="108" w:name="_Toc292357060"/>
      <w:bookmarkStart w:id="109" w:name="_Toc532348624"/>
      <w:bookmarkStart w:id="110" w:name="_Toc26409"/>
      <w:r>
        <w:rPr>
          <w:rFonts w:hint="eastAsia" w:ascii="宋体" w:hAnsi="宋体" w:eastAsia="宋体"/>
          <w:color w:val="auto"/>
          <w:sz w:val="28"/>
          <w:szCs w:val="28"/>
          <w:highlight w:val="none"/>
        </w:rPr>
        <w:t>二、法定代表人资格证明书</w:t>
      </w:r>
      <w:bookmarkEnd w:id="107"/>
      <w:bookmarkEnd w:id="108"/>
      <w:bookmarkEnd w:id="109"/>
      <w:bookmarkEnd w:id="110"/>
    </w:p>
    <w:p w14:paraId="68D6FDC8">
      <w:pPr>
        <w:spacing w:line="360" w:lineRule="auto"/>
        <w:jc w:val="center"/>
        <w:rPr>
          <w:rFonts w:hint="eastAsia" w:ascii="宋体" w:hAnsi="宋体" w:eastAsia="宋体"/>
          <w:b/>
          <w:color w:val="auto"/>
          <w:sz w:val="28"/>
          <w:szCs w:val="28"/>
          <w:highlight w:val="none"/>
        </w:rPr>
      </w:pPr>
    </w:p>
    <w:p w14:paraId="528500E9">
      <w:pPr>
        <w:spacing w:line="360" w:lineRule="auto"/>
        <w:rPr>
          <w:rFonts w:hint="eastAsia" w:ascii="宋体" w:hAnsi="宋体" w:eastAsia="宋体"/>
          <w:color w:val="auto"/>
          <w:sz w:val="28"/>
          <w:szCs w:val="28"/>
          <w:highlight w:val="none"/>
          <w:u w:val="single"/>
        </w:rPr>
      </w:pPr>
      <w:r>
        <w:rPr>
          <w:rFonts w:hint="eastAsia" w:ascii="宋体" w:hAnsi="宋体" w:eastAsia="宋体"/>
          <w:color w:val="auto"/>
          <w:sz w:val="28"/>
          <w:szCs w:val="28"/>
          <w:highlight w:val="none"/>
        </w:rPr>
        <w:t xml:space="preserve">   单位名称：</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14:paraId="0642144A">
      <w:pPr>
        <w:spacing w:line="360" w:lineRule="auto"/>
        <w:rPr>
          <w:rFonts w:hint="eastAsia" w:ascii="宋体" w:hAnsi="宋体" w:eastAsia="宋体"/>
          <w:color w:val="auto"/>
          <w:sz w:val="28"/>
          <w:szCs w:val="28"/>
          <w:highlight w:val="none"/>
          <w:u w:val="single"/>
        </w:rPr>
      </w:pPr>
      <w:r>
        <w:rPr>
          <w:rFonts w:hint="eastAsia" w:ascii="宋体" w:hAnsi="宋体" w:eastAsia="宋体"/>
          <w:color w:val="auto"/>
          <w:sz w:val="28"/>
          <w:szCs w:val="28"/>
          <w:highlight w:val="none"/>
        </w:rPr>
        <w:t xml:space="preserve">    地址：</w:t>
      </w:r>
      <w:r>
        <w:rPr>
          <w:rFonts w:hint="eastAsia" w:ascii="宋体" w:hAnsi="宋体" w:eastAsia="宋体"/>
          <w:color w:val="auto"/>
          <w:sz w:val="28"/>
          <w:szCs w:val="28"/>
          <w:highlight w:val="none"/>
          <w:u w:val="single"/>
        </w:rPr>
        <w:t xml:space="preserve">                                        </w:t>
      </w:r>
    </w:p>
    <w:p w14:paraId="702611D2">
      <w:pPr>
        <w:spacing w:line="360" w:lineRule="auto"/>
        <w:rPr>
          <w:rFonts w:hint="eastAsia" w:ascii="宋体" w:hAnsi="宋体" w:eastAsia="宋体"/>
          <w:color w:val="auto"/>
          <w:sz w:val="28"/>
          <w:szCs w:val="28"/>
          <w:highlight w:val="none"/>
          <w:u w:val="single"/>
        </w:rPr>
      </w:pPr>
      <w:r>
        <w:rPr>
          <w:rFonts w:hint="eastAsia" w:ascii="宋体" w:hAnsi="宋体" w:eastAsia="宋体"/>
          <w:color w:val="auto"/>
          <w:sz w:val="28"/>
          <w:szCs w:val="28"/>
          <w:highlight w:val="none"/>
        </w:rPr>
        <w:t xml:space="preserve">    姓名：</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性别：</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年龄：</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职务：</w:t>
      </w:r>
      <w:r>
        <w:rPr>
          <w:rFonts w:hint="eastAsia" w:ascii="宋体" w:hAnsi="宋体" w:eastAsia="宋体"/>
          <w:color w:val="auto"/>
          <w:sz w:val="28"/>
          <w:szCs w:val="28"/>
          <w:highlight w:val="none"/>
          <w:u w:val="single"/>
        </w:rPr>
        <w:t xml:space="preserve">         </w:t>
      </w:r>
    </w:p>
    <w:p w14:paraId="385393B8">
      <w:pPr>
        <w:spacing w:line="360" w:lineRule="auto"/>
        <w:ind w:left="40" w:leftChars="19"/>
        <w:jc w:val="left"/>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系</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的法定代表人。前往投标</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工程的监理招标项目，签署上述项目的投标文件、进行合同谈判、签署合同和处理与之</w:t>
      </w:r>
    </w:p>
    <w:p w14:paraId="062DF7CC">
      <w:pPr>
        <w:spacing w:line="360" w:lineRule="auto"/>
        <w:ind w:left="480" w:hanging="48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有关的一切事务。</w:t>
      </w:r>
    </w:p>
    <w:p w14:paraId="2866E649">
      <w:pPr>
        <w:spacing w:line="360" w:lineRule="auto"/>
        <w:ind w:left="480" w:hanging="480"/>
        <w:rPr>
          <w:rFonts w:hint="eastAsia" w:ascii="宋体" w:hAnsi="宋体" w:eastAsia="宋体"/>
          <w:color w:val="auto"/>
          <w:sz w:val="28"/>
          <w:szCs w:val="28"/>
          <w:highlight w:val="none"/>
        </w:rPr>
      </w:pPr>
    </w:p>
    <w:p w14:paraId="60780EF0">
      <w:pPr>
        <w:spacing w:line="360" w:lineRule="auto"/>
        <w:ind w:firstLine="56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特此证明。</w:t>
      </w:r>
    </w:p>
    <w:p w14:paraId="1E65B134">
      <w:pPr>
        <w:pStyle w:val="11"/>
        <w:ind w:firstLine="560"/>
        <w:rPr>
          <w:rFonts w:hint="eastAsia"/>
          <w:highlight w:val="none"/>
        </w:rPr>
      </w:pPr>
    </w:p>
    <w:p w14:paraId="5F6E6644">
      <w:pPr>
        <w:pStyle w:val="12"/>
        <w:rPr>
          <w:rFonts w:hint="eastAsia"/>
          <w:highlight w:val="none"/>
        </w:rPr>
      </w:pPr>
    </w:p>
    <w:p w14:paraId="07C7D678">
      <w:pPr>
        <w:pStyle w:val="12"/>
        <w:rPr>
          <w:rFonts w:hint="eastAsia"/>
          <w:highlight w:val="none"/>
        </w:rPr>
      </w:pPr>
    </w:p>
    <w:p w14:paraId="5370C804">
      <w:pPr>
        <w:spacing w:line="360" w:lineRule="auto"/>
        <w:ind w:firstLine="408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投标人：（盖章）               </w:t>
      </w:r>
    </w:p>
    <w:p w14:paraId="77C262FF">
      <w:pPr>
        <w:spacing w:line="360" w:lineRule="auto"/>
        <w:ind w:firstLine="432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日期：    年  月  日            </w:t>
      </w:r>
    </w:p>
    <w:p w14:paraId="02B1DDAB">
      <w:pPr>
        <w:spacing w:line="360" w:lineRule="auto"/>
        <w:rPr>
          <w:rFonts w:hint="eastAsia" w:ascii="宋体" w:hAnsi="宋体" w:eastAsia="宋体"/>
          <w:color w:val="auto"/>
          <w:sz w:val="28"/>
          <w:szCs w:val="28"/>
          <w:highlight w:val="none"/>
        </w:rPr>
      </w:pPr>
    </w:p>
    <w:p w14:paraId="2006A4C1">
      <w:pPr>
        <w:ind w:firstLine="480"/>
        <w:rPr>
          <w:rFonts w:hint="eastAsia" w:ascii="仿宋_GB2312"/>
          <w:color w:val="auto"/>
          <w:sz w:val="24"/>
          <w:highlight w:val="none"/>
        </w:rPr>
      </w:pPr>
    </w:p>
    <w:p w14:paraId="1FB6757E">
      <w:pPr>
        <w:ind w:firstLine="480"/>
        <w:rPr>
          <w:rFonts w:hint="eastAsia" w:ascii="仿宋_GB2312"/>
          <w:color w:val="auto"/>
          <w:sz w:val="24"/>
          <w:highlight w:val="none"/>
        </w:rPr>
      </w:pPr>
    </w:p>
    <w:p w14:paraId="1F4ABEF9">
      <w:pPr>
        <w:ind w:firstLine="480"/>
        <w:rPr>
          <w:rFonts w:hint="eastAsia" w:ascii="仿宋_GB2312"/>
          <w:color w:val="auto"/>
          <w:sz w:val="24"/>
          <w:highlight w:val="none"/>
        </w:rPr>
      </w:pPr>
    </w:p>
    <w:p w14:paraId="1C8019B8">
      <w:pPr>
        <w:ind w:firstLine="480"/>
        <w:rPr>
          <w:rFonts w:hint="eastAsia" w:ascii="仿宋_GB2312"/>
          <w:color w:val="auto"/>
          <w:sz w:val="24"/>
          <w:highlight w:val="none"/>
        </w:rPr>
      </w:pPr>
    </w:p>
    <w:p w14:paraId="323559B9">
      <w:pPr>
        <w:ind w:firstLine="480"/>
        <w:rPr>
          <w:rFonts w:hint="eastAsia" w:ascii="仿宋_GB2312"/>
          <w:color w:val="auto"/>
          <w:sz w:val="24"/>
          <w:highlight w:val="none"/>
        </w:rPr>
      </w:pPr>
    </w:p>
    <w:p w14:paraId="0A7550C7">
      <w:pPr>
        <w:ind w:firstLine="480"/>
        <w:rPr>
          <w:rFonts w:hint="eastAsia" w:ascii="仿宋_GB2312"/>
          <w:color w:val="auto"/>
          <w:sz w:val="24"/>
          <w:highlight w:val="none"/>
        </w:rPr>
      </w:pPr>
    </w:p>
    <w:p w14:paraId="75D916C9">
      <w:pPr>
        <w:ind w:firstLine="480"/>
        <w:rPr>
          <w:rFonts w:hint="eastAsia" w:ascii="仿宋_GB2312"/>
          <w:color w:val="auto"/>
          <w:sz w:val="24"/>
          <w:highlight w:val="none"/>
        </w:rPr>
      </w:pPr>
    </w:p>
    <w:p w14:paraId="3AD18A6C">
      <w:pPr>
        <w:ind w:firstLine="480"/>
        <w:rPr>
          <w:rFonts w:hint="eastAsia" w:ascii="仿宋_GB2312"/>
          <w:color w:val="auto"/>
          <w:sz w:val="24"/>
          <w:highlight w:val="none"/>
        </w:rPr>
      </w:pPr>
    </w:p>
    <w:p w14:paraId="29F6CED5">
      <w:pPr>
        <w:ind w:firstLine="480"/>
        <w:rPr>
          <w:rFonts w:hint="eastAsia" w:ascii="仿宋_GB2312"/>
          <w:color w:val="auto"/>
          <w:sz w:val="24"/>
          <w:highlight w:val="none"/>
        </w:rPr>
      </w:pPr>
    </w:p>
    <w:p w14:paraId="136DE7FD">
      <w:pPr>
        <w:ind w:firstLine="480"/>
        <w:rPr>
          <w:rFonts w:hint="eastAsia" w:ascii="仿宋_GB2312"/>
          <w:color w:val="auto"/>
          <w:sz w:val="24"/>
          <w:highlight w:val="none"/>
        </w:rPr>
      </w:pPr>
    </w:p>
    <w:p w14:paraId="4BE3CC81">
      <w:pPr>
        <w:ind w:firstLine="480"/>
        <w:rPr>
          <w:rFonts w:hint="eastAsia" w:ascii="仿宋_GB2312"/>
          <w:color w:val="auto"/>
          <w:sz w:val="24"/>
          <w:highlight w:val="none"/>
        </w:rPr>
      </w:pPr>
    </w:p>
    <w:p w14:paraId="73DC4AD4">
      <w:pPr>
        <w:ind w:firstLine="480"/>
        <w:rPr>
          <w:rFonts w:hint="eastAsia" w:ascii="仿宋_GB2312"/>
          <w:color w:val="auto"/>
          <w:sz w:val="24"/>
          <w:highlight w:val="none"/>
        </w:rPr>
      </w:pPr>
    </w:p>
    <w:p w14:paraId="7DE2AE53">
      <w:pPr>
        <w:ind w:firstLine="480"/>
        <w:rPr>
          <w:rFonts w:hint="eastAsia" w:ascii="仿宋_GB2312"/>
          <w:color w:val="auto"/>
          <w:sz w:val="24"/>
          <w:highlight w:val="none"/>
        </w:rPr>
      </w:pPr>
    </w:p>
    <w:p w14:paraId="7D163BEA">
      <w:pPr>
        <w:pStyle w:val="11"/>
        <w:rPr>
          <w:rFonts w:hint="eastAsia" w:ascii="仿宋_GB2312"/>
          <w:color w:val="auto"/>
          <w:sz w:val="24"/>
          <w:highlight w:val="none"/>
        </w:rPr>
      </w:pPr>
    </w:p>
    <w:p w14:paraId="3B63F173">
      <w:pPr>
        <w:pStyle w:val="12"/>
        <w:rPr>
          <w:rFonts w:hint="eastAsia" w:ascii="仿宋_GB2312"/>
          <w:color w:val="auto"/>
          <w:sz w:val="24"/>
          <w:highlight w:val="none"/>
        </w:rPr>
      </w:pPr>
    </w:p>
    <w:p w14:paraId="31597397">
      <w:pPr>
        <w:pStyle w:val="12"/>
        <w:rPr>
          <w:rFonts w:hint="eastAsia" w:ascii="仿宋_GB2312"/>
          <w:color w:val="auto"/>
          <w:sz w:val="24"/>
          <w:highlight w:val="none"/>
        </w:rPr>
      </w:pPr>
    </w:p>
    <w:p w14:paraId="1D4AFECF">
      <w:pPr>
        <w:pStyle w:val="12"/>
        <w:rPr>
          <w:rFonts w:hint="eastAsia" w:ascii="仿宋_GB2312"/>
          <w:color w:val="auto"/>
          <w:sz w:val="24"/>
          <w:highlight w:val="none"/>
        </w:rPr>
      </w:pPr>
    </w:p>
    <w:p w14:paraId="77F937E6">
      <w:pPr>
        <w:pStyle w:val="12"/>
        <w:ind w:left="0" w:leftChars="0" w:firstLine="0" w:firstLineChars="0"/>
        <w:rPr>
          <w:rFonts w:hint="eastAsia"/>
          <w:highlight w:val="none"/>
        </w:rPr>
      </w:pPr>
    </w:p>
    <w:p w14:paraId="7C73AB98">
      <w:pPr>
        <w:pStyle w:val="3"/>
        <w:spacing w:line="360" w:lineRule="auto"/>
        <w:ind w:firstLine="0" w:firstLineChars="0"/>
        <w:jc w:val="center"/>
        <w:rPr>
          <w:rFonts w:hint="eastAsia" w:ascii="宋体" w:hAnsi="宋体" w:eastAsia="宋体"/>
          <w:b w:val="0"/>
          <w:bCs w:val="0"/>
          <w:color w:val="auto"/>
          <w:sz w:val="28"/>
          <w:szCs w:val="28"/>
          <w:highlight w:val="none"/>
        </w:rPr>
      </w:pPr>
      <w:bookmarkStart w:id="111" w:name="_Toc21049"/>
      <w:bookmarkStart w:id="112" w:name="_Toc532348625"/>
      <w:bookmarkStart w:id="113" w:name="_Toc292357061"/>
      <w:bookmarkStart w:id="114" w:name="_Toc34282769"/>
      <w:r>
        <w:rPr>
          <w:rFonts w:hint="eastAsia" w:ascii="宋体" w:hAnsi="宋体" w:eastAsia="宋体"/>
          <w:color w:val="auto"/>
          <w:sz w:val="28"/>
          <w:szCs w:val="28"/>
          <w:highlight w:val="none"/>
        </w:rPr>
        <w:t>三、授权委托书</w:t>
      </w:r>
      <w:bookmarkEnd w:id="111"/>
      <w:bookmarkEnd w:id="112"/>
      <w:bookmarkEnd w:id="113"/>
      <w:bookmarkEnd w:id="114"/>
    </w:p>
    <w:p w14:paraId="3CB5948D">
      <w:pPr>
        <w:spacing w:line="360" w:lineRule="auto"/>
        <w:rPr>
          <w:rFonts w:hint="eastAsia" w:ascii="宋体" w:hAnsi="宋体" w:eastAsia="宋体"/>
          <w:color w:val="auto"/>
          <w:sz w:val="28"/>
          <w:szCs w:val="28"/>
          <w:highlight w:val="none"/>
        </w:rPr>
      </w:pPr>
    </w:p>
    <w:p w14:paraId="49E68D5E">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本授权委托书声明：我</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（姓名）系</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（投标人名称）的法定代表人，现授权委托</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（单位名称）的</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（姓名）为我公司代理人，以我公司名义参加</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（招标人）的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的投标活动。代理人在开标、评标、合同谈判过程中所签署的一切文件和处理与之有关的一切事务，我均予以承认。</w:t>
      </w:r>
    </w:p>
    <w:p w14:paraId="28E41BBE">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代理人无转委权。特此委托。</w:t>
      </w:r>
    </w:p>
    <w:p w14:paraId="45F79A81">
      <w:pPr>
        <w:spacing w:line="360" w:lineRule="auto"/>
        <w:rPr>
          <w:rFonts w:hint="eastAsia" w:ascii="宋体" w:hAnsi="宋体" w:eastAsia="宋体"/>
          <w:color w:val="auto"/>
          <w:sz w:val="28"/>
          <w:szCs w:val="28"/>
          <w:highlight w:val="none"/>
        </w:rPr>
      </w:pPr>
    </w:p>
    <w:p w14:paraId="45AB904C">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代理人：               性别：            年龄：</w:t>
      </w:r>
    </w:p>
    <w:p w14:paraId="6BDF8B3A">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单位：                 部门：            职务：</w:t>
      </w:r>
    </w:p>
    <w:p w14:paraId="18C2076E">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投标人：（盖章）</w:t>
      </w:r>
    </w:p>
    <w:p w14:paraId="40C9A61E">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法定代表人：（签字或盖章）</w:t>
      </w:r>
    </w:p>
    <w:p w14:paraId="4D465813">
      <w:pPr>
        <w:spacing w:line="360" w:lineRule="auto"/>
        <w:ind w:left="280" w:hanging="28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14:paraId="5F7DCB3F">
      <w:pPr>
        <w:spacing w:line="360" w:lineRule="auto"/>
        <w:ind w:left="280" w:hanging="280"/>
        <w:rPr>
          <w:rFonts w:hint="eastAsia" w:ascii="宋体" w:hAnsi="宋体" w:eastAsia="宋体"/>
          <w:color w:val="auto"/>
          <w:sz w:val="28"/>
          <w:szCs w:val="28"/>
          <w:highlight w:val="none"/>
        </w:rPr>
      </w:pPr>
    </w:p>
    <w:p w14:paraId="66909D4F">
      <w:pPr>
        <w:spacing w:line="360" w:lineRule="auto"/>
        <w:ind w:left="280" w:hanging="280"/>
        <w:rPr>
          <w:rFonts w:hint="eastAsia" w:ascii="宋体" w:hAnsi="宋体" w:eastAsia="宋体"/>
          <w:color w:val="auto"/>
          <w:sz w:val="28"/>
          <w:szCs w:val="28"/>
          <w:highlight w:val="none"/>
        </w:rPr>
      </w:pPr>
    </w:p>
    <w:p w14:paraId="10A55763">
      <w:pPr>
        <w:spacing w:line="360" w:lineRule="auto"/>
        <w:ind w:left="280" w:hanging="280"/>
        <w:rPr>
          <w:rFonts w:hint="eastAsia" w:ascii="宋体" w:hAnsi="宋体" w:eastAsia="宋体"/>
          <w:color w:val="auto"/>
          <w:sz w:val="28"/>
          <w:szCs w:val="28"/>
          <w:highlight w:val="none"/>
        </w:rPr>
      </w:pPr>
    </w:p>
    <w:p w14:paraId="6914FD69">
      <w:pPr>
        <w:spacing w:line="360" w:lineRule="auto"/>
        <w:ind w:left="280" w:hanging="280"/>
        <w:jc w:val="right"/>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日期：    年  月  日</w:t>
      </w:r>
    </w:p>
    <w:p w14:paraId="14E0417A">
      <w:pPr>
        <w:pStyle w:val="3"/>
        <w:spacing w:line="360" w:lineRule="auto"/>
        <w:ind w:firstLine="0" w:firstLineChars="0"/>
        <w:jc w:val="center"/>
        <w:rPr>
          <w:rFonts w:hint="eastAsia" w:ascii="宋体" w:hAnsi="宋体" w:eastAsia="宋体"/>
          <w:color w:val="auto"/>
          <w:highlight w:val="none"/>
        </w:rPr>
      </w:pPr>
      <w:r>
        <w:rPr>
          <w:rFonts w:ascii="仿宋_GB2312"/>
          <w:color w:val="auto"/>
          <w:sz w:val="28"/>
          <w:szCs w:val="28"/>
          <w:highlight w:val="none"/>
        </w:rPr>
        <w:br w:type="page"/>
      </w:r>
      <w:bookmarkStart w:id="115" w:name="_Toc34282770"/>
      <w:bookmarkStart w:id="116" w:name="_Toc292357062"/>
      <w:bookmarkStart w:id="117" w:name="_Toc68795330"/>
      <w:bookmarkStart w:id="118" w:name="_Toc532348626"/>
      <w:bookmarkStart w:id="119" w:name="_Toc5422"/>
      <w:r>
        <w:rPr>
          <w:rFonts w:hint="eastAsia" w:ascii="宋体" w:hAnsi="宋体" w:eastAsia="宋体"/>
          <w:color w:val="auto"/>
          <w:sz w:val="28"/>
          <w:highlight w:val="none"/>
        </w:rPr>
        <w:t>四、资格证明文件</w:t>
      </w:r>
      <w:bookmarkEnd w:id="115"/>
      <w:bookmarkEnd w:id="116"/>
      <w:bookmarkEnd w:id="117"/>
      <w:bookmarkEnd w:id="118"/>
      <w:bookmarkEnd w:id="119"/>
    </w:p>
    <w:p w14:paraId="48D1ADDA">
      <w:pPr>
        <w:spacing w:line="360" w:lineRule="auto"/>
        <w:rPr>
          <w:rFonts w:hint="eastAsia" w:ascii="宋体" w:hAnsi="宋体" w:eastAsia="宋体"/>
          <w:color w:val="auto"/>
          <w:sz w:val="28"/>
          <w:szCs w:val="28"/>
          <w:highlight w:val="none"/>
        </w:rPr>
      </w:pPr>
      <w:bookmarkStart w:id="120" w:name="_Toc532348627"/>
      <w:r>
        <w:rPr>
          <w:rFonts w:hint="eastAsia" w:ascii="宋体" w:hAnsi="宋体" w:eastAsia="宋体"/>
          <w:color w:val="auto"/>
          <w:sz w:val="28"/>
          <w:szCs w:val="28"/>
          <w:highlight w:val="none"/>
        </w:rPr>
        <w:t>1、企业法人营业执照</w:t>
      </w:r>
      <w:bookmarkEnd w:id="120"/>
    </w:p>
    <w:p w14:paraId="32AC73B2">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w:t>
      </w:r>
      <w:bookmarkStart w:id="121" w:name="_Toc532348629"/>
      <w:r>
        <w:rPr>
          <w:rFonts w:hint="eastAsia" w:ascii="宋体" w:hAnsi="宋体" w:eastAsia="宋体"/>
          <w:color w:val="auto"/>
          <w:sz w:val="28"/>
          <w:szCs w:val="28"/>
          <w:highlight w:val="none"/>
        </w:rPr>
        <w:t>工程监理资质证</w:t>
      </w:r>
      <w:bookmarkEnd w:id="121"/>
      <w:r>
        <w:rPr>
          <w:rFonts w:hint="eastAsia" w:ascii="宋体" w:hAnsi="宋体" w:eastAsia="宋体"/>
          <w:color w:val="auto"/>
          <w:sz w:val="28"/>
          <w:szCs w:val="28"/>
          <w:highlight w:val="none"/>
        </w:rPr>
        <w:t>书</w:t>
      </w:r>
      <w:bookmarkStart w:id="122" w:name="_Toc532348632"/>
    </w:p>
    <w:p w14:paraId="6E084745">
      <w:pPr>
        <w:spacing w:line="360" w:lineRule="auto"/>
        <w:rPr>
          <w:rFonts w:hint="eastAsia" w:ascii="宋体" w:hAnsi="宋体" w:eastAsia="宋体"/>
          <w:b/>
          <w:color w:val="auto"/>
          <w:sz w:val="28"/>
          <w:szCs w:val="28"/>
          <w:highlight w:val="none"/>
        </w:rPr>
      </w:pPr>
      <w:r>
        <w:rPr>
          <w:rFonts w:hint="eastAsia" w:ascii="宋体" w:hAnsi="宋体" w:eastAsia="宋体"/>
          <w:color w:val="auto"/>
          <w:sz w:val="28"/>
          <w:szCs w:val="28"/>
          <w:highlight w:val="none"/>
        </w:rPr>
        <w:t>3、投标人企业概况</w:t>
      </w:r>
      <w:bookmarkEnd w:id="122"/>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327"/>
        <w:gridCol w:w="762"/>
        <w:gridCol w:w="765"/>
        <w:gridCol w:w="995"/>
        <w:gridCol w:w="1754"/>
        <w:gridCol w:w="285"/>
        <w:gridCol w:w="1472"/>
        <w:gridCol w:w="192"/>
        <w:gridCol w:w="1561"/>
      </w:tblGrid>
      <w:tr w14:paraId="2C07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765" w:hRule="atLeast"/>
          <w:jc w:val="center"/>
        </w:trPr>
        <w:tc>
          <w:tcPr>
            <w:tcW w:w="1327" w:type="dxa"/>
            <w:noWrap w:val="0"/>
            <w:vAlign w:val="center"/>
          </w:tcPr>
          <w:p w14:paraId="144292D8">
            <w:pPr>
              <w:spacing w:line="360" w:lineRule="auto"/>
              <w:jc w:val="center"/>
              <w:rPr>
                <w:rFonts w:ascii="宋体" w:hAnsi="宋体" w:eastAsia="宋体"/>
                <w:color w:val="auto"/>
                <w:spacing w:val="-20"/>
                <w:sz w:val="28"/>
                <w:szCs w:val="28"/>
                <w:highlight w:val="none"/>
              </w:rPr>
            </w:pPr>
            <w:r>
              <w:rPr>
                <w:rFonts w:hint="eastAsia" w:ascii="宋体" w:hAnsi="宋体" w:eastAsia="宋体"/>
                <w:color w:val="auto"/>
                <w:sz w:val="28"/>
                <w:szCs w:val="28"/>
                <w:highlight w:val="none"/>
              </w:rPr>
              <w:t>企业</w:t>
            </w:r>
            <w:r>
              <w:rPr>
                <w:rFonts w:hint="eastAsia" w:ascii="宋体" w:hAnsi="宋体" w:eastAsia="宋体"/>
                <w:color w:val="auto"/>
                <w:spacing w:val="-20"/>
                <w:sz w:val="28"/>
                <w:szCs w:val="28"/>
                <w:highlight w:val="none"/>
              </w:rPr>
              <w:t>名称</w:t>
            </w:r>
          </w:p>
        </w:tc>
        <w:tc>
          <w:tcPr>
            <w:tcW w:w="4561" w:type="dxa"/>
            <w:gridSpan w:val="5"/>
            <w:noWrap w:val="0"/>
            <w:vAlign w:val="center"/>
          </w:tcPr>
          <w:p w14:paraId="120873CB">
            <w:pPr>
              <w:spacing w:line="360" w:lineRule="auto"/>
              <w:jc w:val="center"/>
              <w:rPr>
                <w:rFonts w:ascii="宋体" w:hAnsi="宋体" w:eastAsia="宋体"/>
                <w:color w:val="auto"/>
                <w:sz w:val="28"/>
                <w:szCs w:val="28"/>
                <w:highlight w:val="none"/>
              </w:rPr>
            </w:pPr>
          </w:p>
        </w:tc>
        <w:tc>
          <w:tcPr>
            <w:tcW w:w="1664" w:type="dxa"/>
            <w:gridSpan w:val="2"/>
            <w:noWrap w:val="0"/>
            <w:vAlign w:val="center"/>
          </w:tcPr>
          <w:p w14:paraId="5A4CAE84">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成立日期</w:t>
            </w:r>
          </w:p>
        </w:tc>
        <w:tc>
          <w:tcPr>
            <w:tcW w:w="1561" w:type="dxa"/>
            <w:noWrap w:val="0"/>
            <w:vAlign w:val="center"/>
          </w:tcPr>
          <w:p w14:paraId="33A67EFC">
            <w:pPr>
              <w:spacing w:line="360" w:lineRule="auto"/>
              <w:jc w:val="center"/>
              <w:rPr>
                <w:rFonts w:ascii="宋体" w:hAnsi="宋体" w:eastAsia="宋体"/>
                <w:color w:val="auto"/>
                <w:sz w:val="28"/>
                <w:szCs w:val="28"/>
                <w:highlight w:val="none"/>
              </w:rPr>
            </w:pPr>
          </w:p>
        </w:tc>
      </w:tr>
      <w:tr w14:paraId="50E5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765" w:hRule="atLeast"/>
          <w:jc w:val="center"/>
        </w:trPr>
        <w:tc>
          <w:tcPr>
            <w:tcW w:w="1327" w:type="dxa"/>
            <w:noWrap w:val="0"/>
            <w:vAlign w:val="center"/>
          </w:tcPr>
          <w:p w14:paraId="17DC6431">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资质等级</w:t>
            </w:r>
          </w:p>
        </w:tc>
        <w:tc>
          <w:tcPr>
            <w:tcW w:w="1527" w:type="dxa"/>
            <w:gridSpan w:val="2"/>
            <w:noWrap w:val="0"/>
            <w:vAlign w:val="center"/>
          </w:tcPr>
          <w:p w14:paraId="243B0595">
            <w:pPr>
              <w:spacing w:line="360" w:lineRule="auto"/>
              <w:jc w:val="center"/>
              <w:rPr>
                <w:rFonts w:ascii="宋体" w:hAnsi="宋体" w:eastAsia="宋体"/>
                <w:color w:val="auto"/>
                <w:sz w:val="28"/>
                <w:szCs w:val="28"/>
                <w:highlight w:val="none"/>
              </w:rPr>
            </w:pPr>
          </w:p>
        </w:tc>
        <w:tc>
          <w:tcPr>
            <w:tcW w:w="995" w:type="dxa"/>
            <w:noWrap w:val="0"/>
            <w:vAlign w:val="center"/>
          </w:tcPr>
          <w:p w14:paraId="3F8E8F08">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地 址</w:t>
            </w:r>
          </w:p>
        </w:tc>
        <w:tc>
          <w:tcPr>
            <w:tcW w:w="2039" w:type="dxa"/>
            <w:gridSpan w:val="2"/>
            <w:noWrap w:val="0"/>
            <w:vAlign w:val="center"/>
          </w:tcPr>
          <w:p w14:paraId="1612034C">
            <w:pPr>
              <w:spacing w:line="360" w:lineRule="auto"/>
              <w:jc w:val="center"/>
              <w:rPr>
                <w:rFonts w:ascii="宋体" w:hAnsi="宋体" w:eastAsia="宋体"/>
                <w:color w:val="auto"/>
                <w:sz w:val="28"/>
                <w:szCs w:val="28"/>
                <w:highlight w:val="none"/>
              </w:rPr>
            </w:pPr>
          </w:p>
        </w:tc>
        <w:tc>
          <w:tcPr>
            <w:tcW w:w="1664" w:type="dxa"/>
            <w:gridSpan w:val="2"/>
            <w:noWrap w:val="0"/>
            <w:vAlign w:val="center"/>
          </w:tcPr>
          <w:p w14:paraId="6B032775">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单位性质</w:t>
            </w:r>
          </w:p>
        </w:tc>
        <w:tc>
          <w:tcPr>
            <w:tcW w:w="1561" w:type="dxa"/>
            <w:noWrap w:val="0"/>
            <w:vAlign w:val="center"/>
          </w:tcPr>
          <w:p w14:paraId="0F149C38">
            <w:pPr>
              <w:spacing w:line="360" w:lineRule="auto"/>
              <w:jc w:val="center"/>
              <w:rPr>
                <w:rFonts w:ascii="宋体" w:hAnsi="宋体" w:eastAsia="宋体"/>
                <w:color w:val="auto"/>
                <w:sz w:val="28"/>
                <w:szCs w:val="28"/>
                <w:highlight w:val="none"/>
              </w:rPr>
            </w:pPr>
          </w:p>
        </w:tc>
      </w:tr>
      <w:tr w14:paraId="1C2B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765" w:hRule="atLeast"/>
          <w:jc w:val="center"/>
        </w:trPr>
        <w:tc>
          <w:tcPr>
            <w:tcW w:w="1327" w:type="dxa"/>
            <w:noWrap w:val="0"/>
            <w:vAlign w:val="center"/>
          </w:tcPr>
          <w:p w14:paraId="0B6BDD3E">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经营范围</w:t>
            </w:r>
          </w:p>
        </w:tc>
        <w:tc>
          <w:tcPr>
            <w:tcW w:w="7786" w:type="dxa"/>
            <w:gridSpan w:val="8"/>
            <w:noWrap w:val="0"/>
            <w:vAlign w:val="center"/>
          </w:tcPr>
          <w:p w14:paraId="48065BB3">
            <w:pPr>
              <w:spacing w:line="360" w:lineRule="auto"/>
              <w:jc w:val="center"/>
              <w:rPr>
                <w:rFonts w:ascii="宋体" w:hAnsi="宋体" w:eastAsia="宋体"/>
                <w:color w:val="auto"/>
                <w:sz w:val="28"/>
                <w:szCs w:val="28"/>
                <w:highlight w:val="none"/>
              </w:rPr>
            </w:pPr>
          </w:p>
        </w:tc>
      </w:tr>
      <w:tr w14:paraId="4727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529" w:hRule="atLeast"/>
          <w:jc w:val="center"/>
        </w:trPr>
        <w:tc>
          <w:tcPr>
            <w:tcW w:w="1327" w:type="dxa"/>
            <w:vMerge w:val="restart"/>
            <w:noWrap w:val="0"/>
            <w:vAlign w:val="center"/>
          </w:tcPr>
          <w:p w14:paraId="1E0DF4C4">
            <w:pPr>
              <w:spacing w:line="360" w:lineRule="auto"/>
              <w:ind w:left="240"/>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企业职工总数</w:t>
            </w:r>
          </w:p>
        </w:tc>
        <w:tc>
          <w:tcPr>
            <w:tcW w:w="762" w:type="dxa"/>
            <w:vMerge w:val="restart"/>
            <w:noWrap w:val="0"/>
            <w:vAlign w:val="center"/>
          </w:tcPr>
          <w:p w14:paraId="55DA2A1D">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人</w:t>
            </w:r>
          </w:p>
        </w:tc>
        <w:tc>
          <w:tcPr>
            <w:tcW w:w="7024" w:type="dxa"/>
            <w:gridSpan w:val="7"/>
            <w:noWrap w:val="0"/>
            <w:vAlign w:val="center"/>
          </w:tcPr>
          <w:p w14:paraId="27AFB813">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有职称管理人员</w:t>
            </w:r>
          </w:p>
        </w:tc>
      </w:tr>
      <w:tr w14:paraId="4DFF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840" w:hRule="atLeast"/>
          <w:jc w:val="center"/>
        </w:trPr>
        <w:tc>
          <w:tcPr>
            <w:tcW w:w="1327" w:type="dxa"/>
            <w:vMerge w:val="continue"/>
            <w:noWrap w:val="0"/>
            <w:vAlign w:val="center"/>
          </w:tcPr>
          <w:p w14:paraId="767A274D">
            <w:pPr>
              <w:spacing w:line="360" w:lineRule="auto"/>
              <w:jc w:val="center"/>
              <w:rPr>
                <w:rFonts w:ascii="宋体" w:hAnsi="宋体" w:eastAsia="宋体"/>
                <w:color w:val="auto"/>
                <w:sz w:val="28"/>
                <w:szCs w:val="28"/>
                <w:highlight w:val="none"/>
              </w:rPr>
            </w:pPr>
          </w:p>
        </w:tc>
        <w:tc>
          <w:tcPr>
            <w:tcW w:w="762" w:type="dxa"/>
            <w:vMerge w:val="continue"/>
            <w:noWrap w:val="0"/>
            <w:vAlign w:val="center"/>
          </w:tcPr>
          <w:p w14:paraId="5ABD1CB8">
            <w:pPr>
              <w:spacing w:line="360" w:lineRule="auto"/>
              <w:jc w:val="center"/>
              <w:rPr>
                <w:rFonts w:ascii="宋体" w:hAnsi="宋体" w:eastAsia="宋体"/>
                <w:color w:val="auto"/>
                <w:sz w:val="28"/>
                <w:szCs w:val="28"/>
                <w:highlight w:val="none"/>
              </w:rPr>
            </w:pPr>
          </w:p>
        </w:tc>
        <w:tc>
          <w:tcPr>
            <w:tcW w:w="1760" w:type="dxa"/>
            <w:gridSpan w:val="2"/>
            <w:tcBorders>
              <w:bottom w:val="single" w:color="auto" w:sz="4" w:space="0"/>
              <w:right w:val="nil"/>
            </w:tcBorders>
            <w:noWrap w:val="0"/>
            <w:vAlign w:val="center"/>
          </w:tcPr>
          <w:p w14:paraId="20BE1D20">
            <w:pPr>
              <w:spacing w:line="360" w:lineRule="auto"/>
              <w:jc w:val="center"/>
              <w:rPr>
                <w:rFonts w:ascii="宋体" w:hAnsi="宋体" w:eastAsia="宋体"/>
                <w:color w:val="auto"/>
                <w:sz w:val="28"/>
                <w:szCs w:val="28"/>
                <w:highlight w:val="none"/>
              </w:rPr>
            </w:pPr>
          </w:p>
          <w:p w14:paraId="451112FB">
            <w:pPr>
              <w:spacing w:line="360" w:lineRule="auto"/>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高 级 职 称</w:t>
            </w:r>
          </w:p>
          <w:p w14:paraId="404BEF71">
            <w:pPr>
              <w:spacing w:line="360" w:lineRule="auto"/>
              <w:jc w:val="center"/>
              <w:rPr>
                <w:rFonts w:ascii="宋体" w:hAnsi="宋体" w:eastAsia="宋体"/>
                <w:color w:val="auto"/>
                <w:sz w:val="28"/>
                <w:szCs w:val="28"/>
                <w:highlight w:val="none"/>
              </w:rPr>
            </w:pPr>
          </w:p>
        </w:tc>
        <w:tc>
          <w:tcPr>
            <w:tcW w:w="1754" w:type="dxa"/>
            <w:tcBorders>
              <w:bottom w:val="single" w:color="auto" w:sz="4" w:space="0"/>
              <w:right w:val="nil"/>
            </w:tcBorders>
            <w:noWrap w:val="0"/>
            <w:vAlign w:val="center"/>
          </w:tcPr>
          <w:p w14:paraId="29C3A6B3">
            <w:pPr>
              <w:spacing w:line="360" w:lineRule="auto"/>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中 级 职 称</w:t>
            </w:r>
          </w:p>
        </w:tc>
        <w:tc>
          <w:tcPr>
            <w:tcW w:w="1757" w:type="dxa"/>
            <w:gridSpan w:val="2"/>
            <w:tcBorders>
              <w:bottom w:val="single" w:color="auto" w:sz="4" w:space="0"/>
            </w:tcBorders>
            <w:noWrap w:val="0"/>
            <w:vAlign w:val="center"/>
          </w:tcPr>
          <w:p w14:paraId="1A230B55">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助 理 职 称</w:t>
            </w:r>
          </w:p>
        </w:tc>
        <w:tc>
          <w:tcPr>
            <w:tcW w:w="1753" w:type="dxa"/>
            <w:gridSpan w:val="2"/>
            <w:tcBorders>
              <w:left w:val="nil"/>
              <w:bottom w:val="single" w:color="auto" w:sz="4" w:space="0"/>
            </w:tcBorders>
            <w:noWrap w:val="0"/>
            <w:vAlign w:val="center"/>
          </w:tcPr>
          <w:p w14:paraId="5FDDDAA0">
            <w:pPr>
              <w:spacing w:line="360" w:lineRule="auto"/>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注册监理</w:t>
            </w:r>
          </w:p>
          <w:p w14:paraId="5E985F24">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工程师</w:t>
            </w:r>
          </w:p>
        </w:tc>
      </w:tr>
      <w:tr w14:paraId="62B3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900" w:hRule="atLeast"/>
          <w:jc w:val="center"/>
        </w:trPr>
        <w:tc>
          <w:tcPr>
            <w:tcW w:w="1327" w:type="dxa"/>
            <w:vMerge w:val="continue"/>
            <w:tcBorders>
              <w:bottom w:val="single" w:color="auto" w:sz="4" w:space="0"/>
            </w:tcBorders>
            <w:noWrap w:val="0"/>
            <w:vAlign w:val="center"/>
          </w:tcPr>
          <w:p w14:paraId="56F6C421">
            <w:pPr>
              <w:spacing w:line="360" w:lineRule="auto"/>
              <w:jc w:val="center"/>
              <w:rPr>
                <w:rFonts w:ascii="宋体" w:hAnsi="宋体" w:eastAsia="宋体"/>
                <w:color w:val="auto"/>
                <w:sz w:val="28"/>
                <w:szCs w:val="28"/>
                <w:highlight w:val="none"/>
              </w:rPr>
            </w:pPr>
          </w:p>
        </w:tc>
        <w:tc>
          <w:tcPr>
            <w:tcW w:w="762" w:type="dxa"/>
            <w:vMerge w:val="continue"/>
            <w:tcBorders>
              <w:bottom w:val="single" w:color="auto" w:sz="4" w:space="0"/>
            </w:tcBorders>
            <w:noWrap w:val="0"/>
            <w:vAlign w:val="center"/>
          </w:tcPr>
          <w:p w14:paraId="4F0DFDAD">
            <w:pPr>
              <w:spacing w:line="360" w:lineRule="auto"/>
              <w:jc w:val="center"/>
              <w:rPr>
                <w:rFonts w:ascii="宋体" w:hAnsi="宋体" w:eastAsia="宋体"/>
                <w:color w:val="auto"/>
                <w:sz w:val="28"/>
                <w:szCs w:val="28"/>
                <w:highlight w:val="none"/>
              </w:rPr>
            </w:pPr>
          </w:p>
        </w:tc>
        <w:tc>
          <w:tcPr>
            <w:tcW w:w="1760" w:type="dxa"/>
            <w:gridSpan w:val="2"/>
            <w:tcBorders>
              <w:bottom w:val="single" w:color="auto" w:sz="4" w:space="0"/>
              <w:right w:val="nil"/>
            </w:tcBorders>
            <w:noWrap w:val="0"/>
            <w:vAlign w:val="center"/>
          </w:tcPr>
          <w:p w14:paraId="1D3AF853">
            <w:pPr>
              <w:spacing w:line="360" w:lineRule="auto"/>
              <w:jc w:val="center"/>
              <w:rPr>
                <w:rFonts w:hint="eastAsia" w:ascii="宋体" w:hAnsi="宋体" w:eastAsia="宋体"/>
                <w:color w:val="auto"/>
                <w:sz w:val="28"/>
                <w:szCs w:val="28"/>
                <w:highlight w:val="none"/>
              </w:rPr>
            </w:pPr>
          </w:p>
        </w:tc>
        <w:tc>
          <w:tcPr>
            <w:tcW w:w="1754" w:type="dxa"/>
            <w:tcBorders>
              <w:bottom w:val="single" w:color="auto" w:sz="4" w:space="0"/>
              <w:right w:val="nil"/>
            </w:tcBorders>
            <w:noWrap w:val="0"/>
            <w:vAlign w:val="center"/>
          </w:tcPr>
          <w:p w14:paraId="36006CB7">
            <w:pPr>
              <w:spacing w:line="360" w:lineRule="auto"/>
              <w:jc w:val="center"/>
              <w:rPr>
                <w:rFonts w:hint="eastAsia" w:ascii="宋体" w:hAnsi="宋体" w:eastAsia="宋体"/>
                <w:color w:val="auto"/>
                <w:sz w:val="28"/>
                <w:szCs w:val="28"/>
                <w:highlight w:val="none"/>
              </w:rPr>
            </w:pPr>
          </w:p>
        </w:tc>
        <w:tc>
          <w:tcPr>
            <w:tcW w:w="1757" w:type="dxa"/>
            <w:gridSpan w:val="2"/>
            <w:tcBorders>
              <w:bottom w:val="single" w:color="auto" w:sz="4" w:space="0"/>
            </w:tcBorders>
            <w:noWrap w:val="0"/>
            <w:vAlign w:val="center"/>
          </w:tcPr>
          <w:p w14:paraId="28B52E2D">
            <w:pPr>
              <w:spacing w:line="360" w:lineRule="auto"/>
              <w:jc w:val="center"/>
              <w:rPr>
                <w:rFonts w:ascii="宋体" w:hAnsi="宋体" w:eastAsia="宋体"/>
                <w:color w:val="auto"/>
                <w:sz w:val="28"/>
                <w:szCs w:val="28"/>
                <w:highlight w:val="none"/>
              </w:rPr>
            </w:pPr>
          </w:p>
        </w:tc>
        <w:tc>
          <w:tcPr>
            <w:tcW w:w="1753" w:type="dxa"/>
            <w:gridSpan w:val="2"/>
            <w:tcBorders>
              <w:left w:val="nil"/>
              <w:bottom w:val="single" w:color="auto" w:sz="4" w:space="0"/>
            </w:tcBorders>
            <w:noWrap w:val="0"/>
            <w:vAlign w:val="center"/>
          </w:tcPr>
          <w:p w14:paraId="1E814698">
            <w:pPr>
              <w:spacing w:line="360" w:lineRule="auto"/>
              <w:jc w:val="center"/>
              <w:rPr>
                <w:rFonts w:ascii="宋体" w:hAnsi="宋体" w:eastAsia="宋体"/>
                <w:color w:val="auto"/>
                <w:sz w:val="28"/>
                <w:szCs w:val="28"/>
                <w:highlight w:val="none"/>
              </w:rPr>
            </w:pPr>
          </w:p>
        </w:tc>
      </w:tr>
      <w:tr w14:paraId="2B8F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335" w:type="dxa"/>
            <w:gridSpan w:val="2"/>
            <w:vMerge w:val="restart"/>
            <w:noWrap w:val="0"/>
            <w:textDirection w:val="tbRlV"/>
            <w:vAlign w:val="center"/>
          </w:tcPr>
          <w:p w14:paraId="7C775D96">
            <w:pPr>
              <w:spacing w:line="360" w:lineRule="auto"/>
              <w:ind w:left="113" w:right="113"/>
              <w:jc w:val="center"/>
              <w:rPr>
                <w:rFonts w:ascii="宋体" w:hAnsi="宋体" w:eastAsia="宋体"/>
                <w:color w:val="auto"/>
                <w:spacing w:val="60"/>
                <w:sz w:val="28"/>
                <w:szCs w:val="28"/>
                <w:highlight w:val="none"/>
              </w:rPr>
            </w:pPr>
            <w:r>
              <w:rPr>
                <w:rFonts w:hint="eastAsia" w:ascii="宋体" w:hAnsi="宋体" w:eastAsia="宋体"/>
                <w:color w:val="auto"/>
                <w:spacing w:val="60"/>
                <w:sz w:val="28"/>
                <w:szCs w:val="28"/>
                <w:highlight w:val="none"/>
              </w:rPr>
              <w:t>主要检测设备</w:t>
            </w:r>
          </w:p>
        </w:tc>
        <w:tc>
          <w:tcPr>
            <w:tcW w:w="2522" w:type="dxa"/>
            <w:gridSpan w:val="3"/>
            <w:noWrap w:val="0"/>
            <w:vAlign w:val="center"/>
          </w:tcPr>
          <w:p w14:paraId="389123A3">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名称</w:t>
            </w:r>
          </w:p>
        </w:tc>
        <w:tc>
          <w:tcPr>
            <w:tcW w:w="1754" w:type="dxa"/>
            <w:noWrap w:val="0"/>
            <w:vAlign w:val="center"/>
          </w:tcPr>
          <w:p w14:paraId="74D4D114">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型号</w:t>
            </w:r>
          </w:p>
        </w:tc>
        <w:tc>
          <w:tcPr>
            <w:tcW w:w="1757" w:type="dxa"/>
            <w:gridSpan w:val="2"/>
            <w:noWrap w:val="0"/>
            <w:vAlign w:val="center"/>
          </w:tcPr>
          <w:p w14:paraId="5A56D34E">
            <w:pPr>
              <w:spacing w:line="360" w:lineRule="auto"/>
              <w:jc w:val="center"/>
              <w:rPr>
                <w:rFonts w:hint="eastAsia" w:ascii="宋体" w:hAnsi="宋体" w:eastAsia="宋体"/>
                <w:color w:val="auto"/>
                <w:spacing w:val="-20"/>
                <w:sz w:val="28"/>
                <w:szCs w:val="28"/>
                <w:highlight w:val="none"/>
              </w:rPr>
            </w:pPr>
            <w:r>
              <w:rPr>
                <w:rFonts w:hint="eastAsia" w:ascii="宋体" w:hAnsi="宋体" w:eastAsia="宋体"/>
                <w:color w:val="auto"/>
                <w:sz w:val="28"/>
                <w:szCs w:val="28"/>
                <w:highlight w:val="none"/>
              </w:rPr>
              <w:t>数量（台）</w:t>
            </w:r>
          </w:p>
        </w:tc>
        <w:tc>
          <w:tcPr>
            <w:tcW w:w="1753" w:type="dxa"/>
            <w:gridSpan w:val="2"/>
            <w:noWrap w:val="0"/>
            <w:vAlign w:val="center"/>
          </w:tcPr>
          <w:p w14:paraId="37D004A3">
            <w:pPr>
              <w:spacing w:line="360" w:lineRule="auto"/>
              <w:jc w:val="center"/>
              <w:rPr>
                <w:rFonts w:ascii="宋体" w:hAnsi="宋体" w:eastAsia="宋体"/>
                <w:color w:val="auto"/>
                <w:spacing w:val="-20"/>
                <w:sz w:val="28"/>
                <w:szCs w:val="28"/>
                <w:highlight w:val="none"/>
              </w:rPr>
            </w:pPr>
            <w:r>
              <w:rPr>
                <w:rFonts w:hint="eastAsia" w:ascii="宋体" w:hAnsi="宋体" w:eastAsia="宋体"/>
                <w:color w:val="auto"/>
                <w:spacing w:val="-20"/>
                <w:sz w:val="28"/>
                <w:szCs w:val="28"/>
                <w:highlight w:val="none"/>
              </w:rPr>
              <w:t>备 注</w:t>
            </w:r>
          </w:p>
        </w:tc>
      </w:tr>
      <w:tr w14:paraId="0F41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335" w:type="dxa"/>
            <w:gridSpan w:val="2"/>
            <w:vMerge w:val="continue"/>
            <w:noWrap w:val="0"/>
            <w:vAlign w:val="top"/>
          </w:tcPr>
          <w:p w14:paraId="36904DCE">
            <w:pPr>
              <w:spacing w:line="360" w:lineRule="auto"/>
              <w:rPr>
                <w:rFonts w:ascii="宋体" w:hAnsi="宋体" w:eastAsia="宋体"/>
                <w:color w:val="auto"/>
                <w:sz w:val="28"/>
                <w:szCs w:val="28"/>
                <w:highlight w:val="none"/>
              </w:rPr>
            </w:pPr>
          </w:p>
        </w:tc>
        <w:tc>
          <w:tcPr>
            <w:tcW w:w="2522" w:type="dxa"/>
            <w:gridSpan w:val="3"/>
            <w:tcBorders>
              <w:top w:val="single" w:color="000000" w:sz="4" w:space="0"/>
              <w:bottom w:val="single" w:color="000000" w:sz="4" w:space="0"/>
            </w:tcBorders>
            <w:noWrap w:val="0"/>
            <w:vAlign w:val="center"/>
          </w:tcPr>
          <w:p w14:paraId="1EE7BADE">
            <w:pPr>
              <w:spacing w:line="360" w:lineRule="auto"/>
              <w:jc w:val="center"/>
              <w:rPr>
                <w:rFonts w:ascii="宋体" w:hAnsi="宋体" w:eastAsia="宋体"/>
                <w:color w:val="auto"/>
                <w:spacing w:val="-20"/>
                <w:sz w:val="28"/>
                <w:szCs w:val="28"/>
                <w:highlight w:val="none"/>
              </w:rPr>
            </w:pPr>
          </w:p>
        </w:tc>
        <w:tc>
          <w:tcPr>
            <w:tcW w:w="1754" w:type="dxa"/>
            <w:noWrap w:val="0"/>
            <w:vAlign w:val="center"/>
          </w:tcPr>
          <w:p w14:paraId="1E19162A">
            <w:pPr>
              <w:spacing w:line="360" w:lineRule="auto"/>
              <w:jc w:val="center"/>
              <w:rPr>
                <w:rFonts w:ascii="宋体" w:hAnsi="宋体" w:eastAsia="宋体"/>
                <w:color w:val="auto"/>
                <w:sz w:val="28"/>
                <w:szCs w:val="28"/>
                <w:highlight w:val="none"/>
              </w:rPr>
            </w:pPr>
          </w:p>
        </w:tc>
        <w:tc>
          <w:tcPr>
            <w:tcW w:w="1757" w:type="dxa"/>
            <w:gridSpan w:val="2"/>
            <w:noWrap w:val="0"/>
            <w:vAlign w:val="center"/>
          </w:tcPr>
          <w:p w14:paraId="25B055C7">
            <w:pPr>
              <w:spacing w:line="360" w:lineRule="auto"/>
              <w:jc w:val="center"/>
              <w:rPr>
                <w:rFonts w:ascii="宋体" w:hAnsi="宋体" w:eastAsia="宋体"/>
                <w:color w:val="auto"/>
                <w:sz w:val="28"/>
                <w:szCs w:val="28"/>
                <w:highlight w:val="none"/>
              </w:rPr>
            </w:pPr>
          </w:p>
        </w:tc>
        <w:tc>
          <w:tcPr>
            <w:tcW w:w="1753" w:type="dxa"/>
            <w:gridSpan w:val="2"/>
            <w:noWrap w:val="0"/>
            <w:vAlign w:val="center"/>
          </w:tcPr>
          <w:p w14:paraId="71596127">
            <w:pPr>
              <w:spacing w:line="360" w:lineRule="auto"/>
              <w:jc w:val="center"/>
              <w:rPr>
                <w:rFonts w:ascii="宋体" w:hAnsi="宋体" w:eastAsia="宋体"/>
                <w:color w:val="auto"/>
                <w:sz w:val="28"/>
                <w:szCs w:val="28"/>
                <w:highlight w:val="none"/>
              </w:rPr>
            </w:pPr>
          </w:p>
        </w:tc>
      </w:tr>
      <w:tr w14:paraId="4486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335" w:type="dxa"/>
            <w:gridSpan w:val="2"/>
            <w:vMerge w:val="continue"/>
            <w:noWrap w:val="0"/>
            <w:vAlign w:val="top"/>
          </w:tcPr>
          <w:p w14:paraId="16720FCC">
            <w:pPr>
              <w:spacing w:line="360" w:lineRule="auto"/>
              <w:rPr>
                <w:rFonts w:ascii="宋体" w:hAnsi="宋体" w:eastAsia="宋体"/>
                <w:color w:val="auto"/>
                <w:sz w:val="28"/>
                <w:szCs w:val="28"/>
                <w:highlight w:val="none"/>
              </w:rPr>
            </w:pPr>
          </w:p>
        </w:tc>
        <w:tc>
          <w:tcPr>
            <w:tcW w:w="2522" w:type="dxa"/>
            <w:gridSpan w:val="3"/>
            <w:tcBorders>
              <w:top w:val="single" w:color="000000" w:sz="4" w:space="0"/>
            </w:tcBorders>
            <w:noWrap w:val="0"/>
            <w:vAlign w:val="center"/>
          </w:tcPr>
          <w:p w14:paraId="6DB1B0F4">
            <w:pPr>
              <w:spacing w:line="360" w:lineRule="auto"/>
              <w:rPr>
                <w:rFonts w:hint="eastAsia" w:ascii="宋体" w:hAnsi="宋体" w:eastAsia="宋体"/>
                <w:color w:val="auto"/>
                <w:sz w:val="28"/>
                <w:szCs w:val="28"/>
                <w:highlight w:val="none"/>
              </w:rPr>
            </w:pPr>
          </w:p>
        </w:tc>
        <w:tc>
          <w:tcPr>
            <w:tcW w:w="1754" w:type="dxa"/>
            <w:noWrap w:val="0"/>
            <w:vAlign w:val="center"/>
          </w:tcPr>
          <w:p w14:paraId="186F9219">
            <w:pPr>
              <w:spacing w:line="360" w:lineRule="auto"/>
              <w:jc w:val="center"/>
              <w:rPr>
                <w:rFonts w:ascii="宋体" w:hAnsi="宋体" w:eastAsia="宋体"/>
                <w:color w:val="auto"/>
                <w:sz w:val="28"/>
                <w:szCs w:val="28"/>
                <w:highlight w:val="none"/>
              </w:rPr>
            </w:pPr>
          </w:p>
        </w:tc>
        <w:tc>
          <w:tcPr>
            <w:tcW w:w="1757" w:type="dxa"/>
            <w:gridSpan w:val="2"/>
            <w:noWrap w:val="0"/>
            <w:vAlign w:val="center"/>
          </w:tcPr>
          <w:p w14:paraId="4D03FFB6">
            <w:pPr>
              <w:spacing w:line="360" w:lineRule="auto"/>
              <w:jc w:val="center"/>
              <w:rPr>
                <w:rFonts w:ascii="宋体" w:hAnsi="宋体" w:eastAsia="宋体"/>
                <w:color w:val="auto"/>
                <w:sz w:val="28"/>
                <w:szCs w:val="28"/>
                <w:highlight w:val="none"/>
              </w:rPr>
            </w:pPr>
          </w:p>
        </w:tc>
        <w:tc>
          <w:tcPr>
            <w:tcW w:w="1753" w:type="dxa"/>
            <w:gridSpan w:val="2"/>
            <w:noWrap w:val="0"/>
            <w:vAlign w:val="center"/>
          </w:tcPr>
          <w:p w14:paraId="11A2B021">
            <w:pPr>
              <w:spacing w:line="360" w:lineRule="auto"/>
              <w:jc w:val="center"/>
              <w:rPr>
                <w:rFonts w:ascii="宋体" w:hAnsi="宋体" w:eastAsia="宋体"/>
                <w:color w:val="auto"/>
                <w:sz w:val="28"/>
                <w:szCs w:val="28"/>
                <w:highlight w:val="none"/>
              </w:rPr>
            </w:pPr>
          </w:p>
        </w:tc>
      </w:tr>
      <w:tr w14:paraId="4CD0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335" w:type="dxa"/>
            <w:gridSpan w:val="2"/>
            <w:vMerge w:val="continue"/>
            <w:noWrap w:val="0"/>
            <w:vAlign w:val="top"/>
          </w:tcPr>
          <w:p w14:paraId="5CE3A200">
            <w:pPr>
              <w:spacing w:line="360" w:lineRule="auto"/>
              <w:rPr>
                <w:rFonts w:ascii="宋体" w:hAnsi="宋体" w:eastAsia="宋体"/>
                <w:color w:val="auto"/>
                <w:sz w:val="28"/>
                <w:szCs w:val="28"/>
                <w:highlight w:val="none"/>
              </w:rPr>
            </w:pPr>
          </w:p>
        </w:tc>
        <w:tc>
          <w:tcPr>
            <w:tcW w:w="2522" w:type="dxa"/>
            <w:gridSpan w:val="3"/>
            <w:noWrap w:val="0"/>
            <w:vAlign w:val="center"/>
          </w:tcPr>
          <w:p w14:paraId="2A9AD476">
            <w:pPr>
              <w:spacing w:line="360" w:lineRule="auto"/>
              <w:rPr>
                <w:rFonts w:ascii="宋体" w:hAnsi="宋体" w:eastAsia="宋体"/>
                <w:color w:val="auto"/>
                <w:sz w:val="28"/>
                <w:szCs w:val="28"/>
                <w:highlight w:val="none"/>
              </w:rPr>
            </w:pPr>
          </w:p>
        </w:tc>
        <w:tc>
          <w:tcPr>
            <w:tcW w:w="1754" w:type="dxa"/>
            <w:noWrap w:val="0"/>
            <w:vAlign w:val="center"/>
          </w:tcPr>
          <w:p w14:paraId="688B562A">
            <w:pPr>
              <w:spacing w:line="360" w:lineRule="auto"/>
              <w:jc w:val="center"/>
              <w:rPr>
                <w:rFonts w:ascii="宋体" w:hAnsi="宋体" w:eastAsia="宋体"/>
                <w:color w:val="auto"/>
                <w:sz w:val="28"/>
                <w:szCs w:val="28"/>
                <w:highlight w:val="none"/>
              </w:rPr>
            </w:pPr>
          </w:p>
        </w:tc>
        <w:tc>
          <w:tcPr>
            <w:tcW w:w="1757" w:type="dxa"/>
            <w:gridSpan w:val="2"/>
            <w:noWrap w:val="0"/>
            <w:vAlign w:val="center"/>
          </w:tcPr>
          <w:p w14:paraId="5E5CC3FD">
            <w:pPr>
              <w:spacing w:line="360" w:lineRule="auto"/>
              <w:jc w:val="center"/>
              <w:rPr>
                <w:rFonts w:ascii="宋体" w:hAnsi="宋体" w:eastAsia="宋体"/>
                <w:color w:val="auto"/>
                <w:sz w:val="28"/>
                <w:szCs w:val="28"/>
                <w:highlight w:val="none"/>
              </w:rPr>
            </w:pPr>
          </w:p>
        </w:tc>
        <w:tc>
          <w:tcPr>
            <w:tcW w:w="1753" w:type="dxa"/>
            <w:gridSpan w:val="2"/>
            <w:noWrap w:val="0"/>
            <w:vAlign w:val="center"/>
          </w:tcPr>
          <w:p w14:paraId="57163178">
            <w:pPr>
              <w:spacing w:line="360" w:lineRule="auto"/>
              <w:jc w:val="center"/>
              <w:rPr>
                <w:rFonts w:ascii="宋体" w:hAnsi="宋体" w:eastAsia="宋体"/>
                <w:color w:val="auto"/>
                <w:sz w:val="28"/>
                <w:szCs w:val="28"/>
                <w:highlight w:val="none"/>
              </w:rPr>
            </w:pPr>
          </w:p>
        </w:tc>
      </w:tr>
      <w:tr w14:paraId="7C5D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335" w:type="dxa"/>
            <w:gridSpan w:val="2"/>
            <w:vMerge w:val="continue"/>
            <w:noWrap w:val="0"/>
            <w:vAlign w:val="top"/>
          </w:tcPr>
          <w:p w14:paraId="43068658">
            <w:pPr>
              <w:spacing w:line="360" w:lineRule="auto"/>
              <w:rPr>
                <w:rFonts w:ascii="宋体" w:hAnsi="宋体" w:eastAsia="宋体"/>
                <w:color w:val="auto"/>
                <w:sz w:val="28"/>
                <w:szCs w:val="28"/>
                <w:highlight w:val="none"/>
              </w:rPr>
            </w:pPr>
          </w:p>
        </w:tc>
        <w:tc>
          <w:tcPr>
            <w:tcW w:w="2522" w:type="dxa"/>
            <w:gridSpan w:val="3"/>
            <w:noWrap w:val="0"/>
            <w:vAlign w:val="center"/>
          </w:tcPr>
          <w:p w14:paraId="1522316A">
            <w:pPr>
              <w:spacing w:line="360" w:lineRule="auto"/>
              <w:rPr>
                <w:rFonts w:ascii="宋体" w:hAnsi="宋体" w:eastAsia="宋体"/>
                <w:color w:val="auto"/>
                <w:sz w:val="28"/>
                <w:szCs w:val="28"/>
                <w:highlight w:val="none"/>
              </w:rPr>
            </w:pPr>
          </w:p>
        </w:tc>
        <w:tc>
          <w:tcPr>
            <w:tcW w:w="1754" w:type="dxa"/>
            <w:noWrap w:val="0"/>
            <w:vAlign w:val="center"/>
          </w:tcPr>
          <w:p w14:paraId="3B56088C">
            <w:pPr>
              <w:spacing w:line="360" w:lineRule="auto"/>
              <w:jc w:val="center"/>
              <w:rPr>
                <w:rFonts w:ascii="宋体" w:hAnsi="宋体" w:eastAsia="宋体"/>
                <w:color w:val="auto"/>
                <w:sz w:val="28"/>
                <w:szCs w:val="28"/>
                <w:highlight w:val="none"/>
              </w:rPr>
            </w:pPr>
          </w:p>
        </w:tc>
        <w:tc>
          <w:tcPr>
            <w:tcW w:w="1757" w:type="dxa"/>
            <w:gridSpan w:val="2"/>
            <w:noWrap w:val="0"/>
            <w:vAlign w:val="center"/>
          </w:tcPr>
          <w:p w14:paraId="1EDA3012">
            <w:pPr>
              <w:spacing w:line="360" w:lineRule="auto"/>
              <w:jc w:val="center"/>
              <w:rPr>
                <w:rFonts w:ascii="宋体" w:hAnsi="宋体" w:eastAsia="宋体"/>
                <w:color w:val="auto"/>
                <w:sz w:val="28"/>
                <w:szCs w:val="28"/>
                <w:highlight w:val="none"/>
              </w:rPr>
            </w:pPr>
          </w:p>
        </w:tc>
        <w:tc>
          <w:tcPr>
            <w:tcW w:w="1753" w:type="dxa"/>
            <w:gridSpan w:val="2"/>
            <w:noWrap w:val="0"/>
            <w:vAlign w:val="center"/>
          </w:tcPr>
          <w:p w14:paraId="5A62EF92">
            <w:pPr>
              <w:spacing w:line="360" w:lineRule="auto"/>
              <w:jc w:val="center"/>
              <w:rPr>
                <w:rFonts w:ascii="宋体" w:hAnsi="宋体" w:eastAsia="宋体"/>
                <w:color w:val="auto"/>
                <w:sz w:val="28"/>
                <w:szCs w:val="28"/>
                <w:highlight w:val="none"/>
              </w:rPr>
            </w:pPr>
          </w:p>
        </w:tc>
      </w:tr>
      <w:tr w14:paraId="623D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335" w:type="dxa"/>
            <w:gridSpan w:val="2"/>
            <w:vMerge w:val="continue"/>
            <w:noWrap w:val="0"/>
            <w:vAlign w:val="top"/>
          </w:tcPr>
          <w:p w14:paraId="70B52C32">
            <w:pPr>
              <w:spacing w:line="360" w:lineRule="auto"/>
              <w:rPr>
                <w:rFonts w:ascii="宋体" w:hAnsi="宋体" w:eastAsia="宋体"/>
                <w:color w:val="auto"/>
                <w:sz w:val="28"/>
                <w:szCs w:val="28"/>
                <w:highlight w:val="none"/>
              </w:rPr>
            </w:pPr>
          </w:p>
        </w:tc>
        <w:tc>
          <w:tcPr>
            <w:tcW w:w="2522" w:type="dxa"/>
            <w:gridSpan w:val="3"/>
            <w:noWrap w:val="0"/>
            <w:vAlign w:val="center"/>
          </w:tcPr>
          <w:p w14:paraId="61EA41FA">
            <w:pPr>
              <w:spacing w:line="360" w:lineRule="auto"/>
              <w:jc w:val="center"/>
              <w:rPr>
                <w:rFonts w:ascii="宋体" w:hAnsi="宋体" w:eastAsia="宋体"/>
                <w:color w:val="auto"/>
                <w:spacing w:val="-20"/>
                <w:sz w:val="28"/>
                <w:szCs w:val="28"/>
                <w:highlight w:val="none"/>
              </w:rPr>
            </w:pPr>
          </w:p>
        </w:tc>
        <w:tc>
          <w:tcPr>
            <w:tcW w:w="1754" w:type="dxa"/>
            <w:noWrap w:val="0"/>
            <w:vAlign w:val="center"/>
          </w:tcPr>
          <w:p w14:paraId="7332FC16">
            <w:pPr>
              <w:spacing w:line="360" w:lineRule="auto"/>
              <w:jc w:val="center"/>
              <w:rPr>
                <w:rFonts w:ascii="宋体" w:hAnsi="宋体" w:eastAsia="宋体"/>
                <w:color w:val="auto"/>
                <w:sz w:val="28"/>
                <w:szCs w:val="28"/>
                <w:highlight w:val="none"/>
              </w:rPr>
            </w:pPr>
          </w:p>
        </w:tc>
        <w:tc>
          <w:tcPr>
            <w:tcW w:w="1757" w:type="dxa"/>
            <w:gridSpan w:val="2"/>
            <w:noWrap w:val="0"/>
            <w:vAlign w:val="center"/>
          </w:tcPr>
          <w:p w14:paraId="18D8CC64">
            <w:pPr>
              <w:spacing w:line="360" w:lineRule="auto"/>
              <w:jc w:val="center"/>
              <w:rPr>
                <w:rFonts w:ascii="宋体" w:hAnsi="宋体" w:eastAsia="宋体"/>
                <w:color w:val="auto"/>
                <w:sz w:val="28"/>
                <w:szCs w:val="28"/>
                <w:highlight w:val="none"/>
              </w:rPr>
            </w:pPr>
          </w:p>
        </w:tc>
        <w:tc>
          <w:tcPr>
            <w:tcW w:w="1753" w:type="dxa"/>
            <w:gridSpan w:val="2"/>
            <w:noWrap w:val="0"/>
            <w:vAlign w:val="center"/>
          </w:tcPr>
          <w:p w14:paraId="7C48B84F">
            <w:pPr>
              <w:spacing w:line="360" w:lineRule="auto"/>
              <w:jc w:val="center"/>
              <w:rPr>
                <w:rFonts w:ascii="宋体" w:hAnsi="宋体" w:eastAsia="宋体"/>
                <w:color w:val="auto"/>
                <w:sz w:val="28"/>
                <w:szCs w:val="28"/>
                <w:highlight w:val="none"/>
              </w:rPr>
            </w:pPr>
          </w:p>
        </w:tc>
      </w:tr>
      <w:tr w14:paraId="19A4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335" w:type="dxa"/>
            <w:gridSpan w:val="2"/>
            <w:vMerge w:val="continue"/>
            <w:noWrap w:val="0"/>
            <w:vAlign w:val="top"/>
          </w:tcPr>
          <w:p w14:paraId="532E000E">
            <w:pPr>
              <w:spacing w:line="360" w:lineRule="auto"/>
              <w:rPr>
                <w:rFonts w:ascii="宋体" w:hAnsi="宋体" w:eastAsia="宋体"/>
                <w:color w:val="auto"/>
                <w:sz w:val="28"/>
                <w:szCs w:val="28"/>
                <w:highlight w:val="none"/>
              </w:rPr>
            </w:pPr>
          </w:p>
        </w:tc>
        <w:tc>
          <w:tcPr>
            <w:tcW w:w="2522" w:type="dxa"/>
            <w:gridSpan w:val="3"/>
            <w:noWrap w:val="0"/>
            <w:vAlign w:val="top"/>
          </w:tcPr>
          <w:p w14:paraId="0C0398C0">
            <w:pPr>
              <w:spacing w:line="360" w:lineRule="auto"/>
              <w:rPr>
                <w:rFonts w:ascii="宋体" w:hAnsi="宋体" w:eastAsia="宋体"/>
                <w:color w:val="auto"/>
                <w:sz w:val="28"/>
                <w:szCs w:val="28"/>
                <w:highlight w:val="none"/>
              </w:rPr>
            </w:pPr>
          </w:p>
        </w:tc>
        <w:tc>
          <w:tcPr>
            <w:tcW w:w="1754" w:type="dxa"/>
            <w:noWrap w:val="0"/>
            <w:vAlign w:val="top"/>
          </w:tcPr>
          <w:p w14:paraId="3ED7DE63">
            <w:pPr>
              <w:spacing w:line="360" w:lineRule="auto"/>
              <w:rPr>
                <w:rFonts w:ascii="宋体" w:hAnsi="宋体" w:eastAsia="宋体"/>
                <w:color w:val="auto"/>
                <w:sz w:val="28"/>
                <w:szCs w:val="28"/>
                <w:highlight w:val="none"/>
              </w:rPr>
            </w:pPr>
          </w:p>
        </w:tc>
        <w:tc>
          <w:tcPr>
            <w:tcW w:w="1757" w:type="dxa"/>
            <w:gridSpan w:val="2"/>
            <w:noWrap w:val="0"/>
            <w:vAlign w:val="top"/>
          </w:tcPr>
          <w:p w14:paraId="572D0961">
            <w:pPr>
              <w:spacing w:line="360" w:lineRule="auto"/>
              <w:rPr>
                <w:rFonts w:ascii="宋体" w:hAnsi="宋体" w:eastAsia="宋体"/>
                <w:color w:val="auto"/>
                <w:sz w:val="28"/>
                <w:szCs w:val="28"/>
                <w:highlight w:val="none"/>
              </w:rPr>
            </w:pPr>
          </w:p>
        </w:tc>
        <w:tc>
          <w:tcPr>
            <w:tcW w:w="1753" w:type="dxa"/>
            <w:gridSpan w:val="2"/>
            <w:noWrap w:val="0"/>
            <w:vAlign w:val="top"/>
          </w:tcPr>
          <w:p w14:paraId="56FD98B3">
            <w:pPr>
              <w:spacing w:line="360" w:lineRule="auto"/>
              <w:rPr>
                <w:rFonts w:ascii="宋体" w:hAnsi="宋体" w:eastAsia="宋体"/>
                <w:color w:val="auto"/>
                <w:sz w:val="28"/>
                <w:szCs w:val="28"/>
                <w:highlight w:val="none"/>
              </w:rPr>
            </w:pPr>
          </w:p>
        </w:tc>
      </w:tr>
      <w:tr w14:paraId="1CC8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35" w:type="dxa"/>
            <w:gridSpan w:val="2"/>
            <w:vMerge w:val="continue"/>
            <w:noWrap w:val="0"/>
            <w:vAlign w:val="top"/>
          </w:tcPr>
          <w:p w14:paraId="7C460933">
            <w:pPr>
              <w:spacing w:line="360" w:lineRule="auto"/>
              <w:rPr>
                <w:rFonts w:ascii="宋体" w:hAnsi="宋体" w:eastAsia="宋体"/>
                <w:color w:val="auto"/>
                <w:sz w:val="28"/>
                <w:szCs w:val="28"/>
                <w:highlight w:val="none"/>
              </w:rPr>
            </w:pPr>
          </w:p>
        </w:tc>
        <w:tc>
          <w:tcPr>
            <w:tcW w:w="2522" w:type="dxa"/>
            <w:gridSpan w:val="3"/>
            <w:noWrap w:val="0"/>
            <w:vAlign w:val="top"/>
          </w:tcPr>
          <w:p w14:paraId="50E8AF6F">
            <w:pPr>
              <w:spacing w:line="360" w:lineRule="auto"/>
              <w:rPr>
                <w:rFonts w:ascii="宋体" w:hAnsi="宋体" w:eastAsia="宋体"/>
                <w:color w:val="auto"/>
                <w:sz w:val="28"/>
                <w:szCs w:val="28"/>
                <w:highlight w:val="none"/>
              </w:rPr>
            </w:pPr>
          </w:p>
        </w:tc>
        <w:tc>
          <w:tcPr>
            <w:tcW w:w="1754" w:type="dxa"/>
            <w:noWrap w:val="0"/>
            <w:vAlign w:val="top"/>
          </w:tcPr>
          <w:p w14:paraId="76C90583">
            <w:pPr>
              <w:spacing w:line="360" w:lineRule="auto"/>
              <w:rPr>
                <w:rFonts w:ascii="宋体" w:hAnsi="宋体" w:eastAsia="宋体"/>
                <w:color w:val="auto"/>
                <w:sz w:val="28"/>
                <w:szCs w:val="28"/>
                <w:highlight w:val="none"/>
              </w:rPr>
            </w:pPr>
          </w:p>
        </w:tc>
        <w:tc>
          <w:tcPr>
            <w:tcW w:w="1757" w:type="dxa"/>
            <w:gridSpan w:val="2"/>
            <w:noWrap w:val="0"/>
            <w:vAlign w:val="top"/>
          </w:tcPr>
          <w:p w14:paraId="121F0203">
            <w:pPr>
              <w:spacing w:line="360" w:lineRule="auto"/>
              <w:rPr>
                <w:rFonts w:ascii="宋体" w:hAnsi="宋体" w:eastAsia="宋体"/>
                <w:color w:val="auto"/>
                <w:sz w:val="28"/>
                <w:szCs w:val="28"/>
                <w:highlight w:val="none"/>
              </w:rPr>
            </w:pPr>
          </w:p>
        </w:tc>
        <w:tc>
          <w:tcPr>
            <w:tcW w:w="1753" w:type="dxa"/>
            <w:gridSpan w:val="2"/>
            <w:noWrap w:val="0"/>
            <w:vAlign w:val="top"/>
          </w:tcPr>
          <w:p w14:paraId="2AB074E1">
            <w:pPr>
              <w:spacing w:line="360" w:lineRule="auto"/>
              <w:rPr>
                <w:rFonts w:ascii="宋体" w:hAnsi="宋体" w:eastAsia="宋体"/>
                <w:color w:val="auto"/>
                <w:sz w:val="28"/>
                <w:szCs w:val="28"/>
                <w:highlight w:val="none"/>
              </w:rPr>
            </w:pPr>
          </w:p>
        </w:tc>
      </w:tr>
      <w:tr w14:paraId="39F8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335" w:type="dxa"/>
            <w:gridSpan w:val="2"/>
            <w:vMerge w:val="continue"/>
            <w:noWrap w:val="0"/>
            <w:vAlign w:val="top"/>
          </w:tcPr>
          <w:p w14:paraId="02582A1C">
            <w:pPr>
              <w:spacing w:line="360" w:lineRule="auto"/>
              <w:rPr>
                <w:rFonts w:ascii="宋体" w:hAnsi="宋体" w:eastAsia="宋体"/>
                <w:color w:val="auto"/>
                <w:sz w:val="28"/>
                <w:szCs w:val="28"/>
                <w:highlight w:val="none"/>
              </w:rPr>
            </w:pPr>
          </w:p>
        </w:tc>
        <w:tc>
          <w:tcPr>
            <w:tcW w:w="2522" w:type="dxa"/>
            <w:gridSpan w:val="3"/>
            <w:noWrap w:val="0"/>
            <w:vAlign w:val="top"/>
          </w:tcPr>
          <w:p w14:paraId="1802B62A">
            <w:pPr>
              <w:spacing w:line="360" w:lineRule="auto"/>
              <w:rPr>
                <w:rFonts w:ascii="宋体" w:hAnsi="宋体" w:eastAsia="宋体"/>
                <w:color w:val="auto"/>
                <w:sz w:val="28"/>
                <w:szCs w:val="28"/>
                <w:highlight w:val="none"/>
              </w:rPr>
            </w:pPr>
          </w:p>
        </w:tc>
        <w:tc>
          <w:tcPr>
            <w:tcW w:w="1754" w:type="dxa"/>
            <w:noWrap w:val="0"/>
            <w:vAlign w:val="top"/>
          </w:tcPr>
          <w:p w14:paraId="5ED125F3">
            <w:pPr>
              <w:spacing w:line="360" w:lineRule="auto"/>
              <w:rPr>
                <w:rFonts w:ascii="宋体" w:hAnsi="宋体" w:eastAsia="宋体"/>
                <w:color w:val="auto"/>
                <w:sz w:val="28"/>
                <w:szCs w:val="28"/>
                <w:highlight w:val="none"/>
              </w:rPr>
            </w:pPr>
          </w:p>
        </w:tc>
        <w:tc>
          <w:tcPr>
            <w:tcW w:w="1757" w:type="dxa"/>
            <w:gridSpan w:val="2"/>
            <w:noWrap w:val="0"/>
            <w:vAlign w:val="top"/>
          </w:tcPr>
          <w:p w14:paraId="07331F9E">
            <w:pPr>
              <w:spacing w:line="360" w:lineRule="auto"/>
              <w:rPr>
                <w:rFonts w:ascii="宋体" w:hAnsi="宋体" w:eastAsia="宋体"/>
                <w:color w:val="auto"/>
                <w:sz w:val="28"/>
                <w:szCs w:val="28"/>
                <w:highlight w:val="none"/>
              </w:rPr>
            </w:pPr>
          </w:p>
        </w:tc>
        <w:tc>
          <w:tcPr>
            <w:tcW w:w="1753" w:type="dxa"/>
            <w:gridSpan w:val="2"/>
            <w:noWrap w:val="0"/>
            <w:vAlign w:val="top"/>
          </w:tcPr>
          <w:p w14:paraId="1D030FC1">
            <w:pPr>
              <w:spacing w:line="360" w:lineRule="auto"/>
              <w:rPr>
                <w:rFonts w:ascii="宋体" w:hAnsi="宋体" w:eastAsia="宋体"/>
                <w:color w:val="auto"/>
                <w:sz w:val="28"/>
                <w:szCs w:val="28"/>
                <w:highlight w:val="none"/>
              </w:rPr>
            </w:pPr>
          </w:p>
        </w:tc>
      </w:tr>
    </w:tbl>
    <w:p w14:paraId="384FC6BA">
      <w:pPr>
        <w:spacing w:line="360" w:lineRule="auto"/>
        <w:rPr>
          <w:rFonts w:hint="eastAsia" w:ascii="宋体" w:hAnsi="宋体" w:eastAsia="宋体"/>
          <w:color w:val="auto"/>
          <w:sz w:val="28"/>
          <w:szCs w:val="28"/>
          <w:highlight w:val="none"/>
        </w:rPr>
      </w:pPr>
      <w:bookmarkStart w:id="123" w:name="_Toc532348633"/>
    </w:p>
    <w:p w14:paraId="289C215D">
      <w:pPr>
        <w:spacing w:line="360" w:lineRule="auto"/>
        <w:rPr>
          <w:rFonts w:hint="eastAsia"/>
          <w:color w:val="auto"/>
          <w:sz w:val="28"/>
          <w:szCs w:val="28"/>
          <w:highlight w:val="none"/>
        </w:rPr>
      </w:pPr>
    </w:p>
    <w:p w14:paraId="20458896">
      <w:pPr>
        <w:keepNext/>
        <w:keepLines/>
        <w:numPr>
          <w:ilvl w:val="0"/>
          <w:numId w:val="10"/>
        </w:numPr>
        <w:spacing w:before="260" w:after="260" w:line="415" w:lineRule="auto"/>
        <w:jc w:val="left"/>
        <w:outlineLvl w:val="1"/>
        <w:rPr>
          <w:rFonts w:hint="eastAsia" w:ascii="仿宋_GB2312"/>
          <w:color w:val="auto"/>
          <w:sz w:val="28"/>
          <w:highlight w:val="none"/>
        </w:rPr>
      </w:pPr>
      <w:bookmarkStart w:id="124" w:name="_Toc23123"/>
      <w:r>
        <w:rPr>
          <w:rFonts w:hint="eastAsia" w:ascii="仿宋_GB2312"/>
          <w:color w:val="auto"/>
          <w:sz w:val="28"/>
          <w:highlight w:val="none"/>
        </w:rPr>
        <w:t>投标人告知承诺函</w:t>
      </w:r>
      <w:bookmarkEnd w:id="124"/>
    </w:p>
    <w:p w14:paraId="74EC223E">
      <w:pPr>
        <w:keepNext/>
        <w:keepLines/>
        <w:spacing w:before="260" w:after="260" w:line="415" w:lineRule="auto"/>
        <w:jc w:val="center"/>
        <w:outlineLvl w:val="1"/>
        <w:rPr>
          <w:rFonts w:hint="eastAsia" w:ascii="宋体" w:hAnsi="宋体" w:eastAsia="宋体" w:cs="宋体"/>
          <w:color w:val="auto"/>
          <w:sz w:val="28"/>
          <w:szCs w:val="28"/>
          <w:highlight w:val="none"/>
          <w:u w:val="single"/>
        </w:rPr>
      </w:pPr>
      <w:bookmarkStart w:id="125" w:name="_Toc20870"/>
      <w:r>
        <w:rPr>
          <w:rFonts w:hint="eastAsia" w:ascii="宋体" w:hAnsi="宋体" w:eastAsia="宋体" w:cs="宋体"/>
          <w:b/>
          <w:color w:val="auto"/>
          <w:sz w:val="28"/>
          <w:szCs w:val="28"/>
          <w:highlight w:val="none"/>
        </w:rPr>
        <w:t>投标人告知承诺函</w:t>
      </w:r>
      <w:bookmarkEnd w:id="125"/>
    </w:p>
    <w:p w14:paraId="5B555DBC">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招标人名称、行政监管部门：</w:t>
      </w:r>
    </w:p>
    <w:p w14:paraId="24621FBD">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我单位参与</w:t>
      </w:r>
      <w:r>
        <w:rPr>
          <w:rFonts w:hint="eastAsia" w:ascii="宋体" w:hAnsi="宋体" w:eastAsia="宋体" w:cs="宋体"/>
          <w:color w:val="auto"/>
          <w:sz w:val="28"/>
          <w:szCs w:val="28"/>
          <w:highlight w:val="none"/>
          <w:u w:val="single"/>
        </w:rPr>
        <w:t>（招标项目名称）</w:t>
      </w:r>
      <w:r>
        <w:rPr>
          <w:rFonts w:hint="eastAsia" w:ascii="宋体" w:hAnsi="宋体" w:eastAsia="宋体" w:cs="宋体"/>
          <w:color w:val="auto"/>
          <w:sz w:val="28"/>
          <w:szCs w:val="28"/>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5EAF2EF1">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一、我单位和我本人遵循公开、公平、公正、诚实守信的原则，依法依规参与本项目投标。</w:t>
      </w:r>
    </w:p>
    <w:p w14:paraId="2B5256AB">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二、我单位具有参与本次投标的资质和能力，公司运营状况良好，不存在挂靠投标、不受让、租借、出租、出借资格或资质证书，无处罚期内的不良行为。</w:t>
      </w:r>
    </w:p>
    <w:p w14:paraId="5C278D55">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三、我单位在本项目投标过程中从招标公告/投标邀请书列明的渠道获取招标文件，没有通过其他不正当渠道获取招标文件。</w:t>
      </w:r>
    </w:p>
    <w:p w14:paraId="15DC2D8F">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四、我单位承诺投标文件由本单位员工独立编制，严格遵守保密义务。所提供的一切投标相关材料都是真实、有效、合法的。</w:t>
      </w:r>
    </w:p>
    <w:p w14:paraId="0DD2A835">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五、我单位不与其他投标人相互串通投标报价，不恶意压低或抬高投标报价，不排挤其他投标人的公平竞争，不损害招标人或其他投标人的合法权益。</w:t>
      </w:r>
    </w:p>
    <w:p w14:paraId="793F954E">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六、我单位不与招标人或招标代理机构串通投标，损害国家利益、社会公共利益或者他人的合法权益。</w:t>
      </w:r>
    </w:p>
    <w:p w14:paraId="3DAF1300">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七、我单位不向招标人或者评标委员会成员行贿以牟取中标，不在开标后进行虚假恶意投诉。</w:t>
      </w:r>
    </w:p>
    <w:p w14:paraId="64AE3F9D">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44ABC309">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九、我单位如在本项目招标投标活动评标工作中存在串通投标、弄虚作假等行为的，本单位及本人自愿承担法律责任，接受相应刑事、纪律和行政处罚以及失信惩戒。</w:t>
      </w:r>
    </w:p>
    <w:p w14:paraId="1935C545">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十、本承诺函由我单位盖章及法定代表人（授权委托人）本人亲自签字确认。</w:t>
      </w:r>
    </w:p>
    <w:p w14:paraId="56B67326">
      <w:pPr>
        <w:spacing w:line="600" w:lineRule="exact"/>
        <w:ind w:firstLine="560" w:firstLineChars="200"/>
        <w:rPr>
          <w:rFonts w:hint="eastAsia" w:ascii="宋体" w:hAnsi="宋体" w:eastAsia="宋体" w:cs="宋体"/>
          <w:color w:val="auto"/>
          <w:sz w:val="28"/>
          <w:szCs w:val="28"/>
          <w:highlight w:val="none"/>
          <w:shd w:val="clear" w:color="auto" w:fill="FFFFFF"/>
        </w:rPr>
      </w:pPr>
    </w:p>
    <w:p w14:paraId="36857A2F">
      <w:pPr>
        <w:spacing w:line="600" w:lineRule="exact"/>
        <w:ind w:firstLine="560" w:firstLineChars="200"/>
        <w:rPr>
          <w:rFonts w:hint="eastAsia" w:ascii="宋体" w:hAnsi="宋体" w:eastAsia="宋体" w:cs="宋体"/>
          <w:color w:val="auto"/>
          <w:sz w:val="28"/>
          <w:szCs w:val="28"/>
          <w:highlight w:val="none"/>
          <w:shd w:val="clear" w:color="auto" w:fill="FFFFFF"/>
        </w:rPr>
      </w:pPr>
    </w:p>
    <w:p w14:paraId="7320D7FA">
      <w:pPr>
        <w:spacing w:line="6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承诺单位：   （盖单位公章）</w:t>
      </w:r>
    </w:p>
    <w:p w14:paraId="481211E8">
      <w:pPr>
        <w:spacing w:line="600" w:lineRule="exact"/>
        <w:rPr>
          <w:rFonts w:hint="eastAsia" w:ascii="宋体" w:hAnsi="宋体" w:eastAsia="宋体" w:cs="宋体"/>
          <w:color w:val="auto"/>
          <w:sz w:val="28"/>
          <w:szCs w:val="28"/>
          <w:highlight w:val="none"/>
        </w:rPr>
      </w:pPr>
    </w:p>
    <w:p w14:paraId="7ABE197A">
      <w:pPr>
        <w:spacing w:line="6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法定代表人（授权委托人）：     （签字）</w:t>
      </w:r>
    </w:p>
    <w:p w14:paraId="16A262AF">
      <w:pPr>
        <w:spacing w:line="600" w:lineRule="exact"/>
        <w:rPr>
          <w:rFonts w:hint="eastAsia" w:ascii="宋体" w:hAnsi="宋体" w:eastAsia="宋体" w:cs="宋体"/>
          <w:color w:val="auto"/>
          <w:sz w:val="28"/>
          <w:szCs w:val="28"/>
          <w:highlight w:val="none"/>
        </w:rPr>
      </w:pPr>
    </w:p>
    <w:p w14:paraId="3725CE85">
      <w:pPr>
        <w:spacing w:line="600" w:lineRule="exact"/>
        <w:rPr>
          <w:rFonts w:hint="eastAsia" w:ascii="宋体" w:hAnsi="宋体" w:eastAsia="宋体" w:cs="宋体"/>
          <w:color w:val="auto"/>
          <w:sz w:val="28"/>
          <w:szCs w:val="28"/>
          <w:highlight w:val="none"/>
        </w:rPr>
      </w:pPr>
    </w:p>
    <w:p w14:paraId="3BEEC0F3">
      <w:pPr>
        <w:spacing w:line="600" w:lineRule="exact"/>
        <w:ind w:right="-58" w:firstLine="3920" w:firstLineChars="1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承诺时间：    年  月  日</w:t>
      </w:r>
    </w:p>
    <w:p w14:paraId="6AD7976C">
      <w:pPr>
        <w:spacing w:before="360" w:after="217"/>
        <w:rPr>
          <w:rFonts w:hint="eastAsia" w:ascii="宋体" w:hAnsi="宋体" w:eastAsia="宋体" w:cs="宋体"/>
          <w:color w:val="auto"/>
          <w:sz w:val="28"/>
          <w:szCs w:val="28"/>
          <w:highlight w:val="none"/>
        </w:rPr>
      </w:pPr>
    </w:p>
    <w:p w14:paraId="78A2160F">
      <w:pPr>
        <w:pStyle w:val="11"/>
        <w:rPr>
          <w:rFonts w:hint="eastAsia" w:ascii="宋体" w:hAnsi="宋体" w:eastAsia="宋体" w:cs="宋体"/>
          <w:color w:val="auto"/>
          <w:sz w:val="28"/>
          <w:szCs w:val="28"/>
          <w:highlight w:val="none"/>
        </w:rPr>
      </w:pPr>
    </w:p>
    <w:p w14:paraId="527E2C8D">
      <w:pPr>
        <w:pStyle w:val="12"/>
        <w:ind w:firstLine="0"/>
        <w:rPr>
          <w:rFonts w:hint="eastAsia"/>
          <w:color w:val="auto"/>
          <w:sz w:val="28"/>
          <w:highlight w:val="none"/>
        </w:rPr>
      </w:pPr>
    </w:p>
    <w:p w14:paraId="48D6226F">
      <w:pPr>
        <w:pStyle w:val="12"/>
        <w:ind w:firstLine="0"/>
        <w:rPr>
          <w:rFonts w:hint="eastAsia"/>
          <w:color w:val="auto"/>
          <w:sz w:val="28"/>
          <w:highlight w:val="none"/>
        </w:rPr>
      </w:pPr>
    </w:p>
    <w:p w14:paraId="3BCB7176">
      <w:pPr>
        <w:pStyle w:val="12"/>
        <w:ind w:firstLine="0"/>
        <w:rPr>
          <w:rFonts w:hint="eastAsia"/>
          <w:color w:val="auto"/>
          <w:sz w:val="28"/>
          <w:highlight w:val="none"/>
        </w:rPr>
      </w:pPr>
    </w:p>
    <w:p w14:paraId="08246258">
      <w:pPr>
        <w:pStyle w:val="12"/>
        <w:ind w:firstLine="0"/>
        <w:rPr>
          <w:rFonts w:hint="eastAsia"/>
          <w:color w:val="auto"/>
          <w:sz w:val="28"/>
          <w:highlight w:val="none"/>
        </w:rPr>
      </w:pPr>
    </w:p>
    <w:p w14:paraId="41ADBBD6">
      <w:pPr>
        <w:pStyle w:val="12"/>
        <w:ind w:firstLine="0"/>
        <w:rPr>
          <w:rFonts w:hint="eastAsia"/>
          <w:color w:val="auto"/>
          <w:sz w:val="28"/>
          <w:highlight w:val="none"/>
        </w:rPr>
      </w:pPr>
    </w:p>
    <w:p w14:paraId="09007DD5">
      <w:pPr>
        <w:pStyle w:val="12"/>
        <w:ind w:firstLine="0"/>
        <w:rPr>
          <w:rFonts w:hint="eastAsia"/>
          <w:color w:val="auto"/>
          <w:sz w:val="28"/>
          <w:highlight w:val="none"/>
        </w:rPr>
      </w:pPr>
    </w:p>
    <w:p w14:paraId="40A59F37">
      <w:pPr>
        <w:pStyle w:val="12"/>
        <w:ind w:firstLine="0"/>
        <w:rPr>
          <w:rFonts w:hint="eastAsia"/>
          <w:color w:val="auto"/>
          <w:sz w:val="28"/>
          <w:highlight w:val="none"/>
        </w:rPr>
      </w:pPr>
    </w:p>
    <w:p w14:paraId="1FE0D55D">
      <w:pPr>
        <w:pStyle w:val="12"/>
        <w:ind w:firstLine="0"/>
        <w:rPr>
          <w:rFonts w:hint="eastAsia"/>
          <w:color w:val="auto"/>
          <w:sz w:val="28"/>
          <w:highlight w:val="none"/>
        </w:rPr>
      </w:pPr>
    </w:p>
    <w:p w14:paraId="0B72520A">
      <w:pPr>
        <w:pStyle w:val="12"/>
        <w:ind w:firstLine="0"/>
        <w:rPr>
          <w:rFonts w:hint="eastAsia"/>
          <w:color w:val="auto"/>
          <w:sz w:val="28"/>
          <w:highlight w:val="none"/>
        </w:rPr>
      </w:pPr>
    </w:p>
    <w:p w14:paraId="30450B14">
      <w:pPr>
        <w:pStyle w:val="12"/>
        <w:ind w:firstLine="0"/>
        <w:rPr>
          <w:rFonts w:hint="eastAsia"/>
          <w:color w:val="auto"/>
          <w:sz w:val="28"/>
          <w:highlight w:val="none"/>
        </w:rPr>
      </w:pPr>
    </w:p>
    <w:p w14:paraId="627E98F2">
      <w:pPr>
        <w:pStyle w:val="12"/>
        <w:ind w:firstLine="0"/>
        <w:rPr>
          <w:rFonts w:hint="eastAsia"/>
          <w:color w:val="auto"/>
          <w:sz w:val="28"/>
          <w:highlight w:val="none"/>
        </w:rPr>
      </w:pPr>
    </w:p>
    <w:p w14:paraId="287C2896">
      <w:pPr>
        <w:spacing w:before="120" w:after="217"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5、所承建的类似监理工程情况一览表</w:t>
      </w:r>
      <w:bookmarkEnd w:id="123"/>
    </w:p>
    <w:tbl>
      <w:tblPr>
        <w:tblStyle w:val="2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1440"/>
        <w:gridCol w:w="1200"/>
        <w:gridCol w:w="1320"/>
        <w:gridCol w:w="1320"/>
        <w:gridCol w:w="1200"/>
        <w:gridCol w:w="1200"/>
      </w:tblGrid>
      <w:tr w14:paraId="56A9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468" w:type="dxa"/>
            <w:noWrap w:val="0"/>
            <w:vAlign w:val="center"/>
          </w:tcPr>
          <w:p w14:paraId="4A89C1CB">
            <w:pPr>
              <w:spacing w:line="360" w:lineRule="auto"/>
              <w:jc w:val="center"/>
              <w:rPr>
                <w:rFonts w:ascii="宋体" w:hAnsi="宋体" w:eastAsia="宋体"/>
                <w:color w:val="auto"/>
                <w:sz w:val="28"/>
                <w:szCs w:val="28"/>
                <w:highlight w:val="none"/>
              </w:rPr>
            </w:pPr>
          </w:p>
          <w:p w14:paraId="76ED7A15">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建设单位</w:t>
            </w:r>
          </w:p>
          <w:p w14:paraId="1D71CF13">
            <w:pPr>
              <w:spacing w:line="360" w:lineRule="auto"/>
              <w:jc w:val="center"/>
              <w:rPr>
                <w:rFonts w:ascii="宋体" w:hAnsi="宋体" w:eastAsia="宋体"/>
                <w:color w:val="auto"/>
                <w:sz w:val="28"/>
                <w:szCs w:val="28"/>
                <w:highlight w:val="none"/>
              </w:rPr>
            </w:pPr>
          </w:p>
        </w:tc>
        <w:tc>
          <w:tcPr>
            <w:tcW w:w="1440" w:type="dxa"/>
            <w:noWrap w:val="0"/>
            <w:vAlign w:val="center"/>
          </w:tcPr>
          <w:p w14:paraId="30C2C73C">
            <w:pPr>
              <w:spacing w:line="360" w:lineRule="auto"/>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工程名称及</w:t>
            </w:r>
          </w:p>
          <w:p w14:paraId="3674C8A4">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建设地点</w:t>
            </w:r>
          </w:p>
        </w:tc>
        <w:tc>
          <w:tcPr>
            <w:tcW w:w="1200" w:type="dxa"/>
            <w:noWrap w:val="0"/>
            <w:vAlign w:val="center"/>
          </w:tcPr>
          <w:p w14:paraId="37E12C50">
            <w:pPr>
              <w:spacing w:line="360" w:lineRule="auto"/>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类型</w:t>
            </w:r>
          </w:p>
        </w:tc>
        <w:tc>
          <w:tcPr>
            <w:tcW w:w="1320" w:type="dxa"/>
            <w:noWrap w:val="0"/>
            <w:vAlign w:val="center"/>
          </w:tcPr>
          <w:p w14:paraId="078EFD6D">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建设规模</w:t>
            </w:r>
          </w:p>
        </w:tc>
        <w:tc>
          <w:tcPr>
            <w:tcW w:w="1320" w:type="dxa"/>
            <w:noWrap w:val="0"/>
            <w:vAlign w:val="center"/>
          </w:tcPr>
          <w:p w14:paraId="3FFE1E01">
            <w:pPr>
              <w:spacing w:line="360" w:lineRule="auto"/>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开竣工</w:t>
            </w:r>
          </w:p>
          <w:p w14:paraId="0E93CFAA">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日  期</w:t>
            </w:r>
          </w:p>
        </w:tc>
        <w:tc>
          <w:tcPr>
            <w:tcW w:w="1200" w:type="dxa"/>
            <w:noWrap w:val="0"/>
            <w:vAlign w:val="center"/>
          </w:tcPr>
          <w:p w14:paraId="670031B4">
            <w:pPr>
              <w:spacing w:line="360" w:lineRule="auto"/>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合同</w:t>
            </w:r>
          </w:p>
          <w:p w14:paraId="0CB1E23F">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价格</w:t>
            </w:r>
          </w:p>
        </w:tc>
        <w:tc>
          <w:tcPr>
            <w:tcW w:w="1200" w:type="dxa"/>
            <w:noWrap w:val="0"/>
            <w:vAlign w:val="center"/>
          </w:tcPr>
          <w:p w14:paraId="3115998E">
            <w:pPr>
              <w:spacing w:line="360" w:lineRule="auto"/>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质量达</w:t>
            </w:r>
          </w:p>
          <w:p w14:paraId="1AFCED1B">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到标准</w:t>
            </w:r>
          </w:p>
        </w:tc>
      </w:tr>
      <w:tr w14:paraId="0FBBB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468" w:type="dxa"/>
            <w:noWrap w:val="0"/>
            <w:vAlign w:val="top"/>
          </w:tcPr>
          <w:p w14:paraId="5C83BD98">
            <w:pPr>
              <w:spacing w:before="100" w:after="100" w:line="360" w:lineRule="auto"/>
              <w:jc w:val="center"/>
              <w:rPr>
                <w:rFonts w:ascii="宋体" w:hAnsi="宋体" w:eastAsia="宋体"/>
                <w:color w:val="auto"/>
                <w:sz w:val="28"/>
                <w:szCs w:val="28"/>
                <w:highlight w:val="none"/>
              </w:rPr>
            </w:pPr>
          </w:p>
        </w:tc>
        <w:tc>
          <w:tcPr>
            <w:tcW w:w="1440" w:type="dxa"/>
            <w:noWrap w:val="0"/>
            <w:vAlign w:val="top"/>
          </w:tcPr>
          <w:p w14:paraId="659CE1AC">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6ECF4569">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139A5668">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315EE14E">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4749D57A">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429A3A50">
            <w:pPr>
              <w:spacing w:before="100" w:after="100" w:line="360" w:lineRule="auto"/>
              <w:jc w:val="center"/>
              <w:rPr>
                <w:rFonts w:ascii="宋体" w:hAnsi="宋体" w:eastAsia="宋体"/>
                <w:color w:val="auto"/>
                <w:sz w:val="28"/>
                <w:szCs w:val="28"/>
                <w:highlight w:val="none"/>
              </w:rPr>
            </w:pPr>
          </w:p>
        </w:tc>
      </w:tr>
      <w:tr w14:paraId="4017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468" w:type="dxa"/>
            <w:noWrap w:val="0"/>
            <w:vAlign w:val="top"/>
          </w:tcPr>
          <w:p w14:paraId="1A26391D">
            <w:pPr>
              <w:spacing w:before="100" w:after="100" w:line="360" w:lineRule="auto"/>
              <w:jc w:val="center"/>
              <w:rPr>
                <w:rFonts w:ascii="宋体" w:hAnsi="宋体" w:eastAsia="宋体"/>
                <w:color w:val="auto"/>
                <w:sz w:val="28"/>
                <w:szCs w:val="28"/>
                <w:highlight w:val="none"/>
              </w:rPr>
            </w:pPr>
          </w:p>
        </w:tc>
        <w:tc>
          <w:tcPr>
            <w:tcW w:w="1440" w:type="dxa"/>
            <w:noWrap w:val="0"/>
            <w:vAlign w:val="top"/>
          </w:tcPr>
          <w:p w14:paraId="41ACB53B">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6227F2A0">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5A3B6F10">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3745188F">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60AA0F30">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65680431">
            <w:pPr>
              <w:spacing w:before="100" w:after="100" w:line="360" w:lineRule="auto"/>
              <w:jc w:val="center"/>
              <w:rPr>
                <w:rFonts w:ascii="宋体" w:hAnsi="宋体" w:eastAsia="宋体"/>
                <w:color w:val="auto"/>
                <w:sz w:val="28"/>
                <w:szCs w:val="28"/>
                <w:highlight w:val="none"/>
              </w:rPr>
            </w:pPr>
          </w:p>
        </w:tc>
      </w:tr>
      <w:tr w14:paraId="11A51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468" w:type="dxa"/>
            <w:noWrap w:val="0"/>
            <w:vAlign w:val="top"/>
          </w:tcPr>
          <w:p w14:paraId="740FDEDB">
            <w:pPr>
              <w:spacing w:before="100" w:after="100" w:line="360" w:lineRule="auto"/>
              <w:jc w:val="center"/>
              <w:rPr>
                <w:rFonts w:ascii="宋体" w:hAnsi="宋体" w:eastAsia="宋体"/>
                <w:color w:val="auto"/>
                <w:sz w:val="28"/>
                <w:szCs w:val="28"/>
                <w:highlight w:val="none"/>
              </w:rPr>
            </w:pPr>
          </w:p>
        </w:tc>
        <w:tc>
          <w:tcPr>
            <w:tcW w:w="1440" w:type="dxa"/>
            <w:noWrap w:val="0"/>
            <w:vAlign w:val="top"/>
          </w:tcPr>
          <w:p w14:paraId="410E6388">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26396CE9">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21FE1B15">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1C241784">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4513412B">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495CBAE5">
            <w:pPr>
              <w:spacing w:before="100" w:after="100" w:line="360" w:lineRule="auto"/>
              <w:jc w:val="center"/>
              <w:rPr>
                <w:rFonts w:ascii="宋体" w:hAnsi="宋体" w:eastAsia="宋体"/>
                <w:color w:val="auto"/>
                <w:sz w:val="28"/>
                <w:szCs w:val="28"/>
                <w:highlight w:val="none"/>
              </w:rPr>
            </w:pPr>
          </w:p>
        </w:tc>
      </w:tr>
      <w:tr w14:paraId="065A8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468" w:type="dxa"/>
            <w:noWrap w:val="0"/>
            <w:vAlign w:val="top"/>
          </w:tcPr>
          <w:p w14:paraId="0D15D1EE">
            <w:pPr>
              <w:spacing w:before="100" w:after="100" w:line="360" w:lineRule="auto"/>
              <w:jc w:val="center"/>
              <w:rPr>
                <w:rFonts w:ascii="宋体" w:hAnsi="宋体" w:eastAsia="宋体"/>
                <w:color w:val="auto"/>
                <w:sz w:val="28"/>
                <w:szCs w:val="28"/>
                <w:highlight w:val="none"/>
              </w:rPr>
            </w:pPr>
          </w:p>
        </w:tc>
        <w:tc>
          <w:tcPr>
            <w:tcW w:w="1440" w:type="dxa"/>
            <w:noWrap w:val="0"/>
            <w:vAlign w:val="top"/>
          </w:tcPr>
          <w:p w14:paraId="2579AB46">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644F42E7">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0DB02D44">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49636806">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3E929868">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0B600D64">
            <w:pPr>
              <w:spacing w:before="100" w:after="100" w:line="360" w:lineRule="auto"/>
              <w:jc w:val="center"/>
              <w:rPr>
                <w:rFonts w:ascii="宋体" w:hAnsi="宋体" w:eastAsia="宋体"/>
                <w:color w:val="auto"/>
                <w:sz w:val="28"/>
                <w:szCs w:val="28"/>
                <w:highlight w:val="none"/>
              </w:rPr>
            </w:pPr>
          </w:p>
        </w:tc>
      </w:tr>
      <w:tr w14:paraId="5E74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468" w:type="dxa"/>
            <w:noWrap w:val="0"/>
            <w:vAlign w:val="top"/>
          </w:tcPr>
          <w:p w14:paraId="2005218A">
            <w:pPr>
              <w:spacing w:before="100" w:after="100" w:line="360" w:lineRule="auto"/>
              <w:jc w:val="center"/>
              <w:rPr>
                <w:rFonts w:ascii="宋体" w:hAnsi="宋体" w:eastAsia="宋体"/>
                <w:color w:val="auto"/>
                <w:sz w:val="28"/>
                <w:szCs w:val="28"/>
                <w:highlight w:val="none"/>
              </w:rPr>
            </w:pPr>
            <w:bookmarkStart w:id="126" w:name="_Toc532348634"/>
          </w:p>
        </w:tc>
        <w:tc>
          <w:tcPr>
            <w:tcW w:w="1440" w:type="dxa"/>
            <w:noWrap w:val="0"/>
            <w:vAlign w:val="top"/>
          </w:tcPr>
          <w:p w14:paraId="4EDCBFA7">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31079EED">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29DD79F1">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0BB69AB2">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6DBE201E">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3FEC8B77">
            <w:pPr>
              <w:spacing w:before="100" w:after="100" w:line="360" w:lineRule="auto"/>
              <w:jc w:val="center"/>
              <w:rPr>
                <w:rFonts w:ascii="宋体" w:hAnsi="宋体" w:eastAsia="宋体"/>
                <w:color w:val="auto"/>
                <w:sz w:val="28"/>
                <w:szCs w:val="28"/>
                <w:highlight w:val="none"/>
              </w:rPr>
            </w:pPr>
          </w:p>
        </w:tc>
      </w:tr>
      <w:tr w14:paraId="604F8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468" w:type="dxa"/>
            <w:noWrap w:val="0"/>
            <w:vAlign w:val="top"/>
          </w:tcPr>
          <w:p w14:paraId="081429E3">
            <w:pPr>
              <w:spacing w:before="100" w:after="100" w:line="360" w:lineRule="auto"/>
              <w:jc w:val="center"/>
              <w:rPr>
                <w:rFonts w:ascii="宋体" w:hAnsi="宋体" w:eastAsia="宋体"/>
                <w:color w:val="auto"/>
                <w:sz w:val="28"/>
                <w:szCs w:val="28"/>
                <w:highlight w:val="none"/>
              </w:rPr>
            </w:pPr>
          </w:p>
        </w:tc>
        <w:tc>
          <w:tcPr>
            <w:tcW w:w="1440" w:type="dxa"/>
            <w:noWrap w:val="0"/>
            <w:vAlign w:val="top"/>
          </w:tcPr>
          <w:p w14:paraId="25773CB8">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09EFA014">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3298B586">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319C14AD">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2A47D313">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7A137169">
            <w:pPr>
              <w:spacing w:before="100" w:after="100" w:line="360" w:lineRule="auto"/>
              <w:jc w:val="center"/>
              <w:rPr>
                <w:rFonts w:ascii="宋体" w:hAnsi="宋体" w:eastAsia="宋体"/>
                <w:color w:val="auto"/>
                <w:sz w:val="28"/>
                <w:szCs w:val="28"/>
                <w:highlight w:val="none"/>
              </w:rPr>
            </w:pPr>
          </w:p>
        </w:tc>
      </w:tr>
      <w:tr w14:paraId="0E8AA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468" w:type="dxa"/>
            <w:noWrap w:val="0"/>
            <w:vAlign w:val="top"/>
          </w:tcPr>
          <w:p w14:paraId="3B432C03">
            <w:pPr>
              <w:spacing w:before="100" w:after="100" w:line="360" w:lineRule="auto"/>
              <w:jc w:val="center"/>
              <w:rPr>
                <w:rFonts w:ascii="宋体" w:hAnsi="宋体" w:eastAsia="宋体"/>
                <w:color w:val="auto"/>
                <w:sz w:val="28"/>
                <w:szCs w:val="28"/>
                <w:highlight w:val="none"/>
              </w:rPr>
            </w:pPr>
          </w:p>
        </w:tc>
        <w:tc>
          <w:tcPr>
            <w:tcW w:w="1440" w:type="dxa"/>
            <w:noWrap w:val="0"/>
            <w:vAlign w:val="top"/>
          </w:tcPr>
          <w:p w14:paraId="2A7DE45D">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592A6BEC">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0D2AF7FC">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28F24EF6">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5AC209AF">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319A6741">
            <w:pPr>
              <w:spacing w:before="100" w:after="100" w:line="360" w:lineRule="auto"/>
              <w:jc w:val="center"/>
              <w:rPr>
                <w:rFonts w:ascii="宋体" w:hAnsi="宋体" w:eastAsia="宋体"/>
                <w:color w:val="auto"/>
                <w:sz w:val="28"/>
                <w:szCs w:val="28"/>
                <w:highlight w:val="none"/>
              </w:rPr>
            </w:pPr>
          </w:p>
        </w:tc>
      </w:tr>
      <w:tr w14:paraId="35F83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468" w:type="dxa"/>
            <w:noWrap w:val="0"/>
            <w:vAlign w:val="top"/>
          </w:tcPr>
          <w:p w14:paraId="50B863BF">
            <w:pPr>
              <w:spacing w:before="100" w:after="100" w:line="360" w:lineRule="auto"/>
              <w:jc w:val="center"/>
              <w:rPr>
                <w:rFonts w:ascii="宋体" w:hAnsi="宋体" w:eastAsia="宋体"/>
                <w:color w:val="auto"/>
                <w:sz w:val="28"/>
                <w:szCs w:val="28"/>
                <w:highlight w:val="none"/>
              </w:rPr>
            </w:pPr>
          </w:p>
        </w:tc>
        <w:tc>
          <w:tcPr>
            <w:tcW w:w="1440" w:type="dxa"/>
            <w:noWrap w:val="0"/>
            <w:vAlign w:val="top"/>
          </w:tcPr>
          <w:p w14:paraId="24F4B37D">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59D49AD1">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7424B195">
            <w:pPr>
              <w:spacing w:before="100" w:after="100" w:line="360" w:lineRule="auto"/>
              <w:jc w:val="center"/>
              <w:rPr>
                <w:rFonts w:ascii="宋体" w:hAnsi="宋体" w:eastAsia="宋体"/>
                <w:color w:val="auto"/>
                <w:sz w:val="28"/>
                <w:szCs w:val="28"/>
                <w:highlight w:val="none"/>
              </w:rPr>
            </w:pPr>
          </w:p>
        </w:tc>
        <w:tc>
          <w:tcPr>
            <w:tcW w:w="1320" w:type="dxa"/>
            <w:noWrap w:val="0"/>
            <w:vAlign w:val="top"/>
          </w:tcPr>
          <w:p w14:paraId="1FDC4948">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343F0FC4">
            <w:pPr>
              <w:spacing w:before="100" w:after="100" w:line="360" w:lineRule="auto"/>
              <w:jc w:val="center"/>
              <w:rPr>
                <w:rFonts w:ascii="宋体" w:hAnsi="宋体" w:eastAsia="宋体"/>
                <w:color w:val="auto"/>
                <w:sz w:val="28"/>
                <w:szCs w:val="28"/>
                <w:highlight w:val="none"/>
              </w:rPr>
            </w:pPr>
          </w:p>
        </w:tc>
        <w:tc>
          <w:tcPr>
            <w:tcW w:w="1200" w:type="dxa"/>
            <w:noWrap w:val="0"/>
            <w:vAlign w:val="top"/>
          </w:tcPr>
          <w:p w14:paraId="2A7E62E8">
            <w:pPr>
              <w:spacing w:before="100" w:after="100" w:line="360" w:lineRule="auto"/>
              <w:jc w:val="center"/>
              <w:rPr>
                <w:rFonts w:ascii="宋体" w:hAnsi="宋体" w:eastAsia="宋体"/>
                <w:color w:val="auto"/>
                <w:sz w:val="28"/>
                <w:szCs w:val="28"/>
                <w:highlight w:val="none"/>
              </w:rPr>
            </w:pPr>
          </w:p>
        </w:tc>
      </w:tr>
    </w:tbl>
    <w:p w14:paraId="0FAC9B88">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注：工程业绩以合同为依据，合同（</w:t>
      </w:r>
      <w:r>
        <w:rPr>
          <w:rFonts w:hint="eastAsia" w:ascii="宋体" w:hAnsi="宋体" w:eastAsia="宋体"/>
          <w:color w:val="auto"/>
          <w:sz w:val="28"/>
          <w:szCs w:val="28"/>
          <w:highlight w:val="none"/>
          <w:lang w:val="en-US" w:eastAsia="zh-CN"/>
        </w:rPr>
        <w:t>扫描</w:t>
      </w:r>
      <w:r>
        <w:rPr>
          <w:rFonts w:hint="eastAsia" w:ascii="宋体" w:hAnsi="宋体" w:eastAsia="宋体"/>
          <w:color w:val="auto"/>
          <w:sz w:val="28"/>
          <w:szCs w:val="28"/>
          <w:highlight w:val="none"/>
        </w:rPr>
        <w:t>件）附后。</w:t>
      </w:r>
    </w:p>
    <w:p w14:paraId="59006B60">
      <w:pPr>
        <w:spacing w:line="360" w:lineRule="auto"/>
        <w:rPr>
          <w:rFonts w:hint="eastAsia" w:ascii="宋体" w:hAnsi="宋体" w:eastAsia="宋体"/>
          <w:color w:val="auto"/>
          <w:sz w:val="28"/>
          <w:szCs w:val="28"/>
          <w:highlight w:val="none"/>
        </w:rPr>
      </w:pPr>
    </w:p>
    <w:p w14:paraId="2BD7B2CF">
      <w:pPr>
        <w:pStyle w:val="11"/>
        <w:rPr>
          <w:rFonts w:hint="eastAsia" w:ascii="宋体" w:hAnsi="宋体" w:eastAsia="宋体"/>
          <w:color w:val="auto"/>
          <w:sz w:val="24"/>
          <w:highlight w:val="none"/>
        </w:rPr>
      </w:pPr>
    </w:p>
    <w:p w14:paraId="282676CD">
      <w:pPr>
        <w:pStyle w:val="12"/>
        <w:rPr>
          <w:rFonts w:hint="eastAsia" w:ascii="宋体" w:hAnsi="宋体" w:eastAsia="宋体"/>
          <w:color w:val="auto"/>
          <w:sz w:val="24"/>
          <w:highlight w:val="none"/>
        </w:rPr>
      </w:pPr>
    </w:p>
    <w:p w14:paraId="1DA0F7A2">
      <w:pPr>
        <w:pStyle w:val="12"/>
        <w:rPr>
          <w:rFonts w:hint="eastAsia" w:ascii="宋体" w:hAnsi="宋体" w:eastAsia="宋体"/>
          <w:color w:val="auto"/>
          <w:sz w:val="24"/>
          <w:highlight w:val="none"/>
        </w:rPr>
      </w:pPr>
    </w:p>
    <w:p w14:paraId="65A171E2">
      <w:pPr>
        <w:pStyle w:val="12"/>
        <w:rPr>
          <w:rFonts w:hint="eastAsia" w:ascii="宋体" w:hAnsi="宋体" w:eastAsia="宋体"/>
          <w:color w:val="auto"/>
          <w:sz w:val="24"/>
          <w:highlight w:val="none"/>
        </w:rPr>
      </w:pPr>
    </w:p>
    <w:p w14:paraId="11FEA1BF">
      <w:pPr>
        <w:pStyle w:val="12"/>
        <w:rPr>
          <w:rFonts w:hint="eastAsia" w:ascii="宋体" w:hAnsi="宋体" w:eastAsia="宋体"/>
          <w:color w:val="auto"/>
          <w:sz w:val="24"/>
          <w:highlight w:val="none"/>
        </w:rPr>
      </w:pPr>
    </w:p>
    <w:p w14:paraId="3E4D6AF0">
      <w:pPr>
        <w:pStyle w:val="12"/>
        <w:rPr>
          <w:rFonts w:hint="eastAsia" w:ascii="宋体" w:hAnsi="宋体" w:eastAsia="宋体"/>
          <w:color w:val="auto"/>
          <w:sz w:val="24"/>
          <w:highlight w:val="none"/>
        </w:rPr>
      </w:pPr>
    </w:p>
    <w:p w14:paraId="6B520447">
      <w:pPr>
        <w:pStyle w:val="12"/>
        <w:rPr>
          <w:rFonts w:hint="eastAsia" w:ascii="宋体" w:hAnsi="宋体" w:eastAsia="宋体"/>
          <w:color w:val="auto"/>
          <w:sz w:val="24"/>
          <w:highlight w:val="none"/>
        </w:rPr>
      </w:pPr>
    </w:p>
    <w:p w14:paraId="76A907C6">
      <w:pPr>
        <w:pStyle w:val="12"/>
        <w:rPr>
          <w:rFonts w:hint="eastAsia" w:ascii="宋体" w:hAnsi="宋体" w:eastAsia="宋体"/>
          <w:color w:val="auto"/>
          <w:sz w:val="24"/>
          <w:highlight w:val="none"/>
        </w:rPr>
      </w:pPr>
    </w:p>
    <w:p w14:paraId="03C8CAA4">
      <w:pPr>
        <w:pStyle w:val="12"/>
        <w:rPr>
          <w:rFonts w:hint="eastAsia" w:ascii="宋体" w:hAnsi="宋体" w:eastAsia="宋体"/>
          <w:color w:val="auto"/>
          <w:sz w:val="24"/>
          <w:highlight w:val="none"/>
        </w:rPr>
      </w:pPr>
    </w:p>
    <w:p w14:paraId="69BBD8FB">
      <w:pPr>
        <w:pStyle w:val="12"/>
        <w:rPr>
          <w:rFonts w:hint="eastAsia" w:ascii="宋体" w:hAnsi="宋体" w:eastAsia="宋体"/>
          <w:color w:val="auto"/>
          <w:sz w:val="24"/>
          <w:highlight w:val="none"/>
        </w:rPr>
      </w:pPr>
    </w:p>
    <w:p w14:paraId="1F7498A4">
      <w:pPr>
        <w:pStyle w:val="12"/>
        <w:rPr>
          <w:rFonts w:hint="eastAsia" w:ascii="宋体" w:hAnsi="宋体" w:eastAsia="宋体"/>
          <w:color w:val="auto"/>
          <w:sz w:val="24"/>
          <w:highlight w:val="none"/>
        </w:rPr>
      </w:pPr>
    </w:p>
    <w:p w14:paraId="06A5E3B6">
      <w:pPr>
        <w:pStyle w:val="12"/>
        <w:ind w:left="0" w:leftChars="0" w:firstLine="0" w:firstLineChars="0"/>
        <w:rPr>
          <w:rFonts w:hint="eastAsia" w:ascii="宋体" w:hAnsi="宋体" w:eastAsia="宋体"/>
          <w:color w:val="auto"/>
          <w:sz w:val="24"/>
          <w:highlight w:val="none"/>
        </w:rPr>
      </w:pPr>
    </w:p>
    <w:p w14:paraId="59CF6B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6、目前正在监理工程情况一览表</w:t>
      </w:r>
      <w:bookmarkEnd w:id="126"/>
    </w:p>
    <w:tbl>
      <w:tblPr>
        <w:tblStyle w:val="27"/>
        <w:tblpPr w:leftFromText="180" w:rightFromText="180" w:vertAnchor="text" w:horzAnchor="margin" w:tblpXSpec="center" w:tblpY="351"/>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1440"/>
        <w:gridCol w:w="1200"/>
        <w:gridCol w:w="1320"/>
        <w:gridCol w:w="1440"/>
        <w:gridCol w:w="1200"/>
        <w:gridCol w:w="1200"/>
      </w:tblGrid>
      <w:tr w14:paraId="69DED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68" w:type="dxa"/>
            <w:noWrap w:val="0"/>
            <w:vAlign w:val="center"/>
          </w:tcPr>
          <w:p w14:paraId="52D45D72">
            <w:pPr>
              <w:spacing w:line="360" w:lineRule="auto"/>
              <w:jc w:val="center"/>
              <w:rPr>
                <w:rFonts w:hint="eastAsia" w:ascii="宋体" w:hAnsi="宋体" w:eastAsia="宋体" w:cs="宋体"/>
                <w:color w:val="auto"/>
                <w:sz w:val="24"/>
                <w:szCs w:val="24"/>
                <w:highlight w:val="none"/>
              </w:rPr>
            </w:pPr>
          </w:p>
          <w:p w14:paraId="5BAB77B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p w14:paraId="306EAEE5">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0D4D45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w:t>
            </w:r>
          </w:p>
          <w:p w14:paraId="3DBF45E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1200" w:type="dxa"/>
            <w:noWrap w:val="0"/>
            <w:vAlign w:val="center"/>
          </w:tcPr>
          <w:p w14:paraId="353C79A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1320" w:type="dxa"/>
            <w:noWrap w:val="0"/>
            <w:vAlign w:val="center"/>
          </w:tcPr>
          <w:p w14:paraId="0301260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440" w:type="dxa"/>
            <w:noWrap w:val="0"/>
            <w:vAlign w:val="center"/>
          </w:tcPr>
          <w:p w14:paraId="3DE112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w:t>
            </w:r>
          </w:p>
          <w:p w14:paraId="52D64F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工日期</w:t>
            </w:r>
          </w:p>
        </w:tc>
        <w:tc>
          <w:tcPr>
            <w:tcW w:w="1200" w:type="dxa"/>
            <w:noWrap w:val="0"/>
            <w:vAlign w:val="center"/>
          </w:tcPr>
          <w:p w14:paraId="0D8D1A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14:paraId="110EC8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1200" w:type="dxa"/>
            <w:noWrap w:val="0"/>
            <w:vAlign w:val="center"/>
          </w:tcPr>
          <w:p w14:paraId="26689EF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质量达</w:t>
            </w:r>
          </w:p>
          <w:p w14:paraId="45120C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到标准</w:t>
            </w:r>
          </w:p>
        </w:tc>
      </w:tr>
      <w:tr w14:paraId="5F510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trPr>
        <w:tc>
          <w:tcPr>
            <w:tcW w:w="1468" w:type="dxa"/>
            <w:noWrap w:val="0"/>
            <w:vAlign w:val="top"/>
          </w:tcPr>
          <w:p w14:paraId="1776C199">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33A1140A">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28CDE92E">
            <w:pPr>
              <w:spacing w:before="100" w:after="100" w:line="360" w:lineRule="auto"/>
              <w:jc w:val="center"/>
              <w:rPr>
                <w:rFonts w:hint="eastAsia" w:ascii="宋体" w:hAnsi="宋体" w:eastAsia="宋体" w:cs="宋体"/>
                <w:color w:val="auto"/>
                <w:sz w:val="24"/>
                <w:szCs w:val="24"/>
                <w:highlight w:val="none"/>
              </w:rPr>
            </w:pPr>
          </w:p>
        </w:tc>
        <w:tc>
          <w:tcPr>
            <w:tcW w:w="1320" w:type="dxa"/>
            <w:noWrap w:val="0"/>
            <w:vAlign w:val="top"/>
          </w:tcPr>
          <w:p w14:paraId="3B624220">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00EDB14B">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1DF39905">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68B0D0B1">
            <w:pPr>
              <w:spacing w:before="100" w:after="100" w:line="360" w:lineRule="auto"/>
              <w:jc w:val="center"/>
              <w:rPr>
                <w:rFonts w:hint="eastAsia" w:ascii="宋体" w:hAnsi="宋体" w:eastAsia="宋体" w:cs="宋体"/>
                <w:color w:val="auto"/>
                <w:sz w:val="24"/>
                <w:szCs w:val="24"/>
                <w:highlight w:val="none"/>
              </w:rPr>
            </w:pPr>
          </w:p>
        </w:tc>
      </w:tr>
      <w:tr w14:paraId="66A1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trPr>
        <w:tc>
          <w:tcPr>
            <w:tcW w:w="1468" w:type="dxa"/>
            <w:noWrap w:val="0"/>
            <w:vAlign w:val="top"/>
          </w:tcPr>
          <w:p w14:paraId="54CAE0E3">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78C93D2D">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67D64F4B">
            <w:pPr>
              <w:spacing w:before="100" w:after="100" w:line="360" w:lineRule="auto"/>
              <w:jc w:val="center"/>
              <w:rPr>
                <w:rFonts w:hint="eastAsia" w:ascii="宋体" w:hAnsi="宋体" w:eastAsia="宋体" w:cs="宋体"/>
                <w:color w:val="auto"/>
                <w:sz w:val="24"/>
                <w:szCs w:val="24"/>
                <w:highlight w:val="none"/>
              </w:rPr>
            </w:pPr>
          </w:p>
        </w:tc>
        <w:tc>
          <w:tcPr>
            <w:tcW w:w="1320" w:type="dxa"/>
            <w:noWrap w:val="0"/>
            <w:vAlign w:val="top"/>
          </w:tcPr>
          <w:p w14:paraId="116FE61B">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5B929238">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72DAE06D">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7B3190C4">
            <w:pPr>
              <w:spacing w:before="100" w:after="100" w:line="360" w:lineRule="auto"/>
              <w:jc w:val="center"/>
              <w:rPr>
                <w:rFonts w:hint="eastAsia" w:ascii="宋体" w:hAnsi="宋体" w:eastAsia="宋体" w:cs="宋体"/>
                <w:color w:val="auto"/>
                <w:sz w:val="24"/>
                <w:szCs w:val="24"/>
                <w:highlight w:val="none"/>
              </w:rPr>
            </w:pPr>
          </w:p>
        </w:tc>
      </w:tr>
      <w:tr w14:paraId="2B2B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trPr>
        <w:tc>
          <w:tcPr>
            <w:tcW w:w="1468" w:type="dxa"/>
            <w:noWrap w:val="0"/>
            <w:vAlign w:val="top"/>
          </w:tcPr>
          <w:p w14:paraId="3D4B6C15">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6F3C6E50">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234BB3A5">
            <w:pPr>
              <w:spacing w:before="100" w:after="100" w:line="360" w:lineRule="auto"/>
              <w:jc w:val="center"/>
              <w:rPr>
                <w:rFonts w:hint="eastAsia" w:ascii="宋体" w:hAnsi="宋体" w:eastAsia="宋体" w:cs="宋体"/>
                <w:color w:val="auto"/>
                <w:sz w:val="24"/>
                <w:szCs w:val="24"/>
                <w:highlight w:val="none"/>
              </w:rPr>
            </w:pPr>
          </w:p>
        </w:tc>
        <w:tc>
          <w:tcPr>
            <w:tcW w:w="1320" w:type="dxa"/>
            <w:noWrap w:val="0"/>
            <w:vAlign w:val="top"/>
          </w:tcPr>
          <w:p w14:paraId="773DEF7D">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39B70E59">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28D90595">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071296E8">
            <w:pPr>
              <w:spacing w:before="100" w:after="100" w:line="360" w:lineRule="auto"/>
              <w:jc w:val="center"/>
              <w:rPr>
                <w:rFonts w:hint="eastAsia" w:ascii="宋体" w:hAnsi="宋体" w:eastAsia="宋体" w:cs="宋体"/>
                <w:color w:val="auto"/>
                <w:sz w:val="24"/>
                <w:szCs w:val="24"/>
                <w:highlight w:val="none"/>
              </w:rPr>
            </w:pPr>
          </w:p>
        </w:tc>
      </w:tr>
      <w:tr w14:paraId="2C438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trPr>
        <w:tc>
          <w:tcPr>
            <w:tcW w:w="1468" w:type="dxa"/>
            <w:noWrap w:val="0"/>
            <w:vAlign w:val="top"/>
          </w:tcPr>
          <w:p w14:paraId="676B3574">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4D54C7BB">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1EDA90E1">
            <w:pPr>
              <w:spacing w:before="100" w:after="100" w:line="360" w:lineRule="auto"/>
              <w:jc w:val="center"/>
              <w:rPr>
                <w:rFonts w:hint="eastAsia" w:ascii="宋体" w:hAnsi="宋体" w:eastAsia="宋体" w:cs="宋体"/>
                <w:color w:val="auto"/>
                <w:sz w:val="24"/>
                <w:szCs w:val="24"/>
                <w:highlight w:val="none"/>
              </w:rPr>
            </w:pPr>
          </w:p>
        </w:tc>
        <w:tc>
          <w:tcPr>
            <w:tcW w:w="1320" w:type="dxa"/>
            <w:noWrap w:val="0"/>
            <w:vAlign w:val="top"/>
          </w:tcPr>
          <w:p w14:paraId="5E58D921">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2A54496C">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7F28D167">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51D0EA2A">
            <w:pPr>
              <w:spacing w:before="100" w:after="100" w:line="360" w:lineRule="auto"/>
              <w:jc w:val="center"/>
              <w:rPr>
                <w:rFonts w:hint="eastAsia" w:ascii="宋体" w:hAnsi="宋体" w:eastAsia="宋体" w:cs="宋体"/>
                <w:color w:val="auto"/>
                <w:sz w:val="24"/>
                <w:szCs w:val="24"/>
                <w:highlight w:val="none"/>
              </w:rPr>
            </w:pPr>
          </w:p>
        </w:tc>
      </w:tr>
      <w:tr w14:paraId="4E430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trPr>
        <w:tc>
          <w:tcPr>
            <w:tcW w:w="1468" w:type="dxa"/>
            <w:noWrap w:val="0"/>
            <w:vAlign w:val="top"/>
          </w:tcPr>
          <w:p w14:paraId="17A7471D">
            <w:pPr>
              <w:bidi w:val="0"/>
              <w:spacing w:line="360" w:lineRule="auto"/>
              <w:jc w:val="both"/>
              <w:rPr>
                <w:rFonts w:hint="eastAsia" w:ascii="宋体" w:hAnsi="宋体" w:eastAsia="宋体" w:cs="宋体"/>
                <w:sz w:val="24"/>
                <w:szCs w:val="24"/>
                <w:highlight w:val="none"/>
              </w:rPr>
            </w:pPr>
            <w:bookmarkStart w:id="127" w:name="_Toc532348635"/>
          </w:p>
        </w:tc>
        <w:tc>
          <w:tcPr>
            <w:tcW w:w="1440" w:type="dxa"/>
            <w:noWrap w:val="0"/>
            <w:vAlign w:val="top"/>
          </w:tcPr>
          <w:p w14:paraId="3189F63B">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0BFA075F">
            <w:pPr>
              <w:spacing w:before="100" w:after="100" w:line="360" w:lineRule="auto"/>
              <w:jc w:val="center"/>
              <w:rPr>
                <w:rFonts w:hint="eastAsia" w:ascii="宋体" w:hAnsi="宋体" w:eastAsia="宋体" w:cs="宋体"/>
                <w:color w:val="auto"/>
                <w:sz w:val="24"/>
                <w:szCs w:val="24"/>
                <w:highlight w:val="none"/>
              </w:rPr>
            </w:pPr>
          </w:p>
        </w:tc>
        <w:tc>
          <w:tcPr>
            <w:tcW w:w="1320" w:type="dxa"/>
            <w:noWrap w:val="0"/>
            <w:vAlign w:val="top"/>
          </w:tcPr>
          <w:p w14:paraId="3FE1C94D">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382AD355">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64A10D1D">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13F1F1EF">
            <w:pPr>
              <w:spacing w:before="100" w:after="100" w:line="360" w:lineRule="auto"/>
              <w:jc w:val="center"/>
              <w:rPr>
                <w:rFonts w:hint="eastAsia" w:ascii="宋体" w:hAnsi="宋体" w:eastAsia="宋体" w:cs="宋体"/>
                <w:color w:val="auto"/>
                <w:sz w:val="24"/>
                <w:szCs w:val="24"/>
                <w:highlight w:val="none"/>
              </w:rPr>
            </w:pPr>
          </w:p>
        </w:tc>
      </w:tr>
      <w:tr w14:paraId="1BBFA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trPr>
        <w:tc>
          <w:tcPr>
            <w:tcW w:w="1468" w:type="dxa"/>
            <w:noWrap w:val="0"/>
            <w:vAlign w:val="top"/>
          </w:tcPr>
          <w:p w14:paraId="5701E681">
            <w:pPr>
              <w:bidi w:val="0"/>
              <w:spacing w:line="360" w:lineRule="auto"/>
              <w:jc w:val="both"/>
              <w:rPr>
                <w:rFonts w:hint="eastAsia" w:ascii="宋体" w:hAnsi="宋体" w:eastAsia="宋体" w:cs="宋体"/>
                <w:sz w:val="24"/>
                <w:szCs w:val="24"/>
                <w:highlight w:val="none"/>
              </w:rPr>
            </w:pPr>
          </w:p>
        </w:tc>
        <w:tc>
          <w:tcPr>
            <w:tcW w:w="1440" w:type="dxa"/>
            <w:noWrap w:val="0"/>
            <w:vAlign w:val="top"/>
          </w:tcPr>
          <w:p w14:paraId="3C63113A">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6DF9A31B">
            <w:pPr>
              <w:spacing w:before="100" w:after="100" w:line="360" w:lineRule="auto"/>
              <w:jc w:val="center"/>
              <w:rPr>
                <w:rFonts w:hint="eastAsia" w:ascii="宋体" w:hAnsi="宋体" w:eastAsia="宋体" w:cs="宋体"/>
                <w:color w:val="auto"/>
                <w:sz w:val="24"/>
                <w:szCs w:val="24"/>
                <w:highlight w:val="none"/>
              </w:rPr>
            </w:pPr>
          </w:p>
        </w:tc>
        <w:tc>
          <w:tcPr>
            <w:tcW w:w="1320" w:type="dxa"/>
            <w:noWrap w:val="0"/>
            <w:vAlign w:val="top"/>
          </w:tcPr>
          <w:p w14:paraId="2AAC312F">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562767C1">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225D1363">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6E61585C">
            <w:pPr>
              <w:spacing w:before="100" w:after="100" w:line="360" w:lineRule="auto"/>
              <w:jc w:val="center"/>
              <w:rPr>
                <w:rFonts w:hint="eastAsia" w:ascii="宋体" w:hAnsi="宋体" w:eastAsia="宋体" w:cs="宋体"/>
                <w:color w:val="auto"/>
                <w:sz w:val="24"/>
                <w:szCs w:val="24"/>
                <w:highlight w:val="none"/>
              </w:rPr>
            </w:pPr>
          </w:p>
        </w:tc>
      </w:tr>
      <w:tr w14:paraId="00D9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trPr>
        <w:tc>
          <w:tcPr>
            <w:tcW w:w="1468" w:type="dxa"/>
            <w:noWrap w:val="0"/>
            <w:vAlign w:val="top"/>
          </w:tcPr>
          <w:p w14:paraId="1176AB15">
            <w:pPr>
              <w:bidi w:val="0"/>
              <w:spacing w:line="360" w:lineRule="auto"/>
              <w:jc w:val="both"/>
              <w:rPr>
                <w:rFonts w:hint="eastAsia" w:ascii="宋体" w:hAnsi="宋体" w:eastAsia="宋体" w:cs="宋体"/>
                <w:sz w:val="24"/>
                <w:szCs w:val="24"/>
                <w:highlight w:val="none"/>
              </w:rPr>
            </w:pPr>
          </w:p>
        </w:tc>
        <w:tc>
          <w:tcPr>
            <w:tcW w:w="1440" w:type="dxa"/>
            <w:noWrap w:val="0"/>
            <w:vAlign w:val="top"/>
          </w:tcPr>
          <w:p w14:paraId="41A4B6C2">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7631CC95">
            <w:pPr>
              <w:spacing w:before="100" w:after="100" w:line="360" w:lineRule="auto"/>
              <w:jc w:val="center"/>
              <w:rPr>
                <w:rFonts w:hint="eastAsia" w:ascii="宋体" w:hAnsi="宋体" w:eastAsia="宋体" w:cs="宋体"/>
                <w:color w:val="auto"/>
                <w:sz w:val="24"/>
                <w:szCs w:val="24"/>
                <w:highlight w:val="none"/>
              </w:rPr>
            </w:pPr>
          </w:p>
        </w:tc>
        <w:tc>
          <w:tcPr>
            <w:tcW w:w="1320" w:type="dxa"/>
            <w:noWrap w:val="0"/>
            <w:vAlign w:val="top"/>
          </w:tcPr>
          <w:p w14:paraId="33A60521">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4F47AD0F">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0140F11A">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2958FFB4">
            <w:pPr>
              <w:spacing w:before="100" w:after="100" w:line="360" w:lineRule="auto"/>
              <w:jc w:val="center"/>
              <w:rPr>
                <w:rFonts w:hint="eastAsia" w:ascii="宋体" w:hAnsi="宋体" w:eastAsia="宋体" w:cs="宋体"/>
                <w:color w:val="auto"/>
                <w:sz w:val="24"/>
                <w:szCs w:val="24"/>
                <w:highlight w:val="none"/>
              </w:rPr>
            </w:pPr>
          </w:p>
        </w:tc>
      </w:tr>
      <w:tr w14:paraId="3628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trPr>
        <w:tc>
          <w:tcPr>
            <w:tcW w:w="1468" w:type="dxa"/>
            <w:noWrap w:val="0"/>
            <w:vAlign w:val="top"/>
          </w:tcPr>
          <w:p w14:paraId="5F277EEF">
            <w:pPr>
              <w:bidi w:val="0"/>
              <w:spacing w:line="360" w:lineRule="auto"/>
              <w:jc w:val="both"/>
              <w:rPr>
                <w:rFonts w:hint="eastAsia" w:ascii="宋体" w:hAnsi="宋体" w:eastAsia="宋体" w:cs="宋体"/>
                <w:sz w:val="24"/>
                <w:szCs w:val="24"/>
                <w:highlight w:val="none"/>
              </w:rPr>
            </w:pPr>
          </w:p>
        </w:tc>
        <w:tc>
          <w:tcPr>
            <w:tcW w:w="1440" w:type="dxa"/>
            <w:noWrap w:val="0"/>
            <w:vAlign w:val="top"/>
          </w:tcPr>
          <w:p w14:paraId="114F4550">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3CBDC7A5">
            <w:pPr>
              <w:spacing w:before="100" w:after="100" w:line="360" w:lineRule="auto"/>
              <w:jc w:val="center"/>
              <w:rPr>
                <w:rFonts w:hint="eastAsia" w:ascii="宋体" w:hAnsi="宋体" w:eastAsia="宋体" w:cs="宋体"/>
                <w:color w:val="auto"/>
                <w:sz w:val="24"/>
                <w:szCs w:val="24"/>
                <w:highlight w:val="none"/>
              </w:rPr>
            </w:pPr>
          </w:p>
        </w:tc>
        <w:tc>
          <w:tcPr>
            <w:tcW w:w="1320" w:type="dxa"/>
            <w:noWrap w:val="0"/>
            <w:vAlign w:val="top"/>
          </w:tcPr>
          <w:p w14:paraId="5AB51960">
            <w:pPr>
              <w:spacing w:before="100" w:after="100" w:line="360" w:lineRule="auto"/>
              <w:jc w:val="center"/>
              <w:rPr>
                <w:rFonts w:hint="eastAsia" w:ascii="宋体" w:hAnsi="宋体" w:eastAsia="宋体" w:cs="宋体"/>
                <w:color w:val="auto"/>
                <w:sz w:val="24"/>
                <w:szCs w:val="24"/>
                <w:highlight w:val="none"/>
              </w:rPr>
            </w:pPr>
          </w:p>
        </w:tc>
        <w:tc>
          <w:tcPr>
            <w:tcW w:w="1440" w:type="dxa"/>
            <w:noWrap w:val="0"/>
            <w:vAlign w:val="top"/>
          </w:tcPr>
          <w:p w14:paraId="3EC10B69">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24A26D44">
            <w:pPr>
              <w:spacing w:before="100" w:after="100" w:line="360" w:lineRule="auto"/>
              <w:jc w:val="center"/>
              <w:rPr>
                <w:rFonts w:hint="eastAsia" w:ascii="宋体" w:hAnsi="宋体" w:eastAsia="宋体" w:cs="宋体"/>
                <w:color w:val="auto"/>
                <w:sz w:val="24"/>
                <w:szCs w:val="24"/>
                <w:highlight w:val="none"/>
              </w:rPr>
            </w:pPr>
          </w:p>
        </w:tc>
        <w:tc>
          <w:tcPr>
            <w:tcW w:w="1200" w:type="dxa"/>
            <w:noWrap w:val="0"/>
            <w:vAlign w:val="top"/>
          </w:tcPr>
          <w:p w14:paraId="0FE2E9F2">
            <w:pPr>
              <w:spacing w:before="100" w:after="100" w:line="360" w:lineRule="auto"/>
              <w:jc w:val="center"/>
              <w:rPr>
                <w:rFonts w:hint="eastAsia" w:ascii="宋体" w:hAnsi="宋体" w:eastAsia="宋体" w:cs="宋体"/>
                <w:color w:val="auto"/>
                <w:sz w:val="24"/>
                <w:szCs w:val="24"/>
                <w:highlight w:val="none"/>
              </w:rPr>
            </w:pPr>
          </w:p>
        </w:tc>
      </w:tr>
    </w:tbl>
    <w:p w14:paraId="4377256B">
      <w:pPr>
        <w:spacing w:line="360" w:lineRule="auto"/>
        <w:rPr>
          <w:rFonts w:hint="eastAsia" w:ascii="宋体" w:hAnsi="宋体" w:eastAsia="宋体" w:cs="宋体"/>
          <w:color w:val="auto"/>
          <w:sz w:val="24"/>
          <w:szCs w:val="24"/>
          <w:highlight w:val="none"/>
          <w:shd w:val="clear" w:color="auto" w:fill="B3B3B3"/>
        </w:rPr>
      </w:pPr>
    </w:p>
    <w:p w14:paraId="75D510F6">
      <w:pPr>
        <w:pStyle w:val="11"/>
        <w:rPr>
          <w:rFonts w:hint="eastAsia" w:ascii="宋体" w:hAnsi="宋体" w:eastAsia="宋体" w:cs="宋体"/>
          <w:color w:val="auto"/>
          <w:sz w:val="24"/>
          <w:szCs w:val="24"/>
          <w:highlight w:val="none"/>
          <w:shd w:val="clear" w:color="auto" w:fill="B3B3B3"/>
        </w:rPr>
      </w:pPr>
    </w:p>
    <w:p w14:paraId="4E2678C4">
      <w:pPr>
        <w:pStyle w:val="12"/>
        <w:rPr>
          <w:rFonts w:hint="eastAsia" w:ascii="宋体" w:hAnsi="宋体" w:eastAsia="宋体" w:cs="宋体"/>
          <w:color w:val="auto"/>
          <w:sz w:val="24"/>
          <w:szCs w:val="24"/>
          <w:highlight w:val="none"/>
          <w:shd w:val="clear" w:color="auto" w:fill="B3B3B3"/>
        </w:rPr>
      </w:pPr>
    </w:p>
    <w:p w14:paraId="59E9134B">
      <w:pPr>
        <w:pStyle w:val="12"/>
        <w:rPr>
          <w:rFonts w:hint="eastAsia" w:ascii="宋体" w:hAnsi="宋体" w:eastAsia="宋体" w:cs="宋体"/>
          <w:color w:val="auto"/>
          <w:sz w:val="24"/>
          <w:szCs w:val="24"/>
          <w:highlight w:val="none"/>
          <w:shd w:val="clear" w:color="auto" w:fill="B3B3B3"/>
        </w:rPr>
      </w:pPr>
    </w:p>
    <w:p w14:paraId="69206840">
      <w:pPr>
        <w:pStyle w:val="12"/>
        <w:rPr>
          <w:rFonts w:hint="eastAsia" w:ascii="宋体" w:hAnsi="宋体" w:eastAsia="宋体" w:cs="宋体"/>
          <w:color w:val="auto"/>
          <w:sz w:val="24"/>
          <w:szCs w:val="24"/>
          <w:highlight w:val="none"/>
          <w:shd w:val="clear" w:color="auto" w:fill="B3B3B3"/>
        </w:rPr>
      </w:pPr>
    </w:p>
    <w:p w14:paraId="56796472">
      <w:pPr>
        <w:pStyle w:val="12"/>
        <w:rPr>
          <w:rFonts w:hint="eastAsia" w:ascii="宋体" w:hAnsi="宋体" w:eastAsia="宋体" w:cs="宋体"/>
          <w:color w:val="auto"/>
          <w:sz w:val="24"/>
          <w:szCs w:val="24"/>
          <w:highlight w:val="none"/>
          <w:shd w:val="clear" w:color="auto" w:fill="B3B3B3"/>
        </w:rPr>
      </w:pPr>
    </w:p>
    <w:p w14:paraId="4EEC4888">
      <w:pPr>
        <w:pStyle w:val="12"/>
        <w:rPr>
          <w:rFonts w:hint="eastAsia" w:ascii="宋体" w:hAnsi="宋体" w:eastAsia="宋体" w:cs="宋体"/>
          <w:color w:val="auto"/>
          <w:sz w:val="24"/>
          <w:szCs w:val="24"/>
          <w:highlight w:val="none"/>
          <w:shd w:val="clear" w:color="auto" w:fill="B3B3B3"/>
        </w:rPr>
      </w:pPr>
    </w:p>
    <w:p w14:paraId="11BE3DBF">
      <w:pPr>
        <w:pStyle w:val="12"/>
        <w:rPr>
          <w:rFonts w:hint="eastAsia" w:ascii="宋体" w:hAnsi="宋体" w:eastAsia="宋体" w:cs="宋体"/>
          <w:color w:val="auto"/>
          <w:sz w:val="24"/>
          <w:szCs w:val="24"/>
          <w:highlight w:val="none"/>
          <w:shd w:val="clear" w:color="auto" w:fill="B3B3B3"/>
        </w:rPr>
      </w:pPr>
    </w:p>
    <w:bookmarkEnd w:id="127"/>
    <w:p w14:paraId="0CDCBA16">
      <w:pPr>
        <w:pStyle w:val="11"/>
        <w:spacing w:line="360" w:lineRule="auto"/>
        <w:rPr>
          <w:rFonts w:hint="eastAsia" w:ascii="宋体" w:hAnsi="宋体" w:eastAsia="宋体" w:cs="宋体"/>
          <w:color w:val="auto"/>
          <w:sz w:val="24"/>
          <w:szCs w:val="24"/>
          <w:highlight w:val="none"/>
        </w:rPr>
      </w:pPr>
    </w:p>
    <w:p w14:paraId="76C4739D">
      <w:pPr>
        <w:pStyle w:val="12"/>
        <w:rPr>
          <w:rFonts w:hint="eastAsia" w:ascii="宋体" w:hAnsi="宋体" w:eastAsia="宋体"/>
          <w:color w:val="auto"/>
          <w:highlight w:val="none"/>
        </w:rPr>
      </w:pPr>
    </w:p>
    <w:p w14:paraId="4457E7C2">
      <w:pPr>
        <w:pStyle w:val="12"/>
        <w:rPr>
          <w:rFonts w:hint="eastAsia" w:ascii="宋体" w:hAnsi="宋体" w:eastAsia="宋体"/>
          <w:color w:val="auto"/>
          <w:highlight w:val="none"/>
        </w:rPr>
      </w:pPr>
    </w:p>
    <w:p w14:paraId="5519E208">
      <w:pPr>
        <w:pStyle w:val="12"/>
        <w:ind w:firstLine="0"/>
        <w:rPr>
          <w:rFonts w:hint="eastAsia" w:ascii="宋体" w:hAnsi="宋体" w:eastAsia="宋体"/>
          <w:color w:val="auto"/>
          <w:highlight w:val="none"/>
        </w:rPr>
      </w:pPr>
    </w:p>
    <w:p w14:paraId="664A9C4F">
      <w:pPr>
        <w:pStyle w:val="12"/>
        <w:ind w:firstLine="0"/>
        <w:rPr>
          <w:rFonts w:hint="eastAsia" w:ascii="宋体" w:hAnsi="宋体" w:eastAsia="宋体"/>
          <w:color w:val="auto"/>
          <w:highlight w:val="none"/>
        </w:rPr>
      </w:pPr>
    </w:p>
    <w:p w14:paraId="2CEFA123">
      <w:pPr>
        <w:pStyle w:val="12"/>
        <w:ind w:firstLine="0"/>
        <w:rPr>
          <w:rFonts w:hint="eastAsia" w:ascii="宋体" w:hAnsi="宋体" w:eastAsia="宋体"/>
          <w:color w:val="auto"/>
          <w:highlight w:val="none"/>
        </w:rPr>
      </w:pPr>
    </w:p>
    <w:p w14:paraId="734E33A0">
      <w:pPr>
        <w:pStyle w:val="12"/>
        <w:ind w:firstLine="0"/>
        <w:rPr>
          <w:rFonts w:hint="eastAsia" w:ascii="宋体" w:hAnsi="宋体" w:eastAsia="宋体"/>
          <w:color w:val="auto"/>
          <w:highlight w:val="none"/>
        </w:rPr>
      </w:pPr>
    </w:p>
    <w:p w14:paraId="14A1785E">
      <w:pPr>
        <w:pStyle w:val="12"/>
        <w:ind w:firstLine="0"/>
        <w:rPr>
          <w:rFonts w:hint="eastAsia" w:ascii="宋体" w:hAnsi="宋体" w:eastAsia="宋体"/>
          <w:color w:val="auto"/>
          <w:highlight w:val="none"/>
        </w:rPr>
      </w:pPr>
    </w:p>
    <w:p w14:paraId="6412889A">
      <w:pPr>
        <w:pStyle w:val="11"/>
        <w:numPr>
          <w:ilvl w:val="0"/>
          <w:numId w:val="11"/>
        </w:numPr>
        <w:ind w:left="210" w:leftChars="0" w:firstLineChars="0"/>
        <w:rPr>
          <w:rFonts w:hint="eastAsia"/>
          <w:color w:val="auto"/>
          <w:highlight w:val="none"/>
        </w:rPr>
      </w:pPr>
      <w:r>
        <w:rPr>
          <w:rFonts w:hint="eastAsia"/>
          <w:color w:val="auto"/>
          <w:highlight w:val="none"/>
        </w:rPr>
        <w:t>承诺函</w:t>
      </w:r>
    </w:p>
    <w:p w14:paraId="19D5ED9F">
      <w:pPr>
        <w:spacing w:line="600" w:lineRule="exact"/>
        <w:ind w:firstLine="602"/>
        <w:jc w:val="center"/>
        <w:outlineLvl w:val="1"/>
        <w:rPr>
          <w:rFonts w:ascii="宋体" w:hAnsi="宋体"/>
          <w:b/>
          <w:snapToGrid w:val="0"/>
          <w:color w:val="auto"/>
          <w:sz w:val="30"/>
          <w:szCs w:val="30"/>
          <w:highlight w:val="none"/>
        </w:rPr>
      </w:pPr>
      <w:bookmarkStart w:id="128" w:name="_Toc1526"/>
      <w:r>
        <w:rPr>
          <w:rFonts w:hint="eastAsia" w:ascii="宋体" w:hAnsi="宋体"/>
          <w:b/>
          <w:snapToGrid w:val="0"/>
          <w:color w:val="auto"/>
          <w:sz w:val="30"/>
          <w:szCs w:val="30"/>
          <w:highlight w:val="none"/>
        </w:rPr>
        <w:t>承诺函</w:t>
      </w:r>
      <w:bookmarkEnd w:id="128"/>
    </w:p>
    <w:p w14:paraId="4C1C32CD">
      <w:pPr>
        <w:spacing w:before="435" w:beforeLines="100" w:after="217" w:afterLines="50" w:line="600" w:lineRule="exact"/>
        <w:rPr>
          <w:rFonts w:ascii="宋体" w:hAnsi="宋体"/>
          <w:b/>
          <w:color w:val="auto"/>
          <w:sz w:val="28"/>
          <w:szCs w:val="28"/>
          <w:highlight w:val="none"/>
          <w:u w:val="single"/>
        </w:rPr>
      </w:pPr>
      <w:r>
        <w:rPr>
          <w:rFonts w:hint="eastAsia" w:ascii="宋体" w:hAnsi="宋体"/>
          <w:color w:val="auto"/>
          <w:kern w:val="28"/>
          <w:sz w:val="28"/>
          <w:szCs w:val="28"/>
          <w:highlight w:val="none"/>
        </w:rPr>
        <w:t>致：</w:t>
      </w:r>
      <w:r>
        <w:rPr>
          <w:rFonts w:hint="eastAsia" w:ascii="宋体" w:hAnsi="宋体"/>
          <w:color w:val="auto"/>
          <w:kern w:val="28"/>
          <w:sz w:val="28"/>
          <w:szCs w:val="28"/>
          <w:highlight w:val="none"/>
          <w:lang w:val="en-US" w:eastAsia="zh-CN"/>
        </w:rPr>
        <w:t>盖州市自然资源局</w:t>
      </w:r>
      <w:r>
        <w:rPr>
          <w:rFonts w:hint="eastAsia" w:ascii="宋体" w:hAnsi="宋体"/>
          <w:color w:val="auto"/>
          <w:kern w:val="28"/>
          <w:sz w:val="28"/>
          <w:szCs w:val="28"/>
          <w:highlight w:val="none"/>
        </w:rPr>
        <w:t xml:space="preserve">  </w:t>
      </w:r>
    </w:p>
    <w:p w14:paraId="73DC45CE">
      <w:pPr>
        <w:spacing w:before="435" w:beforeLines="100" w:after="217" w:afterLines="50" w:line="600" w:lineRule="exact"/>
        <w:ind w:firstLine="560"/>
        <w:rPr>
          <w:rFonts w:ascii="宋体" w:hAnsi="宋体"/>
          <w:color w:val="auto"/>
          <w:kern w:val="28"/>
          <w:sz w:val="28"/>
          <w:szCs w:val="28"/>
          <w:highlight w:val="none"/>
        </w:rPr>
      </w:pPr>
      <w:r>
        <w:rPr>
          <w:rFonts w:hint="eastAsia" w:ascii="宋体" w:hAnsi="宋体"/>
          <w:color w:val="auto"/>
          <w:kern w:val="28"/>
          <w:sz w:val="28"/>
          <w:szCs w:val="28"/>
          <w:highlight w:val="none"/>
        </w:rPr>
        <w:t>我公司有幸参与了贵单位组织的“</w:t>
      </w:r>
      <w:r>
        <w:rPr>
          <w:rFonts w:hint="eastAsia" w:ascii="宋体" w:hAnsi="宋体"/>
          <w:b/>
          <w:color w:val="auto"/>
          <w:sz w:val="28"/>
          <w:szCs w:val="28"/>
          <w:highlight w:val="none"/>
          <w:u w:val="single"/>
        </w:rPr>
        <w:t xml:space="preserve">                             </w:t>
      </w:r>
      <w:r>
        <w:rPr>
          <w:rFonts w:hint="eastAsia" w:ascii="宋体" w:hAnsi="宋体"/>
          <w:color w:val="auto"/>
          <w:kern w:val="28"/>
          <w:sz w:val="28"/>
          <w:szCs w:val="28"/>
          <w:highlight w:val="none"/>
        </w:rPr>
        <w:t>”（项目名称）的公开招标。在此，我公司向贵公司郑重承诺：</w:t>
      </w:r>
    </w:p>
    <w:p w14:paraId="2A6AB7CE">
      <w:pPr>
        <w:spacing w:before="435" w:beforeLines="100" w:after="217" w:afterLines="50" w:line="600" w:lineRule="exact"/>
        <w:ind w:firstLine="560"/>
        <w:rPr>
          <w:rFonts w:ascii="宋体" w:hAnsi="宋体"/>
          <w:b/>
          <w:color w:val="auto"/>
          <w:sz w:val="28"/>
          <w:szCs w:val="28"/>
          <w:highlight w:val="none"/>
          <w:u w:val="single"/>
        </w:rPr>
      </w:pPr>
      <w:r>
        <w:rPr>
          <w:rFonts w:hint="eastAsia" w:ascii="宋体" w:hAnsi="宋体"/>
          <w:color w:val="auto"/>
          <w:kern w:val="28"/>
          <w:sz w:val="28"/>
          <w:szCs w:val="28"/>
          <w:highlight w:val="none"/>
        </w:rPr>
        <w:t>1、我公司参加招标采购活动前三年内（20</w:t>
      </w:r>
      <w:r>
        <w:rPr>
          <w:rFonts w:hint="eastAsia" w:ascii="宋体" w:hAnsi="宋体"/>
          <w:color w:val="auto"/>
          <w:kern w:val="28"/>
          <w:sz w:val="28"/>
          <w:szCs w:val="28"/>
          <w:highlight w:val="none"/>
          <w:lang w:val="en-US" w:eastAsia="zh-CN"/>
        </w:rPr>
        <w:t>21</w:t>
      </w:r>
      <w:r>
        <w:rPr>
          <w:rFonts w:hint="eastAsia" w:ascii="宋体" w:hAnsi="宋体"/>
          <w:color w:val="auto"/>
          <w:kern w:val="28"/>
          <w:sz w:val="28"/>
          <w:szCs w:val="28"/>
          <w:highlight w:val="none"/>
        </w:rPr>
        <w:t>年1月1日至今），在经营活动中没有重大违法记录，且无不良履约情况，近三年内（20</w:t>
      </w:r>
      <w:r>
        <w:rPr>
          <w:rFonts w:hint="eastAsia" w:ascii="宋体" w:hAnsi="宋体"/>
          <w:color w:val="auto"/>
          <w:kern w:val="28"/>
          <w:sz w:val="28"/>
          <w:szCs w:val="28"/>
          <w:highlight w:val="none"/>
          <w:lang w:val="en-US" w:eastAsia="zh-CN"/>
        </w:rPr>
        <w:t>21</w:t>
      </w:r>
      <w:r>
        <w:rPr>
          <w:rFonts w:hint="eastAsia" w:ascii="宋体" w:hAnsi="宋体"/>
          <w:color w:val="auto"/>
          <w:kern w:val="28"/>
          <w:sz w:val="28"/>
          <w:szCs w:val="28"/>
          <w:highlight w:val="none"/>
        </w:rPr>
        <w:t>年1月1日至今）没有骗取中标和严重违约及重大工程质量问题，并保证所承诺的上述事实的真实性。</w:t>
      </w:r>
    </w:p>
    <w:p w14:paraId="6D392EA1">
      <w:pPr>
        <w:spacing w:before="435" w:beforeLines="100" w:after="217" w:afterLines="50" w:line="600" w:lineRule="exact"/>
        <w:ind w:firstLine="560"/>
        <w:rPr>
          <w:rFonts w:hint="eastAsia" w:ascii="宋体" w:hAnsi="宋体"/>
          <w:color w:val="auto"/>
          <w:kern w:val="28"/>
          <w:sz w:val="28"/>
          <w:szCs w:val="28"/>
          <w:highlight w:val="none"/>
        </w:rPr>
      </w:pPr>
      <w:r>
        <w:rPr>
          <w:rFonts w:hint="eastAsia" w:ascii="宋体" w:hAnsi="宋体"/>
          <w:color w:val="auto"/>
          <w:kern w:val="28"/>
          <w:sz w:val="28"/>
          <w:szCs w:val="28"/>
          <w:highlight w:val="none"/>
        </w:rPr>
        <w:t>2、我公司的信誉和财务状况良好，有足够的资金能力承担本项目的实施。</w:t>
      </w:r>
    </w:p>
    <w:p w14:paraId="6800AF4C">
      <w:pPr>
        <w:spacing w:before="435" w:beforeLines="100" w:after="217" w:afterLines="50" w:line="600" w:lineRule="exact"/>
        <w:ind w:firstLine="560"/>
        <w:rPr>
          <w:rFonts w:hint="eastAsia" w:ascii="宋体" w:hAnsi="宋体"/>
          <w:color w:val="auto"/>
          <w:kern w:val="28"/>
          <w:sz w:val="28"/>
          <w:szCs w:val="28"/>
          <w:highlight w:val="none"/>
        </w:rPr>
      </w:pPr>
      <w:r>
        <w:rPr>
          <w:rFonts w:hint="eastAsia" w:ascii="宋体" w:hAnsi="宋体"/>
          <w:color w:val="auto"/>
          <w:kern w:val="28"/>
          <w:sz w:val="28"/>
          <w:szCs w:val="28"/>
          <w:highlight w:val="none"/>
        </w:rPr>
        <w:t>3、我公司未处于处于被责令停业、投标资格被取消、财产被接管或冻结、破产状态、及投标禁入期间，在人员、设备、资金等方面具有相应的等能力。</w:t>
      </w:r>
    </w:p>
    <w:p w14:paraId="41BBA93B">
      <w:pPr>
        <w:spacing w:line="600" w:lineRule="exact"/>
        <w:ind w:firstLine="560"/>
        <w:rPr>
          <w:rFonts w:ascii="宋体" w:hAnsi="宋体"/>
          <w:color w:val="auto"/>
          <w:kern w:val="28"/>
          <w:sz w:val="28"/>
          <w:szCs w:val="28"/>
          <w:highlight w:val="none"/>
        </w:rPr>
      </w:pPr>
      <w:r>
        <w:rPr>
          <w:rFonts w:hint="eastAsia" w:ascii="宋体" w:hAnsi="宋体"/>
          <w:color w:val="auto"/>
          <w:kern w:val="28"/>
          <w:sz w:val="28"/>
          <w:szCs w:val="28"/>
          <w:highlight w:val="none"/>
        </w:rPr>
        <w:t>特此承诺！</w:t>
      </w:r>
    </w:p>
    <w:p w14:paraId="16A7055F">
      <w:pPr>
        <w:spacing w:line="600" w:lineRule="exact"/>
        <w:ind w:firstLine="560"/>
        <w:rPr>
          <w:rFonts w:ascii="宋体" w:hAnsi="宋体"/>
          <w:color w:val="auto"/>
          <w:kern w:val="28"/>
          <w:sz w:val="28"/>
          <w:szCs w:val="28"/>
          <w:highlight w:val="none"/>
        </w:rPr>
      </w:pPr>
    </w:p>
    <w:p w14:paraId="2D724F85">
      <w:pPr>
        <w:spacing w:line="600" w:lineRule="exact"/>
        <w:ind w:firstLine="560"/>
        <w:rPr>
          <w:rFonts w:ascii="宋体" w:hAnsi="宋体"/>
          <w:color w:val="auto"/>
          <w:kern w:val="28"/>
          <w:sz w:val="28"/>
          <w:szCs w:val="28"/>
          <w:highlight w:val="none"/>
        </w:rPr>
      </w:pPr>
    </w:p>
    <w:p w14:paraId="2CA3F283">
      <w:pPr>
        <w:spacing w:line="600" w:lineRule="exact"/>
        <w:ind w:firstLine="560"/>
        <w:rPr>
          <w:rFonts w:ascii="宋体" w:hAnsi="宋体"/>
          <w:color w:val="auto"/>
          <w:sz w:val="28"/>
          <w:szCs w:val="28"/>
          <w:highlight w:val="none"/>
        </w:rPr>
      </w:pPr>
      <w:r>
        <w:rPr>
          <w:rFonts w:hint="eastAsia" w:ascii="宋体" w:hAnsi="宋体"/>
          <w:color w:val="auto"/>
          <w:sz w:val="28"/>
          <w:szCs w:val="28"/>
          <w:highlight w:val="none"/>
        </w:rPr>
        <w:t>投标单位</w:t>
      </w:r>
      <w:r>
        <w:rPr>
          <w:rFonts w:ascii="宋体" w:hAnsi="宋体"/>
          <w:color w:val="auto"/>
          <w:sz w:val="28"/>
          <w:szCs w:val="28"/>
          <w:highlight w:val="none"/>
        </w:rPr>
        <w:t>（加盖公章）：______________</w:t>
      </w:r>
    </w:p>
    <w:p w14:paraId="33542E36">
      <w:pPr>
        <w:spacing w:line="600" w:lineRule="exact"/>
        <w:ind w:firstLine="560"/>
        <w:rPr>
          <w:rFonts w:ascii="宋体" w:hAnsi="宋体"/>
          <w:color w:val="auto"/>
          <w:sz w:val="28"/>
          <w:szCs w:val="28"/>
          <w:highlight w:val="none"/>
        </w:rPr>
      </w:pPr>
    </w:p>
    <w:p w14:paraId="3E4ED1BD">
      <w:pPr>
        <w:spacing w:line="600" w:lineRule="exact"/>
        <w:ind w:firstLine="560"/>
        <w:rPr>
          <w:rFonts w:ascii="宋体" w:hAnsi="宋体"/>
          <w:color w:val="auto"/>
          <w:sz w:val="28"/>
          <w:szCs w:val="28"/>
          <w:highlight w:val="none"/>
        </w:rPr>
      </w:pPr>
      <w:r>
        <w:rPr>
          <w:rFonts w:ascii="宋体" w:hAnsi="宋体"/>
          <w:color w:val="auto"/>
          <w:sz w:val="28"/>
          <w:szCs w:val="28"/>
          <w:highlight w:val="none"/>
        </w:rPr>
        <w:t>法定代表人或委托代理人签字：</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p>
    <w:p w14:paraId="30DD41B9">
      <w:pPr>
        <w:spacing w:line="600" w:lineRule="exact"/>
        <w:ind w:firstLine="560"/>
        <w:rPr>
          <w:rFonts w:ascii="宋体" w:hAnsi="宋体"/>
          <w:color w:val="auto"/>
          <w:sz w:val="28"/>
          <w:szCs w:val="28"/>
          <w:highlight w:val="none"/>
        </w:rPr>
      </w:pPr>
    </w:p>
    <w:p w14:paraId="001894F1">
      <w:pPr>
        <w:spacing w:line="600" w:lineRule="exact"/>
        <w:ind w:firstLine="560"/>
        <w:rPr>
          <w:rFonts w:ascii="宋体" w:hAnsi="宋体"/>
          <w:color w:val="auto"/>
          <w:sz w:val="28"/>
          <w:szCs w:val="28"/>
          <w:highlight w:val="none"/>
        </w:rPr>
      </w:pPr>
      <w:r>
        <w:rPr>
          <w:rFonts w:ascii="宋体" w:hAnsi="宋体"/>
          <w:color w:val="auto"/>
          <w:sz w:val="28"/>
          <w:szCs w:val="28"/>
          <w:highlight w:val="none"/>
        </w:rPr>
        <w:t>日期：________年_____月_____日</w:t>
      </w:r>
    </w:p>
    <w:p w14:paraId="7091CC40">
      <w:pPr>
        <w:pStyle w:val="11"/>
        <w:rPr>
          <w:rFonts w:ascii="宋体" w:hAnsi="宋体"/>
          <w:color w:val="auto"/>
          <w:sz w:val="28"/>
          <w:szCs w:val="28"/>
          <w:highlight w:val="none"/>
        </w:rPr>
      </w:pPr>
    </w:p>
    <w:p w14:paraId="5F7CACE1">
      <w:pPr>
        <w:pStyle w:val="12"/>
        <w:rPr>
          <w:rFonts w:ascii="宋体" w:hAnsi="宋体"/>
          <w:color w:val="auto"/>
          <w:sz w:val="28"/>
          <w:szCs w:val="28"/>
          <w:highlight w:val="none"/>
        </w:rPr>
      </w:pPr>
    </w:p>
    <w:p w14:paraId="3CC6980C">
      <w:pPr>
        <w:pStyle w:val="12"/>
        <w:rPr>
          <w:rFonts w:ascii="宋体" w:hAnsi="宋体"/>
          <w:color w:val="auto"/>
          <w:sz w:val="28"/>
          <w:szCs w:val="28"/>
          <w:highlight w:val="none"/>
        </w:rPr>
      </w:pPr>
    </w:p>
    <w:p w14:paraId="0CAE6816">
      <w:pPr>
        <w:numPr>
          <w:ilvl w:val="0"/>
          <w:numId w:val="0"/>
        </w:numPr>
        <w:spacing w:line="360" w:lineRule="auto"/>
        <w:ind w:leftChars="0"/>
        <w:rPr>
          <w:rFonts w:hint="eastAsia" w:ascii="宋体" w:hAnsi="宋体" w:eastAsia="宋体"/>
          <w:color w:val="auto"/>
          <w:sz w:val="28"/>
          <w:szCs w:val="28"/>
          <w:highlight w:val="none"/>
        </w:rPr>
      </w:pPr>
      <w:bookmarkStart w:id="129" w:name="_Toc532348636"/>
    </w:p>
    <w:p w14:paraId="6313B479">
      <w:pPr>
        <w:numPr>
          <w:ilvl w:val="0"/>
          <w:numId w:val="11"/>
        </w:numPr>
        <w:spacing w:line="360" w:lineRule="auto"/>
        <w:ind w:left="210" w:leftChars="0" w:firstLine="0" w:firstLineChars="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投标保证金</w:t>
      </w:r>
      <w:r>
        <w:rPr>
          <w:rFonts w:hint="eastAsia" w:ascii="宋体" w:hAnsi="宋体" w:eastAsia="宋体"/>
          <w:color w:val="auto"/>
          <w:sz w:val="28"/>
          <w:szCs w:val="28"/>
          <w:highlight w:val="none"/>
          <w:lang w:val="en-US" w:eastAsia="zh-CN"/>
        </w:rPr>
        <w:t>证明材料</w:t>
      </w:r>
    </w:p>
    <w:p w14:paraId="12F7413D">
      <w:pPr>
        <w:ind w:firstLine="560" w:firstLineChars="200"/>
        <w:rPr>
          <w:rFonts w:hint="eastAsia" w:ascii="宋体" w:hAnsi="宋体" w:eastAsia="宋体"/>
          <w:color w:val="auto"/>
          <w:sz w:val="24"/>
          <w:highlight w:val="none"/>
          <w:lang w:val="en-US" w:eastAsia="zh-CN"/>
        </w:rPr>
      </w:pPr>
      <w:r>
        <w:rPr>
          <w:rFonts w:hint="eastAsia" w:ascii="宋体" w:hAnsi="宋体" w:eastAsia="宋体" w:cs="宋体"/>
          <w:color w:val="auto"/>
          <w:sz w:val="28"/>
          <w:szCs w:val="28"/>
          <w:highlight w:val="none"/>
        </w:rPr>
        <w:t>投标保证金付款凭证</w:t>
      </w:r>
      <w:r>
        <w:rPr>
          <w:rFonts w:hint="eastAsia" w:ascii="宋体" w:hAnsi="宋体" w:cs="宋体"/>
          <w:color w:val="auto"/>
          <w:sz w:val="28"/>
          <w:szCs w:val="28"/>
          <w:highlight w:val="none"/>
          <w:lang w:val="en-US" w:eastAsia="zh-CN"/>
        </w:rPr>
        <w:t>或保函扫描件</w:t>
      </w:r>
    </w:p>
    <w:p w14:paraId="3500736F">
      <w:pPr>
        <w:rPr>
          <w:rFonts w:hint="eastAsia" w:ascii="宋体" w:hAnsi="宋体" w:eastAsia="宋体"/>
          <w:color w:val="auto"/>
          <w:sz w:val="24"/>
          <w:highlight w:val="none"/>
          <w:lang w:val="en-US" w:eastAsia="zh-CN"/>
        </w:rPr>
      </w:pPr>
    </w:p>
    <w:p w14:paraId="23F2E35E">
      <w:pPr>
        <w:rPr>
          <w:rFonts w:hint="eastAsia" w:ascii="宋体" w:hAnsi="宋体" w:eastAsia="宋体"/>
          <w:color w:val="auto"/>
          <w:sz w:val="24"/>
          <w:highlight w:val="none"/>
          <w:lang w:val="en-US" w:eastAsia="zh-CN"/>
        </w:rPr>
      </w:pPr>
    </w:p>
    <w:p w14:paraId="08C079EC">
      <w:pPr>
        <w:rPr>
          <w:rFonts w:hint="eastAsia" w:ascii="宋体" w:hAnsi="宋体" w:eastAsia="宋体"/>
          <w:color w:val="auto"/>
          <w:sz w:val="24"/>
          <w:highlight w:val="none"/>
          <w:lang w:val="en-US" w:eastAsia="zh-CN"/>
        </w:rPr>
      </w:pPr>
    </w:p>
    <w:p w14:paraId="33FE1CC2">
      <w:pPr>
        <w:rPr>
          <w:rFonts w:hint="eastAsia" w:ascii="宋体" w:hAnsi="宋体" w:eastAsia="宋体"/>
          <w:color w:val="auto"/>
          <w:sz w:val="24"/>
          <w:highlight w:val="none"/>
          <w:lang w:val="en-US" w:eastAsia="zh-CN"/>
        </w:rPr>
      </w:pPr>
    </w:p>
    <w:p w14:paraId="3FF29C03">
      <w:pPr>
        <w:rPr>
          <w:rFonts w:hint="eastAsia" w:ascii="宋体" w:hAnsi="宋体" w:eastAsia="宋体"/>
          <w:color w:val="auto"/>
          <w:sz w:val="24"/>
          <w:highlight w:val="none"/>
          <w:lang w:val="en-US" w:eastAsia="zh-CN"/>
        </w:rPr>
      </w:pPr>
    </w:p>
    <w:p w14:paraId="7DDF4875">
      <w:pPr>
        <w:rPr>
          <w:rFonts w:hint="eastAsia" w:ascii="宋体" w:hAnsi="宋体" w:eastAsia="宋体"/>
          <w:color w:val="auto"/>
          <w:sz w:val="24"/>
          <w:highlight w:val="none"/>
          <w:lang w:val="en-US" w:eastAsia="zh-CN"/>
        </w:rPr>
      </w:pPr>
    </w:p>
    <w:p w14:paraId="1BE077E3">
      <w:pPr>
        <w:rPr>
          <w:rFonts w:hint="eastAsia" w:ascii="宋体" w:hAnsi="宋体" w:eastAsia="宋体"/>
          <w:color w:val="auto"/>
          <w:sz w:val="24"/>
          <w:highlight w:val="none"/>
          <w:lang w:val="en-US" w:eastAsia="zh-CN"/>
        </w:rPr>
      </w:pPr>
    </w:p>
    <w:p w14:paraId="2C47ED61">
      <w:pPr>
        <w:rPr>
          <w:rFonts w:hint="eastAsia" w:ascii="宋体" w:hAnsi="宋体" w:eastAsia="宋体"/>
          <w:color w:val="auto"/>
          <w:sz w:val="24"/>
          <w:highlight w:val="none"/>
          <w:lang w:val="en-US" w:eastAsia="zh-CN"/>
        </w:rPr>
      </w:pPr>
    </w:p>
    <w:p w14:paraId="1C8B51AC">
      <w:pPr>
        <w:rPr>
          <w:rFonts w:hint="eastAsia" w:ascii="宋体" w:hAnsi="宋体" w:eastAsia="宋体"/>
          <w:color w:val="auto"/>
          <w:sz w:val="24"/>
          <w:highlight w:val="none"/>
          <w:lang w:val="en-US" w:eastAsia="zh-CN"/>
        </w:rPr>
      </w:pPr>
    </w:p>
    <w:p w14:paraId="2356E723">
      <w:pPr>
        <w:rPr>
          <w:rFonts w:hint="eastAsia" w:ascii="宋体" w:hAnsi="宋体" w:eastAsia="宋体"/>
          <w:color w:val="auto"/>
          <w:sz w:val="24"/>
          <w:highlight w:val="none"/>
          <w:lang w:val="en-US" w:eastAsia="zh-CN"/>
        </w:rPr>
      </w:pPr>
    </w:p>
    <w:p w14:paraId="0D9F7FC3">
      <w:pPr>
        <w:rPr>
          <w:rFonts w:hint="eastAsia" w:ascii="宋体" w:hAnsi="宋体" w:eastAsia="宋体"/>
          <w:color w:val="auto"/>
          <w:sz w:val="24"/>
          <w:highlight w:val="none"/>
          <w:lang w:val="en-US" w:eastAsia="zh-CN"/>
        </w:rPr>
      </w:pPr>
    </w:p>
    <w:p w14:paraId="3D834482">
      <w:pPr>
        <w:rPr>
          <w:rFonts w:hint="eastAsia" w:ascii="宋体" w:hAnsi="宋体" w:eastAsia="宋体"/>
          <w:color w:val="auto"/>
          <w:sz w:val="24"/>
          <w:highlight w:val="none"/>
          <w:lang w:val="en-US" w:eastAsia="zh-CN"/>
        </w:rPr>
      </w:pPr>
    </w:p>
    <w:p w14:paraId="08854C9C">
      <w:pPr>
        <w:rPr>
          <w:rFonts w:hint="eastAsia" w:ascii="宋体" w:hAnsi="宋体" w:eastAsia="宋体"/>
          <w:color w:val="auto"/>
          <w:sz w:val="24"/>
          <w:highlight w:val="none"/>
          <w:lang w:val="en-US" w:eastAsia="zh-CN"/>
        </w:rPr>
      </w:pPr>
    </w:p>
    <w:p w14:paraId="6F99AC95">
      <w:pPr>
        <w:rPr>
          <w:rFonts w:hint="eastAsia" w:ascii="宋体" w:hAnsi="宋体" w:eastAsia="宋体"/>
          <w:color w:val="auto"/>
          <w:sz w:val="24"/>
          <w:highlight w:val="none"/>
          <w:lang w:val="en-US" w:eastAsia="zh-CN"/>
        </w:rPr>
      </w:pPr>
    </w:p>
    <w:p w14:paraId="72DC9C8F">
      <w:pPr>
        <w:rPr>
          <w:rFonts w:hint="eastAsia" w:ascii="宋体" w:hAnsi="宋体" w:eastAsia="宋体"/>
          <w:color w:val="auto"/>
          <w:sz w:val="24"/>
          <w:highlight w:val="none"/>
          <w:lang w:val="en-US" w:eastAsia="zh-CN"/>
        </w:rPr>
      </w:pPr>
    </w:p>
    <w:p w14:paraId="0F9A51BA">
      <w:pPr>
        <w:rPr>
          <w:rFonts w:hint="eastAsia" w:ascii="宋体" w:hAnsi="宋体" w:eastAsia="宋体"/>
          <w:color w:val="auto"/>
          <w:sz w:val="24"/>
          <w:highlight w:val="none"/>
          <w:lang w:val="en-US" w:eastAsia="zh-CN"/>
        </w:rPr>
      </w:pPr>
    </w:p>
    <w:p w14:paraId="0B5F231F">
      <w:pPr>
        <w:rPr>
          <w:rFonts w:hint="eastAsia" w:ascii="宋体" w:hAnsi="宋体" w:eastAsia="宋体"/>
          <w:color w:val="auto"/>
          <w:sz w:val="24"/>
          <w:highlight w:val="none"/>
          <w:lang w:val="en-US" w:eastAsia="zh-CN"/>
        </w:rPr>
      </w:pPr>
    </w:p>
    <w:p w14:paraId="7952F241">
      <w:pPr>
        <w:rPr>
          <w:rFonts w:hint="eastAsia" w:ascii="宋体" w:hAnsi="宋体" w:eastAsia="宋体"/>
          <w:color w:val="auto"/>
          <w:sz w:val="24"/>
          <w:highlight w:val="none"/>
          <w:lang w:val="en-US" w:eastAsia="zh-CN"/>
        </w:rPr>
      </w:pPr>
    </w:p>
    <w:p w14:paraId="48F4E90B">
      <w:pPr>
        <w:rPr>
          <w:rFonts w:hint="eastAsia" w:ascii="宋体" w:hAnsi="宋体" w:eastAsia="宋体"/>
          <w:color w:val="auto"/>
          <w:sz w:val="24"/>
          <w:highlight w:val="none"/>
          <w:lang w:val="en-US" w:eastAsia="zh-CN"/>
        </w:rPr>
      </w:pPr>
    </w:p>
    <w:p w14:paraId="3CFD3191">
      <w:pPr>
        <w:rPr>
          <w:rFonts w:hint="eastAsia" w:ascii="宋体" w:hAnsi="宋体" w:eastAsia="宋体"/>
          <w:color w:val="auto"/>
          <w:sz w:val="24"/>
          <w:highlight w:val="none"/>
          <w:lang w:val="en-US" w:eastAsia="zh-CN"/>
        </w:rPr>
      </w:pPr>
    </w:p>
    <w:p w14:paraId="411273B2">
      <w:pPr>
        <w:rPr>
          <w:rFonts w:hint="eastAsia" w:ascii="宋体" w:hAnsi="宋体" w:eastAsia="宋体"/>
          <w:color w:val="auto"/>
          <w:sz w:val="24"/>
          <w:highlight w:val="none"/>
          <w:lang w:val="en-US" w:eastAsia="zh-CN"/>
        </w:rPr>
      </w:pPr>
    </w:p>
    <w:p w14:paraId="019B984B">
      <w:pPr>
        <w:rPr>
          <w:rFonts w:hint="eastAsia" w:ascii="宋体" w:hAnsi="宋体" w:eastAsia="宋体"/>
          <w:color w:val="auto"/>
          <w:sz w:val="24"/>
          <w:highlight w:val="none"/>
          <w:lang w:val="en-US" w:eastAsia="zh-CN"/>
        </w:rPr>
      </w:pPr>
    </w:p>
    <w:p w14:paraId="04A86E72">
      <w:pPr>
        <w:rPr>
          <w:rFonts w:hint="eastAsia" w:ascii="宋体" w:hAnsi="宋体" w:eastAsia="宋体"/>
          <w:color w:val="auto"/>
          <w:sz w:val="24"/>
          <w:highlight w:val="none"/>
          <w:lang w:val="en-US" w:eastAsia="zh-CN"/>
        </w:rPr>
      </w:pPr>
    </w:p>
    <w:p w14:paraId="1B362B29">
      <w:pPr>
        <w:rPr>
          <w:rFonts w:hint="eastAsia" w:ascii="宋体" w:hAnsi="宋体" w:eastAsia="宋体"/>
          <w:color w:val="auto"/>
          <w:sz w:val="24"/>
          <w:highlight w:val="none"/>
          <w:lang w:val="en-US" w:eastAsia="zh-CN"/>
        </w:rPr>
      </w:pPr>
    </w:p>
    <w:p w14:paraId="60122035">
      <w:pPr>
        <w:rPr>
          <w:rFonts w:hint="eastAsia" w:ascii="宋体" w:hAnsi="宋体" w:eastAsia="宋体"/>
          <w:color w:val="auto"/>
          <w:sz w:val="24"/>
          <w:highlight w:val="none"/>
          <w:lang w:val="en-US" w:eastAsia="zh-CN"/>
        </w:rPr>
      </w:pPr>
    </w:p>
    <w:p w14:paraId="25B7B3A6">
      <w:pPr>
        <w:rPr>
          <w:rFonts w:hint="eastAsia" w:ascii="宋体" w:hAnsi="宋体" w:eastAsia="宋体"/>
          <w:color w:val="auto"/>
          <w:sz w:val="24"/>
          <w:highlight w:val="none"/>
          <w:lang w:val="en-US" w:eastAsia="zh-CN"/>
        </w:rPr>
      </w:pPr>
    </w:p>
    <w:p w14:paraId="7CA0313C">
      <w:pPr>
        <w:rPr>
          <w:rFonts w:hint="eastAsia" w:ascii="宋体" w:hAnsi="宋体" w:eastAsia="宋体"/>
          <w:color w:val="auto"/>
          <w:sz w:val="24"/>
          <w:highlight w:val="none"/>
          <w:lang w:val="en-US" w:eastAsia="zh-CN"/>
        </w:rPr>
      </w:pPr>
    </w:p>
    <w:p w14:paraId="6F30BA1F">
      <w:pPr>
        <w:rPr>
          <w:rFonts w:hint="eastAsia" w:ascii="宋体" w:hAnsi="宋体" w:eastAsia="宋体"/>
          <w:color w:val="auto"/>
          <w:sz w:val="24"/>
          <w:highlight w:val="none"/>
          <w:lang w:val="en-US" w:eastAsia="zh-CN"/>
        </w:rPr>
      </w:pPr>
    </w:p>
    <w:p w14:paraId="75AFE20B">
      <w:pPr>
        <w:rPr>
          <w:rFonts w:hint="eastAsia" w:ascii="宋体" w:hAnsi="宋体" w:eastAsia="宋体"/>
          <w:color w:val="auto"/>
          <w:sz w:val="24"/>
          <w:highlight w:val="none"/>
          <w:lang w:val="en-US" w:eastAsia="zh-CN"/>
        </w:rPr>
      </w:pPr>
    </w:p>
    <w:p w14:paraId="74A50DD8">
      <w:pPr>
        <w:rPr>
          <w:rFonts w:hint="eastAsia" w:ascii="宋体" w:hAnsi="宋体" w:eastAsia="宋体"/>
          <w:color w:val="auto"/>
          <w:sz w:val="24"/>
          <w:highlight w:val="none"/>
          <w:lang w:val="en-US" w:eastAsia="zh-CN"/>
        </w:rPr>
      </w:pPr>
    </w:p>
    <w:p w14:paraId="6A9D70FA">
      <w:pPr>
        <w:rPr>
          <w:rFonts w:hint="eastAsia" w:ascii="宋体" w:hAnsi="宋体" w:eastAsia="宋体"/>
          <w:color w:val="auto"/>
          <w:sz w:val="24"/>
          <w:highlight w:val="none"/>
          <w:lang w:val="en-US" w:eastAsia="zh-CN"/>
        </w:rPr>
      </w:pPr>
    </w:p>
    <w:p w14:paraId="2AF6B380">
      <w:pPr>
        <w:rPr>
          <w:rFonts w:hint="eastAsia" w:ascii="宋体" w:hAnsi="宋体" w:eastAsia="宋体"/>
          <w:color w:val="auto"/>
          <w:sz w:val="24"/>
          <w:highlight w:val="none"/>
          <w:lang w:val="en-US" w:eastAsia="zh-CN"/>
        </w:rPr>
      </w:pPr>
    </w:p>
    <w:p w14:paraId="6D6F64E7">
      <w:pPr>
        <w:rPr>
          <w:rFonts w:hint="eastAsia" w:ascii="宋体" w:hAnsi="宋体" w:eastAsia="宋体"/>
          <w:color w:val="auto"/>
          <w:sz w:val="24"/>
          <w:highlight w:val="none"/>
          <w:lang w:val="en-US" w:eastAsia="zh-CN"/>
        </w:rPr>
      </w:pPr>
    </w:p>
    <w:p w14:paraId="11B40A70">
      <w:pPr>
        <w:rPr>
          <w:rFonts w:hint="eastAsia" w:ascii="宋体" w:hAnsi="宋体" w:eastAsia="宋体"/>
          <w:color w:val="auto"/>
          <w:sz w:val="24"/>
          <w:highlight w:val="none"/>
          <w:lang w:val="en-US" w:eastAsia="zh-CN"/>
        </w:rPr>
      </w:pPr>
    </w:p>
    <w:p w14:paraId="6880A5B8">
      <w:pPr>
        <w:rPr>
          <w:rFonts w:hint="eastAsia" w:ascii="宋体" w:hAnsi="宋体" w:eastAsia="宋体"/>
          <w:color w:val="auto"/>
          <w:sz w:val="24"/>
          <w:highlight w:val="none"/>
          <w:lang w:val="en-US" w:eastAsia="zh-CN"/>
        </w:rPr>
      </w:pPr>
    </w:p>
    <w:p w14:paraId="467C0D9D">
      <w:pPr>
        <w:rPr>
          <w:rFonts w:hint="eastAsia" w:ascii="宋体" w:hAnsi="宋体" w:eastAsia="宋体"/>
          <w:color w:val="auto"/>
          <w:sz w:val="24"/>
          <w:highlight w:val="none"/>
          <w:lang w:val="en-US" w:eastAsia="zh-CN"/>
        </w:rPr>
      </w:pPr>
    </w:p>
    <w:p w14:paraId="6D8A6FC4">
      <w:pPr>
        <w:rPr>
          <w:rFonts w:hint="eastAsia" w:ascii="宋体" w:hAnsi="宋体" w:eastAsia="宋体"/>
          <w:color w:val="auto"/>
          <w:sz w:val="24"/>
          <w:highlight w:val="none"/>
          <w:lang w:val="en-US" w:eastAsia="zh-CN"/>
        </w:rPr>
      </w:pPr>
    </w:p>
    <w:p w14:paraId="402F8842">
      <w:pPr>
        <w:rPr>
          <w:rFonts w:hint="eastAsia" w:ascii="宋体" w:hAnsi="宋体" w:eastAsia="宋体"/>
          <w:color w:val="auto"/>
          <w:sz w:val="24"/>
          <w:highlight w:val="none"/>
          <w:lang w:val="en-US" w:eastAsia="zh-CN"/>
        </w:rPr>
      </w:pPr>
    </w:p>
    <w:p w14:paraId="14891962">
      <w:pPr>
        <w:rPr>
          <w:rFonts w:hint="eastAsia" w:ascii="宋体" w:hAnsi="宋体" w:eastAsia="宋体"/>
          <w:color w:val="auto"/>
          <w:sz w:val="24"/>
          <w:highlight w:val="none"/>
          <w:lang w:val="en-US" w:eastAsia="zh-CN"/>
        </w:rPr>
      </w:pPr>
    </w:p>
    <w:p w14:paraId="7BF9836C">
      <w:pPr>
        <w:rPr>
          <w:rFonts w:hint="eastAsia" w:ascii="宋体" w:hAnsi="宋体" w:eastAsia="宋体"/>
          <w:color w:val="auto"/>
          <w:sz w:val="24"/>
          <w:highlight w:val="none"/>
          <w:lang w:val="en-US" w:eastAsia="zh-CN"/>
        </w:rPr>
      </w:pPr>
    </w:p>
    <w:p w14:paraId="2D7EC449">
      <w:pPr>
        <w:rPr>
          <w:rFonts w:hint="eastAsia" w:ascii="宋体" w:hAnsi="宋体" w:eastAsia="宋体"/>
          <w:color w:val="auto"/>
          <w:sz w:val="24"/>
          <w:highlight w:val="none"/>
          <w:lang w:val="en-US" w:eastAsia="zh-CN"/>
        </w:rPr>
      </w:pPr>
    </w:p>
    <w:p w14:paraId="0AE0F2BF">
      <w:pPr>
        <w:rPr>
          <w:rFonts w:hint="eastAsia" w:ascii="宋体" w:hAnsi="宋体" w:eastAsia="宋体"/>
          <w:color w:val="auto"/>
          <w:sz w:val="24"/>
          <w:highlight w:val="none"/>
          <w:lang w:val="en-US" w:eastAsia="zh-CN"/>
        </w:rPr>
      </w:pPr>
    </w:p>
    <w:p w14:paraId="4D6544D3">
      <w:pPr>
        <w:rPr>
          <w:rFonts w:hint="eastAsia" w:ascii="宋体" w:hAnsi="宋体" w:eastAsia="宋体"/>
          <w:color w:val="auto"/>
          <w:sz w:val="24"/>
          <w:highlight w:val="none"/>
          <w:lang w:val="en-US" w:eastAsia="zh-CN"/>
        </w:rPr>
      </w:pPr>
    </w:p>
    <w:p w14:paraId="39D29B0E">
      <w:pPr>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9</w:t>
      </w:r>
      <w:r>
        <w:rPr>
          <w:rFonts w:hint="eastAsia" w:ascii="宋体" w:hAnsi="宋体" w:eastAsia="宋体"/>
          <w:color w:val="auto"/>
          <w:sz w:val="28"/>
          <w:szCs w:val="28"/>
          <w:highlight w:val="none"/>
        </w:rPr>
        <w:t>、其他资料</w:t>
      </w:r>
      <w:bookmarkEnd w:id="129"/>
    </w:p>
    <w:p w14:paraId="4A8AA80F">
      <w:pPr>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（按招标文件规定提交的其它资料及投标单位有各种承诺书、处罚等资料附上）</w:t>
      </w:r>
    </w:p>
    <w:p w14:paraId="76E6D888">
      <w:pPr>
        <w:ind w:firstLine="480" w:firstLineChars="200"/>
        <w:rPr>
          <w:rFonts w:ascii="仿宋_GB2312"/>
          <w:color w:val="auto"/>
          <w:sz w:val="24"/>
          <w:highlight w:val="none"/>
        </w:rPr>
      </w:pPr>
      <w:r>
        <w:rPr>
          <w:rFonts w:ascii="仿宋_GB2312"/>
          <w:color w:val="auto"/>
          <w:sz w:val="24"/>
          <w:highlight w:val="none"/>
        </w:rPr>
        <w:br w:type="page"/>
      </w:r>
    </w:p>
    <w:p w14:paraId="0FE20FE2">
      <w:pPr>
        <w:pStyle w:val="3"/>
        <w:ind w:firstLine="0" w:firstLineChars="0"/>
        <w:jc w:val="center"/>
        <w:rPr>
          <w:rFonts w:hint="eastAsia" w:ascii="宋体" w:hAnsi="宋体" w:eastAsia="宋体"/>
          <w:b w:val="0"/>
          <w:color w:val="auto"/>
          <w:sz w:val="28"/>
          <w:szCs w:val="28"/>
          <w:highlight w:val="none"/>
        </w:rPr>
      </w:pPr>
      <w:bookmarkStart w:id="130" w:name="_Toc292357063"/>
      <w:bookmarkStart w:id="131" w:name="_Toc4285"/>
      <w:r>
        <w:rPr>
          <w:rFonts w:hint="eastAsia" w:ascii="宋体" w:hAnsi="宋体" w:eastAsia="宋体"/>
          <w:color w:val="auto"/>
          <w:sz w:val="28"/>
          <w:szCs w:val="28"/>
          <w:highlight w:val="none"/>
        </w:rPr>
        <w:t>五、投标报价</w:t>
      </w:r>
      <w:bookmarkEnd w:id="130"/>
      <w:bookmarkEnd w:id="131"/>
    </w:p>
    <w:p w14:paraId="31533590">
      <w:pPr>
        <w:spacing w:line="360" w:lineRule="auto"/>
        <w:ind w:left="150"/>
        <w:rPr>
          <w:rFonts w:hint="eastAsia" w:ascii="宋体" w:hAnsi="宋体" w:eastAsia="宋体" w:cs="宋体"/>
          <w:color w:val="auto"/>
          <w:sz w:val="28"/>
          <w:szCs w:val="28"/>
          <w:highlight w:val="none"/>
        </w:rPr>
      </w:pPr>
    </w:p>
    <w:p w14:paraId="2F4547AD">
      <w:pPr>
        <w:adjustRightInd w:val="0"/>
        <w:snapToGrid w:val="0"/>
        <w:spacing w:line="360" w:lineRule="auto"/>
        <w:ind w:right="105" w:rightChars="50"/>
        <w:jc w:val="righ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color w:val="auto"/>
          <w:sz w:val="28"/>
          <w:szCs w:val="28"/>
          <w:highlight w:val="none"/>
        </w:rPr>
        <w:t>报价单位：元</w:t>
      </w:r>
    </w:p>
    <w:tbl>
      <w:tblPr>
        <w:tblStyle w:val="2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033"/>
        <w:gridCol w:w="1217"/>
        <w:gridCol w:w="1000"/>
        <w:gridCol w:w="950"/>
        <w:gridCol w:w="1000"/>
        <w:gridCol w:w="975"/>
      </w:tblGrid>
      <w:tr w14:paraId="30F7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333" w:type="dxa"/>
            <w:noWrap w:val="0"/>
            <w:vAlign w:val="center"/>
          </w:tcPr>
          <w:p w14:paraId="38F58459">
            <w:pPr>
              <w:adjustRightInd w:val="0"/>
              <w:snapToGrid w:val="0"/>
              <w:spacing w:line="360" w:lineRule="auto"/>
              <w:ind w:left="-55" w:leftChars="-26" w:right="-46" w:rightChars="-22"/>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2033" w:type="dxa"/>
            <w:noWrap w:val="0"/>
            <w:vAlign w:val="center"/>
          </w:tcPr>
          <w:p w14:paraId="65653193">
            <w:pPr>
              <w:adjustRightInd w:val="0"/>
              <w:snapToGrid w:val="0"/>
              <w:spacing w:line="360" w:lineRule="auto"/>
              <w:ind w:left="-55" w:leftChars="-26" w:right="-46" w:rightChars="-22"/>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w:t>
            </w:r>
          </w:p>
        </w:tc>
        <w:tc>
          <w:tcPr>
            <w:tcW w:w="1217" w:type="dxa"/>
            <w:noWrap w:val="0"/>
            <w:vAlign w:val="center"/>
          </w:tcPr>
          <w:p w14:paraId="3ADA402E">
            <w:pPr>
              <w:adjustRightInd w:val="0"/>
              <w:snapToGrid w:val="0"/>
              <w:spacing w:line="360" w:lineRule="auto"/>
              <w:ind w:left="-55" w:leftChars="-26" w:right="-46" w:rightChars="-22"/>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w:t>
            </w:r>
          </w:p>
        </w:tc>
        <w:tc>
          <w:tcPr>
            <w:tcW w:w="1000" w:type="dxa"/>
            <w:noWrap w:val="0"/>
            <w:vAlign w:val="center"/>
          </w:tcPr>
          <w:p w14:paraId="011921A7">
            <w:pPr>
              <w:adjustRightInd w:val="0"/>
              <w:snapToGrid w:val="0"/>
              <w:spacing w:line="360" w:lineRule="auto"/>
              <w:ind w:right="-34" w:rightChars="-16"/>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服务期限</w:t>
            </w:r>
          </w:p>
        </w:tc>
        <w:tc>
          <w:tcPr>
            <w:tcW w:w="950" w:type="dxa"/>
            <w:noWrap w:val="0"/>
            <w:vAlign w:val="center"/>
          </w:tcPr>
          <w:p w14:paraId="10C5EE7F">
            <w:pPr>
              <w:adjustRightInd w:val="0"/>
              <w:snapToGrid w:val="0"/>
              <w:spacing w:line="360" w:lineRule="auto"/>
              <w:ind w:right="-42" w:rightChars="-20"/>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服务</w:t>
            </w:r>
            <w:r>
              <w:rPr>
                <w:rFonts w:hint="eastAsia" w:ascii="宋体" w:hAnsi="宋体" w:eastAsia="宋体" w:cs="宋体"/>
                <w:color w:val="auto"/>
                <w:sz w:val="28"/>
                <w:szCs w:val="28"/>
                <w:highlight w:val="none"/>
              </w:rPr>
              <w:t>地点</w:t>
            </w:r>
          </w:p>
        </w:tc>
        <w:tc>
          <w:tcPr>
            <w:tcW w:w="1000" w:type="dxa"/>
            <w:noWrap w:val="0"/>
            <w:vAlign w:val="center"/>
          </w:tcPr>
          <w:p w14:paraId="1444DE2E">
            <w:pPr>
              <w:adjustRightInd w:val="0"/>
              <w:snapToGrid w:val="0"/>
              <w:spacing w:line="360" w:lineRule="auto"/>
              <w:ind w:right="-42" w:rightChars="-2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项目总监</w:t>
            </w:r>
          </w:p>
        </w:tc>
        <w:tc>
          <w:tcPr>
            <w:tcW w:w="975" w:type="dxa"/>
            <w:noWrap w:val="0"/>
            <w:vAlign w:val="center"/>
          </w:tcPr>
          <w:p w14:paraId="78D6516F">
            <w:pPr>
              <w:adjustRightInd w:val="0"/>
              <w:snapToGrid w:val="0"/>
              <w:spacing w:line="360" w:lineRule="auto"/>
              <w:ind w:right="-42" w:rightChars="-2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质量标准</w:t>
            </w:r>
          </w:p>
        </w:tc>
      </w:tr>
      <w:tr w14:paraId="113F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333" w:type="dxa"/>
            <w:noWrap w:val="0"/>
            <w:vAlign w:val="center"/>
          </w:tcPr>
          <w:p w14:paraId="09E1E5A4">
            <w:pPr>
              <w:adjustRightInd w:val="0"/>
              <w:snapToGrid w:val="0"/>
              <w:spacing w:line="360" w:lineRule="auto"/>
              <w:ind w:left="-55" w:leftChars="-26" w:right="-46" w:rightChars="-22"/>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2024年度营口市历史遗留废弃矿山治理恢复项目监理</w:t>
            </w:r>
          </w:p>
        </w:tc>
        <w:tc>
          <w:tcPr>
            <w:tcW w:w="2033" w:type="dxa"/>
            <w:noWrap w:val="0"/>
            <w:vAlign w:val="center"/>
          </w:tcPr>
          <w:p w14:paraId="5066EC8A">
            <w:pPr>
              <w:adjustRightInd w:val="0"/>
              <w:snapToGrid w:val="0"/>
              <w:spacing w:line="360" w:lineRule="auto"/>
              <w:ind w:left="-55" w:leftChars="-26" w:right="-46" w:rightChars="-22"/>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小写：</w:t>
            </w:r>
          </w:p>
          <w:p w14:paraId="66F8F83A">
            <w:pPr>
              <w:adjustRightInd w:val="0"/>
              <w:snapToGrid w:val="0"/>
              <w:spacing w:line="360" w:lineRule="auto"/>
              <w:ind w:left="-55" w:leftChars="-26" w:right="-46" w:rightChars="-22"/>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w:t>
            </w:r>
          </w:p>
        </w:tc>
        <w:tc>
          <w:tcPr>
            <w:tcW w:w="1217" w:type="dxa"/>
            <w:noWrap w:val="0"/>
            <w:vAlign w:val="center"/>
          </w:tcPr>
          <w:p w14:paraId="68CDBD2A">
            <w:pPr>
              <w:adjustRightInd w:val="0"/>
              <w:snapToGrid w:val="0"/>
              <w:spacing w:line="360" w:lineRule="auto"/>
              <w:ind w:left="-55" w:leftChars="-26" w:right="-46" w:rightChars="-22"/>
              <w:jc w:val="center"/>
              <w:rPr>
                <w:rFonts w:hint="eastAsia" w:ascii="宋体" w:hAnsi="宋体" w:eastAsia="宋体" w:cs="宋体"/>
                <w:color w:val="auto"/>
                <w:sz w:val="28"/>
                <w:szCs w:val="28"/>
                <w:highlight w:val="none"/>
              </w:rPr>
            </w:pPr>
          </w:p>
        </w:tc>
        <w:tc>
          <w:tcPr>
            <w:tcW w:w="1000" w:type="dxa"/>
            <w:noWrap w:val="0"/>
            <w:vAlign w:val="center"/>
          </w:tcPr>
          <w:p w14:paraId="1E20F9E6">
            <w:pPr>
              <w:adjustRightInd w:val="0"/>
              <w:snapToGrid w:val="0"/>
              <w:spacing w:line="360" w:lineRule="auto"/>
              <w:ind w:left="-55" w:leftChars="-26" w:right="-46" w:rightChars="-22"/>
              <w:jc w:val="center"/>
              <w:rPr>
                <w:rFonts w:hint="eastAsia" w:ascii="宋体" w:hAnsi="宋体" w:eastAsia="宋体" w:cs="宋体"/>
                <w:color w:val="auto"/>
                <w:sz w:val="28"/>
                <w:szCs w:val="28"/>
                <w:highlight w:val="none"/>
              </w:rPr>
            </w:pPr>
          </w:p>
        </w:tc>
        <w:tc>
          <w:tcPr>
            <w:tcW w:w="950" w:type="dxa"/>
            <w:noWrap w:val="0"/>
            <w:vAlign w:val="center"/>
          </w:tcPr>
          <w:p w14:paraId="0EA6942D">
            <w:pPr>
              <w:adjustRightInd w:val="0"/>
              <w:snapToGrid w:val="0"/>
              <w:spacing w:line="360" w:lineRule="auto"/>
              <w:ind w:left="-55" w:leftChars="-26" w:right="-46" w:rightChars="-22"/>
              <w:jc w:val="center"/>
              <w:rPr>
                <w:rFonts w:hint="eastAsia" w:ascii="宋体" w:hAnsi="宋体" w:eastAsia="宋体" w:cs="宋体"/>
                <w:color w:val="auto"/>
                <w:sz w:val="28"/>
                <w:szCs w:val="28"/>
                <w:highlight w:val="none"/>
              </w:rPr>
            </w:pPr>
          </w:p>
        </w:tc>
        <w:tc>
          <w:tcPr>
            <w:tcW w:w="1000" w:type="dxa"/>
            <w:noWrap w:val="0"/>
            <w:vAlign w:val="center"/>
          </w:tcPr>
          <w:p w14:paraId="100B0956">
            <w:pPr>
              <w:adjustRightInd w:val="0"/>
              <w:snapToGrid w:val="0"/>
              <w:spacing w:line="360" w:lineRule="auto"/>
              <w:ind w:left="-55" w:leftChars="-26" w:right="-46" w:rightChars="-22"/>
              <w:jc w:val="center"/>
              <w:rPr>
                <w:rFonts w:hint="eastAsia" w:ascii="宋体" w:hAnsi="宋体" w:eastAsia="宋体" w:cs="宋体"/>
                <w:color w:val="auto"/>
                <w:sz w:val="28"/>
                <w:szCs w:val="28"/>
                <w:highlight w:val="none"/>
              </w:rPr>
            </w:pPr>
          </w:p>
        </w:tc>
        <w:tc>
          <w:tcPr>
            <w:tcW w:w="975" w:type="dxa"/>
            <w:noWrap w:val="0"/>
            <w:vAlign w:val="center"/>
          </w:tcPr>
          <w:p w14:paraId="2D712CD6">
            <w:pPr>
              <w:adjustRightInd w:val="0"/>
              <w:snapToGrid w:val="0"/>
              <w:spacing w:line="360" w:lineRule="auto"/>
              <w:ind w:left="-55" w:leftChars="-26" w:right="-46" w:rightChars="-22"/>
              <w:jc w:val="center"/>
              <w:rPr>
                <w:rFonts w:hint="eastAsia" w:ascii="宋体" w:hAnsi="宋体" w:eastAsia="宋体" w:cs="宋体"/>
                <w:color w:val="auto"/>
                <w:sz w:val="28"/>
                <w:szCs w:val="28"/>
                <w:highlight w:val="none"/>
              </w:rPr>
            </w:pPr>
          </w:p>
        </w:tc>
      </w:tr>
    </w:tbl>
    <w:p w14:paraId="3B266704">
      <w:pPr>
        <w:spacing w:line="360" w:lineRule="auto"/>
        <w:ind w:firstLine="280" w:firstLineChars="100"/>
        <w:rPr>
          <w:rFonts w:hint="eastAsia" w:ascii="宋体" w:hAnsi="宋体" w:eastAsia="宋体" w:cs="宋体"/>
          <w:color w:val="auto"/>
          <w:sz w:val="28"/>
          <w:szCs w:val="28"/>
          <w:highlight w:val="none"/>
        </w:rPr>
      </w:pPr>
    </w:p>
    <w:p w14:paraId="7BC11FF8">
      <w:pPr>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说明：投标报价包括监理过程中的一切费用。</w:t>
      </w:r>
    </w:p>
    <w:p w14:paraId="2F21265A">
      <w:pPr>
        <w:adjustRightInd w:val="0"/>
        <w:snapToGrid w:val="0"/>
        <w:spacing w:line="360" w:lineRule="auto"/>
        <w:ind w:right="105" w:rightChars="50"/>
        <w:jc w:val="left"/>
        <w:rPr>
          <w:rFonts w:hint="eastAsia" w:ascii="宋体" w:hAnsi="宋体" w:eastAsia="宋体" w:cs="宋体"/>
          <w:color w:val="auto"/>
          <w:sz w:val="28"/>
          <w:szCs w:val="28"/>
          <w:highlight w:val="none"/>
        </w:rPr>
      </w:pPr>
    </w:p>
    <w:p w14:paraId="357CD28C">
      <w:pPr>
        <w:adjustRightInd w:val="0"/>
        <w:snapToGrid w:val="0"/>
        <w:spacing w:line="360" w:lineRule="auto"/>
        <w:ind w:right="105" w:rightChars="50"/>
        <w:jc w:val="left"/>
        <w:rPr>
          <w:rFonts w:hint="eastAsia" w:ascii="宋体" w:hAnsi="宋体" w:eastAsia="宋体" w:cs="宋体"/>
          <w:color w:val="auto"/>
          <w:sz w:val="28"/>
          <w:szCs w:val="28"/>
          <w:highlight w:val="none"/>
        </w:rPr>
      </w:pPr>
    </w:p>
    <w:p w14:paraId="78FBCF43">
      <w:pPr>
        <w:adjustRightInd w:val="0"/>
        <w:snapToGrid w:val="0"/>
        <w:spacing w:line="360" w:lineRule="auto"/>
        <w:ind w:right="105" w:rightChars="50"/>
        <w:jc w:val="left"/>
        <w:rPr>
          <w:rFonts w:hint="eastAsia" w:ascii="宋体" w:hAnsi="宋体" w:eastAsia="宋体" w:cs="宋体"/>
          <w:color w:val="auto"/>
          <w:sz w:val="28"/>
          <w:szCs w:val="28"/>
          <w:highlight w:val="none"/>
        </w:rPr>
      </w:pPr>
    </w:p>
    <w:p w14:paraId="5EB9305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投标</w:t>
      </w:r>
      <w:r>
        <w:rPr>
          <w:rFonts w:hint="eastAsia" w:ascii="宋体" w:hAnsi="宋体" w:cs="宋体"/>
          <w:color w:val="auto"/>
          <w:sz w:val="28"/>
          <w:szCs w:val="28"/>
          <w:highlight w:val="none"/>
          <w:lang w:val="en-US" w:eastAsia="zh-CN"/>
        </w:rPr>
        <w:t>单位</w:t>
      </w:r>
      <w:r>
        <w:rPr>
          <w:rFonts w:hint="eastAsia" w:ascii="宋体" w:hAnsi="宋体" w:eastAsia="宋体" w:cs="宋体"/>
          <w:color w:val="auto"/>
          <w:sz w:val="28"/>
          <w:szCs w:val="28"/>
          <w:highlight w:val="none"/>
        </w:rPr>
        <w:t>：（盖章）</w:t>
      </w:r>
    </w:p>
    <w:p w14:paraId="02DCDC97">
      <w:pPr>
        <w:adjustRightInd w:val="0"/>
        <w:snapToGrid w:val="0"/>
        <w:spacing w:line="360" w:lineRule="auto"/>
        <w:ind w:right="105" w:rightChars="50"/>
        <w:jc w:val="left"/>
        <w:rPr>
          <w:rFonts w:hint="eastAsia" w:ascii="宋体" w:hAnsi="宋体" w:eastAsia="宋体" w:cs="宋体"/>
          <w:color w:val="auto"/>
          <w:sz w:val="28"/>
          <w:szCs w:val="28"/>
          <w:highlight w:val="none"/>
        </w:rPr>
      </w:pPr>
    </w:p>
    <w:p w14:paraId="1D030905">
      <w:pPr>
        <w:adjustRightInd w:val="0"/>
        <w:snapToGrid w:val="0"/>
        <w:spacing w:line="360" w:lineRule="auto"/>
        <w:ind w:right="105" w:rightChars="50"/>
        <w:jc w:val="left"/>
        <w:rPr>
          <w:rFonts w:hint="eastAsia" w:ascii="宋体" w:hAnsi="宋体" w:eastAsia="宋体" w:cs="宋体"/>
          <w:color w:val="auto"/>
          <w:sz w:val="28"/>
          <w:szCs w:val="28"/>
          <w:highlight w:val="none"/>
        </w:rPr>
      </w:pPr>
    </w:p>
    <w:p w14:paraId="5E6FA4A3">
      <w:pPr>
        <w:spacing w:line="600" w:lineRule="exact"/>
        <w:ind w:firstLine="560"/>
        <w:rPr>
          <w:rFonts w:ascii="宋体" w:hAnsi="宋体"/>
          <w:color w:val="auto"/>
          <w:sz w:val="28"/>
          <w:szCs w:val="28"/>
          <w:highlight w:val="none"/>
        </w:rPr>
      </w:pPr>
      <w:r>
        <w:rPr>
          <w:rFonts w:ascii="宋体" w:hAnsi="宋体"/>
          <w:color w:val="auto"/>
          <w:sz w:val="28"/>
          <w:szCs w:val="28"/>
          <w:highlight w:val="none"/>
        </w:rPr>
        <w:t>法定代表人或委托代理人签字：</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p>
    <w:p w14:paraId="3ED1E81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1CEE84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7F28F1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A49C729">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5E8A28D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32" w:name="_Toc532348643"/>
    </w:p>
    <w:p w14:paraId="56D17163">
      <w:pPr>
        <w:rPr>
          <w:rFonts w:hint="eastAsia" w:ascii="仿宋_GB2312"/>
          <w:color w:val="auto"/>
          <w:sz w:val="28"/>
          <w:highlight w:val="none"/>
        </w:rPr>
      </w:pPr>
    </w:p>
    <w:p w14:paraId="33733C8D">
      <w:pPr>
        <w:rPr>
          <w:rFonts w:hint="eastAsia" w:ascii="仿宋_GB2312"/>
          <w:color w:val="auto"/>
          <w:sz w:val="28"/>
          <w:highlight w:val="none"/>
        </w:rPr>
      </w:pPr>
    </w:p>
    <w:p w14:paraId="312CCC35">
      <w:pPr>
        <w:rPr>
          <w:rFonts w:hint="eastAsia" w:ascii="仿宋_GB2312"/>
          <w:color w:val="auto"/>
          <w:sz w:val="28"/>
          <w:highlight w:val="none"/>
        </w:rPr>
      </w:pPr>
    </w:p>
    <w:p w14:paraId="1E6128BA">
      <w:pPr>
        <w:rPr>
          <w:rFonts w:hint="eastAsia" w:ascii="仿宋_GB2312"/>
          <w:color w:val="auto"/>
          <w:sz w:val="28"/>
          <w:highlight w:val="none"/>
        </w:rPr>
      </w:pPr>
    </w:p>
    <w:p w14:paraId="28560ACC">
      <w:pPr>
        <w:rPr>
          <w:rFonts w:hint="eastAsia" w:ascii="仿宋_GB2312"/>
          <w:color w:val="auto"/>
          <w:sz w:val="28"/>
          <w:highlight w:val="none"/>
        </w:rPr>
      </w:pPr>
    </w:p>
    <w:p w14:paraId="48220481">
      <w:pPr>
        <w:rPr>
          <w:rFonts w:hint="eastAsia" w:ascii="仿宋_GB2312"/>
          <w:color w:val="auto"/>
          <w:sz w:val="28"/>
          <w:highlight w:val="none"/>
        </w:rPr>
      </w:pPr>
    </w:p>
    <w:p w14:paraId="5B5DCE9F">
      <w:pPr>
        <w:rPr>
          <w:rFonts w:hint="eastAsia" w:ascii="仿宋_GB2312"/>
          <w:color w:val="auto"/>
          <w:sz w:val="28"/>
          <w:highlight w:val="none"/>
        </w:rPr>
      </w:pPr>
    </w:p>
    <w:p w14:paraId="71E30CCF">
      <w:pPr>
        <w:rPr>
          <w:rFonts w:hint="eastAsia" w:ascii="仿宋_GB2312"/>
          <w:color w:val="auto"/>
          <w:sz w:val="28"/>
          <w:highlight w:val="none"/>
        </w:rPr>
      </w:pPr>
    </w:p>
    <w:p w14:paraId="09B66D78">
      <w:pPr>
        <w:rPr>
          <w:rFonts w:hint="eastAsia" w:ascii="仿宋_GB2312"/>
          <w:color w:val="auto"/>
          <w:sz w:val="28"/>
          <w:highlight w:val="none"/>
        </w:rPr>
      </w:pPr>
    </w:p>
    <w:p w14:paraId="35F03CD9">
      <w:pPr>
        <w:rPr>
          <w:rFonts w:hint="eastAsia" w:ascii="仿宋_GB2312"/>
          <w:color w:val="auto"/>
          <w:sz w:val="28"/>
          <w:highlight w:val="none"/>
        </w:rPr>
      </w:pPr>
    </w:p>
    <w:p w14:paraId="465F7278">
      <w:pPr>
        <w:rPr>
          <w:rFonts w:hint="eastAsia" w:ascii="仿宋_GB2312"/>
          <w:color w:val="auto"/>
          <w:sz w:val="28"/>
          <w:highlight w:val="none"/>
        </w:rPr>
      </w:pPr>
    </w:p>
    <w:p w14:paraId="3C8ED54A">
      <w:pPr>
        <w:rPr>
          <w:rFonts w:hint="eastAsia" w:ascii="仿宋_GB2312"/>
          <w:color w:val="auto"/>
          <w:sz w:val="28"/>
          <w:highlight w:val="none"/>
        </w:rPr>
      </w:pPr>
    </w:p>
    <w:p w14:paraId="1956ADB7">
      <w:pPr>
        <w:rPr>
          <w:rFonts w:hint="eastAsia" w:ascii="仿宋_GB2312"/>
          <w:color w:val="auto"/>
          <w:sz w:val="28"/>
          <w:highlight w:val="none"/>
        </w:rPr>
      </w:pPr>
    </w:p>
    <w:p w14:paraId="7068C4E9">
      <w:pPr>
        <w:rPr>
          <w:rFonts w:hint="eastAsia" w:ascii="仿宋_GB2312"/>
          <w:color w:val="auto"/>
          <w:sz w:val="28"/>
          <w:highlight w:val="none"/>
        </w:rPr>
      </w:pPr>
    </w:p>
    <w:p w14:paraId="7E00B7D2">
      <w:pPr>
        <w:rPr>
          <w:rFonts w:hint="eastAsia" w:ascii="仿宋_GB2312"/>
          <w:color w:val="auto"/>
          <w:sz w:val="28"/>
          <w:highlight w:val="none"/>
        </w:rPr>
      </w:pPr>
    </w:p>
    <w:p w14:paraId="236796FF">
      <w:pPr>
        <w:rPr>
          <w:rFonts w:hint="eastAsia" w:ascii="仿宋_GB2312"/>
          <w:color w:val="auto"/>
          <w:sz w:val="28"/>
          <w:highlight w:val="none"/>
        </w:rPr>
      </w:pPr>
    </w:p>
    <w:p w14:paraId="672867EC">
      <w:pPr>
        <w:rPr>
          <w:rFonts w:hint="eastAsia" w:ascii="仿宋_GB2312"/>
          <w:color w:val="auto"/>
          <w:sz w:val="28"/>
          <w:highlight w:val="none"/>
        </w:rPr>
      </w:pPr>
    </w:p>
    <w:p w14:paraId="2DE5F854">
      <w:pPr>
        <w:rPr>
          <w:rFonts w:hint="eastAsia" w:ascii="仿宋_GB2312"/>
          <w:color w:val="auto"/>
          <w:sz w:val="28"/>
          <w:highlight w:val="none"/>
        </w:rPr>
      </w:pPr>
    </w:p>
    <w:p w14:paraId="049B8DE9">
      <w:pPr>
        <w:rPr>
          <w:rFonts w:hint="eastAsia" w:ascii="仿宋_GB2312"/>
          <w:color w:val="auto"/>
          <w:sz w:val="28"/>
          <w:highlight w:val="none"/>
        </w:rPr>
      </w:pPr>
    </w:p>
    <w:p w14:paraId="5AC1E78D">
      <w:pPr>
        <w:rPr>
          <w:rFonts w:hint="eastAsia" w:ascii="仿宋_GB2312"/>
          <w:color w:val="auto"/>
          <w:sz w:val="28"/>
          <w:highlight w:val="none"/>
        </w:rPr>
      </w:pPr>
    </w:p>
    <w:p w14:paraId="59558450">
      <w:pPr>
        <w:rPr>
          <w:rFonts w:hint="eastAsia" w:ascii="仿宋_GB2312"/>
          <w:color w:val="auto"/>
          <w:sz w:val="28"/>
          <w:highlight w:val="none"/>
        </w:rPr>
      </w:pPr>
    </w:p>
    <w:p w14:paraId="32722565">
      <w:pPr>
        <w:pStyle w:val="2"/>
        <w:spacing w:after="0"/>
        <w:jc w:val="center"/>
        <w:rPr>
          <w:rFonts w:hint="eastAsia" w:eastAsia="黑体"/>
          <w:b/>
          <w:color w:val="auto"/>
          <w:sz w:val="48"/>
          <w:highlight w:val="none"/>
        </w:rPr>
      </w:pPr>
      <w:bookmarkStart w:id="133" w:name="_Toc9835"/>
      <w:bookmarkStart w:id="134" w:name="_Toc292357064"/>
      <w:bookmarkStart w:id="135" w:name="_Toc21903"/>
      <w:r>
        <w:rPr>
          <w:rFonts w:hint="eastAsia" w:eastAsia="黑体"/>
          <w:b/>
          <w:color w:val="auto"/>
          <w:sz w:val="48"/>
          <w:highlight w:val="none"/>
        </w:rPr>
        <w:t>第</w:t>
      </w:r>
      <w:r>
        <w:rPr>
          <w:rFonts w:hint="eastAsia" w:eastAsia="黑体"/>
          <w:b/>
          <w:color w:val="auto"/>
          <w:sz w:val="48"/>
          <w:highlight w:val="none"/>
          <w:lang w:val="en-US" w:eastAsia="zh-CN"/>
        </w:rPr>
        <w:t>八</w:t>
      </w:r>
      <w:r>
        <w:rPr>
          <w:rFonts w:hint="eastAsia" w:eastAsia="黑体"/>
          <w:b/>
          <w:color w:val="auto"/>
          <w:sz w:val="48"/>
          <w:highlight w:val="none"/>
        </w:rPr>
        <w:t>章  技术部分</w:t>
      </w:r>
      <w:bookmarkEnd w:id="133"/>
      <w:bookmarkEnd w:id="134"/>
      <w:bookmarkEnd w:id="135"/>
    </w:p>
    <w:p w14:paraId="7CDC5E57">
      <w:pPr>
        <w:rPr>
          <w:rFonts w:hint="eastAsia"/>
          <w:color w:val="auto"/>
          <w:highlight w:val="none"/>
        </w:rPr>
      </w:pPr>
    </w:p>
    <w:p w14:paraId="272E7A4A">
      <w:pPr>
        <w:rPr>
          <w:rFonts w:hint="eastAsia"/>
          <w:color w:val="auto"/>
          <w:highlight w:val="none"/>
        </w:rPr>
      </w:pPr>
    </w:p>
    <w:p w14:paraId="4157DE89">
      <w:pPr>
        <w:rPr>
          <w:rFonts w:hint="eastAsia"/>
          <w:color w:val="auto"/>
          <w:highlight w:val="none"/>
        </w:rPr>
      </w:pPr>
    </w:p>
    <w:p w14:paraId="60EDDAD6">
      <w:pPr>
        <w:rPr>
          <w:rFonts w:hint="eastAsia"/>
          <w:color w:val="auto"/>
          <w:highlight w:val="none"/>
        </w:rPr>
      </w:pPr>
    </w:p>
    <w:p w14:paraId="41D18EC6">
      <w:pPr>
        <w:rPr>
          <w:rFonts w:hint="eastAsia"/>
          <w:color w:val="auto"/>
          <w:highlight w:val="none"/>
        </w:rPr>
      </w:pPr>
    </w:p>
    <w:p w14:paraId="5377DC0B">
      <w:pPr>
        <w:rPr>
          <w:rFonts w:hint="eastAsia"/>
          <w:color w:val="auto"/>
          <w:highlight w:val="none"/>
        </w:rPr>
      </w:pPr>
    </w:p>
    <w:p w14:paraId="5905C39F">
      <w:pPr>
        <w:rPr>
          <w:rFonts w:hint="eastAsia"/>
          <w:color w:val="auto"/>
          <w:highlight w:val="none"/>
        </w:rPr>
      </w:pPr>
    </w:p>
    <w:p w14:paraId="675A3787">
      <w:pPr>
        <w:rPr>
          <w:rFonts w:hint="eastAsia"/>
          <w:color w:val="auto"/>
          <w:highlight w:val="none"/>
        </w:rPr>
      </w:pPr>
    </w:p>
    <w:p w14:paraId="0274CB7D">
      <w:pPr>
        <w:jc w:val="center"/>
        <w:rPr>
          <w:rFonts w:hint="eastAsia" w:ascii="宋体" w:hAnsi="宋体" w:eastAsia="宋体"/>
          <w:b/>
          <w:bCs/>
          <w:color w:val="auto"/>
          <w:highlight w:val="none"/>
        </w:rPr>
      </w:pPr>
      <w:bookmarkStart w:id="136" w:name="_Toc34282772"/>
    </w:p>
    <w:p w14:paraId="67053952">
      <w:pPr>
        <w:jc w:val="center"/>
        <w:rPr>
          <w:rFonts w:hint="eastAsia" w:ascii="宋体" w:hAnsi="宋体" w:eastAsia="宋体"/>
          <w:b/>
          <w:bCs/>
          <w:color w:val="auto"/>
          <w:highlight w:val="none"/>
        </w:rPr>
      </w:pPr>
    </w:p>
    <w:p w14:paraId="21AB8D92">
      <w:pPr>
        <w:jc w:val="center"/>
        <w:rPr>
          <w:rFonts w:hint="eastAsia" w:ascii="宋体" w:hAnsi="宋体" w:eastAsia="宋体"/>
          <w:b/>
          <w:bCs/>
          <w:color w:val="auto"/>
          <w:highlight w:val="none"/>
        </w:rPr>
      </w:pPr>
    </w:p>
    <w:p w14:paraId="6E43CEEF">
      <w:pPr>
        <w:jc w:val="center"/>
        <w:rPr>
          <w:rFonts w:hint="eastAsia" w:ascii="宋体" w:hAnsi="宋体" w:eastAsia="宋体"/>
          <w:b/>
          <w:bCs/>
          <w:color w:val="auto"/>
          <w:highlight w:val="none"/>
        </w:rPr>
      </w:pPr>
    </w:p>
    <w:p w14:paraId="76FBF078">
      <w:pPr>
        <w:jc w:val="center"/>
        <w:rPr>
          <w:rFonts w:hint="eastAsia" w:ascii="宋体" w:hAnsi="宋体" w:eastAsia="宋体"/>
          <w:b/>
          <w:bCs/>
          <w:color w:val="auto"/>
          <w:highlight w:val="none"/>
        </w:rPr>
      </w:pPr>
    </w:p>
    <w:p w14:paraId="42EF80E8">
      <w:pPr>
        <w:jc w:val="center"/>
        <w:rPr>
          <w:rFonts w:hint="eastAsia" w:ascii="宋体" w:hAnsi="宋体" w:eastAsia="宋体"/>
          <w:b/>
          <w:bCs/>
          <w:color w:val="auto"/>
          <w:highlight w:val="none"/>
        </w:rPr>
      </w:pPr>
    </w:p>
    <w:p w14:paraId="06BE7B1E">
      <w:pPr>
        <w:ind w:firstLine="422" w:firstLineChars="200"/>
        <w:rPr>
          <w:rFonts w:hint="eastAsia" w:ascii="宋体" w:hAnsi="宋体" w:eastAsia="宋体"/>
          <w:color w:val="auto"/>
          <w:sz w:val="24"/>
          <w:highlight w:val="none"/>
        </w:rPr>
      </w:pPr>
      <w:r>
        <w:rPr>
          <w:rFonts w:hint="eastAsia" w:ascii="宋体" w:hAnsi="宋体" w:eastAsia="宋体"/>
          <w:b/>
          <w:bCs/>
          <w:color w:val="auto"/>
          <w:highlight w:val="none"/>
        </w:rPr>
        <w:br w:type="page"/>
      </w:r>
      <w:bookmarkEnd w:id="136"/>
    </w:p>
    <w:p w14:paraId="760B2836">
      <w:pPr>
        <w:spacing w:before="217" w:beforeLines="50" w:after="217" w:afterLines="50" w:line="360" w:lineRule="auto"/>
        <w:jc w:val="center"/>
        <w:rPr>
          <w:rFonts w:hint="eastAsia" w:ascii="宋体" w:hAnsi="宋体" w:eastAsia="宋体" w:cs="宋体"/>
          <w:b/>
          <w:bCs/>
          <w:color w:val="auto"/>
          <w:sz w:val="28"/>
          <w:szCs w:val="28"/>
          <w:highlight w:val="none"/>
        </w:rPr>
      </w:pPr>
      <w:bookmarkStart w:id="137" w:name="_Toc34282773"/>
      <w:r>
        <w:rPr>
          <w:rFonts w:hint="eastAsia" w:ascii="宋体" w:hAnsi="宋体" w:eastAsia="宋体" w:cs="宋体"/>
          <w:b/>
          <w:bCs/>
          <w:color w:val="auto"/>
          <w:sz w:val="28"/>
          <w:szCs w:val="28"/>
          <w:highlight w:val="none"/>
        </w:rPr>
        <w:t>一、本工程项目总监简历表</w:t>
      </w:r>
      <w:bookmarkEnd w:id="137"/>
    </w:p>
    <w:tbl>
      <w:tblPr>
        <w:tblStyle w:val="2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98"/>
        <w:gridCol w:w="225"/>
        <w:gridCol w:w="161"/>
        <w:gridCol w:w="793"/>
        <w:gridCol w:w="6"/>
        <w:gridCol w:w="555"/>
        <w:gridCol w:w="15"/>
        <w:gridCol w:w="720"/>
        <w:gridCol w:w="810"/>
        <w:gridCol w:w="525"/>
        <w:gridCol w:w="930"/>
        <w:gridCol w:w="825"/>
        <w:gridCol w:w="585"/>
        <w:gridCol w:w="1230"/>
      </w:tblGrid>
      <w:tr w14:paraId="6FD5A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40" w:hRule="atLeast"/>
          <w:jc w:val="center"/>
        </w:trPr>
        <w:tc>
          <w:tcPr>
            <w:tcW w:w="1584" w:type="dxa"/>
            <w:gridSpan w:val="3"/>
            <w:noWrap w:val="0"/>
            <w:vAlign w:val="center"/>
          </w:tcPr>
          <w:p w14:paraId="46050040">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354" w:type="dxa"/>
            <w:gridSpan w:val="3"/>
            <w:noWrap w:val="0"/>
            <w:vAlign w:val="top"/>
          </w:tcPr>
          <w:p w14:paraId="12E3588E">
            <w:pPr>
              <w:spacing w:before="60" w:after="60" w:line="360" w:lineRule="auto"/>
              <w:jc w:val="center"/>
              <w:rPr>
                <w:rFonts w:hint="eastAsia" w:ascii="宋体" w:hAnsi="宋体" w:eastAsia="宋体" w:cs="宋体"/>
                <w:color w:val="auto"/>
                <w:sz w:val="28"/>
                <w:szCs w:val="28"/>
                <w:highlight w:val="none"/>
              </w:rPr>
            </w:pPr>
          </w:p>
        </w:tc>
        <w:tc>
          <w:tcPr>
            <w:tcW w:w="1545" w:type="dxa"/>
            <w:gridSpan w:val="3"/>
            <w:noWrap w:val="0"/>
            <w:vAlign w:val="center"/>
          </w:tcPr>
          <w:p w14:paraId="469E6B12">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性别</w:t>
            </w:r>
          </w:p>
        </w:tc>
        <w:tc>
          <w:tcPr>
            <w:tcW w:w="1455" w:type="dxa"/>
            <w:gridSpan w:val="2"/>
            <w:noWrap w:val="0"/>
            <w:vAlign w:val="top"/>
          </w:tcPr>
          <w:p w14:paraId="6158DE42">
            <w:pPr>
              <w:spacing w:before="60" w:after="60" w:line="360" w:lineRule="auto"/>
              <w:jc w:val="center"/>
              <w:rPr>
                <w:rFonts w:hint="eastAsia" w:ascii="宋体" w:hAnsi="宋体" w:eastAsia="宋体" w:cs="宋体"/>
                <w:color w:val="auto"/>
                <w:sz w:val="28"/>
                <w:szCs w:val="28"/>
                <w:highlight w:val="none"/>
              </w:rPr>
            </w:pPr>
          </w:p>
        </w:tc>
        <w:tc>
          <w:tcPr>
            <w:tcW w:w="1410" w:type="dxa"/>
            <w:gridSpan w:val="2"/>
            <w:tcBorders>
              <w:right w:val="single" w:color="auto" w:sz="4" w:space="0"/>
            </w:tcBorders>
            <w:noWrap w:val="0"/>
            <w:vAlign w:val="top"/>
          </w:tcPr>
          <w:p w14:paraId="5A1A8EC0">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年龄</w:t>
            </w:r>
          </w:p>
        </w:tc>
        <w:tc>
          <w:tcPr>
            <w:tcW w:w="1230" w:type="dxa"/>
            <w:tcBorders>
              <w:left w:val="single" w:color="auto" w:sz="4" w:space="0"/>
            </w:tcBorders>
            <w:noWrap w:val="0"/>
            <w:vAlign w:val="top"/>
          </w:tcPr>
          <w:p w14:paraId="3373E122">
            <w:pPr>
              <w:spacing w:before="60" w:after="60" w:line="360" w:lineRule="auto"/>
              <w:rPr>
                <w:rFonts w:hint="eastAsia" w:ascii="宋体" w:hAnsi="宋体" w:eastAsia="宋体" w:cs="宋体"/>
                <w:color w:val="auto"/>
                <w:sz w:val="28"/>
                <w:szCs w:val="28"/>
                <w:highlight w:val="none"/>
              </w:rPr>
            </w:pPr>
          </w:p>
        </w:tc>
      </w:tr>
      <w:tr w14:paraId="1433F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85" w:hRule="atLeast"/>
          <w:jc w:val="center"/>
        </w:trPr>
        <w:tc>
          <w:tcPr>
            <w:tcW w:w="1198" w:type="dxa"/>
            <w:tcBorders>
              <w:right w:val="single" w:color="auto" w:sz="4" w:space="0"/>
            </w:tcBorders>
            <w:noWrap w:val="0"/>
            <w:vAlign w:val="center"/>
          </w:tcPr>
          <w:p w14:paraId="4E601738">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职称</w:t>
            </w:r>
          </w:p>
        </w:tc>
        <w:tc>
          <w:tcPr>
            <w:tcW w:w="1185" w:type="dxa"/>
            <w:gridSpan w:val="4"/>
            <w:tcBorders>
              <w:left w:val="single" w:color="auto" w:sz="4" w:space="0"/>
            </w:tcBorders>
            <w:noWrap w:val="0"/>
            <w:vAlign w:val="center"/>
          </w:tcPr>
          <w:p w14:paraId="13F276C8">
            <w:pPr>
              <w:spacing w:before="60" w:after="60" w:line="360" w:lineRule="auto"/>
              <w:jc w:val="center"/>
              <w:rPr>
                <w:rFonts w:hint="eastAsia" w:ascii="宋体" w:hAnsi="宋体" w:eastAsia="宋体" w:cs="宋体"/>
                <w:color w:val="auto"/>
                <w:sz w:val="28"/>
                <w:szCs w:val="28"/>
                <w:highlight w:val="none"/>
              </w:rPr>
            </w:pPr>
          </w:p>
        </w:tc>
        <w:tc>
          <w:tcPr>
            <w:tcW w:w="1290" w:type="dxa"/>
            <w:gridSpan w:val="3"/>
            <w:tcBorders>
              <w:right w:val="single" w:color="auto" w:sz="4" w:space="0"/>
            </w:tcBorders>
            <w:noWrap w:val="0"/>
            <w:vAlign w:val="center"/>
          </w:tcPr>
          <w:p w14:paraId="7AF3AA35">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是否为注册监理工程师</w:t>
            </w:r>
          </w:p>
        </w:tc>
        <w:tc>
          <w:tcPr>
            <w:tcW w:w="1335" w:type="dxa"/>
            <w:gridSpan w:val="2"/>
            <w:tcBorders>
              <w:left w:val="single" w:color="auto" w:sz="4" w:space="0"/>
            </w:tcBorders>
            <w:noWrap w:val="0"/>
            <w:vAlign w:val="center"/>
          </w:tcPr>
          <w:p w14:paraId="56A67A26">
            <w:pPr>
              <w:spacing w:before="60" w:after="60" w:line="360" w:lineRule="auto"/>
              <w:jc w:val="center"/>
              <w:rPr>
                <w:rFonts w:hint="eastAsia" w:ascii="宋体" w:hAnsi="宋体" w:eastAsia="宋体" w:cs="宋体"/>
                <w:color w:val="auto"/>
                <w:sz w:val="28"/>
                <w:szCs w:val="28"/>
                <w:highlight w:val="none"/>
              </w:rPr>
            </w:pPr>
          </w:p>
        </w:tc>
        <w:tc>
          <w:tcPr>
            <w:tcW w:w="1755" w:type="dxa"/>
            <w:gridSpan w:val="2"/>
            <w:tcBorders>
              <w:right w:val="single" w:color="auto" w:sz="4" w:space="0"/>
            </w:tcBorders>
            <w:noWrap w:val="0"/>
            <w:vAlign w:val="center"/>
          </w:tcPr>
          <w:p w14:paraId="75E79B0C">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注册证书编号</w:t>
            </w:r>
          </w:p>
        </w:tc>
        <w:tc>
          <w:tcPr>
            <w:tcW w:w="1815" w:type="dxa"/>
            <w:gridSpan w:val="2"/>
            <w:tcBorders>
              <w:left w:val="single" w:color="auto" w:sz="4" w:space="0"/>
            </w:tcBorders>
            <w:noWrap w:val="0"/>
            <w:vAlign w:val="center"/>
          </w:tcPr>
          <w:p w14:paraId="0CD42261">
            <w:pPr>
              <w:spacing w:before="60" w:after="60" w:line="360" w:lineRule="auto"/>
              <w:jc w:val="center"/>
              <w:rPr>
                <w:rFonts w:hint="eastAsia" w:ascii="宋体" w:hAnsi="宋体" w:eastAsia="宋体" w:cs="宋体"/>
                <w:color w:val="auto"/>
                <w:sz w:val="28"/>
                <w:szCs w:val="28"/>
                <w:highlight w:val="none"/>
              </w:rPr>
            </w:pPr>
          </w:p>
        </w:tc>
      </w:tr>
      <w:tr w14:paraId="6063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3" w:hRule="atLeast"/>
          <w:jc w:val="center"/>
        </w:trPr>
        <w:tc>
          <w:tcPr>
            <w:tcW w:w="2377" w:type="dxa"/>
            <w:gridSpan w:val="4"/>
            <w:tcBorders>
              <w:right w:val="single" w:color="auto" w:sz="4" w:space="0"/>
            </w:tcBorders>
            <w:noWrap w:val="0"/>
            <w:vAlign w:val="center"/>
          </w:tcPr>
          <w:p w14:paraId="41D5C74E">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参加工作时间</w:t>
            </w:r>
          </w:p>
        </w:tc>
        <w:tc>
          <w:tcPr>
            <w:tcW w:w="2106" w:type="dxa"/>
            <w:gridSpan w:val="5"/>
            <w:tcBorders>
              <w:left w:val="single" w:color="auto" w:sz="4" w:space="0"/>
              <w:right w:val="single" w:color="auto" w:sz="4" w:space="0"/>
            </w:tcBorders>
            <w:noWrap w:val="0"/>
            <w:vAlign w:val="top"/>
          </w:tcPr>
          <w:p w14:paraId="7EB489B7">
            <w:pPr>
              <w:spacing w:before="60" w:after="60" w:line="360" w:lineRule="auto"/>
              <w:jc w:val="center"/>
              <w:rPr>
                <w:rFonts w:hint="eastAsia" w:ascii="宋体" w:hAnsi="宋体" w:eastAsia="宋体" w:cs="宋体"/>
                <w:color w:val="auto"/>
                <w:sz w:val="28"/>
                <w:szCs w:val="28"/>
                <w:highlight w:val="none"/>
              </w:rPr>
            </w:pPr>
          </w:p>
        </w:tc>
        <w:tc>
          <w:tcPr>
            <w:tcW w:w="2865" w:type="dxa"/>
            <w:gridSpan w:val="4"/>
            <w:tcBorders>
              <w:left w:val="single" w:color="auto" w:sz="4" w:space="0"/>
              <w:right w:val="single" w:color="auto" w:sz="4" w:space="0"/>
            </w:tcBorders>
            <w:noWrap w:val="0"/>
            <w:vAlign w:val="center"/>
          </w:tcPr>
          <w:p w14:paraId="79D479D6">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从事总监工作年限</w:t>
            </w:r>
          </w:p>
        </w:tc>
        <w:tc>
          <w:tcPr>
            <w:tcW w:w="1230" w:type="dxa"/>
            <w:tcBorders>
              <w:left w:val="single" w:color="auto" w:sz="4" w:space="0"/>
            </w:tcBorders>
            <w:noWrap w:val="0"/>
            <w:vAlign w:val="top"/>
          </w:tcPr>
          <w:p w14:paraId="76CC5D16">
            <w:pPr>
              <w:spacing w:before="60" w:after="60" w:line="360" w:lineRule="auto"/>
              <w:rPr>
                <w:rFonts w:hint="eastAsia" w:ascii="宋体" w:hAnsi="宋体" w:eastAsia="宋体" w:cs="宋体"/>
                <w:color w:val="auto"/>
                <w:sz w:val="28"/>
                <w:szCs w:val="28"/>
                <w:highlight w:val="none"/>
              </w:rPr>
            </w:pPr>
          </w:p>
        </w:tc>
      </w:tr>
      <w:tr w14:paraId="41B1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8" w:hRule="atLeast"/>
          <w:jc w:val="center"/>
        </w:trPr>
        <w:tc>
          <w:tcPr>
            <w:tcW w:w="8578" w:type="dxa"/>
            <w:gridSpan w:val="14"/>
            <w:noWrap w:val="0"/>
            <w:vAlign w:val="center"/>
          </w:tcPr>
          <w:p w14:paraId="48AF5988">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近五年已完成类似工程项目情况</w:t>
            </w:r>
          </w:p>
        </w:tc>
      </w:tr>
      <w:tr w14:paraId="2444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7" w:hRule="atLeast"/>
          <w:jc w:val="center"/>
        </w:trPr>
        <w:tc>
          <w:tcPr>
            <w:tcW w:w="1423" w:type="dxa"/>
            <w:gridSpan w:val="2"/>
            <w:noWrap w:val="0"/>
            <w:vAlign w:val="center"/>
          </w:tcPr>
          <w:p w14:paraId="4B5E3E2D">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建设单位</w:t>
            </w:r>
          </w:p>
        </w:tc>
        <w:tc>
          <w:tcPr>
            <w:tcW w:w="1530" w:type="dxa"/>
            <w:gridSpan w:val="5"/>
            <w:tcBorders>
              <w:right w:val="single" w:color="auto" w:sz="4" w:space="0"/>
            </w:tcBorders>
            <w:noWrap w:val="0"/>
            <w:vAlign w:val="center"/>
          </w:tcPr>
          <w:p w14:paraId="58105854">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1530" w:type="dxa"/>
            <w:gridSpan w:val="2"/>
            <w:tcBorders>
              <w:left w:val="single" w:color="auto" w:sz="4" w:space="0"/>
              <w:right w:val="single" w:color="auto" w:sz="4" w:space="0"/>
            </w:tcBorders>
            <w:noWrap w:val="0"/>
            <w:vAlign w:val="center"/>
          </w:tcPr>
          <w:p w14:paraId="09ACFCA6">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建设规模</w:t>
            </w:r>
          </w:p>
        </w:tc>
        <w:tc>
          <w:tcPr>
            <w:tcW w:w="1455" w:type="dxa"/>
            <w:gridSpan w:val="2"/>
            <w:tcBorders>
              <w:left w:val="single" w:color="auto" w:sz="4" w:space="0"/>
            </w:tcBorders>
            <w:noWrap w:val="0"/>
            <w:vAlign w:val="center"/>
          </w:tcPr>
          <w:p w14:paraId="5F2D61ED">
            <w:pPr>
              <w:spacing w:before="60" w:after="6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工程等级</w:t>
            </w:r>
          </w:p>
        </w:tc>
        <w:tc>
          <w:tcPr>
            <w:tcW w:w="1410" w:type="dxa"/>
            <w:gridSpan w:val="2"/>
            <w:noWrap w:val="0"/>
            <w:vAlign w:val="center"/>
          </w:tcPr>
          <w:p w14:paraId="7628F34A">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开、竣工日期</w:t>
            </w:r>
          </w:p>
        </w:tc>
        <w:tc>
          <w:tcPr>
            <w:tcW w:w="1230" w:type="dxa"/>
            <w:noWrap w:val="0"/>
            <w:vAlign w:val="center"/>
          </w:tcPr>
          <w:p w14:paraId="62885608">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w:t>
            </w:r>
          </w:p>
        </w:tc>
      </w:tr>
      <w:tr w14:paraId="13C2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21" w:hRule="atLeast"/>
          <w:jc w:val="center"/>
        </w:trPr>
        <w:tc>
          <w:tcPr>
            <w:tcW w:w="1423" w:type="dxa"/>
            <w:gridSpan w:val="2"/>
            <w:noWrap w:val="0"/>
            <w:vAlign w:val="top"/>
          </w:tcPr>
          <w:p w14:paraId="7D4BCCFB">
            <w:pPr>
              <w:spacing w:before="60" w:after="60" w:line="360" w:lineRule="auto"/>
              <w:jc w:val="center"/>
              <w:rPr>
                <w:rFonts w:hint="eastAsia" w:ascii="宋体" w:hAnsi="宋体" w:eastAsia="宋体" w:cs="宋体"/>
                <w:color w:val="auto"/>
                <w:sz w:val="28"/>
                <w:szCs w:val="28"/>
                <w:highlight w:val="none"/>
              </w:rPr>
            </w:pPr>
          </w:p>
        </w:tc>
        <w:tc>
          <w:tcPr>
            <w:tcW w:w="1530" w:type="dxa"/>
            <w:gridSpan w:val="5"/>
            <w:tcBorders>
              <w:right w:val="single" w:color="auto" w:sz="4" w:space="0"/>
            </w:tcBorders>
            <w:noWrap w:val="0"/>
            <w:vAlign w:val="top"/>
          </w:tcPr>
          <w:p w14:paraId="786013CE">
            <w:pPr>
              <w:spacing w:before="60" w:after="60" w:line="360" w:lineRule="auto"/>
              <w:jc w:val="center"/>
              <w:rPr>
                <w:rFonts w:hint="eastAsia" w:ascii="宋体" w:hAnsi="宋体" w:eastAsia="宋体" w:cs="宋体"/>
                <w:color w:val="auto"/>
                <w:sz w:val="28"/>
                <w:szCs w:val="28"/>
                <w:highlight w:val="none"/>
              </w:rPr>
            </w:pPr>
          </w:p>
        </w:tc>
        <w:tc>
          <w:tcPr>
            <w:tcW w:w="1530" w:type="dxa"/>
            <w:gridSpan w:val="2"/>
            <w:tcBorders>
              <w:left w:val="single" w:color="auto" w:sz="4" w:space="0"/>
              <w:right w:val="single" w:color="auto" w:sz="4" w:space="0"/>
            </w:tcBorders>
            <w:noWrap w:val="0"/>
            <w:vAlign w:val="top"/>
          </w:tcPr>
          <w:p w14:paraId="6A1E1BF0">
            <w:pPr>
              <w:spacing w:before="60" w:after="60" w:line="360" w:lineRule="auto"/>
              <w:jc w:val="center"/>
              <w:rPr>
                <w:rFonts w:hint="eastAsia" w:ascii="宋体" w:hAnsi="宋体" w:eastAsia="宋体" w:cs="宋体"/>
                <w:color w:val="auto"/>
                <w:sz w:val="28"/>
                <w:szCs w:val="28"/>
                <w:highlight w:val="none"/>
              </w:rPr>
            </w:pPr>
          </w:p>
        </w:tc>
        <w:tc>
          <w:tcPr>
            <w:tcW w:w="1455" w:type="dxa"/>
            <w:gridSpan w:val="2"/>
            <w:tcBorders>
              <w:left w:val="single" w:color="auto" w:sz="4" w:space="0"/>
            </w:tcBorders>
            <w:noWrap w:val="0"/>
            <w:vAlign w:val="top"/>
          </w:tcPr>
          <w:p w14:paraId="3CBB034D">
            <w:pPr>
              <w:spacing w:before="60" w:after="60" w:line="360" w:lineRule="auto"/>
              <w:jc w:val="center"/>
              <w:rPr>
                <w:rFonts w:hint="eastAsia" w:ascii="宋体" w:hAnsi="宋体" w:eastAsia="宋体" w:cs="宋体"/>
                <w:color w:val="auto"/>
                <w:sz w:val="28"/>
                <w:szCs w:val="28"/>
                <w:highlight w:val="none"/>
              </w:rPr>
            </w:pPr>
          </w:p>
        </w:tc>
        <w:tc>
          <w:tcPr>
            <w:tcW w:w="1410" w:type="dxa"/>
            <w:gridSpan w:val="2"/>
            <w:noWrap w:val="0"/>
            <w:vAlign w:val="top"/>
          </w:tcPr>
          <w:p w14:paraId="6DC52D34">
            <w:pPr>
              <w:spacing w:before="60" w:after="60" w:line="360" w:lineRule="auto"/>
              <w:jc w:val="center"/>
              <w:rPr>
                <w:rFonts w:hint="eastAsia" w:ascii="宋体" w:hAnsi="宋体" w:eastAsia="宋体" w:cs="宋体"/>
                <w:color w:val="auto"/>
                <w:sz w:val="28"/>
                <w:szCs w:val="28"/>
                <w:highlight w:val="none"/>
              </w:rPr>
            </w:pPr>
          </w:p>
        </w:tc>
        <w:tc>
          <w:tcPr>
            <w:tcW w:w="1230" w:type="dxa"/>
            <w:noWrap w:val="0"/>
            <w:vAlign w:val="top"/>
          </w:tcPr>
          <w:p w14:paraId="1DE91335">
            <w:pPr>
              <w:spacing w:before="60" w:after="60" w:line="360" w:lineRule="auto"/>
              <w:jc w:val="center"/>
              <w:rPr>
                <w:rFonts w:hint="eastAsia" w:ascii="宋体" w:hAnsi="宋体" w:eastAsia="宋体" w:cs="宋体"/>
                <w:color w:val="auto"/>
                <w:sz w:val="28"/>
                <w:szCs w:val="28"/>
                <w:highlight w:val="none"/>
              </w:rPr>
            </w:pPr>
          </w:p>
        </w:tc>
      </w:tr>
      <w:tr w14:paraId="6E290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1" w:hRule="atLeast"/>
          <w:jc w:val="center"/>
        </w:trPr>
        <w:tc>
          <w:tcPr>
            <w:tcW w:w="1423" w:type="dxa"/>
            <w:gridSpan w:val="2"/>
            <w:noWrap w:val="0"/>
            <w:vAlign w:val="top"/>
          </w:tcPr>
          <w:p w14:paraId="32E01916">
            <w:pPr>
              <w:spacing w:before="60" w:after="60" w:line="360" w:lineRule="auto"/>
              <w:jc w:val="center"/>
              <w:rPr>
                <w:rFonts w:hint="eastAsia" w:ascii="宋体" w:hAnsi="宋体" w:eastAsia="宋体" w:cs="宋体"/>
                <w:color w:val="auto"/>
                <w:sz w:val="28"/>
                <w:szCs w:val="28"/>
                <w:highlight w:val="none"/>
              </w:rPr>
            </w:pPr>
          </w:p>
        </w:tc>
        <w:tc>
          <w:tcPr>
            <w:tcW w:w="1530" w:type="dxa"/>
            <w:gridSpan w:val="5"/>
            <w:tcBorders>
              <w:right w:val="single" w:color="auto" w:sz="4" w:space="0"/>
            </w:tcBorders>
            <w:noWrap w:val="0"/>
            <w:vAlign w:val="top"/>
          </w:tcPr>
          <w:p w14:paraId="49710470">
            <w:pPr>
              <w:spacing w:before="60" w:after="60" w:line="360" w:lineRule="auto"/>
              <w:jc w:val="center"/>
              <w:rPr>
                <w:rFonts w:hint="eastAsia" w:ascii="宋体" w:hAnsi="宋体" w:eastAsia="宋体" w:cs="宋体"/>
                <w:color w:val="auto"/>
                <w:sz w:val="28"/>
                <w:szCs w:val="28"/>
                <w:highlight w:val="none"/>
              </w:rPr>
            </w:pPr>
          </w:p>
        </w:tc>
        <w:tc>
          <w:tcPr>
            <w:tcW w:w="1530" w:type="dxa"/>
            <w:gridSpan w:val="2"/>
            <w:tcBorders>
              <w:left w:val="single" w:color="auto" w:sz="4" w:space="0"/>
              <w:right w:val="single" w:color="auto" w:sz="4" w:space="0"/>
            </w:tcBorders>
            <w:noWrap w:val="0"/>
            <w:vAlign w:val="top"/>
          </w:tcPr>
          <w:p w14:paraId="1AB398D7">
            <w:pPr>
              <w:spacing w:before="60" w:after="60" w:line="360" w:lineRule="auto"/>
              <w:jc w:val="center"/>
              <w:rPr>
                <w:rFonts w:hint="eastAsia" w:ascii="宋体" w:hAnsi="宋体" w:eastAsia="宋体" w:cs="宋体"/>
                <w:color w:val="auto"/>
                <w:sz w:val="28"/>
                <w:szCs w:val="28"/>
                <w:highlight w:val="none"/>
              </w:rPr>
            </w:pPr>
          </w:p>
        </w:tc>
        <w:tc>
          <w:tcPr>
            <w:tcW w:w="1455" w:type="dxa"/>
            <w:gridSpan w:val="2"/>
            <w:tcBorders>
              <w:left w:val="single" w:color="auto" w:sz="4" w:space="0"/>
            </w:tcBorders>
            <w:noWrap w:val="0"/>
            <w:vAlign w:val="top"/>
          </w:tcPr>
          <w:p w14:paraId="52C152BC">
            <w:pPr>
              <w:spacing w:before="60" w:after="60" w:line="360" w:lineRule="auto"/>
              <w:jc w:val="center"/>
              <w:rPr>
                <w:rFonts w:hint="eastAsia" w:ascii="宋体" w:hAnsi="宋体" w:eastAsia="宋体" w:cs="宋体"/>
                <w:color w:val="auto"/>
                <w:sz w:val="28"/>
                <w:szCs w:val="28"/>
                <w:highlight w:val="none"/>
              </w:rPr>
            </w:pPr>
          </w:p>
        </w:tc>
        <w:tc>
          <w:tcPr>
            <w:tcW w:w="1410" w:type="dxa"/>
            <w:gridSpan w:val="2"/>
            <w:noWrap w:val="0"/>
            <w:vAlign w:val="top"/>
          </w:tcPr>
          <w:p w14:paraId="170EADED">
            <w:pPr>
              <w:spacing w:before="60" w:after="60" w:line="360" w:lineRule="auto"/>
              <w:jc w:val="center"/>
              <w:rPr>
                <w:rFonts w:hint="eastAsia" w:ascii="宋体" w:hAnsi="宋体" w:eastAsia="宋体" w:cs="宋体"/>
                <w:color w:val="auto"/>
                <w:sz w:val="28"/>
                <w:szCs w:val="28"/>
                <w:highlight w:val="none"/>
              </w:rPr>
            </w:pPr>
          </w:p>
        </w:tc>
        <w:tc>
          <w:tcPr>
            <w:tcW w:w="1230" w:type="dxa"/>
            <w:noWrap w:val="0"/>
            <w:vAlign w:val="top"/>
          </w:tcPr>
          <w:p w14:paraId="238107EC">
            <w:pPr>
              <w:spacing w:before="60" w:after="60" w:line="360" w:lineRule="auto"/>
              <w:jc w:val="center"/>
              <w:rPr>
                <w:rFonts w:hint="eastAsia" w:ascii="宋体" w:hAnsi="宋体" w:eastAsia="宋体" w:cs="宋体"/>
                <w:color w:val="auto"/>
                <w:sz w:val="28"/>
                <w:szCs w:val="28"/>
                <w:highlight w:val="none"/>
              </w:rPr>
            </w:pPr>
          </w:p>
        </w:tc>
      </w:tr>
      <w:tr w14:paraId="755B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1" w:hRule="atLeast"/>
          <w:jc w:val="center"/>
        </w:trPr>
        <w:tc>
          <w:tcPr>
            <w:tcW w:w="1423" w:type="dxa"/>
            <w:gridSpan w:val="2"/>
            <w:noWrap w:val="0"/>
            <w:vAlign w:val="top"/>
          </w:tcPr>
          <w:p w14:paraId="6572EAAA">
            <w:pPr>
              <w:spacing w:before="60" w:after="60" w:line="360" w:lineRule="auto"/>
              <w:jc w:val="center"/>
              <w:rPr>
                <w:rFonts w:hint="eastAsia" w:ascii="宋体" w:hAnsi="宋体" w:eastAsia="宋体" w:cs="宋体"/>
                <w:color w:val="auto"/>
                <w:sz w:val="28"/>
                <w:szCs w:val="28"/>
                <w:highlight w:val="none"/>
              </w:rPr>
            </w:pPr>
          </w:p>
        </w:tc>
        <w:tc>
          <w:tcPr>
            <w:tcW w:w="1530" w:type="dxa"/>
            <w:gridSpan w:val="5"/>
            <w:tcBorders>
              <w:right w:val="single" w:color="auto" w:sz="4" w:space="0"/>
            </w:tcBorders>
            <w:noWrap w:val="0"/>
            <w:vAlign w:val="top"/>
          </w:tcPr>
          <w:p w14:paraId="07B73EA2">
            <w:pPr>
              <w:spacing w:before="60" w:after="60" w:line="360" w:lineRule="auto"/>
              <w:jc w:val="center"/>
              <w:rPr>
                <w:rFonts w:hint="eastAsia" w:ascii="宋体" w:hAnsi="宋体" w:eastAsia="宋体" w:cs="宋体"/>
                <w:color w:val="auto"/>
                <w:sz w:val="28"/>
                <w:szCs w:val="28"/>
                <w:highlight w:val="none"/>
              </w:rPr>
            </w:pPr>
          </w:p>
        </w:tc>
        <w:tc>
          <w:tcPr>
            <w:tcW w:w="1530" w:type="dxa"/>
            <w:gridSpan w:val="2"/>
            <w:tcBorders>
              <w:left w:val="single" w:color="auto" w:sz="4" w:space="0"/>
              <w:right w:val="single" w:color="auto" w:sz="4" w:space="0"/>
            </w:tcBorders>
            <w:noWrap w:val="0"/>
            <w:vAlign w:val="top"/>
          </w:tcPr>
          <w:p w14:paraId="2C62A00B">
            <w:pPr>
              <w:spacing w:before="60" w:after="60" w:line="360" w:lineRule="auto"/>
              <w:jc w:val="center"/>
              <w:rPr>
                <w:rFonts w:hint="eastAsia" w:ascii="宋体" w:hAnsi="宋体" w:eastAsia="宋体" w:cs="宋体"/>
                <w:color w:val="auto"/>
                <w:sz w:val="28"/>
                <w:szCs w:val="28"/>
                <w:highlight w:val="none"/>
              </w:rPr>
            </w:pPr>
          </w:p>
        </w:tc>
        <w:tc>
          <w:tcPr>
            <w:tcW w:w="1455" w:type="dxa"/>
            <w:gridSpan w:val="2"/>
            <w:tcBorders>
              <w:left w:val="single" w:color="auto" w:sz="4" w:space="0"/>
            </w:tcBorders>
            <w:noWrap w:val="0"/>
            <w:vAlign w:val="top"/>
          </w:tcPr>
          <w:p w14:paraId="13DFC9CE">
            <w:pPr>
              <w:spacing w:before="60" w:after="60" w:line="360" w:lineRule="auto"/>
              <w:jc w:val="center"/>
              <w:rPr>
                <w:rFonts w:hint="eastAsia" w:ascii="宋体" w:hAnsi="宋体" w:eastAsia="宋体" w:cs="宋体"/>
                <w:color w:val="auto"/>
                <w:sz w:val="28"/>
                <w:szCs w:val="28"/>
                <w:highlight w:val="none"/>
              </w:rPr>
            </w:pPr>
          </w:p>
        </w:tc>
        <w:tc>
          <w:tcPr>
            <w:tcW w:w="1410" w:type="dxa"/>
            <w:gridSpan w:val="2"/>
            <w:noWrap w:val="0"/>
            <w:vAlign w:val="top"/>
          </w:tcPr>
          <w:p w14:paraId="625C3DFC">
            <w:pPr>
              <w:spacing w:before="60" w:after="60" w:line="360" w:lineRule="auto"/>
              <w:jc w:val="center"/>
              <w:rPr>
                <w:rFonts w:hint="eastAsia" w:ascii="宋体" w:hAnsi="宋体" w:eastAsia="宋体" w:cs="宋体"/>
                <w:color w:val="auto"/>
                <w:sz w:val="28"/>
                <w:szCs w:val="28"/>
                <w:highlight w:val="none"/>
              </w:rPr>
            </w:pPr>
          </w:p>
        </w:tc>
        <w:tc>
          <w:tcPr>
            <w:tcW w:w="1230" w:type="dxa"/>
            <w:noWrap w:val="0"/>
            <w:vAlign w:val="top"/>
          </w:tcPr>
          <w:p w14:paraId="5A428EDB">
            <w:pPr>
              <w:spacing w:before="60" w:after="60" w:line="360" w:lineRule="auto"/>
              <w:jc w:val="center"/>
              <w:rPr>
                <w:rFonts w:hint="eastAsia" w:ascii="宋体" w:hAnsi="宋体" w:eastAsia="宋体" w:cs="宋体"/>
                <w:color w:val="auto"/>
                <w:sz w:val="28"/>
                <w:szCs w:val="28"/>
                <w:highlight w:val="none"/>
              </w:rPr>
            </w:pPr>
          </w:p>
        </w:tc>
      </w:tr>
      <w:tr w14:paraId="2B669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1" w:hRule="atLeast"/>
          <w:jc w:val="center"/>
        </w:trPr>
        <w:tc>
          <w:tcPr>
            <w:tcW w:w="1423" w:type="dxa"/>
            <w:gridSpan w:val="2"/>
            <w:noWrap w:val="0"/>
            <w:vAlign w:val="top"/>
          </w:tcPr>
          <w:p w14:paraId="02F5AEB6">
            <w:pPr>
              <w:spacing w:before="60" w:after="60" w:line="360" w:lineRule="auto"/>
              <w:jc w:val="center"/>
              <w:rPr>
                <w:rFonts w:hint="eastAsia" w:ascii="宋体" w:hAnsi="宋体" w:eastAsia="宋体" w:cs="宋体"/>
                <w:color w:val="auto"/>
                <w:sz w:val="28"/>
                <w:szCs w:val="28"/>
                <w:highlight w:val="none"/>
              </w:rPr>
            </w:pPr>
          </w:p>
        </w:tc>
        <w:tc>
          <w:tcPr>
            <w:tcW w:w="1530" w:type="dxa"/>
            <w:gridSpan w:val="5"/>
            <w:tcBorders>
              <w:right w:val="single" w:color="auto" w:sz="4" w:space="0"/>
            </w:tcBorders>
            <w:noWrap w:val="0"/>
            <w:vAlign w:val="top"/>
          </w:tcPr>
          <w:p w14:paraId="4C4F3794">
            <w:pPr>
              <w:spacing w:before="60" w:after="60" w:line="360" w:lineRule="auto"/>
              <w:jc w:val="center"/>
              <w:rPr>
                <w:rFonts w:hint="eastAsia" w:ascii="宋体" w:hAnsi="宋体" w:eastAsia="宋体" w:cs="宋体"/>
                <w:color w:val="auto"/>
                <w:sz w:val="28"/>
                <w:szCs w:val="28"/>
                <w:highlight w:val="none"/>
              </w:rPr>
            </w:pPr>
          </w:p>
        </w:tc>
        <w:tc>
          <w:tcPr>
            <w:tcW w:w="1530" w:type="dxa"/>
            <w:gridSpan w:val="2"/>
            <w:tcBorders>
              <w:left w:val="single" w:color="auto" w:sz="4" w:space="0"/>
              <w:right w:val="single" w:color="auto" w:sz="4" w:space="0"/>
            </w:tcBorders>
            <w:noWrap w:val="0"/>
            <w:vAlign w:val="top"/>
          </w:tcPr>
          <w:p w14:paraId="069D4EEA">
            <w:pPr>
              <w:spacing w:before="60" w:after="60" w:line="360" w:lineRule="auto"/>
              <w:jc w:val="center"/>
              <w:rPr>
                <w:rFonts w:hint="eastAsia" w:ascii="宋体" w:hAnsi="宋体" w:eastAsia="宋体" w:cs="宋体"/>
                <w:color w:val="auto"/>
                <w:sz w:val="28"/>
                <w:szCs w:val="28"/>
                <w:highlight w:val="none"/>
              </w:rPr>
            </w:pPr>
          </w:p>
        </w:tc>
        <w:tc>
          <w:tcPr>
            <w:tcW w:w="1455" w:type="dxa"/>
            <w:gridSpan w:val="2"/>
            <w:tcBorders>
              <w:left w:val="single" w:color="auto" w:sz="4" w:space="0"/>
            </w:tcBorders>
            <w:noWrap w:val="0"/>
            <w:vAlign w:val="top"/>
          </w:tcPr>
          <w:p w14:paraId="57ED5815">
            <w:pPr>
              <w:spacing w:before="60" w:after="60" w:line="360" w:lineRule="auto"/>
              <w:jc w:val="center"/>
              <w:rPr>
                <w:rFonts w:hint="eastAsia" w:ascii="宋体" w:hAnsi="宋体" w:eastAsia="宋体" w:cs="宋体"/>
                <w:color w:val="auto"/>
                <w:sz w:val="28"/>
                <w:szCs w:val="28"/>
                <w:highlight w:val="none"/>
              </w:rPr>
            </w:pPr>
          </w:p>
        </w:tc>
        <w:tc>
          <w:tcPr>
            <w:tcW w:w="1410" w:type="dxa"/>
            <w:gridSpan w:val="2"/>
            <w:noWrap w:val="0"/>
            <w:vAlign w:val="top"/>
          </w:tcPr>
          <w:p w14:paraId="30704F2A">
            <w:pPr>
              <w:spacing w:before="60" w:after="60" w:line="360" w:lineRule="auto"/>
              <w:jc w:val="center"/>
              <w:rPr>
                <w:rFonts w:hint="eastAsia" w:ascii="宋体" w:hAnsi="宋体" w:eastAsia="宋体" w:cs="宋体"/>
                <w:color w:val="auto"/>
                <w:sz w:val="28"/>
                <w:szCs w:val="28"/>
                <w:highlight w:val="none"/>
              </w:rPr>
            </w:pPr>
          </w:p>
        </w:tc>
        <w:tc>
          <w:tcPr>
            <w:tcW w:w="1230" w:type="dxa"/>
            <w:noWrap w:val="0"/>
            <w:vAlign w:val="top"/>
          </w:tcPr>
          <w:p w14:paraId="57FA30CE">
            <w:pPr>
              <w:spacing w:before="60" w:after="60" w:line="360" w:lineRule="auto"/>
              <w:jc w:val="center"/>
              <w:rPr>
                <w:rFonts w:hint="eastAsia" w:ascii="宋体" w:hAnsi="宋体" w:eastAsia="宋体" w:cs="宋体"/>
                <w:color w:val="auto"/>
                <w:sz w:val="28"/>
                <w:szCs w:val="28"/>
                <w:highlight w:val="none"/>
              </w:rPr>
            </w:pPr>
          </w:p>
        </w:tc>
      </w:tr>
      <w:tr w14:paraId="0FF9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1" w:hRule="atLeast"/>
          <w:jc w:val="center"/>
        </w:trPr>
        <w:tc>
          <w:tcPr>
            <w:tcW w:w="1423" w:type="dxa"/>
            <w:gridSpan w:val="2"/>
            <w:noWrap w:val="0"/>
            <w:vAlign w:val="top"/>
          </w:tcPr>
          <w:p w14:paraId="78262FC8">
            <w:pPr>
              <w:spacing w:before="60" w:after="60" w:line="360" w:lineRule="auto"/>
              <w:jc w:val="center"/>
              <w:rPr>
                <w:rFonts w:hint="eastAsia" w:ascii="宋体" w:hAnsi="宋体" w:eastAsia="宋体" w:cs="宋体"/>
                <w:color w:val="auto"/>
                <w:sz w:val="28"/>
                <w:szCs w:val="28"/>
                <w:highlight w:val="none"/>
              </w:rPr>
            </w:pPr>
          </w:p>
        </w:tc>
        <w:tc>
          <w:tcPr>
            <w:tcW w:w="1530" w:type="dxa"/>
            <w:gridSpan w:val="5"/>
            <w:tcBorders>
              <w:right w:val="single" w:color="auto" w:sz="4" w:space="0"/>
            </w:tcBorders>
            <w:noWrap w:val="0"/>
            <w:vAlign w:val="top"/>
          </w:tcPr>
          <w:p w14:paraId="1486CA16">
            <w:pPr>
              <w:spacing w:before="60" w:after="60" w:line="360" w:lineRule="auto"/>
              <w:jc w:val="center"/>
              <w:rPr>
                <w:rFonts w:hint="eastAsia" w:ascii="宋体" w:hAnsi="宋体" w:eastAsia="宋体" w:cs="宋体"/>
                <w:color w:val="auto"/>
                <w:sz w:val="28"/>
                <w:szCs w:val="28"/>
                <w:highlight w:val="none"/>
              </w:rPr>
            </w:pPr>
          </w:p>
        </w:tc>
        <w:tc>
          <w:tcPr>
            <w:tcW w:w="1530" w:type="dxa"/>
            <w:gridSpan w:val="2"/>
            <w:tcBorders>
              <w:left w:val="single" w:color="auto" w:sz="4" w:space="0"/>
              <w:right w:val="single" w:color="auto" w:sz="4" w:space="0"/>
            </w:tcBorders>
            <w:noWrap w:val="0"/>
            <w:vAlign w:val="top"/>
          </w:tcPr>
          <w:p w14:paraId="133254EB">
            <w:pPr>
              <w:spacing w:before="60" w:after="60" w:line="360" w:lineRule="auto"/>
              <w:jc w:val="center"/>
              <w:rPr>
                <w:rFonts w:hint="eastAsia" w:ascii="宋体" w:hAnsi="宋体" w:eastAsia="宋体" w:cs="宋体"/>
                <w:color w:val="auto"/>
                <w:sz w:val="28"/>
                <w:szCs w:val="28"/>
                <w:highlight w:val="none"/>
              </w:rPr>
            </w:pPr>
          </w:p>
        </w:tc>
        <w:tc>
          <w:tcPr>
            <w:tcW w:w="1455" w:type="dxa"/>
            <w:gridSpan w:val="2"/>
            <w:tcBorders>
              <w:left w:val="single" w:color="auto" w:sz="4" w:space="0"/>
            </w:tcBorders>
            <w:noWrap w:val="0"/>
            <w:vAlign w:val="top"/>
          </w:tcPr>
          <w:p w14:paraId="527038CD">
            <w:pPr>
              <w:spacing w:before="60" w:after="60" w:line="360" w:lineRule="auto"/>
              <w:jc w:val="center"/>
              <w:rPr>
                <w:rFonts w:hint="eastAsia" w:ascii="宋体" w:hAnsi="宋体" w:eastAsia="宋体" w:cs="宋体"/>
                <w:color w:val="auto"/>
                <w:sz w:val="28"/>
                <w:szCs w:val="28"/>
                <w:highlight w:val="none"/>
              </w:rPr>
            </w:pPr>
          </w:p>
        </w:tc>
        <w:tc>
          <w:tcPr>
            <w:tcW w:w="1410" w:type="dxa"/>
            <w:gridSpan w:val="2"/>
            <w:noWrap w:val="0"/>
            <w:vAlign w:val="top"/>
          </w:tcPr>
          <w:p w14:paraId="043CF09C">
            <w:pPr>
              <w:spacing w:before="60" w:after="60" w:line="360" w:lineRule="auto"/>
              <w:jc w:val="center"/>
              <w:rPr>
                <w:rFonts w:hint="eastAsia" w:ascii="宋体" w:hAnsi="宋体" w:eastAsia="宋体" w:cs="宋体"/>
                <w:color w:val="auto"/>
                <w:sz w:val="28"/>
                <w:szCs w:val="28"/>
                <w:highlight w:val="none"/>
              </w:rPr>
            </w:pPr>
          </w:p>
        </w:tc>
        <w:tc>
          <w:tcPr>
            <w:tcW w:w="1230" w:type="dxa"/>
            <w:noWrap w:val="0"/>
            <w:vAlign w:val="top"/>
          </w:tcPr>
          <w:p w14:paraId="574DB6EB">
            <w:pPr>
              <w:spacing w:before="60" w:after="60" w:line="360" w:lineRule="auto"/>
              <w:jc w:val="center"/>
              <w:rPr>
                <w:rFonts w:hint="eastAsia" w:ascii="宋体" w:hAnsi="宋体" w:eastAsia="宋体" w:cs="宋体"/>
                <w:color w:val="auto"/>
                <w:sz w:val="28"/>
                <w:szCs w:val="28"/>
                <w:highlight w:val="none"/>
              </w:rPr>
            </w:pPr>
          </w:p>
        </w:tc>
      </w:tr>
      <w:tr w14:paraId="422F9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3" w:hRule="atLeast"/>
          <w:jc w:val="center"/>
        </w:trPr>
        <w:tc>
          <w:tcPr>
            <w:tcW w:w="1423" w:type="dxa"/>
            <w:gridSpan w:val="2"/>
            <w:noWrap w:val="0"/>
            <w:vAlign w:val="top"/>
          </w:tcPr>
          <w:p w14:paraId="3D17A1D7">
            <w:pPr>
              <w:spacing w:before="60" w:after="60" w:line="360" w:lineRule="auto"/>
              <w:jc w:val="center"/>
              <w:rPr>
                <w:rFonts w:hint="eastAsia" w:ascii="宋体" w:hAnsi="宋体" w:eastAsia="宋体" w:cs="宋体"/>
                <w:color w:val="auto"/>
                <w:sz w:val="28"/>
                <w:szCs w:val="28"/>
                <w:highlight w:val="none"/>
              </w:rPr>
            </w:pPr>
          </w:p>
        </w:tc>
        <w:tc>
          <w:tcPr>
            <w:tcW w:w="1530" w:type="dxa"/>
            <w:gridSpan w:val="5"/>
            <w:tcBorders>
              <w:right w:val="single" w:color="auto" w:sz="4" w:space="0"/>
            </w:tcBorders>
            <w:noWrap w:val="0"/>
            <w:vAlign w:val="top"/>
          </w:tcPr>
          <w:p w14:paraId="79972312">
            <w:pPr>
              <w:spacing w:before="60" w:after="60" w:line="360" w:lineRule="auto"/>
              <w:jc w:val="center"/>
              <w:rPr>
                <w:rFonts w:hint="eastAsia" w:ascii="宋体" w:hAnsi="宋体" w:eastAsia="宋体" w:cs="宋体"/>
                <w:color w:val="auto"/>
                <w:sz w:val="28"/>
                <w:szCs w:val="28"/>
                <w:highlight w:val="none"/>
              </w:rPr>
            </w:pPr>
          </w:p>
        </w:tc>
        <w:tc>
          <w:tcPr>
            <w:tcW w:w="1530" w:type="dxa"/>
            <w:gridSpan w:val="2"/>
            <w:tcBorders>
              <w:left w:val="single" w:color="auto" w:sz="4" w:space="0"/>
              <w:right w:val="single" w:color="auto" w:sz="4" w:space="0"/>
            </w:tcBorders>
            <w:noWrap w:val="0"/>
            <w:vAlign w:val="top"/>
          </w:tcPr>
          <w:p w14:paraId="3A715169">
            <w:pPr>
              <w:spacing w:before="60" w:after="60" w:line="360" w:lineRule="auto"/>
              <w:jc w:val="center"/>
              <w:rPr>
                <w:rFonts w:hint="eastAsia" w:ascii="宋体" w:hAnsi="宋体" w:eastAsia="宋体" w:cs="宋体"/>
                <w:color w:val="auto"/>
                <w:sz w:val="28"/>
                <w:szCs w:val="28"/>
                <w:highlight w:val="none"/>
              </w:rPr>
            </w:pPr>
          </w:p>
        </w:tc>
        <w:tc>
          <w:tcPr>
            <w:tcW w:w="1455" w:type="dxa"/>
            <w:gridSpan w:val="2"/>
            <w:tcBorders>
              <w:left w:val="single" w:color="auto" w:sz="4" w:space="0"/>
            </w:tcBorders>
            <w:noWrap w:val="0"/>
            <w:vAlign w:val="top"/>
          </w:tcPr>
          <w:p w14:paraId="4413C3CC">
            <w:pPr>
              <w:spacing w:before="60" w:after="60" w:line="360" w:lineRule="auto"/>
              <w:jc w:val="center"/>
              <w:rPr>
                <w:rFonts w:hint="eastAsia" w:ascii="宋体" w:hAnsi="宋体" w:eastAsia="宋体" w:cs="宋体"/>
                <w:color w:val="auto"/>
                <w:sz w:val="28"/>
                <w:szCs w:val="28"/>
                <w:highlight w:val="none"/>
              </w:rPr>
            </w:pPr>
          </w:p>
        </w:tc>
        <w:tc>
          <w:tcPr>
            <w:tcW w:w="1410" w:type="dxa"/>
            <w:gridSpan w:val="2"/>
            <w:noWrap w:val="0"/>
            <w:vAlign w:val="top"/>
          </w:tcPr>
          <w:p w14:paraId="2DD14B8A">
            <w:pPr>
              <w:spacing w:before="60" w:after="60" w:line="360" w:lineRule="auto"/>
              <w:jc w:val="center"/>
              <w:rPr>
                <w:rFonts w:hint="eastAsia" w:ascii="宋体" w:hAnsi="宋体" w:eastAsia="宋体" w:cs="宋体"/>
                <w:color w:val="auto"/>
                <w:sz w:val="28"/>
                <w:szCs w:val="28"/>
                <w:highlight w:val="none"/>
              </w:rPr>
            </w:pPr>
          </w:p>
        </w:tc>
        <w:tc>
          <w:tcPr>
            <w:tcW w:w="1230" w:type="dxa"/>
            <w:noWrap w:val="0"/>
            <w:vAlign w:val="top"/>
          </w:tcPr>
          <w:p w14:paraId="2B4FC96A">
            <w:pPr>
              <w:spacing w:before="60" w:after="60" w:line="360" w:lineRule="auto"/>
              <w:jc w:val="center"/>
              <w:rPr>
                <w:rFonts w:hint="eastAsia" w:ascii="宋体" w:hAnsi="宋体" w:eastAsia="宋体" w:cs="宋体"/>
                <w:color w:val="auto"/>
                <w:sz w:val="28"/>
                <w:szCs w:val="28"/>
                <w:highlight w:val="none"/>
              </w:rPr>
            </w:pPr>
          </w:p>
        </w:tc>
      </w:tr>
      <w:tr w14:paraId="5B83B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7" w:hRule="atLeast"/>
          <w:jc w:val="center"/>
        </w:trPr>
        <w:tc>
          <w:tcPr>
            <w:tcW w:w="1423" w:type="dxa"/>
            <w:gridSpan w:val="2"/>
            <w:noWrap w:val="0"/>
            <w:vAlign w:val="top"/>
          </w:tcPr>
          <w:p w14:paraId="73EE9E8D">
            <w:pPr>
              <w:spacing w:before="60" w:after="60" w:line="360" w:lineRule="auto"/>
              <w:jc w:val="center"/>
              <w:rPr>
                <w:rFonts w:hint="eastAsia" w:ascii="宋体" w:hAnsi="宋体" w:eastAsia="宋体" w:cs="宋体"/>
                <w:color w:val="auto"/>
                <w:sz w:val="28"/>
                <w:szCs w:val="28"/>
                <w:highlight w:val="none"/>
              </w:rPr>
            </w:pPr>
          </w:p>
        </w:tc>
        <w:tc>
          <w:tcPr>
            <w:tcW w:w="1530" w:type="dxa"/>
            <w:gridSpan w:val="5"/>
            <w:tcBorders>
              <w:right w:val="single" w:color="auto" w:sz="4" w:space="0"/>
            </w:tcBorders>
            <w:noWrap w:val="0"/>
            <w:vAlign w:val="top"/>
          </w:tcPr>
          <w:p w14:paraId="76E0E169">
            <w:pPr>
              <w:spacing w:before="60" w:after="60" w:line="360" w:lineRule="auto"/>
              <w:jc w:val="center"/>
              <w:rPr>
                <w:rFonts w:hint="eastAsia" w:ascii="宋体" w:hAnsi="宋体" w:eastAsia="宋体" w:cs="宋体"/>
                <w:color w:val="auto"/>
                <w:sz w:val="28"/>
                <w:szCs w:val="28"/>
                <w:highlight w:val="none"/>
              </w:rPr>
            </w:pPr>
          </w:p>
        </w:tc>
        <w:tc>
          <w:tcPr>
            <w:tcW w:w="1530" w:type="dxa"/>
            <w:gridSpan w:val="2"/>
            <w:tcBorders>
              <w:left w:val="single" w:color="auto" w:sz="4" w:space="0"/>
              <w:right w:val="single" w:color="auto" w:sz="4" w:space="0"/>
            </w:tcBorders>
            <w:noWrap w:val="0"/>
            <w:vAlign w:val="top"/>
          </w:tcPr>
          <w:p w14:paraId="52DB721C">
            <w:pPr>
              <w:spacing w:before="60" w:after="60" w:line="360" w:lineRule="auto"/>
              <w:jc w:val="center"/>
              <w:rPr>
                <w:rFonts w:hint="eastAsia" w:ascii="宋体" w:hAnsi="宋体" w:eastAsia="宋体" w:cs="宋体"/>
                <w:color w:val="auto"/>
                <w:sz w:val="28"/>
                <w:szCs w:val="28"/>
                <w:highlight w:val="none"/>
              </w:rPr>
            </w:pPr>
          </w:p>
        </w:tc>
        <w:tc>
          <w:tcPr>
            <w:tcW w:w="1455" w:type="dxa"/>
            <w:gridSpan w:val="2"/>
            <w:tcBorders>
              <w:left w:val="single" w:color="auto" w:sz="4" w:space="0"/>
            </w:tcBorders>
            <w:noWrap w:val="0"/>
            <w:vAlign w:val="top"/>
          </w:tcPr>
          <w:p w14:paraId="752248E5">
            <w:pPr>
              <w:spacing w:before="60" w:after="60" w:line="360" w:lineRule="auto"/>
              <w:jc w:val="center"/>
              <w:rPr>
                <w:rFonts w:hint="eastAsia" w:ascii="宋体" w:hAnsi="宋体" w:eastAsia="宋体" w:cs="宋体"/>
                <w:color w:val="auto"/>
                <w:sz w:val="28"/>
                <w:szCs w:val="28"/>
                <w:highlight w:val="none"/>
              </w:rPr>
            </w:pPr>
          </w:p>
        </w:tc>
        <w:tc>
          <w:tcPr>
            <w:tcW w:w="1410" w:type="dxa"/>
            <w:gridSpan w:val="2"/>
            <w:noWrap w:val="0"/>
            <w:vAlign w:val="top"/>
          </w:tcPr>
          <w:p w14:paraId="0FFE08F0">
            <w:pPr>
              <w:spacing w:before="60" w:after="60" w:line="360" w:lineRule="auto"/>
              <w:jc w:val="center"/>
              <w:rPr>
                <w:rFonts w:hint="eastAsia" w:ascii="宋体" w:hAnsi="宋体" w:eastAsia="宋体" w:cs="宋体"/>
                <w:color w:val="auto"/>
                <w:sz w:val="28"/>
                <w:szCs w:val="28"/>
                <w:highlight w:val="none"/>
              </w:rPr>
            </w:pPr>
          </w:p>
        </w:tc>
        <w:tc>
          <w:tcPr>
            <w:tcW w:w="1230" w:type="dxa"/>
            <w:noWrap w:val="0"/>
            <w:vAlign w:val="top"/>
          </w:tcPr>
          <w:p w14:paraId="4390CDD9">
            <w:pPr>
              <w:spacing w:before="60" w:after="60" w:line="360" w:lineRule="auto"/>
              <w:jc w:val="center"/>
              <w:rPr>
                <w:rFonts w:hint="eastAsia" w:ascii="宋体" w:hAnsi="宋体" w:eastAsia="宋体" w:cs="宋体"/>
                <w:color w:val="auto"/>
                <w:sz w:val="28"/>
                <w:szCs w:val="28"/>
                <w:highlight w:val="none"/>
              </w:rPr>
            </w:pPr>
          </w:p>
        </w:tc>
      </w:tr>
    </w:tbl>
    <w:p w14:paraId="6A707CB3">
      <w:pPr>
        <w:spacing w:line="360" w:lineRule="auto"/>
        <w:ind w:left="964" w:hanging="1124" w:hangingChars="4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注：1、项目总监必须是本单位职工，且为国家注册的监理工程师</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具备高级工程师及以上职称证书（水文地质、工程地质、环境地质等相关专业）</w:t>
      </w:r>
      <w:r>
        <w:rPr>
          <w:rFonts w:hint="eastAsia" w:ascii="宋体" w:hAnsi="宋体" w:eastAsia="宋体" w:cs="宋体"/>
          <w:b/>
          <w:bCs/>
          <w:color w:val="auto"/>
          <w:sz w:val="28"/>
          <w:szCs w:val="28"/>
          <w:highlight w:val="none"/>
        </w:rPr>
        <w:t>。</w:t>
      </w:r>
    </w:p>
    <w:p w14:paraId="616A526D">
      <w:pPr>
        <w:spacing w:line="360" w:lineRule="auto"/>
        <w:ind w:left="246" w:leftChars="117" w:firstLine="141" w:firstLineChars="5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2、年龄以身份证</w:t>
      </w:r>
      <w:r>
        <w:rPr>
          <w:rFonts w:hint="eastAsia" w:ascii="宋体" w:hAnsi="宋体" w:eastAsia="宋体" w:cs="宋体"/>
          <w:b/>
          <w:bCs/>
          <w:color w:val="auto"/>
          <w:sz w:val="28"/>
          <w:szCs w:val="28"/>
          <w:highlight w:val="none"/>
          <w:lang w:val="en-US" w:eastAsia="zh-CN"/>
        </w:rPr>
        <w:t>扫描</w:t>
      </w:r>
      <w:r>
        <w:rPr>
          <w:rFonts w:hint="eastAsia" w:ascii="宋体" w:hAnsi="宋体" w:eastAsia="宋体" w:cs="宋体"/>
          <w:b/>
          <w:bCs/>
          <w:color w:val="auto"/>
          <w:sz w:val="28"/>
          <w:szCs w:val="28"/>
          <w:highlight w:val="none"/>
        </w:rPr>
        <w:t>件计算为准。</w:t>
      </w:r>
    </w:p>
    <w:p w14:paraId="7BF75B9E">
      <w:pPr>
        <w:spacing w:line="360" w:lineRule="auto"/>
        <w:rPr>
          <w:rFonts w:hint="eastAsia" w:ascii="宋体" w:hAnsi="宋体" w:eastAsia="宋体" w:cs="宋体"/>
          <w:color w:val="auto"/>
          <w:sz w:val="28"/>
          <w:szCs w:val="28"/>
          <w:highlight w:val="none"/>
        </w:rPr>
      </w:pPr>
    </w:p>
    <w:p w14:paraId="5EDBDA45">
      <w:pPr>
        <w:spacing w:line="360" w:lineRule="auto"/>
        <w:rPr>
          <w:rFonts w:hint="eastAsia" w:ascii="宋体" w:hAnsi="宋体" w:eastAsia="宋体" w:cs="宋体"/>
          <w:color w:val="auto"/>
          <w:sz w:val="28"/>
          <w:szCs w:val="28"/>
          <w:highlight w:val="none"/>
        </w:rPr>
      </w:pPr>
    </w:p>
    <w:p w14:paraId="581C6D83">
      <w:pPr>
        <w:spacing w:before="217" w:beforeLines="50" w:after="217" w:afterLines="50" w:line="360" w:lineRule="auto"/>
        <w:jc w:val="center"/>
        <w:rPr>
          <w:rFonts w:hint="eastAsia" w:ascii="宋体" w:hAnsi="宋体" w:eastAsia="宋体" w:cs="宋体"/>
          <w:b/>
          <w:bCs/>
          <w:color w:val="auto"/>
          <w:sz w:val="28"/>
          <w:szCs w:val="28"/>
          <w:highlight w:val="none"/>
        </w:rPr>
      </w:pPr>
      <w:bookmarkStart w:id="138" w:name="_Toc34282774"/>
      <w:r>
        <w:rPr>
          <w:rFonts w:hint="eastAsia" w:ascii="宋体" w:hAnsi="宋体" w:eastAsia="宋体" w:cs="宋体"/>
          <w:b/>
          <w:bCs/>
          <w:color w:val="auto"/>
          <w:sz w:val="28"/>
          <w:szCs w:val="28"/>
          <w:highlight w:val="none"/>
        </w:rPr>
        <w:t>二、派驻工程主要监理人员</w:t>
      </w:r>
      <w:bookmarkEnd w:id="138"/>
      <w:r>
        <w:rPr>
          <w:rFonts w:hint="eastAsia" w:ascii="宋体" w:hAnsi="宋体" w:eastAsia="宋体" w:cs="宋体"/>
          <w:b/>
          <w:bCs/>
          <w:color w:val="auto"/>
          <w:sz w:val="28"/>
          <w:szCs w:val="28"/>
          <w:highlight w:val="none"/>
        </w:rPr>
        <w:t>配备表</w:t>
      </w:r>
    </w:p>
    <w:tbl>
      <w:tblPr>
        <w:tblStyle w:val="2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13"/>
        <w:gridCol w:w="1335"/>
        <w:gridCol w:w="1161"/>
        <w:gridCol w:w="1179"/>
        <w:gridCol w:w="1488"/>
        <w:gridCol w:w="1287"/>
        <w:gridCol w:w="1867"/>
      </w:tblGrid>
      <w:tr w14:paraId="67AC3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51" w:hRule="atLeast"/>
        </w:trPr>
        <w:tc>
          <w:tcPr>
            <w:tcW w:w="1213" w:type="dxa"/>
            <w:tcBorders>
              <w:bottom w:val="single" w:color="auto" w:sz="4" w:space="0"/>
            </w:tcBorders>
            <w:noWrap w:val="0"/>
            <w:vAlign w:val="center"/>
          </w:tcPr>
          <w:p w14:paraId="0D869FC5">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p>
        </w:tc>
        <w:tc>
          <w:tcPr>
            <w:tcW w:w="1335" w:type="dxa"/>
            <w:tcBorders>
              <w:bottom w:val="single" w:color="auto" w:sz="4" w:space="0"/>
              <w:right w:val="single" w:color="auto" w:sz="4" w:space="0"/>
            </w:tcBorders>
            <w:noWrap w:val="0"/>
            <w:vAlign w:val="center"/>
          </w:tcPr>
          <w:p w14:paraId="4C543CB1">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称</w:t>
            </w:r>
          </w:p>
        </w:tc>
        <w:tc>
          <w:tcPr>
            <w:tcW w:w="1161" w:type="dxa"/>
            <w:tcBorders>
              <w:left w:val="single" w:color="auto" w:sz="4" w:space="0"/>
              <w:bottom w:val="single" w:color="auto" w:sz="4" w:space="0"/>
              <w:right w:val="single" w:color="auto" w:sz="4" w:space="0"/>
            </w:tcBorders>
            <w:noWrap w:val="0"/>
            <w:vAlign w:val="center"/>
          </w:tcPr>
          <w:p w14:paraId="5F73C664">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w:t>
            </w:r>
          </w:p>
        </w:tc>
        <w:tc>
          <w:tcPr>
            <w:tcW w:w="1179" w:type="dxa"/>
            <w:tcBorders>
              <w:left w:val="single" w:color="auto" w:sz="4" w:space="0"/>
              <w:bottom w:val="single" w:color="auto" w:sz="4" w:space="0"/>
            </w:tcBorders>
            <w:noWrap w:val="0"/>
            <w:vAlign w:val="center"/>
          </w:tcPr>
          <w:p w14:paraId="5B762B81">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年龄</w:t>
            </w:r>
          </w:p>
        </w:tc>
        <w:tc>
          <w:tcPr>
            <w:tcW w:w="1488" w:type="dxa"/>
            <w:tcBorders>
              <w:bottom w:val="single" w:color="auto" w:sz="4" w:space="0"/>
            </w:tcBorders>
            <w:noWrap w:val="0"/>
            <w:vAlign w:val="center"/>
          </w:tcPr>
          <w:p w14:paraId="29D6FF6D">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是否为注册监理工程师</w:t>
            </w:r>
          </w:p>
        </w:tc>
        <w:tc>
          <w:tcPr>
            <w:tcW w:w="1287" w:type="dxa"/>
            <w:tcBorders>
              <w:bottom w:val="single" w:color="auto" w:sz="4" w:space="0"/>
            </w:tcBorders>
            <w:noWrap w:val="0"/>
            <w:vAlign w:val="center"/>
          </w:tcPr>
          <w:p w14:paraId="32F2DA23">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注册证书</w:t>
            </w:r>
          </w:p>
          <w:p w14:paraId="490C01FB">
            <w:pPr>
              <w:spacing w:before="60" w:after="6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编号</w:t>
            </w:r>
          </w:p>
        </w:tc>
        <w:tc>
          <w:tcPr>
            <w:tcW w:w="1867" w:type="dxa"/>
            <w:tcBorders>
              <w:bottom w:val="single" w:color="auto" w:sz="4" w:space="0"/>
            </w:tcBorders>
            <w:noWrap w:val="0"/>
            <w:vAlign w:val="center"/>
          </w:tcPr>
          <w:p w14:paraId="5AFADA49">
            <w:pPr>
              <w:spacing w:before="60" w:after="60" w:line="360" w:lineRule="auto"/>
              <w:jc w:val="center"/>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主要资历、经验及承担过的项目</w:t>
            </w:r>
          </w:p>
        </w:tc>
      </w:tr>
      <w:tr w14:paraId="6F78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213" w:type="dxa"/>
            <w:tcBorders>
              <w:top w:val="single" w:color="auto" w:sz="4" w:space="0"/>
              <w:bottom w:val="single" w:color="auto" w:sz="4" w:space="0"/>
            </w:tcBorders>
            <w:noWrap w:val="0"/>
            <w:vAlign w:val="center"/>
          </w:tcPr>
          <w:p w14:paraId="14192E05">
            <w:pPr>
              <w:spacing w:before="60" w:after="60" w:line="360" w:lineRule="auto"/>
              <w:jc w:val="center"/>
              <w:rPr>
                <w:rFonts w:hint="eastAsia" w:ascii="宋体" w:hAnsi="宋体" w:eastAsia="宋体" w:cs="宋体"/>
                <w:color w:val="auto"/>
                <w:sz w:val="28"/>
                <w:szCs w:val="28"/>
                <w:highlight w:val="none"/>
              </w:rPr>
            </w:pPr>
            <w:bookmarkStart w:id="139" w:name="_Toc34282775"/>
          </w:p>
        </w:tc>
        <w:tc>
          <w:tcPr>
            <w:tcW w:w="1335" w:type="dxa"/>
            <w:tcBorders>
              <w:top w:val="single" w:color="auto" w:sz="4" w:space="0"/>
              <w:bottom w:val="single" w:color="auto" w:sz="4" w:space="0"/>
              <w:right w:val="single" w:color="auto" w:sz="4" w:space="0"/>
            </w:tcBorders>
            <w:noWrap w:val="0"/>
            <w:vAlign w:val="center"/>
          </w:tcPr>
          <w:p w14:paraId="226948E0">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537E8130">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bottom w:val="single" w:color="auto" w:sz="4" w:space="0"/>
            </w:tcBorders>
            <w:noWrap w:val="0"/>
            <w:vAlign w:val="center"/>
          </w:tcPr>
          <w:p w14:paraId="5A0CB492">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bottom w:val="single" w:color="auto" w:sz="4" w:space="0"/>
            </w:tcBorders>
            <w:noWrap w:val="0"/>
            <w:vAlign w:val="center"/>
          </w:tcPr>
          <w:p w14:paraId="7DD5D4BB">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bottom w:val="single" w:color="auto" w:sz="4" w:space="0"/>
            </w:tcBorders>
            <w:noWrap w:val="0"/>
            <w:vAlign w:val="center"/>
          </w:tcPr>
          <w:p w14:paraId="058CA3F0">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bottom w:val="single" w:color="auto" w:sz="4" w:space="0"/>
            </w:tcBorders>
            <w:noWrap w:val="0"/>
            <w:vAlign w:val="center"/>
          </w:tcPr>
          <w:p w14:paraId="39C4A4E6">
            <w:pPr>
              <w:spacing w:before="60" w:after="60" w:line="360" w:lineRule="auto"/>
              <w:jc w:val="center"/>
              <w:rPr>
                <w:rFonts w:hint="eastAsia" w:ascii="宋体" w:hAnsi="宋体" w:eastAsia="宋体" w:cs="宋体"/>
                <w:color w:val="auto"/>
                <w:spacing w:val="-20"/>
                <w:sz w:val="28"/>
                <w:szCs w:val="28"/>
                <w:highlight w:val="none"/>
              </w:rPr>
            </w:pPr>
          </w:p>
        </w:tc>
      </w:tr>
      <w:tr w14:paraId="3D1C4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8" w:hRule="atLeast"/>
        </w:trPr>
        <w:tc>
          <w:tcPr>
            <w:tcW w:w="1213" w:type="dxa"/>
            <w:tcBorders>
              <w:top w:val="single" w:color="auto" w:sz="4" w:space="0"/>
              <w:bottom w:val="single" w:color="auto" w:sz="4" w:space="0"/>
            </w:tcBorders>
            <w:noWrap w:val="0"/>
            <w:vAlign w:val="center"/>
          </w:tcPr>
          <w:p w14:paraId="7C050667">
            <w:pPr>
              <w:spacing w:before="60" w:after="60" w:line="360" w:lineRule="auto"/>
              <w:jc w:val="center"/>
              <w:rPr>
                <w:rFonts w:hint="eastAsia" w:ascii="宋体" w:hAnsi="宋体" w:eastAsia="宋体" w:cs="宋体"/>
                <w:color w:val="auto"/>
                <w:sz w:val="28"/>
                <w:szCs w:val="28"/>
                <w:highlight w:val="none"/>
              </w:rPr>
            </w:pPr>
          </w:p>
        </w:tc>
        <w:tc>
          <w:tcPr>
            <w:tcW w:w="1335" w:type="dxa"/>
            <w:tcBorders>
              <w:top w:val="single" w:color="auto" w:sz="4" w:space="0"/>
              <w:bottom w:val="single" w:color="auto" w:sz="4" w:space="0"/>
              <w:right w:val="single" w:color="auto" w:sz="4" w:space="0"/>
            </w:tcBorders>
            <w:noWrap w:val="0"/>
            <w:vAlign w:val="center"/>
          </w:tcPr>
          <w:p w14:paraId="53B37706">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66856820">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bottom w:val="single" w:color="auto" w:sz="4" w:space="0"/>
            </w:tcBorders>
            <w:noWrap w:val="0"/>
            <w:vAlign w:val="center"/>
          </w:tcPr>
          <w:p w14:paraId="18822EF7">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bottom w:val="single" w:color="auto" w:sz="4" w:space="0"/>
            </w:tcBorders>
            <w:noWrap w:val="0"/>
            <w:vAlign w:val="center"/>
          </w:tcPr>
          <w:p w14:paraId="3B824073">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bottom w:val="single" w:color="auto" w:sz="4" w:space="0"/>
            </w:tcBorders>
            <w:noWrap w:val="0"/>
            <w:vAlign w:val="center"/>
          </w:tcPr>
          <w:p w14:paraId="48944ADA">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bottom w:val="single" w:color="auto" w:sz="4" w:space="0"/>
            </w:tcBorders>
            <w:noWrap w:val="0"/>
            <w:vAlign w:val="center"/>
          </w:tcPr>
          <w:p w14:paraId="20DD7227">
            <w:pPr>
              <w:spacing w:before="60" w:after="60" w:line="360" w:lineRule="auto"/>
              <w:jc w:val="center"/>
              <w:rPr>
                <w:rFonts w:hint="eastAsia" w:ascii="宋体" w:hAnsi="宋体" w:eastAsia="宋体" w:cs="宋体"/>
                <w:color w:val="auto"/>
                <w:spacing w:val="-20"/>
                <w:sz w:val="28"/>
                <w:szCs w:val="28"/>
                <w:highlight w:val="none"/>
              </w:rPr>
            </w:pPr>
          </w:p>
        </w:tc>
      </w:tr>
      <w:tr w14:paraId="55953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8" w:hRule="atLeast"/>
        </w:trPr>
        <w:tc>
          <w:tcPr>
            <w:tcW w:w="1213" w:type="dxa"/>
            <w:tcBorders>
              <w:top w:val="single" w:color="auto" w:sz="4" w:space="0"/>
              <w:bottom w:val="single" w:color="auto" w:sz="4" w:space="0"/>
            </w:tcBorders>
            <w:noWrap w:val="0"/>
            <w:vAlign w:val="center"/>
          </w:tcPr>
          <w:p w14:paraId="35CCA2D5">
            <w:pPr>
              <w:spacing w:before="60" w:after="60" w:line="360" w:lineRule="auto"/>
              <w:jc w:val="center"/>
              <w:rPr>
                <w:rFonts w:hint="eastAsia" w:ascii="宋体" w:hAnsi="宋体" w:eastAsia="宋体" w:cs="宋体"/>
                <w:color w:val="auto"/>
                <w:sz w:val="28"/>
                <w:szCs w:val="28"/>
                <w:highlight w:val="none"/>
              </w:rPr>
            </w:pPr>
          </w:p>
        </w:tc>
        <w:tc>
          <w:tcPr>
            <w:tcW w:w="1335" w:type="dxa"/>
            <w:tcBorders>
              <w:top w:val="single" w:color="auto" w:sz="4" w:space="0"/>
              <w:bottom w:val="single" w:color="auto" w:sz="4" w:space="0"/>
              <w:right w:val="single" w:color="auto" w:sz="4" w:space="0"/>
            </w:tcBorders>
            <w:noWrap w:val="0"/>
            <w:vAlign w:val="center"/>
          </w:tcPr>
          <w:p w14:paraId="3B74DA7F">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2DEC1ABA">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bottom w:val="single" w:color="auto" w:sz="4" w:space="0"/>
            </w:tcBorders>
            <w:noWrap w:val="0"/>
            <w:vAlign w:val="center"/>
          </w:tcPr>
          <w:p w14:paraId="42CF7566">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bottom w:val="single" w:color="auto" w:sz="4" w:space="0"/>
            </w:tcBorders>
            <w:noWrap w:val="0"/>
            <w:vAlign w:val="center"/>
          </w:tcPr>
          <w:p w14:paraId="6C18C383">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bottom w:val="single" w:color="auto" w:sz="4" w:space="0"/>
            </w:tcBorders>
            <w:noWrap w:val="0"/>
            <w:vAlign w:val="center"/>
          </w:tcPr>
          <w:p w14:paraId="7C7ADAD8">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bottom w:val="single" w:color="auto" w:sz="4" w:space="0"/>
            </w:tcBorders>
            <w:noWrap w:val="0"/>
            <w:vAlign w:val="center"/>
          </w:tcPr>
          <w:p w14:paraId="7D86041D">
            <w:pPr>
              <w:spacing w:before="60" w:after="60" w:line="360" w:lineRule="auto"/>
              <w:jc w:val="center"/>
              <w:rPr>
                <w:rFonts w:hint="eastAsia" w:ascii="宋体" w:hAnsi="宋体" w:eastAsia="宋体" w:cs="宋体"/>
                <w:color w:val="auto"/>
                <w:spacing w:val="-20"/>
                <w:sz w:val="28"/>
                <w:szCs w:val="28"/>
                <w:highlight w:val="none"/>
              </w:rPr>
            </w:pPr>
          </w:p>
        </w:tc>
      </w:tr>
      <w:tr w14:paraId="4CB2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8" w:hRule="atLeast"/>
        </w:trPr>
        <w:tc>
          <w:tcPr>
            <w:tcW w:w="1213" w:type="dxa"/>
            <w:tcBorders>
              <w:top w:val="single" w:color="auto" w:sz="4" w:space="0"/>
              <w:bottom w:val="single" w:color="auto" w:sz="4" w:space="0"/>
            </w:tcBorders>
            <w:noWrap w:val="0"/>
            <w:vAlign w:val="center"/>
          </w:tcPr>
          <w:p w14:paraId="4AB7A376">
            <w:pPr>
              <w:spacing w:before="60" w:after="60" w:line="360" w:lineRule="auto"/>
              <w:jc w:val="center"/>
              <w:rPr>
                <w:rFonts w:hint="eastAsia" w:ascii="宋体" w:hAnsi="宋体" w:eastAsia="宋体" w:cs="宋体"/>
                <w:color w:val="auto"/>
                <w:sz w:val="28"/>
                <w:szCs w:val="28"/>
                <w:highlight w:val="none"/>
              </w:rPr>
            </w:pPr>
          </w:p>
        </w:tc>
        <w:tc>
          <w:tcPr>
            <w:tcW w:w="1335" w:type="dxa"/>
            <w:tcBorders>
              <w:top w:val="single" w:color="auto" w:sz="4" w:space="0"/>
              <w:bottom w:val="single" w:color="auto" w:sz="4" w:space="0"/>
              <w:right w:val="single" w:color="auto" w:sz="4" w:space="0"/>
            </w:tcBorders>
            <w:noWrap w:val="0"/>
            <w:vAlign w:val="center"/>
          </w:tcPr>
          <w:p w14:paraId="6BB2DBE9">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6BB9D264">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bottom w:val="single" w:color="auto" w:sz="4" w:space="0"/>
            </w:tcBorders>
            <w:noWrap w:val="0"/>
            <w:vAlign w:val="center"/>
          </w:tcPr>
          <w:p w14:paraId="126320EC">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bottom w:val="single" w:color="auto" w:sz="4" w:space="0"/>
            </w:tcBorders>
            <w:noWrap w:val="0"/>
            <w:vAlign w:val="center"/>
          </w:tcPr>
          <w:p w14:paraId="5DB6AD0C">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bottom w:val="single" w:color="auto" w:sz="4" w:space="0"/>
            </w:tcBorders>
            <w:noWrap w:val="0"/>
            <w:vAlign w:val="center"/>
          </w:tcPr>
          <w:p w14:paraId="2FEAFE29">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bottom w:val="single" w:color="auto" w:sz="4" w:space="0"/>
            </w:tcBorders>
            <w:noWrap w:val="0"/>
            <w:vAlign w:val="center"/>
          </w:tcPr>
          <w:p w14:paraId="7F294F4A">
            <w:pPr>
              <w:spacing w:before="60" w:after="60" w:line="360" w:lineRule="auto"/>
              <w:jc w:val="center"/>
              <w:rPr>
                <w:rFonts w:hint="eastAsia" w:ascii="宋体" w:hAnsi="宋体" w:eastAsia="宋体" w:cs="宋体"/>
                <w:color w:val="auto"/>
                <w:spacing w:val="-20"/>
                <w:sz w:val="28"/>
                <w:szCs w:val="28"/>
                <w:highlight w:val="none"/>
              </w:rPr>
            </w:pPr>
          </w:p>
        </w:tc>
      </w:tr>
      <w:tr w14:paraId="15F97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8" w:hRule="atLeast"/>
        </w:trPr>
        <w:tc>
          <w:tcPr>
            <w:tcW w:w="1213" w:type="dxa"/>
            <w:tcBorders>
              <w:top w:val="single" w:color="auto" w:sz="4" w:space="0"/>
              <w:bottom w:val="single" w:color="auto" w:sz="4" w:space="0"/>
            </w:tcBorders>
            <w:noWrap w:val="0"/>
            <w:vAlign w:val="center"/>
          </w:tcPr>
          <w:p w14:paraId="2E8D85BA">
            <w:pPr>
              <w:spacing w:before="60" w:after="60" w:line="360" w:lineRule="auto"/>
              <w:jc w:val="center"/>
              <w:rPr>
                <w:rFonts w:hint="eastAsia" w:ascii="宋体" w:hAnsi="宋体" w:eastAsia="宋体" w:cs="宋体"/>
                <w:color w:val="auto"/>
                <w:sz w:val="28"/>
                <w:szCs w:val="28"/>
                <w:highlight w:val="none"/>
              </w:rPr>
            </w:pPr>
          </w:p>
        </w:tc>
        <w:tc>
          <w:tcPr>
            <w:tcW w:w="1335" w:type="dxa"/>
            <w:tcBorders>
              <w:top w:val="single" w:color="auto" w:sz="4" w:space="0"/>
              <w:bottom w:val="single" w:color="auto" w:sz="4" w:space="0"/>
              <w:right w:val="single" w:color="auto" w:sz="4" w:space="0"/>
            </w:tcBorders>
            <w:noWrap w:val="0"/>
            <w:vAlign w:val="center"/>
          </w:tcPr>
          <w:p w14:paraId="5E95243F">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9FD8F48">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bottom w:val="single" w:color="auto" w:sz="4" w:space="0"/>
            </w:tcBorders>
            <w:noWrap w:val="0"/>
            <w:vAlign w:val="center"/>
          </w:tcPr>
          <w:p w14:paraId="7C9A7C35">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bottom w:val="single" w:color="auto" w:sz="4" w:space="0"/>
            </w:tcBorders>
            <w:noWrap w:val="0"/>
            <w:vAlign w:val="center"/>
          </w:tcPr>
          <w:p w14:paraId="07C7647B">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bottom w:val="single" w:color="auto" w:sz="4" w:space="0"/>
            </w:tcBorders>
            <w:noWrap w:val="0"/>
            <w:vAlign w:val="center"/>
          </w:tcPr>
          <w:p w14:paraId="725275DB">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bottom w:val="single" w:color="auto" w:sz="4" w:space="0"/>
            </w:tcBorders>
            <w:noWrap w:val="0"/>
            <w:vAlign w:val="center"/>
          </w:tcPr>
          <w:p w14:paraId="17CBFC8D">
            <w:pPr>
              <w:spacing w:before="60" w:after="60" w:line="360" w:lineRule="auto"/>
              <w:jc w:val="center"/>
              <w:rPr>
                <w:rFonts w:hint="eastAsia" w:ascii="宋体" w:hAnsi="宋体" w:eastAsia="宋体" w:cs="宋体"/>
                <w:color w:val="auto"/>
                <w:spacing w:val="-20"/>
                <w:sz w:val="28"/>
                <w:szCs w:val="28"/>
                <w:highlight w:val="none"/>
              </w:rPr>
            </w:pPr>
          </w:p>
        </w:tc>
      </w:tr>
      <w:tr w14:paraId="2DB8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8" w:hRule="atLeast"/>
        </w:trPr>
        <w:tc>
          <w:tcPr>
            <w:tcW w:w="1213" w:type="dxa"/>
            <w:tcBorders>
              <w:top w:val="single" w:color="auto" w:sz="4" w:space="0"/>
              <w:bottom w:val="single" w:color="auto" w:sz="4" w:space="0"/>
            </w:tcBorders>
            <w:noWrap w:val="0"/>
            <w:vAlign w:val="center"/>
          </w:tcPr>
          <w:p w14:paraId="70778161">
            <w:pPr>
              <w:spacing w:before="60" w:after="60" w:line="360" w:lineRule="auto"/>
              <w:jc w:val="center"/>
              <w:rPr>
                <w:rFonts w:hint="eastAsia" w:ascii="宋体" w:hAnsi="宋体" w:eastAsia="宋体" w:cs="宋体"/>
                <w:color w:val="auto"/>
                <w:sz w:val="28"/>
                <w:szCs w:val="28"/>
                <w:highlight w:val="none"/>
              </w:rPr>
            </w:pPr>
          </w:p>
        </w:tc>
        <w:tc>
          <w:tcPr>
            <w:tcW w:w="1335" w:type="dxa"/>
            <w:tcBorders>
              <w:top w:val="single" w:color="auto" w:sz="4" w:space="0"/>
              <w:bottom w:val="single" w:color="auto" w:sz="4" w:space="0"/>
              <w:right w:val="single" w:color="auto" w:sz="4" w:space="0"/>
            </w:tcBorders>
            <w:noWrap w:val="0"/>
            <w:vAlign w:val="center"/>
          </w:tcPr>
          <w:p w14:paraId="018044ED">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E83FDBE">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bottom w:val="single" w:color="auto" w:sz="4" w:space="0"/>
            </w:tcBorders>
            <w:noWrap w:val="0"/>
            <w:vAlign w:val="center"/>
          </w:tcPr>
          <w:p w14:paraId="3A1245F2">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bottom w:val="single" w:color="auto" w:sz="4" w:space="0"/>
            </w:tcBorders>
            <w:noWrap w:val="0"/>
            <w:vAlign w:val="center"/>
          </w:tcPr>
          <w:p w14:paraId="45DC17E7">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bottom w:val="single" w:color="auto" w:sz="4" w:space="0"/>
            </w:tcBorders>
            <w:noWrap w:val="0"/>
            <w:vAlign w:val="center"/>
          </w:tcPr>
          <w:p w14:paraId="0549F8FE">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bottom w:val="single" w:color="auto" w:sz="4" w:space="0"/>
            </w:tcBorders>
            <w:noWrap w:val="0"/>
            <w:vAlign w:val="center"/>
          </w:tcPr>
          <w:p w14:paraId="236FE875">
            <w:pPr>
              <w:spacing w:before="60" w:after="60" w:line="360" w:lineRule="auto"/>
              <w:jc w:val="center"/>
              <w:rPr>
                <w:rFonts w:hint="eastAsia" w:ascii="宋体" w:hAnsi="宋体" w:eastAsia="宋体" w:cs="宋体"/>
                <w:color w:val="auto"/>
                <w:spacing w:val="-20"/>
                <w:sz w:val="28"/>
                <w:szCs w:val="28"/>
                <w:highlight w:val="none"/>
              </w:rPr>
            </w:pPr>
          </w:p>
        </w:tc>
      </w:tr>
      <w:tr w14:paraId="0933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8" w:hRule="atLeast"/>
        </w:trPr>
        <w:tc>
          <w:tcPr>
            <w:tcW w:w="1213" w:type="dxa"/>
            <w:tcBorders>
              <w:top w:val="single" w:color="auto" w:sz="4" w:space="0"/>
              <w:bottom w:val="single" w:color="auto" w:sz="4" w:space="0"/>
            </w:tcBorders>
            <w:noWrap w:val="0"/>
            <w:vAlign w:val="center"/>
          </w:tcPr>
          <w:p w14:paraId="145310A2">
            <w:pPr>
              <w:spacing w:before="60" w:after="60" w:line="360" w:lineRule="auto"/>
              <w:jc w:val="center"/>
              <w:rPr>
                <w:rFonts w:hint="eastAsia" w:ascii="宋体" w:hAnsi="宋体" w:eastAsia="宋体" w:cs="宋体"/>
                <w:color w:val="auto"/>
                <w:sz w:val="28"/>
                <w:szCs w:val="28"/>
                <w:highlight w:val="none"/>
              </w:rPr>
            </w:pPr>
          </w:p>
        </w:tc>
        <w:tc>
          <w:tcPr>
            <w:tcW w:w="1335" w:type="dxa"/>
            <w:tcBorders>
              <w:top w:val="single" w:color="auto" w:sz="4" w:space="0"/>
              <w:bottom w:val="single" w:color="auto" w:sz="4" w:space="0"/>
              <w:right w:val="single" w:color="auto" w:sz="4" w:space="0"/>
            </w:tcBorders>
            <w:noWrap w:val="0"/>
            <w:vAlign w:val="center"/>
          </w:tcPr>
          <w:p w14:paraId="706E7D38">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E26807A">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bottom w:val="single" w:color="auto" w:sz="4" w:space="0"/>
            </w:tcBorders>
            <w:noWrap w:val="0"/>
            <w:vAlign w:val="center"/>
          </w:tcPr>
          <w:p w14:paraId="73BD215C">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bottom w:val="single" w:color="auto" w:sz="4" w:space="0"/>
            </w:tcBorders>
            <w:noWrap w:val="0"/>
            <w:vAlign w:val="center"/>
          </w:tcPr>
          <w:p w14:paraId="78E71A47">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bottom w:val="single" w:color="auto" w:sz="4" w:space="0"/>
            </w:tcBorders>
            <w:noWrap w:val="0"/>
            <w:vAlign w:val="center"/>
          </w:tcPr>
          <w:p w14:paraId="227786EC">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bottom w:val="single" w:color="auto" w:sz="4" w:space="0"/>
            </w:tcBorders>
            <w:noWrap w:val="0"/>
            <w:vAlign w:val="center"/>
          </w:tcPr>
          <w:p w14:paraId="4B2D0ADC">
            <w:pPr>
              <w:spacing w:before="60" w:after="60" w:line="360" w:lineRule="auto"/>
              <w:jc w:val="center"/>
              <w:rPr>
                <w:rFonts w:hint="eastAsia" w:ascii="宋体" w:hAnsi="宋体" w:eastAsia="宋体" w:cs="宋体"/>
                <w:color w:val="auto"/>
                <w:spacing w:val="-20"/>
                <w:sz w:val="28"/>
                <w:szCs w:val="28"/>
                <w:highlight w:val="none"/>
              </w:rPr>
            </w:pPr>
          </w:p>
        </w:tc>
      </w:tr>
      <w:tr w14:paraId="6B4EC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8" w:hRule="atLeast"/>
        </w:trPr>
        <w:tc>
          <w:tcPr>
            <w:tcW w:w="1213" w:type="dxa"/>
            <w:tcBorders>
              <w:top w:val="single" w:color="auto" w:sz="4" w:space="0"/>
              <w:bottom w:val="single" w:color="auto" w:sz="4" w:space="0"/>
            </w:tcBorders>
            <w:noWrap w:val="0"/>
            <w:vAlign w:val="center"/>
          </w:tcPr>
          <w:p w14:paraId="05EFF5CB">
            <w:pPr>
              <w:spacing w:before="60" w:after="60" w:line="360" w:lineRule="auto"/>
              <w:jc w:val="center"/>
              <w:rPr>
                <w:rFonts w:hint="eastAsia" w:ascii="宋体" w:hAnsi="宋体" w:eastAsia="宋体" w:cs="宋体"/>
                <w:color w:val="auto"/>
                <w:sz w:val="28"/>
                <w:szCs w:val="28"/>
                <w:highlight w:val="none"/>
              </w:rPr>
            </w:pPr>
          </w:p>
        </w:tc>
        <w:tc>
          <w:tcPr>
            <w:tcW w:w="1335" w:type="dxa"/>
            <w:tcBorders>
              <w:top w:val="single" w:color="auto" w:sz="4" w:space="0"/>
              <w:bottom w:val="single" w:color="auto" w:sz="4" w:space="0"/>
              <w:right w:val="single" w:color="auto" w:sz="4" w:space="0"/>
            </w:tcBorders>
            <w:noWrap w:val="0"/>
            <w:vAlign w:val="center"/>
          </w:tcPr>
          <w:p w14:paraId="057B2450">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6377FA12">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bottom w:val="single" w:color="auto" w:sz="4" w:space="0"/>
            </w:tcBorders>
            <w:noWrap w:val="0"/>
            <w:vAlign w:val="center"/>
          </w:tcPr>
          <w:p w14:paraId="1CBCE5EF">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bottom w:val="single" w:color="auto" w:sz="4" w:space="0"/>
            </w:tcBorders>
            <w:noWrap w:val="0"/>
            <w:vAlign w:val="center"/>
          </w:tcPr>
          <w:p w14:paraId="51B92B2F">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bottom w:val="single" w:color="auto" w:sz="4" w:space="0"/>
            </w:tcBorders>
            <w:noWrap w:val="0"/>
            <w:vAlign w:val="center"/>
          </w:tcPr>
          <w:p w14:paraId="17595C01">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bottom w:val="single" w:color="auto" w:sz="4" w:space="0"/>
            </w:tcBorders>
            <w:noWrap w:val="0"/>
            <w:vAlign w:val="center"/>
          </w:tcPr>
          <w:p w14:paraId="18016C0C">
            <w:pPr>
              <w:spacing w:before="60" w:after="60" w:line="360" w:lineRule="auto"/>
              <w:jc w:val="center"/>
              <w:rPr>
                <w:rFonts w:hint="eastAsia" w:ascii="宋体" w:hAnsi="宋体" w:eastAsia="宋体" w:cs="宋体"/>
                <w:color w:val="auto"/>
                <w:spacing w:val="-20"/>
                <w:sz w:val="28"/>
                <w:szCs w:val="28"/>
                <w:highlight w:val="none"/>
              </w:rPr>
            </w:pPr>
          </w:p>
        </w:tc>
      </w:tr>
      <w:tr w14:paraId="71440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8" w:hRule="atLeast"/>
        </w:trPr>
        <w:tc>
          <w:tcPr>
            <w:tcW w:w="1213" w:type="dxa"/>
            <w:tcBorders>
              <w:top w:val="single" w:color="auto" w:sz="4" w:space="0"/>
              <w:bottom w:val="single" w:color="auto" w:sz="4" w:space="0"/>
            </w:tcBorders>
            <w:noWrap w:val="0"/>
            <w:vAlign w:val="center"/>
          </w:tcPr>
          <w:p w14:paraId="5C5A84AF">
            <w:pPr>
              <w:spacing w:before="60" w:after="60" w:line="360" w:lineRule="auto"/>
              <w:jc w:val="center"/>
              <w:rPr>
                <w:rFonts w:hint="eastAsia" w:ascii="宋体" w:hAnsi="宋体" w:eastAsia="宋体" w:cs="宋体"/>
                <w:color w:val="auto"/>
                <w:sz w:val="28"/>
                <w:szCs w:val="28"/>
                <w:highlight w:val="none"/>
              </w:rPr>
            </w:pPr>
          </w:p>
        </w:tc>
        <w:tc>
          <w:tcPr>
            <w:tcW w:w="1335" w:type="dxa"/>
            <w:tcBorders>
              <w:top w:val="single" w:color="auto" w:sz="4" w:space="0"/>
              <w:bottom w:val="single" w:color="auto" w:sz="4" w:space="0"/>
              <w:right w:val="single" w:color="auto" w:sz="4" w:space="0"/>
            </w:tcBorders>
            <w:noWrap w:val="0"/>
            <w:vAlign w:val="center"/>
          </w:tcPr>
          <w:p w14:paraId="1F790FB2">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22B8AEEC">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bottom w:val="single" w:color="auto" w:sz="4" w:space="0"/>
            </w:tcBorders>
            <w:noWrap w:val="0"/>
            <w:vAlign w:val="center"/>
          </w:tcPr>
          <w:p w14:paraId="1C232D42">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bottom w:val="single" w:color="auto" w:sz="4" w:space="0"/>
            </w:tcBorders>
            <w:noWrap w:val="0"/>
            <w:vAlign w:val="center"/>
          </w:tcPr>
          <w:p w14:paraId="1A0B9858">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bottom w:val="single" w:color="auto" w:sz="4" w:space="0"/>
            </w:tcBorders>
            <w:noWrap w:val="0"/>
            <w:vAlign w:val="center"/>
          </w:tcPr>
          <w:p w14:paraId="4E4A1000">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bottom w:val="single" w:color="auto" w:sz="4" w:space="0"/>
            </w:tcBorders>
            <w:noWrap w:val="0"/>
            <w:vAlign w:val="center"/>
          </w:tcPr>
          <w:p w14:paraId="249E5481">
            <w:pPr>
              <w:spacing w:before="60" w:after="60" w:line="360" w:lineRule="auto"/>
              <w:jc w:val="center"/>
              <w:rPr>
                <w:rFonts w:hint="eastAsia" w:ascii="宋体" w:hAnsi="宋体" w:eastAsia="宋体" w:cs="宋体"/>
                <w:color w:val="auto"/>
                <w:spacing w:val="-20"/>
                <w:sz w:val="28"/>
                <w:szCs w:val="28"/>
                <w:highlight w:val="none"/>
              </w:rPr>
            </w:pPr>
          </w:p>
        </w:tc>
      </w:tr>
      <w:tr w14:paraId="0B967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8" w:hRule="atLeast"/>
        </w:trPr>
        <w:tc>
          <w:tcPr>
            <w:tcW w:w="1213" w:type="dxa"/>
            <w:tcBorders>
              <w:top w:val="single" w:color="auto" w:sz="4" w:space="0"/>
            </w:tcBorders>
            <w:noWrap w:val="0"/>
            <w:vAlign w:val="center"/>
          </w:tcPr>
          <w:p w14:paraId="2CA8F0EE">
            <w:pPr>
              <w:spacing w:before="60" w:after="60" w:line="360" w:lineRule="auto"/>
              <w:jc w:val="center"/>
              <w:rPr>
                <w:rFonts w:hint="eastAsia" w:ascii="宋体" w:hAnsi="宋体" w:eastAsia="宋体" w:cs="宋体"/>
                <w:color w:val="auto"/>
                <w:sz w:val="28"/>
                <w:szCs w:val="28"/>
                <w:highlight w:val="none"/>
              </w:rPr>
            </w:pPr>
          </w:p>
        </w:tc>
        <w:tc>
          <w:tcPr>
            <w:tcW w:w="1335" w:type="dxa"/>
            <w:tcBorders>
              <w:top w:val="single" w:color="auto" w:sz="4" w:space="0"/>
              <w:right w:val="single" w:color="auto" w:sz="4" w:space="0"/>
            </w:tcBorders>
            <w:noWrap w:val="0"/>
            <w:vAlign w:val="center"/>
          </w:tcPr>
          <w:p w14:paraId="233714CF">
            <w:pPr>
              <w:spacing w:before="60" w:after="60" w:line="360" w:lineRule="auto"/>
              <w:jc w:val="center"/>
              <w:rPr>
                <w:rFonts w:hint="eastAsia" w:ascii="宋体" w:hAnsi="宋体" w:eastAsia="宋体" w:cs="宋体"/>
                <w:color w:val="auto"/>
                <w:sz w:val="28"/>
                <w:szCs w:val="28"/>
                <w:highlight w:val="none"/>
              </w:rPr>
            </w:pPr>
          </w:p>
        </w:tc>
        <w:tc>
          <w:tcPr>
            <w:tcW w:w="1161" w:type="dxa"/>
            <w:tcBorders>
              <w:top w:val="single" w:color="auto" w:sz="4" w:space="0"/>
              <w:left w:val="single" w:color="auto" w:sz="4" w:space="0"/>
              <w:right w:val="single" w:color="auto" w:sz="4" w:space="0"/>
            </w:tcBorders>
            <w:noWrap w:val="0"/>
            <w:vAlign w:val="center"/>
          </w:tcPr>
          <w:p w14:paraId="774451E7">
            <w:pPr>
              <w:spacing w:before="60" w:after="60" w:line="360" w:lineRule="auto"/>
              <w:jc w:val="center"/>
              <w:rPr>
                <w:rFonts w:hint="eastAsia" w:ascii="宋体" w:hAnsi="宋体" w:eastAsia="宋体" w:cs="宋体"/>
                <w:color w:val="auto"/>
                <w:sz w:val="28"/>
                <w:szCs w:val="28"/>
                <w:highlight w:val="none"/>
              </w:rPr>
            </w:pPr>
          </w:p>
        </w:tc>
        <w:tc>
          <w:tcPr>
            <w:tcW w:w="1179" w:type="dxa"/>
            <w:tcBorders>
              <w:top w:val="single" w:color="auto" w:sz="4" w:space="0"/>
              <w:left w:val="single" w:color="auto" w:sz="4" w:space="0"/>
            </w:tcBorders>
            <w:noWrap w:val="0"/>
            <w:vAlign w:val="center"/>
          </w:tcPr>
          <w:p w14:paraId="2A44ECDD">
            <w:pPr>
              <w:spacing w:before="60" w:after="60" w:line="360" w:lineRule="auto"/>
              <w:jc w:val="center"/>
              <w:rPr>
                <w:rFonts w:hint="eastAsia" w:ascii="宋体" w:hAnsi="宋体" w:eastAsia="宋体" w:cs="宋体"/>
                <w:color w:val="auto"/>
                <w:sz w:val="28"/>
                <w:szCs w:val="28"/>
                <w:highlight w:val="none"/>
              </w:rPr>
            </w:pPr>
          </w:p>
        </w:tc>
        <w:tc>
          <w:tcPr>
            <w:tcW w:w="1488" w:type="dxa"/>
            <w:tcBorders>
              <w:top w:val="single" w:color="auto" w:sz="4" w:space="0"/>
            </w:tcBorders>
            <w:noWrap w:val="0"/>
            <w:vAlign w:val="center"/>
          </w:tcPr>
          <w:p w14:paraId="5706DC81">
            <w:pPr>
              <w:spacing w:before="60" w:after="60" w:line="360" w:lineRule="auto"/>
              <w:jc w:val="center"/>
              <w:rPr>
                <w:rFonts w:hint="eastAsia" w:ascii="宋体" w:hAnsi="宋体" w:eastAsia="宋体" w:cs="宋体"/>
                <w:color w:val="auto"/>
                <w:sz w:val="28"/>
                <w:szCs w:val="28"/>
                <w:highlight w:val="none"/>
              </w:rPr>
            </w:pPr>
          </w:p>
        </w:tc>
        <w:tc>
          <w:tcPr>
            <w:tcW w:w="1287" w:type="dxa"/>
            <w:tcBorders>
              <w:top w:val="single" w:color="auto" w:sz="4" w:space="0"/>
            </w:tcBorders>
            <w:noWrap w:val="0"/>
            <w:vAlign w:val="center"/>
          </w:tcPr>
          <w:p w14:paraId="4DC4DCCA">
            <w:pPr>
              <w:spacing w:before="60" w:after="60" w:line="360" w:lineRule="auto"/>
              <w:jc w:val="center"/>
              <w:rPr>
                <w:rFonts w:hint="eastAsia" w:ascii="宋体" w:hAnsi="宋体" w:eastAsia="宋体" w:cs="宋体"/>
                <w:color w:val="auto"/>
                <w:sz w:val="28"/>
                <w:szCs w:val="28"/>
                <w:highlight w:val="none"/>
              </w:rPr>
            </w:pPr>
          </w:p>
        </w:tc>
        <w:tc>
          <w:tcPr>
            <w:tcW w:w="1867" w:type="dxa"/>
            <w:tcBorders>
              <w:top w:val="single" w:color="auto" w:sz="4" w:space="0"/>
            </w:tcBorders>
            <w:noWrap w:val="0"/>
            <w:vAlign w:val="center"/>
          </w:tcPr>
          <w:p w14:paraId="1DA5F323">
            <w:pPr>
              <w:spacing w:before="60" w:after="60" w:line="360" w:lineRule="auto"/>
              <w:jc w:val="center"/>
              <w:rPr>
                <w:rFonts w:hint="eastAsia" w:ascii="宋体" w:hAnsi="宋体" w:eastAsia="宋体" w:cs="宋体"/>
                <w:color w:val="auto"/>
                <w:spacing w:val="-20"/>
                <w:sz w:val="28"/>
                <w:szCs w:val="28"/>
                <w:highlight w:val="none"/>
              </w:rPr>
            </w:pPr>
          </w:p>
        </w:tc>
      </w:tr>
    </w:tbl>
    <w:p w14:paraId="3926DB19">
      <w:pPr>
        <w:spacing w:line="360" w:lineRule="auto"/>
        <w:ind w:left="350" w:leftChars="33" w:hanging="281" w:hangingChars="1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 1.监理人员年龄以身份证</w:t>
      </w:r>
      <w:r>
        <w:rPr>
          <w:rFonts w:hint="eastAsia" w:ascii="宋体" w:hAnsi="宋体" w:eastAsia="宋体" w:cs="宋体"/>
          <w:b/>
          <w:bCs/>
          <w:color w:val="auto"/>
          <w:sz w:val="28"/>
          <w:szCs w:val="28"/>
          <w:highlight w:val="none"/>
          <w:lang w:val="en-US" w:eastAsia="zh-CN"/>
        </w:rPr>
        <w:t>扫描</w:t>
      </w:r>
      <w:r>
        <w:rPr>
          <w:rFonts w:hint="eastAsia" w:ascii="宋体" w:hAnsi="宋体" w:eastAsia="宋体" w:cs="宋体"/>
          <w:b/>
          <w:bCs/>
          <w:color w:val="auto"/>
          <w:sz w:val="28"/>
          <w:szCs w:val="28"/>
          <w:highlight w:val="none"/>
        </w:rPr>
        <w:t>件为依据、职称及注册监理工程师以资格证为依据。</w:t>
      </w:r>
    </w:p>
    <w:p w14:paraId="69FC5F27">
      <w:pPr>
        <w:spacing w:line="360" w:lineRule="auto"/>
        <w:ind w:left="227" w:leftChars="108" w:firstLine="281" w:firstLineChars="1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 监理人员在本单位工作证明。</w:t>
      </w:r>
    </w:p>
    <w:p w14:paraId="5D7C93CD">
      <w:pPr>
        <w:spacing w:before="217" w:beforeLines="50" w:after="217" w:afterLines="5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三、用于本工程主要监检测设备表</w:t>
      </w:r>
      <w:bookmarkEnd w:id="139"/>
    </w:p>
    <w:tbl>
      <w:tblPr>
        <w:tblStyle w:val="2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20"/>
        <w:gridCol w:w="1065"/>
        <w:gridCol w:w="1050"/>
        <w:gridCol w:w="861"/>
        <w:gridCol w:w="1056"/>
        <w:gridCol w:w="1536"/>
        <w:gridCol w:w="1556"/>
        <w:gridCol w:w="1276"/>
      </w:tblGrid>
      <w:tr w14:paraId="5659E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88" w:hRule="atLeast"/>
        </w:trPr>
        <w:tc>
          <w:tcPr>
            <w:tcW w:w="720" w:type="dxa"/>
            <w:noWrap w:val="0"/>
            <w:vAlign w:val="center"/>
          </w:tcPr>
          <w:p w14:paraId="51A7079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065" w:type="dxa"/>
            <w:noWrap w:val="0"/>
            <w:vAlign w:val="center"/>
          </w:tcPr>
          <w:p w14:paraId="2254505A">
            <w:pPr>
              <w:spacing w:line="360" w:lineRule="auto"/>
              <w:ind w:firstLine="20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名  称</w:t>
            </w:r>
          </w:p>
        </w:tc>
        <w:tc>
          <w:tcPr>
            <w:tcW w:w="1050" w:type="dxa"/>
            <w:noWrap w:val="0"/>
            <w:vAlign w:val="center"/>
          </w:tcPr>
          <w:p w14:paraId="3EF3878C">
            <w:pPr>
              <w:spacing w:line="360" w:lineRule="auto"/>
              <w:jc w:val="center"/>
              <w:rPr>
                <w:rFonts w:hint="eastAsia" w:ascii="宋体" w:hAnsi="宋体" w:eastAsia="宋体" w:cs="宋体"/>
                <w:color w:val="auto"/>
                <w:sz w:val="28"/>
                <w:szCs w:val="28"/>
                <w:highlight w:val="none"/>
              </w:rPr>
            </w:pPr>
          </w:p>
          <w:p w14:paraId="138B84B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型号</w:t>
            </w:r>
          </w:p>
          <w:p w14:paraId="2BA0F1D3">
            <w:pPr>
              <w:spacing w:line="360" w:lineRule="auto"/>
              <w:jc w:val="center"/>
              <w:rPr>
                <w:rFonts w:hint="eastAsia" w:ascii="宋体" w:hAnsi="宋体" w:eastAsia="宋体" w:cs="宋体"/>
                <w:color w:val="auto"/>
                <w:sz w:val="28"/>
                <w:szCs w:val="28"/>
                <w:highlight w:val="none"/>
              </w:rPr>
            </w:pPr>
          </w:p>
        </w:tc>
        <w:tc>
          <w:tcPr>
            <w:tcW w:w="861" w:type="dxa"/>
            <w:noWrap w:val="0"/>
            <w:vAlign w:val="center"/>
          </w:tcPr>
          <w:p w14:paraId="56D5042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1056" w:type="dxa"/>
            <w:noWrap w:val="0"/>
            <w:vAlign w:val="center"/>
          </w:tcPr>
          <w:p w14:paraId="2317777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产地</w:t>
            </w:r>
          </w:p>
        </w:tc>
        <w:tc>
          <w:tcPr>
            <w:tcW w:w="1536" w:type="dxa"/>
            <w:noWrap w:val="0"/>
            <w:vAlign w:val="center"/>
          </w:tcPr>
          <w:p w14:paraId="321DED4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制造年份</w:t>
            </w:r>
          </w:p>
        </w:tc>
        <w:tc>
          <w:tcPr>
            <w:tcW w:w="1556" w:type="dxa"/>
            <w:noWrap w:val="0"/>
            <w:vAlign w:val="center"/>
          </w:tcPr>
          <w:p w14:paraId="31410B4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计划进场日期</w:t>
            </w:r>
          </w:p>
        </w:tc>
        <w:tc>
          <w:tcPr>
            <w:tcW w:w="1276" w:type="dxa"/>
            <w:tcBorders>
              <w:right w:val="single" w:color="auto" w:sz="4" w:space="0"/>
            </w:tcBorders>
            <w:noWrap w:val="0"/>
            <w:vAlign w:val="center"/>
          </w:tcPr>
          <w:p w14:paraId="10CB2BF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6C61F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92" w:hRule="atLeast"/>
        </w:trPr>
        <w:tc>
          <w:tcPr>
            <w:tcW w:w="720" w:type="dxa"/>
            <w:noWrap w:val="0"/>
            <w:vAlign w:val="top"/>
          </w:tcPr>
          <w:p w14:paraId="5A9764ED">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008FC46E">
            <w:pPr>
              <w:spacing w:before="200" w:after="200" w:line="360" w:lineRule="auto"/>
              <w:rPr>
                <w:rFonts w:hint="eastAsia" w:ascii="宋体" w:hAnsi="宋体" w:eastAsia="宋体" w:cs="宋体"/>
                <w:color w:val="auto"/>
                <w:sz w:val="28"/>
                <w:szCs w:val="28"/>
                <w:highlight w:val="none"/>
              </w:rPr>
            </w:pPr>
          </w:p>
        </w:tc>
        <w:tc>
          <w:tcPr>
            <w:tcW w:w="1050" w:type="dxa"/>
            <w:noWrap w:val="0"/>
            <w:vAlign w:val="top"/>
          </w:tcPr>
          <w:p w14:paraId="23593323">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5228EB31">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52A931C2">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5C9FD620">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center"/>
          </w:tcPr>
          <w:p w14:paraId="466CBA29">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7B859860">
            <w:pPr>
              <w:spacing w:before="200" w:after="200" w:line="360" w:lineRule="auto"/>
              <w:jc w:val="center"/>
              <w:rPr>
                <w:rFonts w:hint="eastAsia" w:ascii="宋体" w:hAnsi="宋体" w:eastAsia="宋体" w:cs="宋体"/>
                <w:color w:val="auto"/>
                <w:sz w:val="28"/>
                <w:szCs w:val="28"/>
                <w:highlight w:val="none"/>
              </w:rPr>
            </w:pPr>
          </w:p>
        </w:tc>
      </w:tr>
      <w:tr w14:paraId="0C01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5" w:hRule="atLeast"/>
        </w:trPr>
        <w:tc>
          <w:tcPr>
            <w:tcW w:w="720" w:type="dxa"/>
            <w:noWrap w:val="0"/>
            <w:vAlign w:val="top"/>
          </w:tcPr>
          <w:p w14:paraId="73AD333F">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7E128DEC">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5C19B44C">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3CEF517C">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51943CF4">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765B5A6D">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66D231B7">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686954B1">
            <w:pPr>
              <w:spacing w:before="200" w:after="200" w:line="360" w:lineRule="auto"/>
              <w:jc w:val="center"/>
              <w:rPr>
                <w:rFonts w:hint="eastAsia" w:ascii="宋体" w:hAnsi="宋体" w:eastAsia="宋体" w:cs="宋体"/>
                <w:color w:val="auto"/>
                <w:sz w:val="28"/>
                <w:szCs w:val="28"/>
                <w:highlight w:val="none"/>
              </w:rPr>
            </w:pPr>
          </w:p>
        </w:tc>
      </w:tr>
      <w:tr w14:paraId="31D65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5" w:hRule="atLeast"/>
        </w:trPr>
        <w:tc>
          <w:tcPr>
            <w:tcW w:w="720" w:type="dxa"/>
            <w:noWrap w:val="0"/>
            <w:vAlign w:val="top"/>
          </w:tcPr>
          <w:p w14:paraId="7EE16E16">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085EDED2">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0D396EE1">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20DBDDB7">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36E0AD0B">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5E351562">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15C82417">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4C1502CC">
            <w:pPr>
              <w:spacing w:before="200" w:after="200" w:line="360" w:lineRule="auto"/>
              <w:jc w:val="center"/>
              <w:rPr>
                <w:rFonts w:hint="eastAsia" w:ascii="宋体" w:hAnsi="宋体" w:eastAsia="宋体" w:cs="宋体"/>
                <w:color w:val="auto"/>
                <w:sz w:val="28"/>
                <w:szCs w:val="28"/>
                <w:highlight w:val="none"/>
              </w:rPr>
            </w:pPr>
          </w:p>
        </w:tc>
      </w:tr>
      <w:tr w14:paraId="3DCD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5" w:hRule="atLeast"/>
        </w:trPr>
        <w:tc>
          <w:tcPr>
            <w:tcW w:w="720" w:type="dxa"/>
            <w:noWrap w:val="0"/>
            <w:vAlign w:val="top"/>
          </w:tcPr>
          <w:p w14:paraId="7EB9355B">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27EE5874">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3CAC1629">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04457324">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372E9AB4">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4EB51A06">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414DC344">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37FA3399">
            <w:pPr>
              <w:spacing w:before="200" w:after="200" w:line="360" w:lineRule="auto"/>
              <w:jc w:val="center"/>
              <w:rPr>
                <w:rFonts w:hint="eastAsia" w:ascii="宋体" w:hAnsi="宋体" w:eastAsia="宋体" w:cs="宋体"/>
                <w:color w:val="auto"/>
                <w:sz w:val="28"/>
                <w:szCs w:val="28"/>
                <w:highlight w:val="none"/>
              </w:rPr>
            </w:pPr>
          </w:p>
        </w:tc>
      </w:tr>
      <w:tr w14:paraId="0641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5" w:hRule="atLeast"/>
        </w:trPr>
        <w:tc>
          <w:tcPr>
            <w:tcW w:w="720" w:type="dxa"/>
            <w:noWrap w:val="0"/>
            <w:vAlign w:val="top"/>
          </w:tcPr>
          <w:p w14:paraId="6947301D">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1B7F8F0A">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6E71AEE2">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3C2105D1">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000FDE8A">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4543BF2F">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3A6E39CC">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3DE6F67B">
            <w:pPr>
              <w:spacing w:before="200" w:after="200" w:line="360" w:lineRule="auto"/>
              <w:jc w:val="center"/>
              <w:rPr>
                <w:rFonts w:hint="eastAsia" w:ascii="宋体" w:hAnsi="宋体" w:eastAsia="宋体" w:cs="宋体"/>
                <w:color w:val="auto"/>
                <w:sz w:val="28"/>
                <w:szCs w:val="28"/>
                <w:highlight w:val="none"/>
              </w:rPr>
            </w:pPr>
          </w:p>
        </w:tc>
      </w:tr>
      <w:tr w14:paraId="58ABA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20" w:type="dxa"/>
            <w:noWrap w:val="0"/>
            <w:vAlign w:val="top"/>
          </w:tcPr>
          <w:p w14:paraId="11529F0C">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4D3776EA">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4686AD7E">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0132CCAD">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385B7DCC">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46464ECD">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20DBF7DC">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12CBDFBB">
            <w:pPr>
              <w:spacing w:before="200" w:after="200" w:line="360" w:lineRule="auto"/>
              <w:jc w:val="center"/>
              <w:rPr>
                <w:rFonts w:hint="eastAsia" w:ascii="宋体" w:hAnsi="宋体" w:eastAsia="宋体" w:cs="宋体"/>
                <w:color w:val="auto"/>
                <w:sz w:val="28"/>
                <w:szCs w:val="28"/>
                <w:highlight w:val="none"/>
              </w:rPr>
            </w:pPr>
          </w:p>
        </w:tc>
      </w:tr>
      <w:tr w14:paraId="18C92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20" w:type="dxa"/>
            <w:noWrap w:val="0"/>
            <w:vAlign w:val="top"/>
          </w:tcPr>
          <w:p w14:paraId="58522E9E">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7B81A4ED">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677CF08C">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7DACE5BC">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3A4F74AF">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6E05F12A">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6E71257B">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25E8A29D">
            <w:pPr>
              <w:spacing w:before="200" w:after="200" w:line="360" w:lineRule="auto"/>
              <w:jc w:val="center"/>
              <w:rPr>
                <w:rFonts w:hint="eastAsia" w:ascii="宋体" w:hAnsi="宋体" w:eastAsia="宋体" w:cs="宋体"/>
                <w:color w:val="auto"/>
                <w:sz w:val="28"/>
                <w:szCs w:val="28"/>
                <w:highlight w:val="none"/>
              </w:rPr>
            </w:pPr>
          </w:p>
        </w:tc>
      </w:tr>
      <w:tr w14:paraId="61FB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20" w:type="dxa"/>
            <w:noWrap w:val="0"/>
            <w:vAlign w:val="top"/>
          </w:tcPr>
          <w:p w14:paraId="271872C8">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0948A381">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2C232BF9">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0668A0A9">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14A4468B">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4E6909BE">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6F2258CF">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71D471D4">
            <w:pPr>
              <w:spacing w:before="200" w:after="200" w:line="360" w:lineRule="auto"/>
              <w:jc w:val="center"/>
              <w:rPr>
                <w:rFonts w:hint="eastAsia" w:ascii="宋体" w:hAnsi="宋体" w:eastAsia="宋体" w:cs="宋体"/>
                <w:color w:val="auto"/>
                <w:sz w:val="28"/>
                <w:szCs w:val="28"/>
                <w:highlight w:val="none"/>
              </w:rPr>
            </w:pPr>
          </w:p>
        </w:tc>
      </w:tr>
      <w:tr w14:paraId="09DE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20" w:type="dxa"/>
            <w:noWrap w:val="0"/>
            <w:vAlign w:val="top"/>
          </w:tcPr>
          <w:p w14:paraId="35474AA6">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7DE3D57D">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19A96309">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0B75DCBA">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7F7576BA">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4CE94D76">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73B99F06">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37BE10A5">
            <w:pPr>
              <w:spacing w:before="200" w:after="200" w:line="360" w:lineRule="auto"/>
              <w:jc w:val="center"/>
              <w:rPr>
                <w:rFonts w:hint="eastAsia" w:ascii="宋体" w:hAnsi="宋体" w:eastAsia="宋体" w:cs="宋体"/>
                <w:color w:val="auto"/>
                <w:sz w:val="28"/>
                <w:szCs w:val="28"/>
                <w:highlight w:val="none"/>
              </w:rPr>
            </w:pPr>
          </w:p>
        </w:tc>
      </w:tr>
      <w:tr w14:paraId="3629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20" w:type="dxa"/>
            <w:noWrap w:val="0"/>
            <w:vAlign w:val="top"/>
          </w:tcPr>
          <w:p w14:paraId="7DC52B87">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3B4D87DE">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0091F82D">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51A4851B">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36705E91">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439066AA">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4C4CDF55">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4DC9ECB3">
            <w:pPr>
              <w:spacing w:before="200" w:after="200" w:line="360" w:lineRule="auto"/>
              <w:jc w:val="center"/>
              <w:rPr>
                <w:rFonts w:hint="eastAsia" w:ascii="宋体" w:hAnsi="宋体" w:eastAsia="宋体" w:cs="宋体"/>
                <w:color w:val="auto"/>
                <w:sz w:val="28"/>
                <w:szCs w:val="28"/>
                <w:highlight w:val="none"/>
              </w:rPr>
            </w:pPr>
          </w:p>
        </w:tc>
      </w:tr>
      <w:tr w14:paraId="23FA3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20" w:type="dxa"/>
            <w:noWrap w:val="0"/>
            <w:vAlign w:val="top"/>
          </w:tcPr>
          <w:p w14:paraId="30924990">
            <w:pPr>
              <w:spacing w:before="200" w:after="200" w:line="360" w:lineRule="auto"/>
              <w:jc w:val="center"/>
              <w:rPr>
                <w:rFonts w:hint="eastAsia" w:ascii="宋体" w:hAnsi="宋体" w:eastAsia="宋体" w:cs="宋体"/>
                <w:color w:val="auto"/>
                <w:sz w:val="28"/>
                <w:szCs w:val="28"/>
                <w:highlight w:val="none"/>
              </w:rPr>
            </w:pPr>
          </w:p>
        </w:tc>
        <w:tc>
          <w:tcPr>
            <w:tcW w:w="1065" w:type="dxa"/>
            <w:noWrap w:val="0"/>
            <w:vAlign w:val="top"/>
          </w:tcPr>
          <w:p w14:paraId="4BE2B6D6">
            <w:pPr>
              <w:spacing w:before="200" w:after="200" w:line="360" w:lineRule="auto"/>
              <w:jc w:val="center"/>
              <w:rPr>
                <w:rFonts w:hint="eastAsia" w:ascii="宋体" w:hAnsi="宋体" w:eastAsia="宋体" w:cs="宋体"/>
                <w:color w:val="auto"/>
                <w:sz w:val="28"/>
                <w:szCs w:val="28"/>
                <w:highlight w:val="none"/>
              </w:rPr>
            </w:pPr>
          </w:p>
        </w:tc>
        <w:tc>
          <w:tcPr>
            <w:tcW w:w="1050" w:type="dxa"/>
            <w:noWrap w:val="0"/>
            <w:vAlign w:val="top"/>
          </w:tcPr>
          <w:p w14:paraId="49A03F05">
            <w:pPr>
              <w:spacing w:before="200" w:after="200" w:line="360" w:lineRule="auto"/>
              <w:jc w:val="center"/>
              <w:rPr>
                <w:rFonts w:hint="eastAsia" w:ascii="宋体" w:hAnsi="宋体" w:eastAsia="宋体" w:cs="宋体"/>
                <w:color w:val="auto"/>
                <w:sz w:val="28"/>
                <w:szCs w:val="28"/>
                <w:highlight w:val="none"/>
              </w:rPr>
            </w:pPr>
          </w:p>
        </w:tc>
        <w:tc>
          <w:tcPr>
            <w:tcW w:w="861" w:type="dxa"/>
            <w:noWrap w:val="0"/>
            <w:vAlign w:val="top"/>
          </w:tcPr>
          <w:p w14:paraId="18442F45">
            <w:pPr>
              <w:spacing w:before="200" w:after="200" w:line="360" w:lineRule="auto"/>
              <w:jc w:val="center"/>
              <w:rPr>
                <w:rFonts w:hint="eastAsia" w:ascii="宋体" w:hAnsi="宋体" w:eastAsia="宋体" w:cs="宋体"/>
                <w:color w:val="auto"/>
                <w:sz w:val="28"/>
                <w:szCs w:val="28"/>
                <w:highlight w:val="none"/>
              </w:rPr>
            </w:pPr>
          </w:p>
        </w:tc>
        <w:tc>
          <w:tcPr>
            <w:tcW w:w="1056" w:type="dxa"/>
            <w:noWrap w:val="0"/>
            <w:vAlign w:val="top"/>
          </w:tcPr>
          <w:p w14:paraId="396B1D99">
            <w:pPr>
              <w:spacing w:before="200" w:after="200" w:line="360" w:lineRule="auto"/>
              <w:jc w:val="center"/>
              <w:rPr>
                <w:rFonts w:hint="eastAsia" w:ascii="宋体" w:hAnsi="宋体" w:eastAsia="宋体" w:cs="宋体"/>
                <w:color w:val="auto"/>
                <w:sz w:val="28"/>
                <w:szCs w:val="28"/>
                <w:highlight w:val="none"/>
              </w:rPr>
            </w:pPr>
          </w:p>
        </w:tc>
        <w:tc>
          <w:tcPr>
            <w:tcW w:w="1536" w:type="dxa"/>
            <w:noWrap w:val="0"/>
            <w:vAlign w:val="top"/>
          </w:tcPr>
          <w:p w14:paraId="03DC70E9">
            <w:pPr>
              <w:spacing w:before="200" w:after="200" w:line="360" w:lineRule="auto"/>
              <w:jc w:val="center"/>
              <w:rPr>
                <w:rFonts w:hint="eastAsia" w:ascii="宋体" w:hAnsi="宋体" w:eastAsia="宋体" w:cs="宋体"/>
                <w:color w:val="auto"/>
                <w:sz w:val="28"/>
                <w:szCs w:val="28"/>
                <w:highlight w:val="none"/>
              </w:rPr>
            </w:pPr>
          </w:p>
        </w:tc>
        <w:tc>
          <w:tcPr>
            <w:tcW w:w="1556" w:type="dxa"/>
            <w:noWrap w:val="0"/>
            <w:vAlign w:val="top"/>
          </w:tcPr>
          <w:p w14:paraId="6711C7BD">
            <w:pPr>
              <w:spacing w:before="200" w:after="200" w:line="360" w:lineRule="auto"/>
              <w:jc w:val="center"/>
              <w:rPr>
                <w:rFonts w:hint="eastAsia" w:ascii="宋体" w:hAnsi="宋体" w:eastAsia="宋体" w:cs="宋体"/>
                <w:color w:val="auto"/>
                <w:sz w:val="28"/>
                <w:szCs w:val="28"/>
                <w:highlight w:val="none"/>
              </w:rPr>
            </w:pPr>
          </w:p>
        </w:tc>
        <w:tc>
          <w:tcPr>
            <w:tcW w:w="1276" w:type="dxa"/>
            <w:tcBorders>
              <w:right w:val="single" w:color="auto" w:sz="4" w:space="0"/>
            </w:tcBorders>
            <w:noWrap w:val="0"/>
            <w:vAlign w:val="top"/>
          </w:tcPr>
          <w:p w14:paraId="4A019F9F">
            <w:pPr>
              <w:spacing w:before="200" w:after="200" w:line="360" w:lineRule="auto"/>
              <w:jc w:val="center"/>
              <w:rPr>
                <w:rFonts w:hint="eastAsia" w:ascii="宋体" w:hAnsi="宋体" w:eastAsia="宋体" w:cs="宋体"/>
                <w:color w:val="auto"/>
                <w:sz w:val="28"/>
                <w:szCs w:val="28"/>
                <w:highlight w:val="none"/>
              </w:rPr>
            </w:pPr>
          </w:p>
        </w:tc>
      </w:tr>
    </w:tbl>
    <w:p w14:paraId="5EFEE19B">
      <w:pPr>
        <w:pStyle w:val="3"/>
        <w:spacing w:line="360" w:lineRule="auto"/>
        <w:ind w:firstLine="1506"/>
        <w:rPr>
          <w:rFonts w:hint="eastAsia" w:ascii="宋体" w:hAnsi="宋体" w:eastAsia="宋体" w:cs="宋体"/>
          <w:color w:val="auto"/>
          <w:sz w:val="28"/>
          <w:szCs w:val="28"/>
          <w:highlight w:val="none"/>
        </w:rPr>
      </w:pPr>
    </w:p>
    <w:p w14:paraId="613445AF">
      <w:pPr>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br w:type="page"/>
      </w:r>
      <w:bookmarkStart w:id="140" w:name="_Toc34282776"/>
    </w:p>
    <w:p w14:paraId="524D87FA">
      <w:pPr>
        <w:spacing w:before="217" w:beforeLines="50" w:after="217" w:afterLines="5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四、监理方案</w:t>
      </w:r>
      <w:bookmarkEnd w:id="140"/>
    </w:p>
    <w:p w14:paraId="5F34FE52">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监理方案应包括（但不限于）下列内容：</w:t>
      </w:r>
    </w:p>
    <w:p w14:paraId="2CE083B1">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一、监理大纲；</w:t>
      </w:r>
    </w:p>
    <w:p w14:paraId="7A9E93A5">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二、监理组织机构；</w:t>
      </w:r>
    </w:p>
    <w:p w14:paraId="51EEB9FC">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三、质量控制；</w:t>
      </w:r>
    </w:p>
    <w:p w14:paraId="2DEE74AC">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四、安全控制；</w:t>
      </w:r>
    </w:p>
    <w:p w14:paraId="02DD8D7B">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五、进度控制；</w:t>
      </w:r>
    </w:p>
    <w:p w14:paraId="6DE22AA5">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六、投资控制；</w:t>
      </w:r>
    </w:p>
    <w:p w14:paraId="4D13A3CB">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七、监理工作重点、难点分析及解决方案；</w:t>
      </w:r>
    </w:p>
    <w:p w14:paraId="4FF37318">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八、文明施工及环境保护控制；</w:t>
      </w:r>
    </w:p>
    <w:p w14:paraId="6488D24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九、其他材料及附表。</w:t>
      </w:r>
    </w:p>
    <w:p w14:paraId="44DDDE3D">
      <w:pPr>
        <w:spacing w:line="360" w:lineRule="auto"/>
        <w:ind w:firstLine="480"/>
        <w:rPr>
          <w:rFonts w:hint="eastAsia" w:ascii="宋体" w:hAnsi="宋体" w:eastAsia="宋体" w:cs="宋体"/>
          <w:b/>
          <w:color w:val="auto"/>
          <w:sz w:val="28"/>
          <w:szCs w:val="28"/>
          <w:highlight w:val="none"/>
        </w:rPr>
      </w:pPr>
    </w:p>
    <w:p w14:paraId="577D53CA">
      <w:pPr>
        <w:rPr>
          <w:rFonts w:hint="eastAsia" w:ascii="宋体" w:hAnsi="宋体" w:eastAsia="宋体"/>
          <w:color w:val="auto"/>
          <w:highlight w:val="none"/>
        </w:rPr>
      </w:pPr>
    </w:p>
    <w:p w14:paraId="61E6608B">
      <w:pPr>
        <w:ind w:firstLine="1440"/>
        <w:rPr>
          <w:rFonts w:hint="eastAsia" w:ascii="宋体" w:hAnsi="宋体" w:eastAsia="宋体"/>
          <w:color w:val="auto"/>
          <w:sz w:val="28"/>
          <w:highlight w:val="none"/>
        </w:rPr>
      </w:pPr>
    </w:p>
    <w:p w14:paraId="378CB183">
      <w:pPr>
        <w:ind w:firstLine="1440"/>
        <w:rPr>
          <w:rFonts w:hint="eastAsia" w:ascii="宋体" w:hAnsi="宋体" w:eastAsia="宋体"/>
          <w:color w:val="auto"/>
          <w:sz w:val="28"/>
          <w:highlight w:val="none"/>
        </w:rPr>
      </w:pPr>
    </w:p>
    <w:p w14:paraId="5FA6CBEB">
      <w:pPr>
        <w:ind w:firstLine="1440"/>
        <w:rPr>
          <w:rFonts w:hint="eastAsia" w:ascii="仿宋_GB2312"/>
          <w:color w:val="auto"/>
          <w:sz w:val="28"/>
          <w:highlight w:val="none"/>
        </w:rPr>
      </w:pPr>
    </w:p>
    <w:p w14:paraId="57704F82">
      <w:pPr>
        <w:ind w:firstLine="1440"/>
        <w:rPr>
          <w:rFonts w:hint="eastAsia" w:ascii="仿宋_GB2312"/>
          <w:color w:val="auto"/>
          <w:sz w:val="28"/>
          <w:highlight w:val="none"/>
        </w:rPr>
      </w:pPr>
    </w:p>
    <w:p w14:paraId="0DD4D95C">
      <w:pPr>
        <w:ind w:firstLine="1440"/>
        <w:rPr>
          <w:rFonts w:hint="eastAsia" w:ascii="仿宋_GB2312"/>
          <w:color w:val="auto"/>
          <w:sz w:val="28"/>
          <w:highlight w:val="none"/>
        </w:rPr>
      </w:pPr>
    </w:p>
    <w:p w14:paraId="1DC0F18B">
      <w:pPr>
        <w:ind w:firstLine="1440"/>
        <w:rPr>
          <w:rFonts w:hint="eastAsia" w:ascii="仿宋_GB2312"/>
          <w:color w:val="auto"/>
          <w:sz w:val="28"/>
          <w:highlight w:val="none"/>
        </w:rPr>
      </w:pPr>
    </w:p>
    <w:p w14:paraId="57D27F7C">
      <w:pPr>
        <w:ind w:firstLine="1440"/>
        <w:rPr>
          <w:rFonts w:hint="eastAsia" w:ascii="仿宋_GB2312"/>
          <w:color w:val="auto"/>
          <w:sz w:val="28"/>
          <w:highlight w:val="none"/>
        </w:rPr>
      </w:pPr>
    </w:p>
    <w:p w14:paraId="71F7E29F">
      <w:pPr>
        <w:ind w:firstLine="1440"/>
        <w:rPr>
          <w:rFonts w:hint="eastAsia" w:ascii="仿宋_GB2312"/>
          <w:color w:val="auto"/>
          <w:sz w:val="28"/>
          <w:highlight w:val="none"/>
        </w:rPr>
      </w:pPr>
    </w:p>
    <w:p w14:paraId="0A433001">
      <w:pPr>
        <w:ind w:firstLine="1440"/>
        <w:rPr>
          <w:rFonts w:hint="eastAsia" w:ascii="仿宋_GB2312"/>
          <w:color w:val="auto"/>
          <w:sz w:val="28"/>
          <w:highlight w:val="none"/>
        </w:rPr>
      </w:pPr>
    </w:p>
    <w:p w14:paraId="00D628BC">
      <w:pPr>
        <w:ind w:firstLine="1440"/>
        <w:rPr>
          <w:rFonts w:hint="eastAsia" w:ascii="仿宋_GB2312"/>
          <w:color w:val="auto"/>
          <w:sz w:val="28"/>
          <w:highlight w:val="none"/>
        </w:rPr>
      </w:pPr>
    </w:p>
    <w:p w14:paraId="61F5A610">
      <w:pPr>
        <w:ind w:firstLine="1440"/>
        <w:rPr>
          <w:rFonts w:hint="eastAsia" w:ascii="仿宋_GB2312"/>
          <w:color w:val="auto"/>
          <w:sz w:val="28"/>
          <w:highlight w:val="none"/>
        </w:rPr>
      </w:pPr>
    </w:p>
    <w:p w14:paraId="093A863A">
      <w:pPr>
        <w:ind w:firstLine="1440"/>
        <w:rPr>
          <w:rFonts w:hint="eastAsia" w:ascii="仿宋_GB2312"/>
          <w:color w:val="auto"/>
          <w:sz w:val="28"/>
          <w:highlight w:val="none"/>
        </w:rPr>
      </w:pPr>
    </w:p>
    <w:p w14:paraId="5741ED78">
      <w:pPr>
        <w:pStyle w:val="2"/>
        <w:spacing w:after="0"/>
        <w:rPr>
          <w:rFonts w:hint="eastAsia" w:eastAsia="黑体"/>
          <w:b/>
          <w:color w:val="auto"/>
          <w:sz w:val="48"/>
          <w:highlight w:val="none"/>
          <w:lang w:eastAsia="zh-CN"/>
        </w:rPr>
      </w:pPr>
      <w:bookmarkStart w:id="141" w:name="_Toc292357065"/>
    </w:p>
    <w:p w14:paraId="78D3D4EE">
      <w:pPr>
        <w:rPr>
          <w:rFonts w:hint="eastAsia" w:eastAsia="黑体"/>
          <w:b/>
          <w:color w:val="auto"/>
          <w:sz w:val="48"/>
          <w:highlight w:val="none"/>
          <w:lang w:eastAsia="zh-CN"/>
        </w:rPr>
      </w:pPr>
    </w:p>
    <w:p w14:paraId="108B1369">
      <w:pPr>
        <w:pStyle w:val="11"/>
        <w:rPr>
          <w:rFonts w:hint="eastAsia" w:eastAsia="黑体"/>
          <w:b/>
          <w:color w:val="auto"/>
          <w:sz w:val="48"/>
          <w:highlight w:val="none"/>
          <w:lang w:eastAsia="zh-CN"/>
        </w:rPr>
      </w:pPr>
    </w:p>
    <w:p w14:paraId="3E08D7A8">
      <w:pPr>
        <w:pStyle w:val="12"/>
        <w:rPr>
          <w:rFonts w:hint="eastAsia"/>
          <w:highlight w:val="none"/>
          <w:lang w:eastAsia="zh-CN"/>
        </w:rPr>
      </w:pPr>
    </w:p>
    <w:p w14:paraId="20BCAD50">
      <w:pPr>
        <w:pStyle w:val="2"/>
        <w:spacing w:after="0"/>
        <w:jc w:val="center"/>
        <w:rPr>
          <w:rFonts w:hint="eastAsia" w:eastAsia="黑体"/>
          <w:b/>
          <w:color w:val="auto"/>
          <w:sz w:val="48"/>
          <w:highlight w:val="none"/>
        </w:rPr>
      </w:pPr>
      <w:bookmarkStart w:id="142" w:name="_Toc942"/>
      <w:bookmarkStart w:id="143" w:name="_Toc32600"/>
      <w:r>
        <w:rPr>
          <w:rFonts w:hint="eastAsia" w:eastAsia="黑体"/>
          <w:b/>
          <w:color w:val="auto"/>
          <w:sz w:val="48"/>
          <w:highlight w:val="none"/>
        </w:rPr>
        <w:br w:type="textWrapping"/>
      </w:r>
    </w:p>
    <w:p w14:paraId="71C4C814">
      <w:pPr>
        <w:rPr>
          <w:rFonts w:hint="eastAsia"/>
          <w:highlight w:val="none"/>
        </w:rPr>
      </w:pPr>
    </w:p>
    <w:p w14:paraId="0FBB3A80">
      <w:pPr>
        <w:pStyle w:val="2"/>
        <w:spacing w:after="0"/>
        <w:jc w:val="center"/>
        <w:rPr>
          <w:rFonts w:hint="eastAsia" w:eastAsia="黑体"/>
          <w:b/>
          <w:color w:val="auto"/>
          <w:sz w:val="48"/>
          <w:highlight w:val="none"/>
        </w:rPr>
      </w:pPr>
    </w:p>
    <w:p w14:paraId="7F4FD38D">
      <w:pPr>
        <w:pStyle w:val="2"/>
        <w:spacing w:after="0"/>
        <w:jc w:val="center"/>
        <w:rPr>
          <w:rFonts w:hint="eastAsia" w:eastAsia="黑体"/>
          <w:b/>
          <w:color w:val="auto"/>
          <w:sz w:val="48"/>
          <w:highlight w:val="none"/>
        </w:rPr>
      </w:pPr>
    </w:p>
    <w:p w14:paraId="12884AD0">
      <w:pPr>
        <w:rPr>
          <w:rFonts w:hint="eastAsia" w:eastAsia="黑体"/>
          <w:b/>
          <w:color w:val="auto"/>
          <w:sz w:val="48"/>
          <w:highlight w:val="none"/>
        </w:rPr>
      </w:pPr>
    </w:p>
    <w:p w14:paraId="1F25FDF1">
      <w:pPr>
        <w:rPr>
          <w:rFonts w:hint="eastAsia" w:eastAsia="黑体"/>
          <w:b/>
          <w:color w:val="auto"/>
          <w:sz w:val="48"/>
          <w:highlight w:val="none"/>
        </w:rPr>
      </w:pPr>
    </w:p>
    <w:p w14:paraId="6389F686">
      <w:pPr>
        <w:rPr>
          <w:rFonts w:hint="eastAsia" w:eastAsia="黑体"/>
          <w:b/>
          <w:color w:val="auto"/>
          <w:sz w:val="48"/>
          <w:highlight w:val="none"/>
        </w:rPr>
      </w:pPr>
    </w:p>
    <w:p w14:paraId="5DCD9E1C">
      <w:pPr>
        <w:pStyle w:val="2"/>
        <w:spacing w:after="0"/>
        <w:jc w:val="center"/>
        <w:rPr>
          <w:rFonts w:hint="eastAsia" w:ascii="宋体" w:hAnsi="宋体" w:eastAsia="宋体"/>
          <w:bCs/>
          <w:color w:val="auto"/>
          <w:sz w:val="24"/>
          <w:highlight w:val="none"/>
        </w:rPr>
      </w:pPr>
      <w:r>
        <w:rPr>
          <w:rFonts w:hint="eastAsia" w:eastAsia="黑体"/>
          <w:b/>
          <w:color w:val="auto"/>
          <w:sz w:val="48"/>
          <w:highlight w:val="none"/>
        </w:rPr>
        <w:t>第</w:t>
      </w:r>
      <w:r>
        <w:rPr>
          <w:rFonts w:hint="eastAsia" w:eastAsia="黑体"/>
          <w:b/>
          <w:color w:val="auto"/>
          <w:sz w:val="48"/>
          <w:highlight w:val="none"/>
          <w:lang w:val="en-US" w:eastAsia="zh-CN"/>
        </w:rPr>
        <w:t>九</w:t>
      </w:r>
      <w:r>
        <w:rPr>
          <w:rFonts w:hint="eastAsia" w:eastAsia="黑体"/>
          <w:b/>
          <w:color w:val="auto"/>
          <w:sz w:val="48"/>
          <w:highlight w:val="none"/>
        </w:rPr>
        <w:t>章</w:t>
      </w:r>
      <w:bookmarkEnd w:id="132"/>
      <w:bookmarkStart w:id="144" w:name="_Hlt535993740"/>
      <w:bookmarkEnd w:id="144"/>
      <w:bookmarkStart w:id="145" w:name="_Hlt68798077"/>
      <w:bookmarkEnd w:id="145"/>
      <w:r>
        <w:rPr>
          <w:rFonts w:hint="eastAsia" w:eastAsia="黑体"/>
          <w:b/>
          <w:color w:val="auto"/>
          <w:sz w:val="48"/>
          <w:highlight w:val="none"/>
        </w:rPr>
        <w:t xml:space="preserve"> 评 标 办 </w:t>
      </w:r>
      <w:bookmarkEnd w:id="141"/>
      <w:r>
        <w:rPr>
          <w:rFonts w:hint="eastAsia" w:eastAsia="黑体"/>
          <w:b/>
          <w:color w:val="auto"/>
          <w:sz w:val="48"/>
          <w:highlight w:val="none"/>
          <w:lang w:eastAsia="zh-CN"/>
        </w:rPr>
        <w:t>法</w:t>
      </w:r>
      <w:bookmarkEnd w:id="142"/>
      <w:bookmarkEnd w:id="143"/>
    </w:p>
    <w:p w14:paraId="162A549D">
      <w:pPr>
        <w:widowControl/>
        <w:tabs>
          <w:tab w:val="left" w:pos="2280"/>
        </w:tabs>
        <w:spacing w:line="360" w:lineRule="auto"/>
        <w:jc w:val="center"/>
        <w:rPr>
          <w:rFonts w:hint="eastAsia" w:ascii="宋体" w:hAnsi="宋体" w:eastAsia="宋体" w:cs="宋体"/>
          <w:b/>
          <w:color w:val="auto"/>
          <w:sz w:val="32"/>
          <w:szCs w:val="24"/>
          <w:highlight w:val="none"/>
        </w:rPr>
      </w:pPr>
    </w:p>
    <w:p w14:paraId="4BB8189B">
      <w:pPr>
        <w:widowControl/>
        <w:tabs>
          <w:tab w:val="left" w:pos="2280"/>
        </w:tabs>
        <w:spacing w:line="360" w:lineRule="auto"/>
        <w:jc w:val="center"/>
        <w:rPr>
          <w:rFonts w:hint="eastAsia" w:ascii="宋体" w:hAnsi="宋体" w:eastAsia="宋体" w:cs="宋体"/>
          <w:b/>
          <w:color w:val="auto"/>
          <w:sz w:val="32"/>
          <w:szCs w:val="24"/>
          <w:highlight w:val="none"/>
        </w:rPr>
      </w:pPr>
    </w:p>
    <w:p w14:paraId="1EA6EE1F">
      <w:pPr>
        <w:widowControl/>
        <w:tabs>
          <w:tab w:val="left" w:pos="2280"/>
        </w:tabs>
        <w:spacing w:line="360" w:lineRule="auto"/>
        <w:jc w:val="center"/>
        <w:rPr>
          <w:rFonts w:hint="eastAsia" w:ascii="宋体" w:hAnsi="宋体" w:eastAsia="宋体" w:cs="宋体"/>
          <w:b/>
          <w:color w:val="auto"/>
          <w:sz w:val="32"/>
          <w:szCs w:val="24"/>
          <w:highlight w:val="none"/>
        </w:rPr>
      </w:pPr>
    </w:p>
    <w:p w14:paraId="42C168BC">
      <w:pPr>
        <w:widowControl/>
        <w:tabs>
          <w:tab w:val="left" w:pos="2280"/>
        </w:tabs>
        <w:spacing w:line="360" w:lineRule="auto"/>
        <w:jc w:val="center"/>
        <w:rPr>
          <w:rFonts w:hint="eastAsia" w:ascii="宋体" w:hAnsi="宋体" w:eastAsia="宋体" w:cs="宋体"/>
          <w:b/>
          <w:color w:val="auto"/>
          <w:sz w:val="32"/>
          <w:szCs w:val="24"/>
          <w:highlight w:val="none"/>
        </w:rPr>
      </w:pPr>
    </w:p>
    <w:p w14:paraId="5CA345F1">
      <w:pPr>
        <w:widowControl/>
        <w:tabs>
          <w:tab w:val="left" w:pos="2280"/>
        </w:tabs>
        <w:spacing w:line="360" w:lineRule="auto"/>
        <w:jc w:val="center"/>
        <w:rPr>
          <w:rFonts w:hint="eastAsia" w:ascii="宋体" w:hAnsi="宋体" w:eastAsia="宋体" w:cs="宋体"/>
          <w:b/>
          <w:color w:val="auto"/>
          <w:sz w:val="32"/>
          <w:szCs w:val="24"/>
          <w:highlight w:val="none"/>
        </w:rPr>
      </w:pPr>
    </w:p>
    <w:p w14:paraId="748FF6A5">
      <w:pPr>
        <w:widowControl/>
        <w:tabs>
          <w:tab w:val="left" w:pos="2280"/>
        </w:tabs>
        <w:spacing w:line="360" w:lineRule="auto"/>
        <w:jc w:val="center"/>
        <w:rPr>
          <w:rFonts w:hint="eastAsia" w:ascii="宋体" w:hAnsi="宋体" w:eastAsia="宋体" w:cs="宋体"/>
          <w:b/>
          <w:color w:val="auto"/>
          <w:sz w:val="32"/>
          <w:szCs w:val="24"/>
          <w:highlight w:val="none"/>
        </w:rPr>
      </w:pPr>
    </w:p>
    <w:p w14:paraId="4DF0D022">
      <w:pPr>
        <w:widowControl/>
        <w:tabs>
          <w:tab w:val="left" w:pos="2280"/>
        </w:tabs>
        <w:spacing w:line="360" w:lineRule="auto"/>
        <w:jc w:val="center"/>
        <w:rPr>
          <w:rFonts w:hint="eastAsia" w:ascii="宋体" w:hAnsi="宋体" w:eastAsia="宋体" w:cs="宋体"/>
          <w:b/>
          <w:color w:val="auto"/>
          <w:sz w:val="32"/>
          <w:szCs w:val="24"/>
          <w:highlight w:val="none"/>
        </w:rPr>
      </w:pPr>
    </w:p>
    <w:p w14:paraId="46C1AEA9">
      <w:pPr>
        <w:widowControl/>
        <w:tabs>
          <w:tab w:val="left" w:pos="2280"/>
        </w:tabs>
        <w:spacing w:line="360" w:lineRule="auto"/>
        <w:jc w:val="center"/>
        <w:rPr>
          <w:rFonts w:hint="eastAsia" w:ascii="宋体" w:hAnsi="宋体" w:eastAsia="宋体" w:cs="宋体"/>
          <w:b/>
          <w:color w:val="auto"/>
          <w:sz w:val="32"/>
          <w:szCs w:val="24"/>
          <w:highlight w:val="none"/>
        </w:rPr>
      </w:pPr>
    </w:p>
    <w:p w14:paraId="7B4F647C">
      <w:pPr>
        <w:widowControl/>
        <w:tabs>
          <w:tab w:val="left" w:pos="2280"/>
        </w:tabs>
        <w:spacing w:line="360" w:lineRule="auto"/>
        <w:jc w:val="both"/>
        <w:rPr>
          <w:rFonts w:hint="eastAsia" w:ascii="宋体" w:hAnsi="宋体" w:eastAsia="宋体" w:cs="宋体"/>
          <w:b/>
          <w:color w:val="auto"/>
          <w:sz w:val="32"/>
          <w:szCs w:val="24"/>
          <w:highlight w:val="none"/>
        </w:rPr>
      </w:pPr>
    </w:p>
    <w:p w14:paraId="72E2D069">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第一部分  总     则</w:t>
      </w:r>
    </w:p>
    <w:p w14:paraId="62E7B506">
      <w:pPr>
        <w:widowControl/>
        <w:snapToGrid w:val="0"/>
        <w:spacing w:line="360" w:lineRule="auto"/>
        <w:ind w:firstLine="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根据《中华人民共和国招标投标法》结合本项目实际，制定本办法。</w:t>
      </w:r>
    </w:p>
    <w:p w14:paraId="00CE0B9A">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1.本标准是本招标项目评标委员会评定和推荐中标候选人的依据。</w:t>
      </w:r>
    </w:p>
    <w:p w14:paraId="1AC7C5BC">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2.评标原则:评标应遵循公开、公平、公正、科学合理的原则。</w:t>
      </w:r>
    </w:p>
    <w:p w14:paraId="6682B717">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w:t>
      </w:r>
      <w:r>
        <w:rPr>
          <w:rFonts w:hint="eastAsia" w:ascii="宋体" w:hAnsi="宋体" w:eastAsia="宋体" w:cs="宋体"/>
          <w:color w:val="auto"/>
          <w:spacing w:val="4"/>
          <w:kern w:val="0"/>
          <w:sz w:val="24"/>
          <w:highlight w:val="none"/>
          <w:lang w:eastAsia="zh-CN"/>
        </w:rPr>
        <w:t>得分</w:t>
      </w:r>
      <w:r>
        <w:rPr>
          <w:rFonts w:hint="eastAsia" w:ascii="宋体" w:hAnsi="宋体" w:eastAsia="宋体" w:cs="宋体"/>
          <w:color w:val="auto"/>
          <w:spacing w:val="4"/>
          <w:kern w:val="0"/>
          <w:sz w:val="24"/>
          <w:highlight w:val="none"/>
        </w:rPr>
        <w:t>仍相同则按技术部分得分高低进行排序。</w:t>
      </w:r>
      <w:r>
        <w:rPr>
          <w:rFonts w:hint="eastAsia" w:ascii="宋体" w:hAnsi="宋体" w:eastAsia="宋体" w:cs="宋体"/>
          <w:color w:val="auto"/>
          <w:spacing w:val="4"/>
          <w:kern w:val="0"/>
          <w:sz w:val="24"/>
          <w:highlight w:val="none"/>
          <w:lang w:val="en-US" w:eastAsia="zh-CN"/>
        </w:rPr>
        <w:t>如技术部分得分仍相同，由招标人决定。</w:t>
      </w:r>
    </w:p>
    <w:p w14:paraId="2C52E9F5">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评标委员会在对投标文件进行评审、评分时，应遵守下列规则：</w:t>
      </w:r>
    </w:p>
    <w:p w14:paraId="5C80408E">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（1）评标委员会成员应按招标文件的要求，认真审查、评审各投标人投标文件，并写出书面审查和评审意见。</w:t>
      </w:r>
    </w:p>
    <w:p w14:paraId="21C416F7">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（2）评标委员会各成员应自主评审，并签字确认。</w:t>
      </w:r>
    </w:p>
    <w:p w14:paraId="0F910303">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14:paraId="0F1839E4">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3．评标办法：</w:t>
      </w:r>
      <w:r>
        <w:rPr>
          <w:rFonts w:hint="eastAsia" w:ascii="宋体" w:hAnsi="宋体" w:eastAsia="宋体" w:cs="宋体"/>
          <w:b/>
          <w:color w:val="auto"/>
          <w:spacing w:val="4"/>
          <w:kern w:val="0"/>
          <w:sz w:val="24"/>
          <w:highlight w:val="none"/>
        </w:rPr>
        <w:t>评标采用综合评估法</w:t>
      </w:r>
      <w:r>
        <w:rPr>
          <w:rFonts w:hint="eastAsia" w:ascii="宋体" w:hAnsi="宋体" w:eastAsia="宋体" w:cs="宋体"/>
          <w:color w:val="auto"/>
          <w:spacing w:val="4"/>
          <w:kern w:val="0"/>
          <w:sz w:val="24"/>
          <w:highlight w:val="none"/>
        </w:rPr>
        <w:t>。</w:t>
      </w:r>
    </w:p>
    <w:p w14:paraId="5173C5F9">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4．评标打分原则及中标单位的产生：评标委员会应根据招标文件确定的评分要求，对投标文件进行评分，并按照投标人得分高低推荐中标候选人。</w:t>
      </w:r>
    </w:p>
    <w:p w14:paraId="11FF26D3">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w:t>
      </w:r>
      <w:r>
        <w:rPr>
          <w:rFonts w:hint="eastAsia" w:ascii="宋体" w:hAnsi="宋体" w:cs="宋体"/>
          <w:color w:val="auto"/>
          <w:spacing w:val="4"/>
          <w:kern w:val="0"/>
          <w:sz w:val="24"/>
          <w:highlight w:val="none"/>
          <w:lang w:val="en-US" w:eastAsia="zh-CN"/>
        </w:rPr>
        <w:t>或依法重新招标</w:t>
      </w:r>
      <w:r>
        <w:rPr>
          <w:rFonts w:hint="eastAsia" w:ascii="宋体" w:hAnsi="宋体" w:eastAsia="宋体" w:cs="宋体"/>
          <w:color w:val="auto"/>
          <w:spacing w:val="4"/>
          <w:kern w:val="0"/>
          <w:sz w:val="24"/>
          <w:highlight w:val="none"/>
        </w:rPr>
        <w:t>。</w:t>
      </w:r>
    </w:p>
    <w:p w14:paraId="2C6E5540">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评标中若遇特殊问题，由评标委员会根据有关法律、法规、规定研究决定。</w:t>
      </w:r>
    </w:p>
    <w:p w14:paraId="4DA6558E">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14:paraId="5C786F33">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6．评标计算计分规则：</w:t>
      </w:r>
    </w:p>
    <w:p w14:paraId="4E47F8B5">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（1）表述价款的数据均以元为单位，评分计算保留两位小数，第三位作四舍五入。</w:t>
      </w:r>
    </w:p>
    <w:p w14:paraId="52F834B6">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（2）表述建筑面积以平方米为单位，保留整数，小数点后作四舍五入。</w:t>
      </w:r>
    </w:p>
    <w:p w14:paraId="61A22894">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（3）有效范围内百分比计算的比值,保留二位小数,第三位作四舍五入,中间用插入法确定分数。</w:t>
      </w:r>
    </w:p>
    <w:p w14:paraId="56F6E67F">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（4）分项得分保留二位小数，第三位作四舍五入。</w:t>
      </w:r>
    </w:p>
    <w:p w14:paraId="588F896F">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（5）总积分以分项得分累计之和为准，分值保留小数点后二位。</w:t>
      </w:r>
    </w:p>
    <w:p w14:paraId="0954F821">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（6）处罚扣分以地、州以上建设行政主管部门通报处罚文件为依据。</w:t>
      </w:r>
    </w:p>
    <w:p w14:paraId="2853361D">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7. 评标工作按以下程序进行：</w:t>
      </w:r>
    </w:p>
    <w:p w14:paraId="0010C944">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（一）资格审查；</w:t>
      </w:r>
    </w:p>
    <w:p w14:paraId="71D1012F">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（二）初步评审；</w:t>
      </w:r>
    </w:p>
    <w:p w14:paraId="26F3B5BF">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（三）详细评审及澄清；</w:t>
      </w:r>
    </w:p>
    <w:p w14:paraId="0A1C10DC">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（四）汇总评标结果，推荐中标候选人；</w:t>
      </w:r>
    </w:p>
    <w:p w14:paraId="41C1EE5C">
      <w:pPr>
        <w:widowControl/>
        <w:snapToGrid w:val="0"/>
        <w:spacing w:line="360" w:lineRule="auto"/>
        <w:ind w:firstLine="420"/>
        <w:jc w:val="left"/>
        <w:rPr>
          <w:rFonts w:hint="eastAsia" w:ascii="宋体" w:hAnsi="宋体" w:eastAsia="宋体" w:cs="宋体"/>
          <w:bCs/>
          <w:color w:val="auto"/>
          <w:sz w:val="24"/>
          <w:highlight w:val="none"/>
        </w:rPr>
      </w:pPr>
      <w:r>
        <w:rPr>
          <w:rFonts w:hint="eastAsia" w:ascii="宋体" w:hAnsi="宋体" w:eastAsia="宋体" w:cs="宋体"/>
          <w:color w:val="auto"/>
          <w:spacing w:val="4"/>
          <w:kern w:val="0"/>
          <w:sz w:val="24"/>
          <w:highlight w:val="none"/>
        </w:rPr>
        <w:t>（五）编写评标报告。</w:t>
      </w:r>
    </w:p>
    <w:p w14:paraId="5618557D">
      <w:pPr>
        <w:spacing w:line="360" w:lineRule="auto"/>
        <w:ind w:firstLine="628" w:firstLineChars="262"/>
        <w:rPr>
          <w:rFonts w:hint="eastAsia" w:ascii="宋体" w:hAnsi="宋体" w:eastAsia="宋体" w:cs="宋体"/>
          <w:bCs/>
          <w:color w:val="auto"/>
          <w:sz w:val="24"/>
          <w:szCs w:val="24"/>
          <w:highlight w:val="none"/>
        </w:rPr>
      </w:pPr>
    </w:p>
    <w:p w14:paraId="5FA2CC30">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第二部分  评分办法</w:t>
      </w:r>
    </w:p>
    <w:p w14:paraId="11DB7006">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p w14:paraId="6D9B7E81">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只对在公开开标时经司法公证及监督部门验证有效的投标文件进行符合性审查，判断是否满足招标文件要求。</w:t>
      </w:r>
    </w:p>
    <w:p w14:paraId="3B12EAB5">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评标委员会将审验投标人递交的证件及投标文件，对投标人进行资格审查，审查其是否有能力和条件有效地履行合同义务。投标人未按招标文件要求提供以下文件的</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件并加盖公章，不予通过资格审查，其投标按否决投标处理：</w:t>
      </w:r>
    </w:p>
    <w:p w14:paraId="07B90B00">
      <w:pPr>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1、有效的企业营业执照、组织机构代码证、税务登记证（已登记办理“三证合一”的企业仅须提供印有统一社会信用代码的营业执照）；</w:t>
      </w:r>
    </w:p>
    <w:p w14:paraId="0F0EA73E">
      <w:pPr>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2．</w:t>
      </w:r>
      <w:r>
        <w:rPr>
          <w:rFonts w:hint="eastAsia" w:ascii="宋体" w:hAnsi="宋体" w:eastAsia="宋体" w:cs="宋体"/>
          <w:i w:val="0"/>
          <w:iCs w:val="0"/>
          <w:caps w:val="0"/>
          <w:color w:val="auto"/>
          <w:spacing w:val="0"/>
          <w:kern w:val="0"/>
          <w:sz w:val="24"/>
          <w:szCs w:val="28"/>
          <w:highlight w:val="none"/>
          <w:shd w:val="clear" w:color="auto" w:fill="auto"/>
        </w:rPr>
        <w:t>投标人须</w:t>
      </w:r>
      <w:r>
        <w:rPr>
          <w:rFonts w:hint="eastAsia" w:ascii="宋体" w:hAnsi="宋体" w:eastAsia="宋体" w:cs="宋体"/>
          <w:color w:val="auto"/>
          <w:sz w:val="24"/>
          <w:szCs w:val="24"/>
          <w:highlight w:val="none"/>
        </w:rPr>
        <w:t>具备地质灾害</w:t>
      </w:r>
      <w:r>
        <w:rPr>
          <w:rFonts w:hint="eastAsia" w:ascii="宋体" w:hAnsi="宋体" w:cs="宋体"/>
          <w:color w:val="auto"/>
          <w:sz w:val="24"/>
          <w:szCs w:val="24"/>
          <w:highlight w:val="none"/>
          <w:lang w:val="en-US" w:eastAsia="zh-CN"/>
        </w:rPr>
        <w:t>防治</w:t>
      </w:r>
      <w:r>
        <w:rPr>
          <w:rFonts w:hint="eastAsia" w:ascii="宋体" w:hAnsi="宋体" w:eastAsia="宋体" w:cs="宋体"/>
          <w:color w:val="auto"/>
          <w:sz w:val="24"/>
          <w:szCs w:val="24"/>
          <w:highlight w:val="none"/>
        </w:rPr>
        <w:t>工程监理甲级资质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地质灾害</w:t>
      </w:r>
      <w:r>
        <w:rPr>
          <w:rFonts w:hint="eastAsia" w:ascii="宋体" w:hAnsi="宋体" w:cs="宋体"/>
          <w:color w:val="auto"/>
          <w:sz w:val="24"/>
          <w:szCs w:val="24"/>
          <w:highlight w:val="none"/>
          <w:lang w:val="en-US" w:eastAsia="zh-CN"/>
        </w:rPr>
        <w:t>治理</w:t>
      </w:r>
      <w:r>
        <w:rPr>
          <w:rFonts w:hint="eastAsia" w:ascii="宋体" w:hAnsi="宋体" w:eastAsia="宋体" w:cs="宋体"/>
          <w:color w:val="auto"/>
          <w:sz w:val="24"/>
          <w:szCs w:val="24"/>
          <w:highlight w:val="none"/>
        </w:rPr>
        <w:t>工程监理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，并在人员等方面具有相应的能力；</w:t>
      </w:r>
    </w:p>
    <w:p w14:paraId="738F63E6">
      <w:pPr>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3．</w:t>
      </w:r>
      <w:r>
        <w:rPr>
          <w:rFonts w:hint="eastAsia" w:ascii="宋体" w:hAnsi="宋体" w:eastAsia="宋体" w:cs="宋体"/>
          <w:color w:val="auto"/>
          <w:sz w:val="24"/>
          <w:szCs w:val="24"/>
          <w:highlight w:val="none"/>
        </w:rPr>
        <w:t>项目总监</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国家注册监理工程师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建筑工程或市政公用工程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val="en-US" w:eastAsia="zh-CN"/>
        </w:rPr>
        <w:t>或高</w:t>
      </w:r>
      <w:r>
        <w:rPr>
          <w:rFonts w:hint="eastAsia" w:ascii="宋体" w:hAnsi="宋体" w:eastAsia="宋体" w:cs="宋体"/>
          <w:color w:val="auto"/>
          <w:sz w:val="24"/>
          <w:szCs w:val="24"/>
          <w:highlight w:val="none"/>
        </w:rPr>
        <w:t>级工程师及以上职称证书（水文地质、工程地质、环境地质等相关专业）；</w:t>
      </w:r>
    </w:p>
    <w:p w14:paraId="036A4856">
      <w:pPr>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4、法定代表人身份证明书或法定代表人授权书；</w:t>
      </w:r>
    </w:p>
    <w:p w14:paraId="41A2E0E5">
      <w:pPr>
        <w:spacing w:line="360" w:lineRule="auto"/>
        <w:ind w:firstLine="480" w:firstLineChars="200"/>
        <w:rPr>
          <w:rFonts w:hint="default"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5、投标保证金（收据或汇款凭证）或保函；</w:t>
      </w:r>
    </w:p>
    <w:p w14:paraId="76B297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szCs w:val="28"/>
          <w:highlight w:val="none"/>
          <w:lang w:val="en-US" w:eastAsia="zh-CN"/>
        </w:rPr>
        <w:t>投标人不得</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近三年（202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月1日至今）在“信用中国”网站中无失信行为记录</w:t>
      </w:r>
      <w:r>
        <w:rPr>
          <w:rFonts w:hint="eastAsia" w:ascii="宋体" w:hAnsi="宋体" w:cs="宋体"/>
          <w:color w:val="auto"/>
          <w:kern w:val="0"/>
          <w:sz w:val="24"/>
          <w:szCs w:val="28"/>
          <w:highlight w:val="none"/>
          <w:lang w:val="en-US" w:eastAsia="zh-CN"/>
        </w:rPr>
        <w:t>，以“信用中国”网站（www.creditchina.gov.cn）查询为准。（需在招标公告发布后从“信用中国”网站打印查询结果并加盖公章）</w:t>
      </w:r>
      <w:r>
        <w:rPr>
          <w:rFonts w:hint="eastAsia" w:ascii="宋体" w:hAnsi="宋体" w:eastAsia="宋体" w:cs="宋体"/>
          <w:color w:val="auto"/>
          <w:sz w:val="24"/>
          <w:szCs w:val="24"/>
          <w:highlight w:val="none"/>
        </w:rPr>
        <w:t>；</w:t>
      </w:r>
    </w:p>
    <w:p w14:paraId="7628A2C4">
      <w:pPr>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cs="宋体"/>
          <w:color w:val="auto"/>
          <w:kern w:val="0"/>
          <w:sz w:val="24"/>
          <w:szCs w:val="28"/>
          <w:highlight w:val="none"/>
          <w:lang w:val="en-US" w:eastAsia="zh-CN"/>
        </w:rPr>
        <w:t>7、</w:t>
      </w:r>
      <w:r>
        <w:rPr>
          <w:rFonts w:hint="eastAsia" w:ascii="宋体" w:hAnsi="宋体" w:eastAsia="宋体" w:cs="宋体"/>
          <w:color w:val="auto"/>
          <w:kern w:val="0"/>
          <w:sz w:val="24"/>
          <w:szCs w:val="28"/>
          <w:highlight w:val="none"/>
          <w:lang w:val="en-US" w:eastAsia="zh-CN"/>
        </w:rPr>
        <w:t>投标人授权的委托代理人应具有与投标人单位签订的经人社部门认定盖章的近一年以上（含一年）的劳动合同或社会养老保险证明（若投标单位所在地区的人社部门不在劳动合同或社保证明原件上盖章，则须提供人社部门官网打印件并经人社部门官网可查且信息有效）。</w:t>
      </w:r>
    </w:p>
    <w:p w14:paraId="56109E57">
      <w:pPr>
        <w:snapToGrid w:val="0"/>
        <w:spacing w:line="360" w:lineRule="auto"/>
        <w:ind w:firstLine="480" w:firstLineChars="200"/>
        <w:rPr>
          <w:rFonts w:hint="eastAsia" w:ascii="宋体" w:hAnsi="宋体" w:eastAsia="宋体" w:cs="宋体"/>
          <w:color w:val="auto"/>
          <w:kern w:val="0"/>
          <w:sz w:val="24"/>
          <w:szCs w:val="28"/>
          <w:highlight w:val="none"/>
          <w:lang w:eastAsia="zh-CN"/>
        </w:rPr>
      </w:pPr>
      <w:r>
        <w:rPr>
          <w:rFonts w:hint="eastAsia" w:ascii="宋体" w:hAnsi="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w:t>
      </w:r>
      <w:r>
        <w:rPr>
          <w:rFonts w:hint="eastAsia" w:ascii="宋体" w:hAnsi="宋体" w:eastAsia="宋体" w:cs="宋体"/>
          <w:color w:val="auto"/>
          <w:kern w:val="0"/>
          <w:sz w:val="24"/>
          <w:szCs w:val="28"/>
          <w:highlight w:val="none"/>
          <w:lang w:val="en-US" w:eastAsia="zh-CN"/>
        </w:rPr>
        <w:t>投标人告知承诺函</w:t>
      </w:r>
      <w:r>
        <w:rPr>
          <w:rFonts w:hint="eastAsia" w:ascii="宋体" w:hAnsi="宋体" w:cs="宋体"/>
          <w:color w:val="auto"/>
          <w:kern w:val="0"/>
          <w:sz w:val="24"/>
          <w:szCs w:val="28"/>
          <w:highlight w:val="none"/>
          <w:lang w:val="en-US" w:eastAsia="zh-CN"/>
        </w:rPr>
        <w:t>。</w:t>
      </w:r>
    </w:p>
    <w:p w14:paraId="7EF9A31F">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二、初步评审</w:t>
      </w:r>
    </w:p>
    <w:p w14:paraId="74675F6E">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开标后，只有符合招标文件要求并在投标截止时间前递交的投标文件，才能提交评标委员会进行评审。</w:t>
      </w:r>
    </w:p>
    <w:p w14:paraId="54AD73FD">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评标委员会发现投标人以他人名义投标、串通投标、以行贿手段谋取中标或者以其他弄虚作假方式投标的，该投标人的投标将被否决。</w:t>
      </w:r>
    </w:p>
    <w:p w14:paraId="22C6A193">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14:paraId="470DE5E9">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14:paraId="569EED8B">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14:paraId="7E5FFEB2">
      <w:pPr>
        <w:numPr>
          <w:ilvl w:val="0"/>
          <w:numId w:val="0"/>
        </w:numPr>
        <w:tabs>
          <w:tab w:val="left" w:pos="1276"/>
        </w:tabs>
        <w:snapToGrid w:val="0"/>
        <w:spacing w:line="360" w:lineRule="auto"/>
        <w:ind w:left="42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投标报价有算术错误及其他错误的，评标委员会按以下原则要求投标人对投标报价进行修正，并要求投标人书面澄清确认。投标人拒不澄清确认的，评标委员会应当否决其投标：</w:t>
      </w:r>
    </w:p>
    <w:p w14:paraId="1D99E0E3">
      <w:pPr>
        <w:numPr>
          <w:ilvl w:val="0"/>
          <w:numId w:val="0"/>
        </w:numPr>
        <w:tabs>
          <w:tab w:val="left" w:pos="1276"/>
        </w:tabs>
        <w:snapToGrid w:val="0"/>
        <w:spacing w:line="360" w:lineRule="auto"/>
        <w:ind w:left="84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（1）投标文件中的大写金额与小写金额不一致的，以大写金额为准；</w:t>
      </w:r>
    </w:p>
    <w:p w14:paraId="5DFE4A47">
      <w:pPr>
        <w:numPr>
          <w:ilvl w:val="0"/>
          <w:numId w:val="0"/>
        </w:numPr>
        <w:tabs>
          <w:tab w:val="left" w:pos="1276"/>
        </w:tabs>
        <w:snapToGrid w:val="0"/>
        <w:spacing w:line="360" w:lineRule="auto"/>
        <w:ind w:left="42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（2）总价金额与单价金额不一致的，以单价金额为准，但单价金额小数点有明显错误的除外；</w:t>
      </w:r>
    </w:p>
    <w:p w14:paraId="3AC538B7">
      <w:pPr>
        <w:numPr>
          <w:ilvl w:val="0"/>
          <w:numId w:val="0"/>
        </w:numPr>
        <w:tabs>
          <w:tab w:val="left" w:pos="1276"/>
        </w:tabs>
        <w:snapToGrid w:val="0"/>
        <w:spacing w:line="360" w:lineRule="auto"/>
        <w:ind w:left="42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（3）投标报价为各分项报价金额之和，投标报价与分项报价的合价不一致的，应以各分项合价累计数为准，修正投标报价；</w:t>
      </w:r>
    </w:p>
    <w:p w14:paraId="269FA4BB">
      <w:pPr>
        <w:numPr>
          <w:ilvl w:val="0"/>
          <w:numId w:val="0"/>
        </w:numPr>
        <w:tabs>
          <w:tab w:val="left" w:pos="1276"/>
        </w:tabs>
        <w:snapToGrid w:val="0"/>
        <w:spacing w:line="360" w:lineRule="auto"/>
        <w:ind w:left="84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（4）如果分项报价中存在缺漏项，则视为缺漏项价格已包含在其他分项报价之中。</w:t>
      </w:r>
    </w:p>
    <w:p w14:paraId="115D524C">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投标文件</w:t>
      </w:r>
      <w:r>
        <w:rPr>
          <w:rFonts w:hint="eastAsia" w:ascii="宋体" w:hAnsi="宋体" w:cs="宋体"/>
          <w:color w:val="auto"/>
          <w:sz w:val="24"/>
          <w:szCs w:val="28"/>
          <w:highlight w:val="none"/>
          <w:lang w:val="en-US" w:eastAsia="zh-CN"/>
        </w:rPr>
        <w:t>对</w:t>
      </w:r>
      <w:r>
        <w:rPr>
          <w:rFonts w:hint="eastAsia" w:ascii="宋体" w:hAnsi="宋体" w:eastAsia="宋体" w:cs="宋体"/>
          <w:color w:val="auto"/>
          <w:sz w:val="24"/>
          <w:szCs w:val="28"/>
          <w:highlight w:val="none"/>
        </w:rPr>
        <w:t>下列情形</w:t>
      </w:r>
      <w:r>
        <w:rPr>
          <w:rFonts w:hint="eastAsia" w:ascii="宋体" w:hAnsi="宋体" w:cs="宋体"/>
          <w:color w:val="auto"/>
          <w:sz w:val="24"/>
          <w:szCs w:val="28"/>
          <w:highlight w:val="none"/>
          <w:lang w:val="en-US" w:eastAsia="zh-CN"/>
        </w:rPr>
        <w:t>有</w:t>
      </w:r>
      <w:r>
        <w:rPr>
          <w:rFonts w:hint="eastAsia" w:ascii="宋体" w:hAnsi="宋体" w:eastAsia="宋体" w:cs="宋体"/>
          <w:color w:val="auto"/>
          <w:sz w:val="24"/>
          <w:szCs w:val="28"/>
          <w:highlight w:val="none"/>
        </w:rPr>
        <w:t>重大偏差</w:t>
      </w:r>
      <w:r>
        <w:rPr>
          <w:rFonts w:hint="eastAsia" w:ascii="宋体" w:hAnsi="宋体" w:cs="宋体"/>
          <w:color w:val="auto"/>
          <w:sz w:val="24"/>
          <w:szCs w:val="28"/>
          <w:highlight w:val="none"/>
          <w:lang w:val="en-US" w:eastAsia="zh-CN"/>
        </w:rPr>
        <w:t>的</w:t>
      </w:r>
      <w:r>
        <w:rPr>
          <w:rFonts w:hint="eastAsia" w:ascii="宋体" w:hAnsi="宋体" w:eastAsia="宋体" w:cs="宋体"/>
          <w:color w:val="auto"/>
          <w:sz w:val="24"/>
          <w:szCs w:val="28"/>
          <w:highlight w:val="none"/>
        </w:rPr>
        <w:t>，视为未能对招标文件作出实质响应，按规定否决其投标：</w:t>
      </w:r>
    </w:p>
    <w:p w14:paraId="3296BACA">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有下列相互串通投标情形：</w:t>
      </w:r>
    </w:p>
    <w:p w14:paraId="7A4340F4">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14:paraId="019B599F">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14:paraId="41ED6600">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（3）不同投标人的投标文件载明的项目管理成员为同一人；</w:t>
      </w:r>
    </w:p>
    <w:p w14:paraId="0945B8DB">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14:paraId="337466AE">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14:paraId="3F130189">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（6）不同投标人的投标保证金从同一单位或者个人的账户转出。</w:t>
      </w:r>
    </w:p>
    <w:p w14:paraId="14D657B0">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投标报价低于招标文件中所载明的</w:t>
      </w:r>
      <w:r>
        <w:rPr>
          <w:rFonts w:hint="eastAsia" w:ascii="宋体" w:hAnsi="宋体" w:eastAsia="宋体" w:cs="宋体"/>
          <w:b/>
          <w:color w:val="auto"/>
          <w:sz w:val="24"/>
          <w:highlight w:val="none"/>
          <w:lang w:val="en-US" w:eastAsia="zh-CN"/>
        </w:rPr>
        <w:t>最高限价</w:t>
      </w:r>
      <w:r>
        <w:rPr>
          <w:rFonts w:hint="eastAsia" w:ascii="宋体" w:hAnsi="宋体" w:eastAsia="宋体" w:cs="宋体"/>
          <w:b/>
          <w:color w:val="auto"/>
          <w:sz w:val="24"/>
          <w:highlight w:val="none"/>
        </w:rPr>
        <w:t>；</w:t>
      </w:r>
    </w:p>
    <w:p w14:paraId="6FC609B4">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有</w:t>
      </w:r>
      <w:r>
        <w:rPr>
          <w:rFonts w:hint="eastAsia" w:ascii="宋体" w:hAnsi="宋体" w:eastAsia="宋体" w:cs="宋体"/>
          <w:b/>
          <w:color w:val="auto"/>
          <w:sz w:val="24"/>
          <w:highlight w:val="none"/>
        </w:rPr>
        <w:t>单位盖章</w:t>
      </w:r>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法定代表人或负责人或其授权代理人签字盖章的；</w:t>
      </w:r>
    </w:p>
    <w:p w14:paraId="45DD2175">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符合</w:t>
      </w:r>
      <w:r>
        <w:rPr>
          <w:rFonts w:hint="eastAsia" w:ascii="宋体" w:hAnsi="宋体" w:eastAsia="宋体" w:cs="宋体"/>
          <w:b/>
          <w:color w:val="auto"/>
          <w:sz w:val="24"/>
          <w:highlight w:val="none"/>
        </w:rPr>
        <w:t>规定的格式填写，内容</w:t>
      </w: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不全或关键字迹模糊、无法辨认的；</w:t>
      </w:r>
    </w:p>
    <w:p w14:paraId="34B8C81A">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递交两份或多份内容不同的投标文件，或在一份投标文件中对同一招标项目有两个或多个报价，且未声明哪一个有效的；</w:t>
      </w:r>
    </w:p>
    <w:p w14:paraId="194BC61D">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投标人名称或组织结构与报名时一致的；</w:t>
      </w:r>
    </w:p>
    <w:p w14:paraId="2C47952C">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投标文件载明的招标项目完成期限</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超过招标文件规定的期限的；</w:t>
      </w:r>
    </w:p>
    <w:p w14:paraId="220DB7FD">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符合技术规格、技术标准的要求的；</w:t>
      </w:r>
    </w:p>
    <w:p w14:paraId="7FE6B482">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附有招标人不能接受的条件的；</w:t>
      </w:r>
    </w:p>
    <w:p w14:paraId="3E9C18F2">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w:t>
      </w:r>
      <w:r>
        <w:rPr>
          <w:rFonts w:hint="eastAsia" w:ascii="宋体" w:hAnsi="宋体" w:cs="宋体"/>
          <w:b/>
          <w:color w:val="auto"/>
          <w:sz w:val="24"/>
          <w:highlight w:val="none"/>
          <w:lang w:eastAsia="zh-CN"/>
        </w:rPr>
        <w:t>服务</w:t>
      </w:r>
      <w:r>
        <w:rPr>
          <w:rFonts w:hint="eastAsia" w:ascii="宋体" w:hAnsi="宋体" w:eastAsia="宋体" w:cs="宋体"/>
          <w:b/>
          <w:color w:val="auto"/>
          <w:sz w:val="24"/>
          <w:highlight w:val="none"/>
        </w:rPr>
        <w:t>承诺或质量承诺满足招标文件要求的；</w:t>
      </w:r>
    </w:p>
    <w:p w14:paraId="16E4330F">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不符合招标文件中规定的其他实质性要求的。</w:t>
      </w:r>
    </w:p>
    <w:p w14:paraId="51CCEA2D">
      <w:pPr>
        <w:numPr>
          <w:ilvl w:val="0"/>
          <w:numId w:val="12"/>
        </w:numPr>
        <w:tabs>
          <w:tab w:val="left" w:pos="1276"/>
          <w:tab w:val="clear" w:pos="1828"/>
        </w:tabs>
        <w:snapToGrid w:val="0"/>
        <w:spacing w:line="360" w:lineRule="auto"/>
        <w:ind w:left="414" w:firstLine="426"/>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14:paraId="28303B8C">
      <w:pPr>
        <w:spacing w:line="360" w:lineRule="auto"/>
        <w:rPr>
          <w:rFonts w:hint="eastAsia" w:ascii="宋体" w:hAnsi="宋体" w:eastAsia="宋体" w:cs="宋体"/>
          <w:bCs/>
          <w:color w:val="auto"/>
          <w:sz w:val="28"/>
          <w:szCs w:val="28"/>
          <w:highlight w:val="none"/>
        </w:rPr>
      </w:pPr>
      <w:r>
        <w:rPr>
          <w:rFonts w:hint="eastAsia" w:ascii="宋体" w:hAnsi="宋体" w:eastAsia="宋体" w:cs="宋体"/>
          <w:b/>
          <w:bCs/>
          <w:color w:val="auto"/>
          <w:sz w:val="24"/>
          <w:highlight w:val="none"/>
        </w:rPr>
        <w:t>三、详细评审</w:t>
      </w:r>
    </w:p>
    <w:tbl>
      <w:tblPr>
        <w:tblStyle w:val="27"/>
        <w:tblW w:w="889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719"/>
        <w:gridCol w:w="5664"/>
      </w:tblGrid>
      <w:tr w14:paraId="76FA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restart"/>
            <w:noWrap w:val="0"/>
            <w:vAlign w:val="center"/>
          </w:tcPr>
          <w:p w14:paraId="565D2648">
            <w:pPr>
              <w:widowControl/>
              <w:snapToGrid w:val="0"/>
              <w:spacing w:before="100" w:beforeAutospacing="1" w:after="100" w:afterAutospacing="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项目</w:t>
            </w:r>
          </w:p>
        </w:tc>
        <w:tc>
          <w:tcPr>
            <w:tcW w:w="1719" w:type="dxa"/>
            <w:noWrap w:val="0"/>
            <w:vAlign w:val="center"/>
          </w:tcPr>
          <w:p w14:paraId="6ACE846F">
            <w:pPr>
              <w:widowControl/>
              <w:snapToGrid w:val="0"/>
              <w:spacing w:before="100" w:beforeAutospacing="1" w:after="100" w:afterAutospacing="1"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分项名称</w:t>
            </w:r>
          </w:p>
        </w:tc>
        <w:tc>
          <w:tcPr>
            <w:tcW w:w="5664" w:type="dxa"/>
            <w:noWrap w:val="0"/>
            <w:vAlign w:val="center"/>
          </w:tcPr>
          <w:p w14:paraId="36FB8227">
            <w:pPr>
              <w:widowControl/>
              <w:snapToGrid w:val="0"/>
              <w:spacing w:before="100" w:beforeAutospacing="1" w:after="100" w:afterAutospacing="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评分标准</w:t>
            </w:r>
          </w:p>
        </w:tc>
      </w:tr>
      <w:tr w14:paraId="306F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continue"/>
            <w:noWrap w:val="0"/>
            <w:vAlign w:val="center"/>
          </w:tcPr>
          <w:p w14:paraId="55460CBD">
            <w:pPr>
              <w:spacing w:line="360" w:lineRule="auto"/>
              <w:rPr>
                <w:rFonts w:hint="eastAsia" w:ascii="宋体" w:hAnsi="宋体" w:eastAsia="宋体" w:cs="宋体"/>
                <w:color w:val="auto"/>
                <w:sz w:val="21"/>
                <w:szCs w:val="21"/>
                <w:highlight w:val="none"/>
              </w:rPr>
            </w:pPr>
          </w:p>
        </w:tc>
        <w:tc>
          <w:tcPr>
            <w:tcW w:w="1719" w:type="dxa"/>
            <w:noWrap w:val="0"/>
            <w:vAlign w:val="center"/>
          </w:tcPr>
          <w:p w14:paraId="1579DC5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分值构成</w:t>
            </w:r>
          </w:p>
        </w:tc>
        <w:tc>
          <w:tcPr>
            <w:tcW w:w="5664" w:type="dxa"/>
            <w:noWrap w:val="0"/>
            <w:vAlign w:val="center"/>
          </w:tcPr>
          <w:p w14:paraId="518C8B0A">
            <w:pPr>
              <w:spacing w:line="36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价格部分：</w:t>
            </w:r>
            <w:r>
              <w:rPr>
                <w:rFonts w:hint="eastAsia" w:ascii="宋体" w:hAnsi="宋体" w:eastAsia="宋体" w:cs="宋体"/>
                <w:color w:val="auto"/>
                <w:sz w:val="21"/>
                <w:szCs w:val="21"/>
                <w:highlight w:val="none"/>
                <w:lang w:val="en-US" w:eastAsia="zh-CN" w:bidi="ar"/>
              </w:rPr>
              <w:t>25</w:t>
            </w:r>
            <w:r>
              <w:rPr>
                <w:rFonts w:hint="eastAsia" w:ascii="宋体" w:hAnsi="宋体" w:eastAsia="宋体" w:cs="宋体"/>
                <w:color w:val="auto"/>
                <w:sz w:val="21"/>
                <w:szCs w:val="21"/>
                <w:highlight w:val="none"/>
                <w:lang w:bidi="ar"/>
              </w:rPr>
              <w:t>分</w:t>
            </w:r>
          </w:p>
          <w:p w14:paraId="51812DE1">
            <w:pPr>
              <w:spacing w:line="36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技术部分：5</w:t>
            </w:r>
            <w:r>
              <w:rPr>
                <w:rFonts w:hint="default"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14:paraId="6C79FB93">
            <w:pPr>
              <w:spacing w:line="36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商务部分：</w:t>
            </w:r>
            <w:r>
              <w:rPr>
                <w:rFonts w:hint="eastAsia" w:ascii="宋体" w:hAnsi="宋体" w:eastAsia="宋体" w:cs="宋体"/>
                <w:color w:val="auto"/>
                <w:sz w:val="21"/>
                <w:szCs w:val="21"/>
                <w:highlight w:val="none"/>
                <w:lang w:val="en-US" w:eastAsia="zh-CN" w:bidi="ar"/>
              </w:rPr>
              <w:t>2</w:t>
            </w:r>
            <w:r>
              <w:rPr>
                <w:rFonts w:hint="default" w:ascii="宋体" w:hAnsi="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分</w:t>
            </w:r>
          </w:p>
          <w:p w14:paraId="0CEB4AE8">
            <w:pPr>
              <w:spacing w:line="36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满    分：100分</w:t>
            </w:r>
          </w:p>
        </w:tc>
      </w:tr>
      <w:tr w14:paraId="5436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514" w:type="dxa"/>
            <w:noWrap w:val="0"/>
            <w:vAlign w:val="center"/>
          </w:tcPr>
          <w:p w14:paraId="6EE75233">
            <w:pPr>
              <w:widowControl/>
              <w:snapToGrid w:val="0"/>
              <w:spacing w:before="100" w:beforeAutospacing="1" w:after="100" w:afterAutospacing="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价格部分</w:t>
            </w:r>
          </w:p>
          <w:p w14:paraId="7E2722CE">
            <w:pPr>
              <w:widowControl/>
              <w:snapToGrid w:val="0"/>
              <w:spacing w:before="100" w:beforeAutospacing="1" w:after="100" w:afterAutospacing="1" w:line="360" w:lineRule="auto"/>
              <w:jc w:val="center"/>
              <w:rPr>
                <w:rFonts w:hint="eastAsia" w:ascii="宋体" w:hAnsi="宋体" w:eastAsia="宋体" w:cs="宋体"/>
                <w:color w:val="auto"/>
                <w:sz w:val="21"/>
                <w:szCs w:val="21"/>
                <w:highlight w:val="none"/>
              </w:rPr>
            </w:pPr>
          </w:p>
        </w:tc>
        <w:tc>
          <w:tcPr>
            <w:tcW w:w="1719" w:type="dxa"/>
            <w:noWrap w:val="0"/>
            <w:vAlign w:val="center"/>
          </w:tcPr>
          <w:p w14:paraId="31F50D41">
            <w:pPr>
              <w:pStyle w:val="49"/>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监理报价</w:t>
            </w:r>
          </w:p>
          <w:p w14:paraId="7308AE81">
            <w:pPr>
              <w:widowControl/>
              <w:snapToGrid w:val="0"/>
              <w:spacing w:before="100" w:beforeAutospacing="1" w:after="100" w:afterAutospacing="1"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25分</w:t>
            </w:r>
            <w:r>
              <w:rPr>
                <w:rFonts w:hint="eastAsia" w:ascii="宋体" w:hAnsi="宋体" w:eastAsia="宋体" w:cs="宋体"/>
                <w:color w:val="auto"/>
                <w:sz w:val="21"/>
                <w:szCs w:val="21"/>
                <w:highlight w:val="none"/>
                <w:lang w:eastAsia="zh-CN"/>
              </w:rPr>
              <w:t>）</w:t>
            </w:r>
          </w:p>
        </w:tc>
        <w:tc>
          <w:tcPr>
            <w:tcW w:w="5664" w:type="dxa"/>
            <w:noWrap w:val="0"/>
            <w:vAlign w:val="center"/>
          </w:tcPr>
          <w:p w14:paraId="4FD03546">
            <w:pPr>
              <w:pStyle w:val="4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如果有效投标人超过 5 家，则去掉1个最高价，1个最低价;若小于 5 家（包含），则不去；</w:t>
            </w:r>
          </w:p>
          <w:p w14:paraId="6FC56812">
            <w:pPr>
              <w:widowControl/>
              <w:snapToGrid w:val="0"/>
              <w:spacing w:before="100" w:beforeAutospacing="1" w:after="100" w:afterAutospacing="1"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取有效投标人监理报价的平均值作为评标基准；有效投标报价等于评标基准价的，得分为</w:t>
            </w:r>
            <w:r>
              <w:rPr>
                <w:rFonts w:hint="eastAsia" w:ascii="宋体" w:hAnsi="宋体" w:eastAsia="宋体" w:cs="宋体"/>
                <w:color w:val="auto"/>
                <w:sz w:val="21"/>
                <w:highlight w:val="none"/>
                <w:lang w:val="en-US" w:eastAsia="zh-CN"/>
              </w:rPr>
              <w:t>25</w:t>
            </w:r>
            <w:r>
              <w:rPr>
                <w:rFonts w:hint="eastAsia" w:ascii="宋体" w:hAnsi="宋体" w:eastAsia="宋体" w:cs="宋体"/>
                <w:color w:val="auto"/>
                <w:sz w:val="21"/>
                <w:highlight w:val="none"/>
              </w:rPr>
              <w:t>分，投标报价与基准价相比，每高出 1个百分点扣0.15分，每低于1个百分点扣0.1分</w:t>
            </w:r>
            <w:r>
              <w:rPr>
                <w:rStyle w:val="50"/>
                <w:rFonts w:hint="eastAsia"/>
                <w:highlight w:val="none"/>
              </w:rPr>
              <w:t>，不足 1%时按内插法计算，分值扣完为止</w:t>
            </w:r>
            <w:r>
              <w:rPr>
                <w:rFonts w:hint="eastAsia" w:ascii="宋体" w:hAnsi="宋体" w:eastAsia="宋体" w:cs="宋体"/>
                <w:color w:val="auto"/>
                <w:sz w:val="21"/>
                <w:highlight w:val="none"/>
              </w:rPr>
              <w:t>。</w:t>
            </w:r>
          </w:p>
        </w:tc>
      </w:tr>
      <w:tr w14:paraId="3D13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restart"/>
            <w:noWrap w:val="0"/>
            <w:vAlign w:val="center"/>
          </w:tcPr>
          <w:p w14:paraId="44BDE6D9">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技术部分</w:t>
            </w:r>
          </w:p>
          <w:p w14:paraId="179AD5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（评标委员会全体成员分别打分的算术平均值作为该投标单位技术部分的最终得分。）</w:t>
            </w:r>
          </w:p>
        </w:tc>
        <w:tc>
          <w:tcPr>
            <w:tcW w:w="1719" w:type="dxa"/>
            <w:noWrap w:val="0"/>
            <w:vAlign w:val="center"/>
          </w:tcPr>
          <w:p w14:paraId="3854344A">
            <w:pPr>
              <w:pStyle w:val="24"/>
              <w:adjustRightInd w:val="0"/>
              <w:snapToGrid w:val="0"/>
              <w:spacing w:before="0" w:beforeAutospacing="0" w:after="0" w:afterAutospacing="0" w:line="360" w:lineRule="auto"/>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监理大纲（</w:t>
            </w:r>
            <w:r>
              <w:rPr>
                <w:rFonts w:hint="eastAsia" w:ascii="宋体" w:hAnsi="宋体" w:eastAsia="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bidi="ar"/>
              </w:rPr>
              <w:t>分）</w:t>
            </w:r>
          </w:p>
        </w:tc>
        <w:tc>
          <w:tcPr>
            <w:tcW w:w="5664" w:type="dxa"/>
            <w:noWrap w:val="0"/>
            <w:vAlign w:val="center"/>
          </w:tcPr>
          <w:p w14:paraId="16AB24B8">
            <w:pPr>
              <w:adjustRightInd w:val="0"/>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监理大纲编制内容完整、措施合理可行、监理计划方案科学合理，得</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（不含</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分；</w:t>
            </w:r>
          </w:p>
          <w:p w14:paraId="6561CB62">
            <w:pPr>
              <w:adjustRightInd w:val="0"/>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内容相对完整，基本合理，计划方案比较可行，得3（不含3）-</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14:paraId="56F08A5C">
            <w:pPr>
              <w:adjustRightInd w:val="0"/>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内容不完整，不合理，计划针对不强，得0-3分。</w:t>
            </w:r>
          </w:p>
        </w:tc>
      </w:tr>
      <w:tr w14:paraId="68AE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continue"/>
            <w:noWrap w:val="0"/>
            <w:vAlign w:val="center"/>
          </w:tcPr>
          <w:p w14:paraId="33BAAFE4">
            <w:pPr>
              <w:spacing w:line="360" w:lineRule="auto"/>
              <w:rPr>
                <w:rFonts w:hint="eastAsia" w:ascii="宋体" w:hAnsi="宋体" w:eastAsia="宋体" w:cs="宋体"/>
                <w:color w:val="auto"/>
                <w:sz w:val="21"/>
                <w:szCs w:val="21"/>
                <w:highlight w:val="none"/>
              </w:rPr>
            </w:pPr>
          </w:p>
        </w:tc>
        <w:tc>
          <w:tcPr>
            <w:tcW w:w="1719" w:type="dxa"/>
            <w:noWrap w:val="0"/>
            <w:vAlign w:val="center"/>
          </w:tcPr>
          <w:p w14:paraId="032CF0C3">
            <w:pPr>
              <w:pStyle w:val="24"/>
              <w:adjustRightInd w:val="0"/>
              <w:snapToGrid w:val="0"/>
              <w:spacing w:before="0" w:beforeAutospacing="0" w:after="0" w:afterAutospacing="0" w:line="360" w:lineRule="auto"/>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监理组织机构（</w:t>
            </w:r>
            <w:r>
              <w:rPr>
                <w:rFonts w:hint="eastAsia" w:ascii="宋体" w:hAnsi="宋体" w:eastAsia="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bidi="ar"/>
              </w:rPr>
              <w:t>分）</w:t>
            </w:r>
          </w:p>
        </w:tc>
        <w:tc>
          <w:tcPr>
            <w:tcW w:w="5664" w:type="dxa"/>
            <w:noWrap w:val="0"/>
            <w:vAlign w:val="center"/>
          </w:tcPr>
          <w:p w14:paraId="5FEE32AC">
            <w:pPr>
              <w:adjustRightInd w:val="0"/>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监理组织形式合理，结构清晰，各监理人员职责任务明确，人员数量和人员专业结构配备合理，人员证件齐全，得</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（不含</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分；</w:t>
            </w:r>
          </w:p>
          <w:p w14:paraId="4D3F6830">
            <w:pPr>
              <w:adjustRightInd w:val="0"/>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组织形式、结构相对合理、人员数量和人员专业结构配备相对合理，得3（不含3）-</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14:paraId="797C5790">
            <w:pPr>
              <w:adjustRightInd w:val="0"/>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组织形式、结构基本合理、人员数量和人员专业结构配备基本合理，得0-3分。</w:t>
            </w:r>
          </w:p>
        </w:tc>
      </w:tr>
      <w:tr w14:paraId="050C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continue"/>
            <w:noWrap w:val="0"/>
            <w:vAlign w:val="center"/>
          </w:tcPr>
          <w:p w14:paraId="2393A797">
            <w:pPr>
              <w:spacing w:line="360" w:lineRule="auto"/>
              <w:rPr>
                <w:rFonts w:hint="eastAsia" w:ascii="宋体" w:hAnsi="宋体" w:eastAsia="宋体" w:cs="宋体"/>
                <w:color w:val="auto"/>
                <w:sz w:val="21"/>
                <w:szCs w:val="21"/>
                <w:highlight w:val="none"/>
              </w:rPr>
            </w:pPr>
          </w:p>
        </w:tc>
        <w:tc>
          <w:tcPr>
            <w:tcW w:w="1719" w:type="dxa"/>
            <w:noWrap w:val="0"/>
            <w:vAlign w:val="center"/>
          </w:tcPr>
          <w:p w14:paraId="3449E700">
            <w:pPr>
              <w:pStyle w:val="24"/>
              <w:adjustRightInd w:val="0"/>
              <w:snapToGrid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质量控制</w:t>
            </w:r>
            <w:r>
              <w:rPr>
                <w:rFonts w:hint="eastAsia" w:ascii="宋体" w:hAnsi="宋体" w:eastAsia="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bidi="ar"/>
              </w:rPr>
              <w:t>分）</w:t>
            </w:r>
          </w:p>
        </w:tc>
        <w:tc>
          <w:tcPr>
            <w:tcW w:w="5664" w:type="dxa"/>
            <w:noWrap w:val="0"/>
            <w:vAlign w:val="center"/>
          </w:tcPr>
          <w:p w14:paraId="3C3AC733">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明确的质量目标，质量保证体系完整、合理，得</w:t>
            </w: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bidi="ar"/>
              </w:rPr>
              <w:t>（不含</w:t>
            </w: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bidi="ar"/>
              </w:rPr>
              <w:t>分；</w:t>
            </w:r>
          </w:p>
          <w:p w14:paraId="5EC877CE">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质量目标比较明确，质量保证体系比较合理，得</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（不含</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bidi="ar"/>
              </w:rPr>
              <w:t>分；</w:t>
            </w:r>
          </w:p>
          <w:p w14:paraId="16554EDA">
            <w:pPr>
              <w:pStyle w:val="24"/>
              <w:adjustRightInd w:val="0"/>
              <w:snapToGrid w:val="0"/>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质量目标基本明确，质量保证体系基本合理，</w:t>
            </w:r>
            <w:r>
              <w:rPr>
                <w:rFonts w:hint="eastAsia" w:ascii="宋体" w:hAnsi="宋体" w:eastAsia="宋体" w:cs="宋体"/>
                <w:color w:val="auto"/>
                <w:sz w:val="21"/>
                <w:szCs w:val="21"/>
                <w:highlight w:val="none"/>
                <w:lang w:bidi="ar"/>
              </w:rPr>
              <w:t>得</w:t>
            </w:r>
            <w:r>
              <w:rPr>
                <w:rFonts w:hint="eastAsia" w:ascii="宋体" w:hAnsi="宋体" w:eastAsia="宋体" w:cs="宋体"/>
                <w:color w:val="auto"/>
                <w:kern w:val="2"/>
                <w:sz w:val="21"/>
                <w:szCs w:val="21"/>
                <w:highlight w:val="none"/>
                <w:lang w:bidi="ar"/>
              </w:rPr>
              <w:t>0-</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分。</w:t>
            </w:r>
          </w:p>
        </w:tc>
      </w:tr>
      <w:tr w14:paraId="5AC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continue"/>
            <w:noWrap w:val="0"/>
            <w:vAlign w:val="center"/>
          </w:tcPr>
          <w:p w14:paraId="0662DFAC">
            <w:pPr>
              <w:spacing w:line="360" w:lineRule="auto"/>
              <w:rPr>
                <w:rFonts w:hint="eastAsia" w:ascii="宋体" w:hAnsi="宋体" w:eastAsia="宋体" w:cs="宋体"/>
                <w:color w:val="auto"/>
                <w:sz w:val="21"/>
                <w:szCs w:val="21"/>
                <w:highlight w:val="none"/>
              </w:rPr>
            </w:pPr>
          </w:p>
        </w:tc>
        <w:tc>
          <w:tcPr>
            <w:tcW w:w="1719" w:type="dxa"/>
            <w:noWrap w:val="0"/>
            <w:vAlign w:val="center"/>
          </w:tcPr>
          <w:p w14:paraId="1587B45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安全控制</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分）</w:t>
            </w:r>
          </w:p>
        </w:tc>
        <w:tc>
          <w:tcPr>
            <w:tcW w:w="5664" w:type="dxa"/>
            <w:noWrap w:val="0"/>
            <w:vAlign w:val="center"/>
          </w:tcPr>
          <w:p w14:paraId="54C34A46">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rPr>
              <w:t>安全控制覆盖内容全面，措施针对性强，得</w:t>
            </w:r>
            <w:r>
              <w:rPr>
                <w:rFonts w:hint="eastAsia" w:ascii="宋体" w:hAnsi="宋体" w:eastAsia="宋体" w:cs="宋体"/>
                <w:color w:val="auto"/>
                <w:kern w:val="2"/>
                <w:sz w:val="21"/>
                <w:szCs w:val="21"/>
                <w:highlight w:val="none"/>
                <w:lang w:val="en-US" w:eastAsia="zh-CN"/>
              </w:rPr>
              <w:t>4（含）-</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bidi="ar"/>
              </w:rPr>
              <w:t>分；</w:t>
            </w:r>
          </w:p>
          <w:p w14:paraId="26C46E03">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安全控制覆盖内容全面，措施针对性不强，得</w:t>
            </w:r>
            <w:r>
              <w:rPr>
                <w:rFonts w:hint="eastAsia" w:ascii="宋体" w:hAnsi="宋体" w:eastAsia="宋体" w:cs="宋体"/>
                <w:color w:val="auto"/>
                <w:kern w:val="2"/>
                <w:sz w:val="21"/>
                <w:szCs w:val="21"/>
                <w:highlight w:val="none"/>
                <w:lang w:val="en-US" w:eastAsia="zh-CN" w:bidi="ar"/>
              </w:rPr>
              <w:t>2（含）</w:t>
            </w:r>
            <w:r>
              <w:rPr>
                <w:rFonts w:hint="eastAsia" w:ascii="宋体" w:hAnsi="宋体" w:eastAsia="宋体" w:cs="宋体"/>
                <w:color w:val="auto"/>
                <w:kern w:val="2"/>
                <w:sz w:val="21"/>
                <w:szCs w:val="21"/>
                <w:highlight w:val="none"/>
                <w:lang w:bidi="ar"/>
              </w:rPr>
              <w:t>-4分</w:t>
            </w:r>
            <w:r>
              <w:rPr>
                <w:rFonts w:hint="eastAsia" w:ascii="宋体" w:hAnsi="宋体" w:eastAsia="宋体" w:cs="宋体"/>
                <w:color w:val="auto"/>
                <w:kern w:val="2"/>
                <w:sz w:val="21"/>
                <w:szCs w:val="21"/>
                <w:highlight w:val="none"/>
              </w:rPr>
              <w:t>；</w:t>
            </w:r>
          </w:p>
          <w:p w14:paraId="322FD139">
            <w:pPr>
              <w:pStyle w:val="24"/>
              <w:adjustRightInd w:val="0"/>
              <w:snapToGrid w:val="0"/>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安全控制覆盖内容全面，措施缺少针对性，</w:t>
            </w:r>
            <w:r>
              <w:rPr>
                <w:rFonts w:hint="eastAsia" w:ascii="宋体" w:hAnsi="宋体" w:eastAsia="宋体" w:cs="宋体"/>
                <w:color w:val="auto"/>
                <w:kern w:val="2"/>
                <w:sz w:val="21"/>
                <w:szCs w:val="21"/>
                <w:highlight w:val="none"/>
                <w:lang w:bidi="ar"/>
              </w:rPr>
              <w:t>得0-2分</w:t>
            </w:r>
            <w:r>
              <w:rPr>
                <w:rFonts w:hint="eastAsia" w:ascii="宋体" w:hAnsi="宋体" w:eastAsia="宋体" w:cs="宋体"/>
                <w:color w:val="auto"/>
                <w:kern w:val="2"/>
                <w:sz w:val="21"/>
                <w:szCs w:val="21"/>
                <w:highlight w:val="none"/>
              </w:rPr>
              <w:t>。</w:t>
            </w:r>
          </w:p>
        </w:tc>
      </w:tr>
      <w:tr w14:paraId="364F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continue"/>
            <w:noWrap w:val="0"/>
            <w:vAlign w:val="center"/>
          </w:tcPr>
          <w:p w14:paraId="670D85C2">
            <w:pPr>
              <w:spacing w:line="360" w:lineRule="auto"/>
              <w:rPr>
                <w:rFonts w:hint="eastAsia" w:ascii="宋体" w:hAnsi="宋体" w:eastAsia="宋体" w:cs="宋体"/>
                <w:color w:val="auto"/>
                <w:sz w:val="21"/>
                <w:szCs w:val="21"/>
                <w:highlight w:val="none"/>
              </w:rPr>
            </w:pPr>
          </w:p>
        </w:tc>
        <w:tc>
          <w:tcPr>
            <w:tcW w:w="1719" w:type="dxa"/>
            <w:noWrap w:val="0"/>
            <w:vAlign w:val="center"/>
          </w:tcPr>
          <w:p w14:paraId="57FE991A">
            <w:pPr>
              <w:pStyle w:val="24"/>
              <w:adjustRightInd w:val="0"/>
              <w:snapToGrid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进度控制</w:t>
            </w:r>
            <w:r>
              <w:rPr>
                <w:rFonts w:hint="eastAsia" w:ascii="宋体" w:hAnsi="宋体" w:eastAsia="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bidi="ar"/>
              </w:rPr>
              <w:t>分）</w:t>
            </w:r>
          </w:p>
        </w:tc>
        <w:tc>
          <w:tcPr>
            <w:tcW w:w="5664" w:type="dxa"/>
            <w:noWrap w:val="0"/>
            <w:vAlign w:val="center"/>
          </w:tcPr>
          <w:p w14:paraId="07323354">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进度控制内容全面、程序合理，得</w:t>
            </w:r>
            <w:r>
              <w:rPr>
                <w:rFonts w:hint="eastAsia" w:ascii="宋体" w:hAnsi="宋体" w:eastAsia="宋体" w:cs="宋体"/>
                <w:color w:val="auto"/>
                <w:kern w:val="2"/>
                <w:sz w:val="21"/>
                <w:szCs w:val="21"/>
                <w:highlight w:val="none"/>
                <w:lang w:val="en-US" w:eastAsia="zh-CN"/>
              </w:rPr>
              <w:t>4（含）-</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bidi="ar"/>
              </w:rPr>
              <w:t>分；</w:t>
            </w:r>
          </w:p>
          <w:p w14:paraId="02A9F5E4">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rPr>
              <w:t>进度控制内容比较全面、程序比较合理，得</w:t>
            </w:r>
            <w:r>
              <w:rPr>
                <w:rFonts w:hint="eastAsia" w:ascii="宋体" w:hAnsi="宋体" w:eastAsia="宋体" w:cs="宋体"/>
                <w:color w:val="auto"/>
                <w:kern w:val="2"/>
                <w:sz w:val="21"/>
                <w:szCs w:val="21"/>
                <w:highlight w:val="none"/>
                <w:lang w:val="en-US" w:eastAsia="zh-CN" w:bidi="ar"/>
              </w:rPr>
              <w:t>2（含）</w:t>
            </w:r>
            <w:r>
              <w:rPr>
                <w:rFonts w:hint="eastAsia" w:ascii="宋体" w:hAnsi="宋体" w:eastAsia="宋体" w:cs="宋体"/>
                <w:color w:val="auto"/>
                <w:kern w:val="2"/>
                <w:sz w:val="21"/>
                <w:szCs w:val="21"/>
                <w:highlight w:val="none"/>
                <w:lang w:bidi="ar"/>
              </w:rPr>
              <w:t>-4分</w:t>
            </w:r>
            <w:r>
              <w:rPr>
                <w:rFonts w:hint="eastAsia" w:ascii="宋体" w:hAnsi="宋体" w:eastAsia="宋体" w:cs="宋体"/>
                <w:color w:val="auto"/>
                <w:kern w:val="2"/>
                <w:sz w:val="21"/>
                <w:szCs w:val="21"/>
                <w:highlight w:val="none"/>
              </w:rPr>
              <w:t>；</w:t>
            </w:r>
          </w:p>
          <w:p w14:paraId="125ADE92">
            <w:pPr>
              <w:pStyle w:val="24"/>
              <w:adjustRightInd w:val="0"/>
              <w:snapToGrid w:val="0"/>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进度控制内容基本全面、程序基本合理，</w:t>
            </w:r>
            <w:r>
              <w:rPr>
                <w:rFonts w:hint="eastAsia" w:ascii="宋体" w:hAnsi="宋体" w:eastAsia="宋体" w:cs="宋体"/>
                <w:color w:val="auto"/>
                <w:kern w:val="2"/>
                <w:sz w:val="21"/>
                <w:szCs w:val="21"/>
                <w:highlight w:val="none"/>
                <w:lang w:bidi="ar"/>
              </w:rPr>
              <w:t>得0-2分</w:t>
            </w:r>
          </w:p>
        </w:tc>
      </w:tr>
      <w:tr w14:paraId="5FA2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continue"/>
            <w:noWrap w:val="0"/>
            <w:vAlign w:val="center"/>
          </w:tcPr>
          <w:p w14:paraId="177D498E">
            <w:pPr>
              <w:spacing w:line="360" w:lineRule="auto"/>
              <w:rPr>
                <w:rFonts w:hint="eastAsia" w:ascii="宋体" w:hAnsi="宋体" w:eastAsia="宋体" w:cs="宋体"/>
                <w:color w:val="auto"/>
                <w:sz w:val="21"/>
                <w:szCs w:val="21"/>
                <w:highlight w:val="none"/>
              </w:rPr>
            </w:pPr>
          </w:p>
        </w:tc>
        <w:tc>
          <w:tcPr>
            <w:tcW w:w="1719" w:type="dxa"/>
            <w:noWrap w:val="0"/>
            <w:vAlign w:val="center"/>
          </w:tcPr>
          <w:p w14:paraId="1D106E3F">
            <w:pPr>
              <w:pStyle w:val="24"/>
              <w:adjustRightInd w:val="0"/>
              <w:snapToGrid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投资控制</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bidi="ar"/>
              </w:rPr>
              <w:t>分）</w:t>
            </w:r>
          </w:p>
        </w:tc>
        <w:tc>
          <w:tcPr>
            <w:tcW w:w="5664" w:type="dxa"/>
            <w:noWrap w:val="0"/>
            <w:vAlign w:val="center"/>
          </w:tcPr>
          <w:p w14:paraId="73FDD4C7">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投资控制内容全面、程序合理，得</w:t>
            </w:r>
            <w:r>
              <w:rPr>
                <w:rFonts w:hint="eastAsia" w:ascii="宋体" w:hAnsi="宋体" w:eastAsia="宋体" w:cs="宋体"/>
                <w:color w:val="auto"/>
                <w:kern w:val="2"/>
                <w:sz w:val="21"/>
                <w:szCs w:val="21"/>
                <w:highlight w:val="none"/>
                <w:lang w:val="en-US" w:eastAsia="zh-CN"/>
              </w:rPr>
              <w:t>4（含）-</w:t>
            </w: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bidi="ar"/>
              </w:rPr>
              <w:t>分；</w:t>
            </w:r>
          </w:p>
          <w:p w14:paraId="221BFB2C">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投资控制内容比较全面、程序比较合理，得</w:t>
            </w:r>
            <w:r>
              <w:rPr>
                <w:rFonts w:hint="eastAsia" w:ascii="宋体" w:hAnsi="宋体" w:eastAsia="宋体" w:cs="宋体"/>
                <w:color w:val="auto"/>
                <w:kern w:val="2"/>
                <w:sz w:val="21"/>
                <w:szCs w:val="21"/>
                <w:highlight w:val="none"/>
                <w:lang w:val="en-US" w:eastAsia="zh-CN" w:bidi="ar"/>
              </w:rPr>
              <w:t>2（含）</w:t>
            </w:r>
            <w:r>
              <w:rPr>
                <w:rFonts w:hint="eastAsia" w:ascii="宋体" w:hAnsi="宋体" w:eastAsia="宋体" w:cs="宋体"/>
                <w:color w:val="auto"/>
                <w:kern w:val="2"/>
                <w:sz w:val="21"/>
                <w:szCs w:val="21"/>
                <w:highlight w:val="none"/>
                <w:lang w:bidi="ar"/>
              </w:rPr>
              <w:t>-4分</w:t>
            </w:r>
            <w:r>
              <w:rPr>
                <w:rFonts w:hint="eastAsia" w:ascii="宋体" w:hAnsi="宋体" w:eastAsia="宋体" w:cs="宋体"/>
                <w:color w:val="auto"/>
                <w:kern w:val="2"/>
                <w:sz w:val="21"/>
                <w:szCs w:val="21"/>
                <w:highlight w:val="none"/>
              </w:rPr>
              <w:t>；</w:t>
            </w:r>
          </w:p>
          <w:p w14:paraId="5E0C18E5">
            <w:pPr>
              <w:pStyle w:val="24"/>
              <w:adjustRightInd w:val="0"/>
              <w:snapToGrid w:val="0"/>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投资控制内容基本全面、程序基本合理，</w:t>
            </w:r>
            <w:r>
              <w:rPr>
                <w:rFonts w:hint="eastAsia" w:ascii="宋体" w:hAnsi="宋体" w:eastAsia="宋体" w:cs="宋体"/>
                <w:color w:val="auto"/>
                <w:kern w:val="2"/>
                <w:sz w:val="21"/>
                <w:szCs w:val="21"/>
                <w:highlight w:val="none"/>
                <w:lang w:bidi="ar"/>
              </w:rPr>
              <w:t>得0-2分</w:t>
            </w:r>
            <w:r>
              <w:rPr>
                <w:rFonts w:hint="eastAsia" w:ascii="宋体" w:hAnsi="宋体" w:eastAsia="宋体" w:cs="宋体"/>
                <w:color w:val="auto"/>
                <w:kern w:val="2"/>
                <w:sz w:val="21"/>
                <w:szCs w:val="21"/>
                <w:highlight w:val="none"/>
              </w:rPr>
              <w:t>。</w:t>
            </w:r>
          </w:p>
        </w:tc>
      </w:tr>
      <w:tr w14:paraId="0EBE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continue"/>
            <w:noWrap w:val="0"/>
            <w:vAlign w:val="center"/>
          </w:tcPr>
          <w:p w14:paraId="0AC34531">
            <w:pPr>
              <w:spacing w:line="360" w:lineRule="auto"/>
              <w:rPr>
                <w:rFonts w:hint="eastAsia" w:ascii="宋体" w:hAnsi="宋体" w:eastAsia="宋体" w:cs="宋体"/>
                <w:color w:val="auto"/>
                <w:sz w:val="21"/>
                <w:szCs w:val="21"/>
                <w:highlight w:val="none"/>
              </w:rPr>
            </w:pPr>
          </w:p>
        </w:tc>
        <w:tc>
          <w:tcPr>
            <w:tcW w:w="1719" w:type="dxa"/>
            <w:noWrap w:val="0"/>
            <w:vAlign w:val="center"/>
          </w:tcPr>
          <w:p w14:paraId="350EED26">
            <w:pPr>
              <w:pStyle w:val="24"/>
              <w:adjustRightInd w:val="0"/>
              <w:snapToGrid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监理工作重点、难点分析及解决方案</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bidi="ar"/>
              </w:rPr>
              <w:t>分）</w:t>
            </w:r>
          </w:p>
        </w:tc>
        <w:tc>
          <w:tcPr>
            <w:tcW w:w="5664" w:type="dxa"/>
            <w:noWrap w:val="0"/>
            <w:vAlign w:val="center"/>
          </w:tcPr>
          <w:p w14:paraId="453DC39D">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重点、难点分析论述清晰，相应对策科学合理，有利于对工程进行“四控两管已协调”，得</w:t>
            </w:r>
            <w:r>
              <w:rPr>
                <w:rFonts w:hint="eastAsia" w:ascii="宋体" w:hAnsi="宋体" w:eastAsia="宋体" w:cs="宋体"/>
                <w:color w:val="auto"/>
                <w:kern w:val="2"/>
                <w:sz w:val="21"/>
                <w:szCs w:val="21"/>
                <w:highlight w:val="none"/>
                <w:lang w:val="en-US" w:eastAsia="zh-CN"/>
              </w:rPr>
              <w:t>4（含）-</w:t>
            </w: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bidi="ar"/>
              </w:rPr>
              <w:t>分；</w:t>
            </w:r>
          </w:p>
          <w:p w14:paraId="69A7D13D">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重点、难点分析论述比较清晰，相应对策科学比较合理，比较有利于对工程进行“四控两管已协调”，得</w:t>
            </w:r>
            <w:r>
              <w:rPr>
                <w:rFonts w:hint="eastAsia" w:ascii="宋体" w:hAnsi="宋体" w:eastAsia="宋体" w:cs="宋体"/>
                <w:color w:val="auto"/>
                <w:kern w:val="2"/>
                <w:sz w:val="21"/>
                <w:szCs w:val="21"/>
                <w:highlight w:val="none"/>
                <w:lang w:val="en-US" w:eastAsia="zh-CN" w:bidi="ar"/>
              </w:rPr>
              <w:t>2（含）</w:t>
            </w:r>
            <w:r>
              <w:rPr>
                <w:rFonts w:hint="eastAsia" w:ascii="宋体" w:hAnsi="宋体" w:eastAsia="宋体" w:cs="宋体"/>
                <w:color w:val="auto"/>
                <w:kern w:val="2"/>
                <w:sz w:val="21"/>
                <w:szCs w:val="21"/>
                <w:highlight w:val="none"/>
                <w:lang w:bidi="ar"/>
              </w:rPr>
              <w:t>-4分</w:t>
            </w:r>
            <w:r>
              <w:rPr>
                <w:rFonts w:hint="eastAsia" w:ascii="宋体" w:hAnsi="宋体" w:eastAsia="宋体" w:cs="宋体"/>
                <w:color w:val="auto"/>
                <w:kern w:val="2"/>
                <w:sz w:val="21"/>
                <w:szCs w:val="21"/>
                <w:highlight w:val="none"/>
              </w:rPr>
              <w:t>；</w:t>
            </w:r>
          </w:p>
          <w:p w14:paraId="119047C7">
            <w:pPr>
              <w:pStyle w:val="24"/>
              <w:adjustRightInd w:val="0"/>
              <w:snapToGrid w:val="0"/>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重点、难点分析论述基本清晰，相应对策科学基本合理，基本有利于对工程进行“四控两管已协调”，</w:t>
            </w:r>
            <w:r>
              <w:rPr>
                <w:rFonts w:hint="eastAsia" w:ascii="宋体" w:hAnsi="宋体" w:eastAsia="宋体" w:cs="宋体"/>
                <w:color w:val="auto"/>
                <w:kern w:val="2"/>
                <w:sz w:val="21"/>
                <w:szCs w:val="21"/>
                <w:highlight w:val="none"/>
                <w:lang w:bidi="ar"/>
              </w:rPr>
              <w:t>得0-2分</w:t>
            </w:r>
            <w:r>
              <w:rPr>
                <w:rFonts w:hint="eastAsia" w:ascii="宋体" w:hAnsi="宋体" w:eastAsia="宋体" w:cs="宋体"/>
                <w:color w:val="auto"/>
                <w:kern w:val="2"/>
                <w:sz w:val="21"/>
                <w:szCs w:val="21"/>
                <w:highlight w:val="none"/>
              </w:rPr>
              <w:t xml:space="preserve">。 </w:t>
            </w:r>
          </w:p>
        </w:tc>
      </w:tr>
      <w:tr w14:paraId="2D9B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14" w:type="dxa"/>
            <w:vMerge w:val="continue"/>
            <w:noWrap w:val="0"/>
            <w:vAlign w:val="center"/>
          </w:tcPr>
          <w:p w14:paraId="3256DEC5">
            <w:pPr>
              <w:spacing w:line="360" w:lineRule="auto"/>
              <w:rPr>
                <w:rFonts w:hint="eastAsia" w:ascii="宋体" w:hAnsi="宋体" w:eastAsia="宋体" w:cs="宋体"/>
                <w:color w:val="auto"/>
                <w:sz w:val="21"/>
                <w:szCs w:val="21"/>
                <w:highlight w:val="none"/>
              </w:rPr>
            </w:pPr>
          </w:p>
        </w:tc>
        <w:tc>
          <w:tcPr>
            <w:tcW w:w="1719" w:type="dxa"/>
            <w:noWrap w:val="0"/>
            <w:vAlign w:val="center"/>
          </w:tcPr>
          <w:p w14:paraId="768A3798">
            <w:pPr>
              <w:pStyle w:val="24"/>
              <w:adjustRightInd w:val="0"/>
              <w:snapToGrid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文明施工及环境保护控制</w:t>
            </w:r>
            <w:r>
              <w:rPr>
                <w:rFonts w:hint="eastAsia" w:ascii="宋体" w:hAnsi="宋体" w:eastAsia="宋体" w:cs="宋体"/>
                <w:color w:val="auto"/>
                <w:kern w:val="2"/>
                <w:sz w:val="21"/>
                <w:szCs w:val="21"/>
                <w:highlight w:val="none"/>
                <w:lang w:bidi="ar"/>
              </w:rPr>
              <w:t>（</w:t>
            </w:r>
            <w:r>
              <w:rPr>
                <w:rFonts w:hint="default" w:ascii="宋体" w:hAnsi="宋体" w:eastAsia="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bidi="ar"/>
              </w:rPr>
              <w:t>分）</w:t>
            </w:r>
          </w:p>
        </w:tc>
        <w:tc>
          <w:tcPr>
            <w:tcW w:w="5664" w:type="dxa"/>
            <w:noWrap w:val="0"/>
            <w:vAlign w:val="center"/>
          </w:tcPr>
          <w:p w14:paraId="79D66BED">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文明施工控制措施合理可行、督促施工企业保持施工现场整洁有序的措施方案合理可行的，得</w:t>
            </w:r>
            <w:r>
              <w:rPr>
                <w:rFonts w:hint="default"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（含）-</w:t>
            </w:r>
            <w:r>
              <w:rPr>
                <w:rFonts w:hint="default" w:ascii="宋体" w:hAnsi="宋体" w:eastAsia="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bidi="ar"/>
              </w:rPr>
              <w:t>分；</w:t>
            </w:r>
          </w:p>
          <w:p w14:paraId="04BFAAFC">
            <w:pPr>
              <w:pStyle w:val="24"/>
              <w:adjustRightInd w:val="0"/>
              <w:snapToGrid w:val="0"/>
              <w:spacing w:before="0" w:beforeAutospacing="0" w:after="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文明施工控制措施比较合理、督促施工企业保持施工现场整洁有序的措施方案比较合理的，得</w:t>
            </w: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（含）</w:t>
            </w:r>
            <w:r>
              <w:rPr>
                <w:rFonts w:hint="eastAsia" w:ascii="宋体" w:hAnsi="宋体" w:eastAsia="宋体" w:cs="宋体"/>
                <w:color w:val="auto"/>
                <w:kern w:val="2"/>
                <w:sz w:val="21"/>
                <w:szCs w:val="21"/>
                <w:highlight w:val="none"/>
                <w:lang w:bidi="ar"/>
              </w:rPr>
              <w:t>-</w:t>
            </w:r>
            <w:r>
              <w:rPr>
                <w:rFonts w:hint="default" w:ascii="宋体" w:hAnsi="宋体" w:eastAsia="宋体" w:cs="宋体"/>
                <w:color w:val="auto"/>
                <w:kern w:val="2"/>
                <w:sz w:val="21"/>
                <w:szCs w:val="21"/>
                <w:highlight w:val="none"/>
                <w:lang w:val="en-US" w:bidi="ar"/>
              </w:rPr>
              <w:t>4</w:t>
            </w:r>
            <w:r>
              <w:rPr>
                <w:rFonts w:hint="eastAsia" w:ascii="宋体" w:hAnsi="宋体" w:eastAsia="宋体" w:cs="宋体"/>
                <w:color w:val="auto"/>
                <w:kern w:val="2"/>
                <w:sz w:val="21"/>
                <w:szCs w:val="21"/>
                <w:highlight w:val="none"/>
                <w:lang w:bidi="ar"/>
              </w:rPr>
              <w:t>分</w:t>
            </w:r>
            <w:r>
              <w:rPr>
                <w:rFonts w:hint="eastAsia" w:ascii="宋体" w:hAnsi="宋体" w:eastAsia="宋体" w:cs="宋体"/>
                <w:color w:val="auto"/>
                <w:kern w:val="2"/>
                <w:sz w:val="21"/>
                <w:szCs w:val="21"/>
                <w:highlight w:val="none"/>
              </w:rPr>
              <w:t>；</w:t>
            </w:r>
          </w:p>
          <w:p w14:paraId="3218CDAE">
            <w:pPr>
              <w:pStyle w:val="24"/>
              <w:adjustRightInd w:val="0"/>
              <w:snapToGrid w:val="0"/>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文明施工控制措施基本合理、督促施工企业保持施工现场整洁有序的措施方案基本合理的，</w:t>
            </w:r>
            <w:r>
              <w:rPr>
                <w:rFonts w:hint="eastAsia" w:ascii="宋体" w:hAnsi="宋体" w:eastAsia="宋体" w:cs="宋体"/>
                <w:color w:val="auto"/>
                <w:kern w:val="2"/>
                <w:sz w:val="21"/>
                <w:szCs w:val="21"/>
                <w:highlight w:val="none"/>
                <w:lang w:bidi="ar"/>
              </w:rPr>
              <w:t>得0-</w:t>
            </w:r>
            <w:r>
              <w:rPr>
                <w:rFonts w:hint="default" w:ascii="宋体" w:hAnsi="宋体" w:eastAsia="宋体" w:cs="宋体"/>
                <w:color w:val="auto"/>
                <w:kern w:val="2"/>
                <w:sz w:val="21"/>
                <w:szCs w:val="21"/>
                <w:highlight w:val="none"/>
                <w:lang w:val="en-US" w:bidi="ar"/>
              </w:rPr>
              <w:t>2</w:t>
            </w:r>
            <w:r>
              <w:rPr>
                <w:rFonts w:hint="eastAsia" w:ascii="宋体" w:hAnsi="宋体" w:eastAsia="宋体" w:cs="宋体"/>
                <w:color w:val="auto"/>
                <w:kern w:val="2"/>
                <w:sz w:val="21"/>
                <w:szCs w:val="21"/>
                <w:highlight w:val="none"/>
                <w:lang w:bidi="ar"/>
              </w:rPr>
              <w:t>分</w:t>
            </w:r>
            <w:r>
              <w:rPr>
                <w:rFonts w:hint="eastAsia" w:ascii="宋体" w:hAnsi="宋体" w:eastAsia="宋体" w:cs="宋体"/>
                <w:color w:val="auto"/>
                <w:kern w:val="2"/>
                <w:sz w:val="21"/>
                <w:szCs w:val="21"/>
                <w:highlight w:val="none"/>
              </w:rPr>
              <w:t>。</w:t>
            </w:r>
          </w:p>
        </w:tc>
      </w:tr>
      <w:tr w14:paraId="7AF2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restart"/>
            <w:noWrap w:val="0"/>
            <w:vAlign w:val="center"/>
          </w:tcPr>
          <w:p w14:paraId="2B25ADF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商务部分</w:t>
            </w:r>
          </w:p>
          <w:p w14:paraId="6C4FB991">
            <w:pPr>
              <w:spacing w:line="360" w:lineRule="auto"/>
              <w:rPr>
                <w:rFonts w:hint="eastAsia" w:ascii="宋体" w:hAnsi="宋体" w:eastAsia="宋体" w:cs="宋体"/>
                <w:color w:val="auto"/>
                <w:sz w:val="21"/>
                <w:szCs w:val="21"/>
                <w:highlight w:val="none"/>
              </w:rPr>
            </w:pPr>
          </w:p>
        </w:tc>
        <w:tc>
          <w:tcPr>
            <w:tcW w:w="1719" w:type="dxa"/>
            <w:noWrap w:val="0"/>
            <w:vAlign w:val="center"/>
          </w:tcPr>
          <w:p w14:paraId="19B04C50">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企业业绩（</w:t>
            </w:r>
            <w:r>
              <w:rPr>
                <w:rFonts w:hint="eastAsia" w:ascii="宋体" w:hAnsi="宋体" w:eastAsia="宋体" w:cs="宋体"/>
                <w:color w:val="auto"/>
                <w:sz w:val="21"/>
                <w:szCs w:val="21"/>
                <w:highlight w:val="none"/>
                <w:lang w:val="en-US" w:eastAsia="zh-CN" w:bidi="ar"/>
              </w:rPr>
              <w:t>10</w:t>
            </w:r>
            <w:r>
              <w:rPr>
                <w:rFonts w:hint="eastAsia" w:ascii="宋体" w:hAnsi="宋体" w:eastAsia="宋体" w:cs="宋体"/>
                <w:color w:val="auto"/>
                <w:sz w:val="21"/>
                <w:szCs w:val="21"/>
                <w:highlight w:val="none"/>
                <w:lang w:bidi="ar"/>
              </w:rPr>
              <w:t>分）</w:t>
            </w:r>
          </w:p>
        </w:tc>
        <w:tc>
          <w:tcPr>
            <w:tcW w:w="5664" w:type="dxa"/>
            <w:noWrap w:val="0"/>
            <w:vAlign w:val="center"/>
          </w:tcPr>
          <w:p w14:paraId="036A72AA">
            <w:pPr>
              <w:pStyle w:val="49"/>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2021年1月1至投标截止日，已完成的类似工程监理业绩，每有一个得2分，最多得</w:t>
            </w:r>
            <w:r>
              <w:rPr>
                <w:rFonts w:hint="eastAsia" w:ascii="宋体" w:hAnsi="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分。</w:t>
            </w:r>
          </w:p>
          <w:p w14:paraId="1DC5165E">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注：类似工程是指矿山环境治理类业绩或矿山生态修复类，须</w:t>
            </w:r>
            <w:r>
              <w:rPr>
                <w:rFonts w:hint="eastAsia" w:ascii="宋体" w:hAnsi="宋体" w:cs="宋体"/>
                <w:color w:val="auto"/>
                <w:kern w:val="2"/>
                <w:sz w:val="21"/>
                <w:szCs w:val="21"/>
                <w:highlight w:val="none"/>
                <w:lang w:val="en-US" w:eastAsia="zh-CN" w:bidi="ar"/>
              </w:rPr>
              <w:t>提供</w:t>
            </w:r>
            <w:r>
              <w:rPr>
                <w:rFonts w:hint="eastAsia" w:ascii="宋体" w:hAnsi="宋体" w:eastAsia="宋体" w:cs="宋体"/>
                <w:color w:val="auto"/>
                <w:kern w:val="2"/>
                <w:sz w:val="21"/>
                <w:szCs w:val="21"/>
                <w:highlight w:val="none"/>
                <w:lang w:val="en-US" w:eastAsia="zh-CN" w:bidi="ar"/>
              </w:rPr>
              <w:t>监理合同</w:t>
            </w:r>
            <w:r>
              <w:rPr>
                <w:rFonts w:hint="eastAsia" w:ascii="宋体" w:hAnsi="宋体" w:cs="宋体"/>
                <w:color w:val="auto"/>
                <w:kern w:val="2"/>
                <w:sz w:val="21"/>
                <w:szCs w:val="21"/>
                <w:highlight w:val="none"/>
                <w:lang w:val="en-US" w:eastAsia="zh-CN" w:bidi="ar"/>
              </w:rPr>
              <w:t>原件扫描件，</w:t>
            </w:r>
            <w:r>
              <w:rPr>
                <w:rFonts w:hint="eastAsia" w:ascii="宋体" w:hAnsi="宋体" w:eastAsia="宋体" w:cs="宋体"/>
                <w:color w:val="auto"/>
                <w:kern w:val="2"/>
                <w:sz w:val="21"/>
                <w:szCs w:val="21"/>
                <w:highlight w:val="none"/>
                <w:lang w:val="en-US" w:eastAsia="zh-CN" w:bidi="ar"/>
              </w:rPr>
              <w:t>时间以</w:t>
            </w:r>
            <w:r>
              <w:rPr>
                <w:rFonts w:hint="eastAsia" w:ascii="宋体" w:hAnsi="宋体" w:cs="宋体"/>
                <w:color w:val="auto"/>
                <w:kern w:val="2"/>
                <w:sz w:val="21"/>
                <w:szCs w:val="21"/>
                <w:highlight w:val="none"/>
                <w:lang w:val="en-US" w:eastAsia="zh-CN" w:bidi="ar"/>
              </w:rPr>
              <w:t>合同签订</w:t>
            </w:r>
            <w:r>
              <w:rPr>
                <w:rFonts w:hint="eastAsia" w:ascii="宋体" w:hAnsi="宋体" w:eastAsia="宋体" w:cs="宋体"/>
                <w:color w:val="auto"/>
                <w:kern w:val="2"/>
                <w:sz w:val="21"/>
                <w:szCs w:val="21"/>
                <w:highlight w:val="none"/>
                <w:lang w:val="en-US" w:eastAsia="zh-CN" w:bidi="ar"/>
              </w:rPr>
              <w:t>日期为准。</w:t>
            </w:r>
          </w:p>
        </w:tc>
      </w:tr>
      <w:tr w14:paraId="5999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514" w:type="dxa"/>
            <w:vMerge w:val="continue"/>
            <w:noWrap w:val="0"/>
            <w:vAlign w:val="center"/>
          </w:tcPr>
          <w:p w14:paraId="55D7A94E">
            <w:pPr>
              <w:spacing w:line="360" w:lineRule="auto"/>
              <w:rPr>
                <w:rFonts w:hint="eastAsia" w:ascii="宋体" w:hAnsi="宋体" w:eastAsia="宋体" w:cs="宋体"/>
                <w:color w:val="auto"/>
                <w:sz w:val="21"/>
                <w:szCs w:val="21"/>
                <w:highlight w:val="none"/>
              </w:rPr>
            </w:pPr>
          </w:p>
        </w:tc>
        <w:tc>
          <w:tcPr>
            <w:tcW w:w="1719" w:type="dxa"/>
            <w:noWrap w:val="0"/>
            <w:vAlign w:val="center"/>
          </w:tcPr>
          <w:p w14:paraId="020E747D">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监理机构人员（</w:t>
            </w:r>
            <w:r>
              <w:rPr>
                <w:rFonts w:hint="default" w:ascii="宋体" w:hAnsi="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分）</w:t>
            </w:r>
          </w:p>
        </w:tc>
        <w:tc>
          <w:tcPr>
            <w:tcW w:w="5664" w:type="dxa"/>
            <w:noWrap w:val="0"/>
            <w:vAlign w:val="center"/>
          </w:tcPr>
          <w:p w14:paraId="31D0AAAA">
            <w:pPr>
              <w:adjustRightInd w:val="0"/>
              <w:snapToGrid w:val="0"/>
              <w:spacing w:line="360" w:lineRule="auto"/>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除项目总监外，项目监理机构中的监理人员具有国家注册监理工程师</w:t>
            </w:r>
            <w:r>
              <w:rPr>
                <w:rFonts w:hint="eastAsia" w:ascii="宋体" w:hAnsi="宋体" w:cs="宋体"/>
                <w:color w:val="auto"/>
                <w:kern w:val="2"/>
                <w:sz w:val="21"/>
                <w:szCs w:val="21"/>
                <w:highlight w:val="none"/>
                <w:lang w:val="en-US" w:eastAsia="zh-CN" w:bidi="ar"/>
              </w:rPr>
              <w:t>（建筑工程或市政公用工程）</w:t>
            </w:r>
            <w:r>
              <w:rPr>
                <w:rFonts w:hint="eastAsia" w:ascii="宋体" w:hAnsi="宋体" w:eastAsia="宋体" w:cs="宋体"/>
                <w:color w:val="auto"/>
                <w:kern w:val="2"/>
                <w:sz w:val="21"/>
                <w:szCs w:val="21"/>
                <w:highlight w:val="none"/>
                <w:lang w:val="en-US" w:eastAsia="zh-CN" w:bidi="ar"/>
              </w:rPr>
              <w:t>证书得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分；</w:t>
            </w:r>
          </w:p>
          <w:p w14:paraId="130F5E3E">
            <w:pPr>
              <w:adjustRightInd w:val="0"/>
              <w:snapToGrid w:val="0"/>
              <w:spacing w:line="360" w:lineRule="auto"/>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拟派监理人员中（不包括总监理工程师），每提供一个水工环（水文地质、工程地质、环境地质）高级及以上技术职称证书得2分，</w:t>
            </w:r>
            <w:r>
              <w:rPr>
                <w:rFonts w:hint="eastAsia" w:ascii="宋体" w:hAnsi="宋体" w:eastAsia="宋体" w:cs="宋体"/>
                <w:szCs w:val="21"/>
                <w:highlight w:val="none"/>
              </w:rPr>
              <w:t>最多得</w:t>
            </w:r>
            <w:r>
              <w:rPr>
                <w:rFonts w:hint="default" w:ascii="宋体" w:hAnsi="宋体" w:eastAsia="宋体" w:cs="宋体"/>
                <w:szCs w:val="21"/>
                <w:highlight w:val="none"/>
                <w:lang w:val="en-US" w:eastAsia="zh-CN"/>
              </w:rPr>
              <w:t>6</w:t>
            </w:r>
            <w:r>
              <w:rPr>
                <w:rFonts w:hint="eastAsia" w:ascii="宋体" w:hAnsi="宋体" w:eastAsia="宋体" w:cs="宋体"/>
                <w:szCs w:val="21"/>
                <w:highlight w:val="none"/>
              </w:rPr>
              <w:t>分。</w:t>
            </w:r>
          </w:p>
          <w:p w14:paraId="4FAE704C">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注：须提供职称证、职称评定表、近六个月的社保证明，以上证明材料缺一不可，未提供或资料不全的不得分。</w:t>
            </w:r>
          </w:p>
        </w:tc>
      </w:tr>
      <w:tr w14:paraId="63CA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14" w:type="dxa"/>
            <w:vMerge w:val="continue"/>
            <w:noWrap w:val="0"/>
            <w:vAlign w:val="center"/>
          </w:tcPr>
          <w:p w14:paraId="7C9C5D5A">
            <w:pPr>
              <w:spacing w:line="360" w:lineRule="auto"/>
              <w:rPr>
                <w:rFonts w:hint="eastAsia" w:ascii="宋体" w:hAnsi="宋体" w:eastAsia="宋体" w:cs="宋体"/>
                <w:color w:val="auto"/>
                <w:sz w:val="21"/>
                <w:szCs w:val="21"/>
                <w:highlight w:val="none"/>
              </w:rPr>
            </w:pPr>
          </w:p>
        </w:tc>
        <w:tc>
          <w:tcPr>
            <w:tcW w:w="1719" w:type="dxa"/>
            <w:noWrap w:val="0"/>
            <w:vAlign w:val="center"/>
          </w:tcPr>
          <w:p w14:paraId="47EA401D">
            <w:pPr>
              <w:adjustRightInd w:val="0"/>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体系认证（3分）</w:t>
            </w:r>
          </w:p>
        </w:tc>
        <w:tc>
          <w:tcPr>
            <w:tcW w:w="5664" w:type="dxa"/>
            <w:noWrap w:val="0"/>
            <w:vAlign w:val="center"/>
          </w:tcPr>
          <w:p w14:paraId="2F48D37E">
            <w:pPr>
              <w:spacing w:line="276" w:lineRule="auto"/>
              <w:rPr>
                <w:rFonts w:hint="eastAsia" w:eastAsia="宋体"/>
                <w:szCs w:val="21"/>
                <w:highlight w:val="none"/>
              </w:rPr>
            </w:pPr>
            <w:r>
              <w:rPr>
                <w:rFonts w:hint="eastAsia"/>
                <w:szCs w:val="21"/>
                <w:highlight w:val="none"/>
              </w:rPr>
              <w:t>投标单位需提供有效的三大体系认证（质量管理、职业健康安全管理、环境管理），</w:t>
            </w:r>
            <w:r>
              <w:rPr>
                <w:rFonts w:hint="eastAsia" w:ascii="宋体" w:hAnsi="宋体"/>
                <w:kern w:val="0"/>
                <w:szCs w:val="21"/>
                <w:highlight w:val="none"/>
              </w:rPr>
              <w:t>每一项体系证书得1分，满分3分。</w:t>
            </w:r>
          </w:p>
          <w:p w14:paraId="3AE00F34">
            <w:pPr>
              <w:adjustRightInd w:val="0"/>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注：投标文件中附以上材料的</w:t>
            </w:r>
            <w:r>
              <w:rPr>
                <w:rFonts w:hint="eastAsia" w:ascii="宋体" w:hAnsi="宋体" w:eastAsia="宋体" w:cs="宋体"/>
                <w:color w:val="auto"/>
                <w:sz w:val="21"/>
                <w:szCs w:val="21"/>
                <w:highlight w:val="none"/>
                <w:lang w:val="en-US" w:eastAsia="zh-CN" w:bidi="ar"/>
              </w:rPr>
              <w:t>扫描</w:t>
            </w:r>
            <w:r>
              <w:rPr>
                <w:rFonts w:hint="eastAsia" w:ascii="宋体" w:hAnsi="宋体" w:eastAsia="宋体" w:cs="宋体"/>
                <w:color w:val="auto"/>
                <w:sz w:val="21"/>
                <w:szCs w:val="21"/>
                <w:highlight w:val="none"/>
                <w:lang w:bidi="ar"/>
              </w:rPr>
              <w:t>件并加盖公章，投标文件中未提供或未盖章的不得分。</w:t>
            </w:r>
          </w:p>
        </w:tc>
      </w:tr>
    </w:tbl>
    <w:p w14:paraId="502BE67A">
      <w:pPr>
        <w:adjustRightInd w:val="0"/>
        <w:snapToGrid w:val="0"/>
        <w:spacing w:line="276" w:lineRule="auto"/>
        <w:ind w:firstLine="273" w:firstLineChars="130"/>
        <w:rPr>
          <w:rFonts w:ascii="宋体" w:hAnsi="宋体"/>
          <w:color w:val="auto"/>
          <w:sz w:val="24"/>
          <w:szCs w:val="21"/>
          <w:highlight w:val="none"/>
        </w:rPr>
      </w:pPr>
      <w:r>
        <w:rPr>
          <w:rFonts w:hint="eastAsia" w:ascii="宋体" w:hAnsi="宋体" w:cs="宋体"/>
          <w:color w:val="auto"/>
          <w:szCs w:val="21"/>
          <w:highlight w:val="none"/>
        </w:rPr>
        <w:t xml:space="preserve"> 说明：</w:t>
      </w:r>
    </w:p>
    <w:p w14:paraId="6A049DED">
      <w:pPr>
        <w:spacing w:after="120" w:line="360" w:lineRule="auto"/>
        <w:ind w:firstLine="600" w:firstLineChars="250"/>
        <w:rPr>
          <w:rFonts w:ascii="宋体" w:hAnsi="宋体"/>
          <w:color w:val="auto"/>
          <w:sz w:val="24"/>
          <w:szCs w:val="21"/>
          <w:highlight w:val="none"/>
        </w:rPr>
      </w:pPr>
      <w:r>
        <w:rPr>
          <w:rFonts w:hint="eastAsia" w:ascii="宋体" w:hAnsi="宋体"/>
          <w:color w:val="auto"/>
          <w:sz w:val="24"/>
          <w:szCs w:val="21"/>
          <w:highlight w:val="none"/>
        </w:rPr>
        <w:t>1、公式中的投标报价及其个数是指通过评标委员会初步评审的有效投标人投标报价及其个数。</w:t>
      </w:r>
    </w:p>
    <w:p w14:paraId="3BD81F1A">
      <w:pPr>
        <w:spacing w:after="120" w:line="360" w:lineRule="auto"/>
        <w:ind w:firstLine="600" w:firstLineChars="250"/>
        <w:rPr>
          <w:rFonts w:ascii="宋体" w:hAnsi="宋体"/>
          <w:color w:val="auto"/>
          <w:sz w:val="24"/>
          <w:szCs w:val="28"/>
          <w:highlight w:val="none"/>
        </w:rPr>
      </w:pPr>
      <w:r>
        <w:rPr>
          <w:rFonts w:hint="eastAsia" w:ascii="宋体" w:hAnsi="宋体"/>
          <w:color w:val="auto"/>
          <w:sz w:val="24"/>
          <w:szCs w:val="21"/>
          <w:highlight w:val="none"/>
        </w:rPr>
        <w:t>2、</w:t>
      </w:r>
      <w:r>
        <w:rPr>
          <w:rFonts w:hint="eastAsia" w:ascii="宋体" w:hAnsi="宋体"/>
          <w:color w:val="auto"/>
          <w:spacing w:val="12"/>
          <w:sz w:val="24"/>
          <w:szCs w:val="24"/>
          <w:highlight w:val="none"/>
        </w:rPr>
        <w:t>本项目采用综合评分法评标，不保证报价最</w:t>
      </w:r>
      <w:r>
        <w:rPr>
          <w:rFonts w:hint="eastAsia" w:ascii="宋体" w:hAnsi="宋体"/>
          <w:color w:val="auto"/>
          <w:spacing w:val="12"/>
          <w:sz w:val="24"/>
          <w:szCs w:val="24"/>
          <w:highlight w:val="none"/>
          <w:lang w:val="en-US" w:eastAsia="zh-CN"/>
        </w:rPr>
        <w:t>高</w:t>
      </w:r>
      <w:r>
        <w:rPr>
          <w:rFonts w:hint="eastAsia" w:ascii="宋体" w:hAnsi="宋体"/>
          <w:color w:val="auto"/>
          <w:spacing w:val="12"/>
          <w:sz w:val="24"/>
          <w:szCs w:val="24"/>
          <w:highlight w:val="none"/>
        </w:rPr>
        <w:t>者中标。</w:t>
      </w:r>
    </w:p>
    <w:p w14:paraId="632333AE">
      <w:pPr>
        <w:spacing w:after="120" w:line="360" w:lineRule="auto"/>
        <w:ind w:firstLine="700" w:firstLineChars="250"/>
        <w:rPr>
          <w:rFonts w:hint="eastAsia" w:ascii="宋体" w:hAnsi="宋体" w:eastAsia="宋体" w:cs="宋体"/>
          <w:color w:val="auto"/>
          <w:sz w:val="28"/>
          <w:szCs w:val="28"/>
          <w:highlight w:val="none"/>
        </w:rPr>
      </w:pPr>
    </w:p>
    <w:sectPr>
      <w:headerReference r:id="rId10" w:type="default"/>
      <w:footerReference r:id="rId11" w:type="default"/>
      <w:pgSz w:w="11906" w:h="16838"/>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Helvetica">
    <w:panose1 w:val="020B0504020202030204"/>
    <w:charset w:val="00"/>
    <w:family w:val="auto"/>
    <w:pitch w:val="default"/>
    <w:sig w:usb0="00000007" w:usb1="00000000" w:usb2="00000000" w:usb3="00000000" w:csb0="00000093" w:csb1="00000000"/>
  </w:font>
  <w:font w:name="sans-serif">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72FB">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BF67">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E948">
    <w:pPr>
      <w:pStyle w:val="2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50C8BB">
                          <w:pPr>
                            <w:pStyle w:val="20"/>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D50C8BB">
                    <w:pPr>
                      <w:pStyle w:val="20"/>
                    </w:pPr>
                    <w:r>
                      <w:fldChar w:fldCharType="begin"/>
                    </w:r>
                    <w:r>
                      <w:instrText xml:space="preserve"> PAGE  \* MERGEFORMAT </w:instrText>
                    </w:r>
                    <w:r>
                      <w:fldChar w:fldCharType="separate"/>
                    </w:r>
                    <w:r>
                      <w:t>4</w:t>
                    </w:r>
                    <w:r>
                      <w:fldChar w:fldCharType="end"/>
                    </w:r>
                  </w:p>
                </w:txbxContent>
              </v:textbox>
            </v:shape>
          </w:pict>
        </mc:Fallback>
      </mc:AlternateContent>
    </w:r>
  </w:p>
  <w:p w14:paraId="70CC6B6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DC4E">
    <w:pPr>
      <w:pStyle w:val="20"/>
      <w:snapToGrid w:val="0"/>
      <w:spacing w:line="240" w:lineRule="auto"/>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A2FB0">
                          <w:pPr>
                            <w:pStyle w:val="20"/>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14:paraId="0BDA2FB0">
                    <w:pPr>
                      <w:pStyle w:val="20"/>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4EE8">
    <w:pPr>
      <w:pStyle w:val="21"/>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7E93">
    <w:pPr>
      <w:pStyle w:val="21"/>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E24A">
    <w:pPr>
      <w:pStyle w:val="21"/>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BC60">
    <w:pPr>
      <w:pStyle w:val="21"/>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6F26A">
    <w:pPr>
      <w:pStyle w:val="21"/>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9AE18"/>
    <w:multiLevelType w:val="singleLevel"/>
    <w:tmpl w:val="B5E9AE18"/>
    <w:lvl w:ilvl="0" w:tentative="0">
      <w:start w:val="1"/>
      <w:numFmt w:val="decimal"/>
      <w:suff w:val="nothing"/>
      <w:lvlText w:val="（%1）"/>
      <w:lvlJc w:val="left"/>
    </w:lvl>
  </w:abstractNum>
  <w:abstractNum w:abstractNumId="1">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6"/>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3">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4">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2973BA5"/>
    <w:multiLevelType w:val="singleLevel"/>
    <w:tmpl w:val="02973BA5"/>
    <w:lvl w:ilvl="0" w:tentative="0">
      <w:start w:val="4"/>
      <w:numFmt w:val="decimal"/>
      <w:suff w:val="nothing"/>
      <w:lvlText w:val="%1、"/>
      <w:lvlJc w:val="left"/>
    </w:lvl>
  </w:abstractNum>
  <w:abstractNum w:abstractNumId="8">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9">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0">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7A8AC4"/>
    <w:multiLevelType w:val="singleLevel"/>
    <w:tmpl w:val="2E7A8AC4"/>
    <w:lvl w:ilvl="0" w:tentative="0">
      <w:start w:val="1"/>
      <w:numFmt w:val="decimal"/>
      <w:suff w:val="nothing"/>
      <w:lvlText w:val="（%1）"/>
      <w:lvlJc w:val="left"/>
    </w:lvl>
  </w:abstractNum>
  <w:abstractNum w:abstractNumId="12">
    <w:nsid w:val="796B03B2"/>
    <w:multiLevelType w:val="singleLevel"/>
    <w:tmpl w:val="796B03B2"/>
    <w:lvl w:ilvl="0" w:tentative="0">
      <w:start w:val="7"/>
      <w:numFmt w:val="decimal"/>
      <w:suff w:val="nothing"/>
      <w:lvlText w:val="%1、"/>
      <w:lvlJc w:val="left"/>
      <w:pPr>
        <w:ind w:left="210"/>
      </w:pPr>
    </w:lvl>
  </w:abstractNum>
  <w:num w:numId="1">
    <w:abstractNumId w:val="2"/>
  </w:num>
  <w:num w:numId="2">
    <w:abstractNumId w:val="4"/>
  </w:num>
  <w:num w:numId="3">
    <w:abstractNumId w:val="3"/>
  </w:num>
  <w:num w:numId="4">
    <w:abstractNumId w:val="0"/>
  </w:num>
  <w:num w:numId="5">
    <w:abstractNumId w:val="8"/>
  </w:num>
  <w:num w:numId="6">
    <w:abstractNumId w:val="10"/>
  </w:num>
  <w:num w:numId="7">
    <w:abstractNumId w:val="9"/>
  </w:num>
  <w:num w:numId="8">
    <w:abstractNumId w:val="5"/>
  </w:num>
  <w:num w:numId="9">
    <w:abstractNumId w:val="11"/>
  </w:num>
  <w:num w:numId="10">
    <w:abstractNumId w:val="7"/>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MzBjNzhiNDBkMzI5NTVmYzI3MDM0MGY5NTMzNGUifQ=="/>
  </w:docVars>
  <w:rsids>
    <w:rsidRoot w:val="00AE64D3"/>
    <w:rsid w:val="00191E62"/>
    <w:rsid w:val="004435F9"/>
    <w:rsid w:val="00540125"/>
    <w:rsid w:val="00584E5C"/>
    <w:rsid w:val="005935A7"/>
    <w:rsid w:val="005D60D2"/>
    <w:rsid w:val="00896CEB"/>
    <w:rsid w:val="00AE64D3"/>
    <w:rsid w:val="00CA4C04"/>
    <w:rsid w:val="00F606B4"/>
    <w:rsid w:val="03410EF4"/>
    <w:rsid w:val="03635063"/>
    <w:rsid w:val="037656C3"/>
    <w:rsid w:val="04F33787"/>
    <w:rsid w:val="0598130A"/>
    <w:rsid w:val="05C24FBA"/>
    <w:rsid w:val="069215C7"/>
    <w:rsid w:val="09652EA6"/>
    <w:rsid w:val="096864F2"/>
    <w:rsid w:val="09F744F6"/>
    <w:rsid w:val="0B6A70A6"/>
    <w:rsid w:val="0C766B55"/>
    <w:rsid w:val="0CDC08AE"/>
    <w:rsid w:val="0D4E1EA3"/>
    <w:rsid w:val="0D802A98"/>
    <w:rsid w:val="0EF17189"/>
    <w:rsid w:val="0F2814C7"/>
    <w:rsid w:val="101D03FD"/>
    <w:rsid w:val="103A04BC"/>
    <w:rsid w:val="10895214"/>
    <w:rsid w:val="123516E6"/>
    <w:rsid w:val="136F47E7"/>
    <w:rsid w:val="139926DC"/>
    <w:rsid w:val="139D323C"/>
    <w:rsid w:val="13C50D8E"/>
    <w:rsid w:val="13F310AE"/>
    <w:rsid w:val="1402050F"/>
    <w:rsid w:val="14791775"/>
    <w:rsid w:val="151825EE"/>
    <w:rsid w:val="15F51E96"/>
    <w:rsid w:val="16DD3721"/>
    <w:rsid w:val="179D622A"/>
    <w:rsid w:val="19E323B6"/>
    <w:rsid w:val="19E57F4B"/>
    <w:rsid w:val="19EE6FFC"/>
    <w:rsid w:val="1B1F487A"/>
    <w:rsid w:val="1B8B526B"/>
    <w:rsid w:val="1BCB3937"/>
    <w:rsid w:val="1C324773"/>
    <w:rsid w:val="1D556936"/>
    <w:rsid w:val="1E114F52"/>
    <w:rsid w:val="1E1C1DF7"/>
    <w:rsid w:val="1E4A1F7E"/>
    <w:rsid w:val="1E531AEB"/>
    <w:rsid w:val="1F7D3499"/>
    <w:rsid w:val="20062169"/>
    <w:rsid w:val="201520F0"/>
    <w:rsid w:val="201B39D1"/>
    <w:rsid w:val="2079293B"/>
    <w:rsid w:val="22121FE4"/>
    <w:rsid w:val="227C5A5D"/>
    <w:rsid w:val="24F01543"/>
    <w:rsid w:val="25EE7927"/>
    <w:rsid w:val="26C25326"/>
    <w:rsid w:val="27570BD7"/>
    <w:rsid w:val="291853E7"/>
    <w:rsid w:val="292C6B0F"/>
    <w:rsid w:val="297C1B8D"/>
    <w:rsid w:val="29A67CAF"/>
    <w:rsid w:val="2B1601A1"/>
    <w:rsid w:val="2B76574D"/>
    <w:rsid w:val="2BD33389"/>
    <w:rsid w:val="2C9A6113"/>
    <w:rsid w:val="2D207911"/>
    <w:rsid w:val="2D4818C9"/>
    <w:rsid w:val="2E6B420B"/>
    <w:rsid w:val="2E81625F"/>
    <w:rsid w:val="2F084A39"/>
    <w:rsid w:val="2FB8441A"/>
    <w:rsid w:val="30F1651D"/>
    <w:rsid w:val="317B2342"/>
    <w:rsid w:val="33237E79"/>
    <w:rsid w:val="33727DEA"/>
    <w:rsid w:val="33885F07"/>
    <w:rsid w:val="34C85E7D"/>
    <w:rsid w:val="3518676F"/>
    <w:rsid w:val="35DC59EE"/>
    <w:rsid w:val="360311CD"/>
    <w:rsid w:val="366A40AE"/>
    <w:rsid w:val="37A23AC4"/>
    <w:rsid w:val="386D6DD1"/>
    <w:rsid w:val="396C7089"/>
    <w:rsid w:val="3995038E"/>
    <w:rsid w:val="3AAA7E69"/>
    <w:rsid w:val="3B2714BA"/>
    <w:rsid w:val="3C920BB5"/>
    <w:rsid w:val="3DAE2E44"/>
    <w:rsid w:val="3DB86D41"/>
    <w:rsid w:val="3DF023C2"/>
    <w:rsid w:val="3EB017C6"/>
    <w:rsid w:val="3ED90D1D"/>
    <w:rsid w:val="3F34085C"/>
    <w:rsid w:val="41344930"/>
    <w:rsid w:val="41B164DA"/>
    <w:rsid w:val="425C1958"/>
    <w:rsid w:val="429B4FBF"/>
    <w:rsid w:val="42F20076"/>
    <w:rsid w:val="44AC6E9D"/>
    <w:rsid w:val="44E973C4"/>
    <w:rsid w:val="456E5E4F"/>
    <w:rsid w:val="45F0108D"/>
    <w:rsid w:val="46003033"/>
    <w:rsid w:val="46B75DE7"/>
    <w:rsid w:val="483A3BCB"/>
    <w:rsid w:val="48C32B5A"/>
    <w:rsid w:val="48D9088B"/>
    <w:rsid w:val="493A685C"/>
    <w:rsid w:val="4A0F6993"/>
    <w:rsid w:val="4A985226"/>
    <w:rsid w:val="4C300E23"/>
    <w:rsid w:val="4D177289"/>
    <w:rsid w:val="4D954C96"/>
    <w:rsid w:val="4E31544E"/>
    <w:rsid w:val="4E4864C7"/>
    <w:rsid w:val="4ED56CDE"/>
    <w:rsid w:val="4FF82FCD"/>
    <w:rsid w:val="501D4C1D"/>
    <w:rsid w:val="512154F8"/>
    <w:rsid w:val="545B704C"/>
    <w:rsid w:val="54E104D3"/>
    <w:rsid w:val="55330D11"/>
    <w:rsid w:val="56965D53"/>
    <w:rsid w:val="57201787"/>
    <w:rsid w:val="574A6804"/>
    <w:rsid w:val="5A8038DF"/>
    <w:rsid w:val="5ACB7ABF"/>
    <w:rsid w:val="5B3B1B1D"/>
    <w:rsid w:val="5C3D6E73"/>
    <w:rsid w:val="5DBE13B2"/>
    <w:rsid w:val="5DC2636D"/>
    <w:rsid w:val="5DC83FCB"/>
    <w:rsid w:val="5E5A4F7F"/>
    <w:rsid w:val="61447E20"/>
    <w:rsid w:val="62F45876"/>
    <w:rsid w:val="63B51422"/>
    <w:rsid w:val="643028DD"/>
    <w:rsid w:val="64C00108"/>
    <w:rsid w:val="65165F77"/>
    <w:rsid w:val="65312DB1"/>
    <w:rsid w:val="657D7DA4"/>
    <w:rsid w:val="65F6176D"/>
    <w:rsid w:val="662E0749"/>
    <w:rsid w:val="663F0739"/>
    <w:rsid w:val="66EB68F2"/>
    <w:rsid w:val="682B1E55"/>
    <w:rsid w:val="68A00192"/>
    <w:rsid w:val="696B6376"/>
    <w:rsid w:val="699D27C3"/>
    <w:rsid w:val="69D27390"/>
    <w:rsid w:val="69DC752C"/>
    <w:rsid w:val="6AAE1B03"/>
    <w:rsid w:val="6B0654F6"/>
    <w:rsid w:val="6B3B2294"/>
    <w:rsid w:val="6BB41110"/>
    <w:rsid w:val="6BEB1F0C"/>
    <w:rsid w:val="6C2609AF"/>
    <w:rsid w:val="6C8B293B"/>
    <w:rsid w:val="6CD307EA"/>
    <w:rsid w:val="6D33746F"/>
    <w:rsid w:val="6E510A59"/>
    <w:rsid w:val="6E5F17B5"/>
    <w:rsid w:val="6E6E103D"/>
    <w:rsid w:val="6FB949E3"/>
    <w:rsid w:val="72423AB7"/>
    <w:rsid w:val="72C53D33"/>
    <w:rsid w:val="73B8461C"/>
    <w:rsid w:val="74267A63"/>
    <w:rsid w:val="756C39EA"/>
    <w:rsid w:val="76404B70"/>
    <w:rsid w:val="779416A9"/>
    <w:rsid w:val="77B96FB2"/>
    <w:rsid w:val="7828078C"/>
    <w:rsid w:val="78456C01"/>
    <w:rsid w:val="78CF2108"/>
    <w:rsid w:val="7A462A03"/>
    <w:rsid w:val="7AC676A0"/>
    <w:rsid w:val="7B964DA8"/>
    <w:rsid w:val="7B9B28E7"/>
    <w:rsid w:val="7BB07DA1"/>
    <w:rsid w:val="7C634BC2"/>
    <w:rsid w:val="7C766A67"/>
    <w:rsid w:val="7C81239A"/>
    <w:rsid w:val="7CA55B4F"/>
    <w:rsid w:val="7D056BA5"/>
    <w:rsid w:val="7D450D50"/>
    <w:rsid w:val="7D7B3265"/>
    <w:rsid w:val="7DCF3D34"/>
    <w:rsid w:val="7F01514B"/>
    <w:rsid w:val="7F857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3" w:lineRule="auto"/>
      <w:outlineLvl w:val="2"/>
    </w:pPr>
    <w:rPr>
      <w:b/>
      <w:bCs/>
      <w:sz w:val="32"/>
      <w:szCs w:val="32"/>
    </w:rPr>
  </w:style>
  <w:style w:type="paragraph" w:styleId="5">
    <w:name w:val="heading 4"/>
    <w:basedOn w:val="1"/>
    <w:next w:val="1"/>
    <w:autoRedefine/>
    <w:unhideWhenUsed/>
    <w:qFormat/>
    <w:uiPriority w:val="0"/>
    <w:pPr>
      <w:keepNext/>
      <w:keepLines/>
      <w:widowControl/>
      <w:spacing w:line="360" w:lineRule="auto"/>
      <w:jc w:val="center"/>
      <w:outlineLvl w:val="3"/>
    </w:pPr>
    <w:rPr>
      <w:rFonts w:ascii="Arial" w:hAnsi="Arial" w:eastAsia="黑体"/>
      <w:kern w:val="0"/>
      <w:sz w:val="28"/>
    </w:rPr>
  </w:style>
  <w:style w:type="paragraph" w:styleId="6">
    <w:name w:val="heading 5"/>
    <w:basedOn w:val="1"/>
    <w:next w:val="1"/>
    <w:autoRedefine/>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unhideWhenUsed/>
    <w:qFormat/>
    <w:uiPriority w:val="99"/>
    <w:pPr>
      <w:ind w:firstLine="420"/>
    </w:pPr>
    <w:rPr>
      <w:rFonts w:ascii="Calibri" w:hAnsi="Calibri" w:eastAsia="宋体" w:cs="Times New Roman"/>
    </w:rPr>
  </w:style>
  <w:style w:type="paragraph" w:customStyle="1" w:styleId="8">
    <w:name w:val="6-正文"/>
    <w:basedOn w:val="1"/>
    <w:qFormat/>
    <w:uiPriority w:val="0"/>
    <w:pPr>
      <w:spacing w:line="360" w:lineRule="auto"/>
      <w:ind w:firstLine="200" w:firstLineChars="200"/>
    </w:pPr>
    <w:rPr>
      <w:sz w:val="24"/>
      <w:szCs w:val="28"/>
    </w:rPr>
  </w:style>
  <w:style w:type="paragraph" w:styleId="9">
    <w:name w:val="caption"/>
    <w:basedOn w:val="1"/>
    <w:next w:val="1"/>
    <w:autoRedefine/>
    <w:unhideWhenUsed/>
    <w:qFormat/>
    <w:uiPriority w:val="0"/>
    <w:pPr>
      <w:spacing w:line="480" w:lineRule="auto"/>
    </w:pPr>
    <w:rPr>
      <w:rFonts w:ascii="华文中宋" w:hAnsi="华文中宋" w:eastAsia="华文中宋"/>
      <w:sz w:val="36"/>
    </w:rPr>
  </w:style>
  <w:style w:type="paragraph" w:styleId="10">
    <w:name w:val="annotation text"/>
    <w:basedOn w:val="1"/>
    <w:link w:val="41"/>
    <w:autoRedefine/>
    <w:qFormat/>
    <w:uiPriority w:val="0"/>
    <w:pPr>
      <w:jc w:val="left"/>
    </w:pPr>
  </w:style>
  <w:style w:type="paragraph" w:styleId="11">
    <w:name w:val="Body Text"/>
    <w:basedOn w:val="1"/>
    <w:next w:val="12"/>
    <w:autoRedefine/>
    <w:qFormat/>
    <w:uiPriority w:val="0"/>
    <w:pPr>
      <w:spacing w:line="360" w:lineRule="auto"/>
    </w:pPr>
    <w:rPr>
      <w:spacing w:val="10"/>
      <w:sz w:val="28"/>
    </w:rPr>
  </w:style>
  <w:style w:type="paragraph" w:styleId="12">
    <w:name w:val="Body Text First Indent"/>
    <w:basedOn w:val="11"/>
    <w:qFormat/>
    <w:uiPriority w:val="99"/>
    <w:pPr>
      <w:spacing w:line="312" w:lineRule="auto"/>
      <w:ind w:firstLine="420"/>
    </w:pPr>
    <w:rPr>
      <w:sz w:val="24"/>
    </w:rPr>
  </w:style>
  <w:style w:type="paragraph" w:styleId="13">
    <w:name w:val="Body Text Indent"/>
    <w:basedOn w:val="1"/>
    <w:next w:val="14"/>
    <w:autoRedefine/>
    <w:qFormat/>
    <w:uiPriority w:val="99"/>
    <w:pPr>
      <w:autoSpaceDE w:val="0"/>
      <w:autoSpaceDN w:val="0"/>
      <w:adjustRightInd w:val="0"/>
      <w:spacing w:line="312" w:lineRule="auto"/>
      <w:ind w:firstLine="680"/>
      <w:textAlignment w:val="bottom"/>
    </w:pPr>
    <w:rPr>
      <w:rFonts w:ascii="宋体"/>
      <w:spacing w:val="6"/>
      <w:kern w:val="0"/>
      <w:sz w:val="28"/>
    </w:rPr>
  </w:style>
  <w:style w:type="paragraph" w:styleId="14">
    <w:name w:val="toc 2"/>
    <w:basedOn w:val="1"/>
    <w:next w:val="1"/>
    <w:autoRedefine/>
    <w:qFormat/>
    <w:uiPriority w:val="0"/>
    <w:pPr>
      <w:ind w:left="420" w:leftChars="200"/>
    </w:pPr>
  </w:style>
  <w:style w:type="paragraph" w:styleId="15">
    <w:name w:val="toc 3"/>
    <w:basedOn w:val="1"/>
    <w:next w:val="1"/>
    <w:autoRedefine/>
    <w:qFormat/>
    <w:uiPriority w:val="39"/>
    <w:pPr>
      <w:tabs>
        <w:tab w:val="right" w:leader="dot" w:pos="9628"/>
      </w:tabs>
      <w:ind w:left="567" w:leftChars="270"/>
    </w:pPr>
  </w:style>
  <w:style w:type="paragraph" w:styleId="16">
    <w:name w:val="Plain Text"/>
    <w:basedOn w:val="1"/>
    <w:autoRedefine/>
    <w:qFormat/>
    <w:uiPriority w:val="0"/>
    <w:rPr>
      <w:rFonts w:ascii="宋体" w:hAnsi="Courier New" w:cs="Courier New"/>
      <w:szCs w:val="21"/>
    </w:rPr>
  </w:style>
  <w:style w:type="paragraph" w:styleId="17">
    <w:name w:val="Date"/>
    <w:basedOn w:val="1"/>
    <w:next w:val="1"/>
    <w:autoRedefine/>
    <w:qFormat/>
    <w:uiPriority w:val="0"/>
  </w:style>
  <w:style w:type="paragraph" w:styleId="18">
    <w:name w:val="Body Text Indent 2"/>
    <w:basedOn w:val="1"/>
    <w:autoRedefine/>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9">
    <w:name w:val="Balloon Text"/>
    <w:basedOn w:val="1"/>
    <w:link w:val="39"/>
    <w:autoRedefine/>
    <w:qFormat/>
    <w:uiPriority w:val="0"/>
    <w:rPr>
      <w:sz w:val="18"/>
      <w:szCs w:val="18"/>
    </w:rPr>
  </w:style>
  <w:style w:type="paragraph" w:styleId="20">
    <w:name w:val="footer"/>
    <w:basedOn w:val="1"/>
    <w:link w:val="40"/>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Body Text Indent 3"/>
    <w:basedOn w:val="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4">
    <w:name w:val="Normal (Web)"/>
    <w:basedOn w:val="1"/>
    <w:autoRedefine/>
    <w:qFormat/>
    <w:uiPriority w:val="0"/>
    <w:rPr>
      <w:sz w:val="24"/>
      <w:szCs w:val="24"/>
    </w:rPr>
  </w:style>
  <w:style w:type="paragraph" w:styleId="25">
    <w:name w:val="annotation subject"/>
    <w:basedOn w:val="10"/>
    <w:next w:val="10"/>
    <w:link w:val="42"/>
    <w:autoRedefine/>
    <w:qFormat/>
    <w:uiPriority w:val="0"/>
    <w:rPr>
      <w:b/>
      <w:bCs/>
    </w:rPr>
  </w:style>
  <w:style w:type="paragraph" w:styleId="26">
    <w:name w:val="Body Text First Indent 2"/>
    <w:basedOn w:val="13"/>
    <w:autoRedefine/>
    <w:qFormat/>
    <w:uiPriority w:val="99"/>
    <w:pPr>
      <w:autoSpaceDE/>
      <w:autoSpaceDN/>
      <w:spacing w:after="120" w:line="360" w:lineRule="atLeast"/>
      <w:ind w:left="420" w:firstLine="210"/>
      <w:jc w:val="left"/>
      <w:textAlignment w:val="baseline"/>
    </w:pPr>
    <w:rPr>
      <w:rFonts w:ascii="Times New Roman"/>
      <w:spacing w:val="0"/>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autoRedefine/>
    <w:qFormat/>
    <w:uiPriority w:val="99"/>
    <w:rPr>
      <w:rFonts w:ascii="Times New Roman" w:hAnsi="Times New Roman" w:eastAsia="宋体" w:cs="Times New Roman"/>
      <w:color w:val="0000FF"/>
      <w:u w:val="single"/>
    </w:rPr>
  </w:style>
  <w:style w:type="character" w:styleId="32">
    <w:name w:val="annotation reference"/>
    <w:basedOn w:val="29"/>
    <w:autoRedefine/>
    <w:qFormat/>
    <w:uiPriority w:val="0"/>
    <w:rPr>
      <w:sz w:val="21"/>
      <w:szCs w:val="21"/>
    </w:rPr>
  </w:style>
  <w:style w:type="paragraph" w:customStyle="1" w:styleId="33">
    <w:name w:val="样式 标题 3 + (中文) 黑体 小四 非加粗 段前: 7.8 磅 段后: 0 磅 行距: 固定值 20 磅"/>
    <w:basedOn w:val="4"/>
    <w:next w:val="34"/>
    <w:autoRedefine/>
    <w:qFormat/>
    <w:uiPriority w:val="0"/>
    <w:pPr>
      <w:spacing w:line="400" w:lineRule="exact"/>
    </w:pPr>
    <w:rPr>
      <w:rFonts w:eastAsia="黑体" w:cs="宋体"/>
      <w:b w:val="0"/>
      <w:szCs w:val="20"/>
    </w:rPr>
  </w:style>
  <w:style w:type="paragraph" w:customStyle="1" w:styleId="34">
    <w:name w:val="font7"/>
    <w:basedOn w:val="3"/>
    <w:next w:val="15"/>
    <w:autoRedefine/>
    <w:qFormat/>
    <w:uiPriority w:val="0"/>
    <w:pPr>
      <w:widowControl/>
      <w:spacing w:before="280" w:after="280" w:line="240" w:lineRule="auto"/>
      <w:ind w:left="3584" w:firstLine="4"/>
      <w:outlineLvl w:val="0"/>
    </w:pPr>
  </w:style>
  <w:style w:type="paragraph" w:customStyle="1" w:styleId="35">
    <w:name w:val="_Style 151"/>
    <w:basedOn w:val="1"/>
    <w:autoRedefine/>
    <w:qFormat/>
    <w:uiPriority w:val="0"/>
    <w:pPr>
      <w:ind w:firstLine="420" w:firstLineChars="200"/>
    </w:pPr>
    <w:rPr>
      <w:szCs w:val="24"/>
    </w:rPr>
  </w:style>
  <w:style w:type="paragraph" w:customStyle="1" w:styleId="36">
    <w:name w:val="123"/>
    <w:basedOn w:val="1"/>
    <w:autoRedefine/>
    <w:qFormat/>
    <w:uiPriority w:val="0"/>
    <w:pPr>
      <w:numPr>
        <w:ilvl w:val="1"/>
        <w:numId w:val="1"/>
      </w:numPr>
    </w:pPr>
    <w:rPr>
      <w:bCs/>
      <w:szCs w:val="24"/>
    </w:rPr>
  </w:style>
  <w:style w:type="paragraph" w:customStyle="1" w:styleId="37">
    <w:name w:val="_Style 1"/>
    <w:basedOn w:val="1"/>
    <w:autoRedefine/>
    <w:qFormat/>
    <w:uiPriority w:val="0"/>
    <w:pPr>
      <w:ind w:firstLine="420" w:firstLineChars="200"/>
    </w:pPr>
    <w:rPr>
      <w:szCs w:val="24"/>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批注框文本 Char"/>
    <w:basedOn w:val="29"/>
    <w:link w:val="19"/>
    <w:autoRedefine/>
    <w:qFormat/>
    <w:uiPriority w:val="0"/>
    <w:rPr>
      <w:kern w:val="2"/>
      <w:sz w:val="18"/>
      <w:szCs w:val="18"/>
    </w:rPr>
  </w:style>
  <w:style w:type="character" w:customStyle="1" w:styleId="40">
    <w:name w:val="页脚 Char"/>
    <w:basedOn w:val="29"/>
    <w:link w:val="20"/>
    <w:autoRedefine/>
    <w:qFormat/>
    <w:uiPriority w:val="0"/>
    <w:rPr>
      <w:kern w:val="2"/>
      <w:sz w:val="18"/>
      <w:szCs w:val="18"/>
    </w:rPr>
  </w:style>
  <w:style w:type="character" w:customStyle="1" w:styleId="41">
    <w:name w:val="批注文字 Char"/>
    <w:basedOn w:val="29"/>
    <w:link w:val="10"/>
    <w:autoRedefine/>
    <w:qFormat/>
    <w:uiPriority w:val="0"/>
    <w:rPr>
      <w:kern w:val="2"/>
      <w:sz w:val="21"/>
    </w:rPr>
  </w:style>
  <w:style w:type="character" w:customStyle="1" w:styleId="42">
    <w:name w:val="批注主题 Char"/>
    <w:basedOn w:val="41"/>
    <w:link w:val="25"/>
    <w:autoRedefine/>
    <w:qFormat/>
    <w:uiPriority w:val="0"/>
    <w:rPr>
      <w:b/>
      <w:bCs/>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头"/>
    <w:basedOn w:val="1"/>
    <w:autoRedefine/>
    <w:qFormat/>
    <w:uiPriority w:val="0"/>
    <w:pPr>
      <w:adjustRightInd w:val="0"/>
      <w:snapToGrid w:val="0"/>
      <w:spacing w:line="312" w:lineRule="auto"/>
      <w:jc w:val="center"/>
      <w:textAlignment w:val="baseline"/>
    </w:pPr>
    <w:rPr>
      <w:rFonts w:ascii="黑体" w:eastAsia="黑体"/>
      <w:b/>
      <w:color w:val="000000"/>
      <w:spacing w:val="6"/>
      <w:kern w:val="0"/>
      <w:sz w:val="32"/>
    </w:rPr>
  </w:style>
  <w:style w:type="paragraph" w:styleId="45">
    <w:name w:val="No Spacing"/>
    <w:autoRedefine/>
    <w:qFormat/>
    <w:uiPriority w:val="1"/>
    <w:rPr>
      <w:rFonts w:ascii="Calibri" w:hAnsi="Calibri" w:eastAsia="宋体" w:cs="Times New Roman"/>
      <w:sz w:val="22"/>
      <w:szCs w:val="22"/>
      <w:lang w:val="en-US" w:eastAsia="zh-CN" w:bidi="ar-SA"/>
    </w:rPr>
  </w:style>
  <w:style w:type="paragraph" w:customStyle="1" w:styleId="46">
    <w:name w:val="yzh-正文段落"/>
    <w:basedOn w:val="11"/>
    <w:autoRedefine/>
    <w:qFormat/>
    <w:uiPriority w:val="0"/>
    <w:pPr>
      <w:adjustRightInd w:val="0"/>
      <w:snapToGrid w:val="0"/>
      <w:ind w:left="735" w:leftChars="350" w:firstLine="480" w:firstLineChars="200"/>
      <w:textAlignment w:val="center"/>
    </w:pPr>
    <w:rPr>
      <w:rFonts w:ascii="宋体" w:hAnsi="宋体"/>
      <w:snapToGrid w:val="0"/>
      <w:spacing w:val="0"/>
      <w:sz w:val="24"/>
      <w:szCs w:val="24"/>
    </w:rPr>
  </w:style>
  <w:style w:type="paragraph" w:customStyle="1" w:styleId="47">
    <w:name w:val="yzh-款"/>
    <w:basedOn w:val="1"/>
    <w:next w:val="46"/>
    <w:autoRedefine/>
    <w:qFormat/>
    <w:uiPriority w:val="0"/>
    <w:pPr>
      <w:adjustRightInd w:val="0"/>
      <w:snapToGrid w:val="0"/>
      <w:spacing w:line="480" w:lineRule="auto"/>
      <w:jc w:val="left"/>
      <w:textAlignment w:val="center"/>
      <w:outlineLvl w:val="3"/>
    </w:pPr>
    <w:rPr>
      <w:rFonts w:ascii="宋体" w:hAnsi="宋体" w:eastAsia="黑体"/>
      <w:b/>
      <w:kern w:val="0"/>
      <w:sz w:val="24"/>
      <w:szCs w:val="24"/>
      <w:shd w:val="clear" w:color="auto" w:fill="FFFFFF"/>
    </w:rPr>
  </w:style>
  <w:style w:type="paragraph" w:customStyle="1" w:styleId="48">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ascii="Calibri" w:hAnsi="Calibri" w:eastAsia="宋体" w:cs="宋体"/>
      <w:b/>
      <w:bCs/>
      <w:color w:val="000000"/>
      <w:kern w:val="20"/>
      <w:sz w:val="24"/>
      <w:szCs w:val="20"/>
    </w:rPr>
  </w:style>
  <w:style w:type="paragraph" w:customStyle="1" w:styleId="49">
    <w:name w:val="Normal_1"/>
    <w:qFormat/>
    <w:uiPriority w:val="0"/>
    <w:rPr>
      <w:rFonts w:ascii="Times New Roman" w:hAnsi="Times New Roman" w:eastAsia="宋体" w:cs="Times New Roman"/>
      <w:sz w:val="24"/>
      <w:szCs w:val="24"/>
      <w:lang w:val="en-US" w:eastAsia="zh-CN" w:bidi="ar-SA"/>
    </w:rPr>
  </w:style>
  <w:style w:type="character" w:customStyle="1" w:styleId="50">
    <w:name w:val="不明显强调1"/>
    <w:qFormat/>
    <w:uiPriority w:val="19"/>
    <w:rPr>
      <w:rFonts w:eastAsia="宋体"/>
      <w:iCs/>
      <w:color w:val="auto"/>
      <w:sz w:val="21"/>
    </w:rPr>
  </w:style>
  <w:style w:type="paragraph" w:customStyle="1" w:styleId="51">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27790</Words>
  <Characters>29501</Characters>
  <Lines>210</Lines>
  <Paragraphs>59</Paragraphs>
  <TotalTime>3</TotalTime>
  <ScaleCrop>false</ScaleCrop>
  <LinksUpToDate>false</LinksUpToDate>
  <CharactersWithSpaces>31727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2022-11-01T09:02:00Z</dcterms:created>
  <dc:creator>Administrator</dc:creator>
  <cp:lastModifiedBy>lenovo</cp:lastModifiedBy>
  <cp:lastPrinted>2024-06-19T00:52:00Z</cp:lastPrinted>
  <dcterms:modified xsi:type="dcterms:W3CDTF">2024-08-05T05:43:13Z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503BF3F5370D40A9B5774E382302AB04_13</vt:lpwstr>
  </property>
</Properties>
</file>