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720" w:hanging="720" w:hangingChars="200"/>
        <w:rPr>
          <w:rFonts w:hint="eastAsia" w:ascii="宋体" w:hAnsi="宋体" w:cs="宋体"/>
          <w:b/>
          <w:bCs/>
          <w:color w:val="auto"/>
          <w:sz w:val="84"/>
          <w:highlight w:val="none"/>
        </w:rPr>
      </w:pPr>
      <w:bookmarkStart w:id="263" w:name="_GoBack"/>
      <w:r>
        <w:rPr>
          <w:rFonts w:hint="eastAsia" w:ascii="宋体" w:hAnsi="宋体" w:cs="宋体"/>
          <w:color w:val="auto"/>
          <w:sz w:val="36"/>
          <w:highlight w:val="none"/>
        </w:rPr>
        <w:t xml:space="preserve"> </w:t>
      </w:r>
    </w:p>
    <w:p>
      <w:pPr>
        <w:pStyle w:val="8"/>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spacing w:line="360" w:lineRule="auto"/>
        <w:jc w:val="center"/>
        <w:rPr>
          <w:rFonts w:hint="eastAsia" w:ascii="宋体" w:hAnsi="宋体" w:cs="宋体"/>
          <w:b/>
          <w:bCs/>
          <w:color w:val="auto"/>
          <w:sz w:val="44"/>
          <w:highlight w:val="none"/>
        </w:rPr>
      </w:pPr>
    </w:p>
    <w:p>
      <w:pPr>
        <w:spacing w:line="360" w:lineRule="auto"/>
        <w:jc w:val="center"/>
        <w:rPr>
          <w:rFonts w:hint="eastAsia" w:ascii="宋体" w:hAnsi="宋体" w:cs="宋体"/>
          <w:b/>
          <w:bCs/>
          <w:color w:val="auto"/>
          <w:sz w:val="44"/>
          <w:highlight w:val="none"/>
        </w:rPr>
      </w:pPr>
    </w:p>
    <w:p>
      <w:pPr>
        <w:spacing w:line="360" w:lineRule="auto"/>
        <w:jc w:val="center"/>
        <w:rPr>
          <w:rFonts w:hint="eastAsia" w:ascii="宋体" w:hAnsi="宋体" w:cs="宋体"/>
          <w:b/>
          <w:bCs/>
          <w:color w:val="auto"/>
          <w:sz w:val="84"/>
          <w:highlight w:val="none"/>
        </w:rPr>
      </w:pPr>
      <w:r>
        <w:rPr>
          <w:rFonts w:hint="eastAsia" w:ascii="宋体" w:hAnsi="宋体" w:cs="宋体"/>
          <w:b/>
          <w:bCs/>
          <w:color w:val="auto"/>
          <w:sz w:val="84"/>
          <w:highlight w:val="none"/>
        </w:rPr>
        <w:t>招 标 文 件</w:t>
      </w:r>
    </w:p>
    <w:p>
      <w:pPr>
        <w:tabs>
          <w:tab w:val="left" w:pos="5408"/>
        </w:tabs>
        <w:spacing w:line="360" w:lineRule="auto"/>
        <w:jc w:val="left"/>
        <w:rPr>
          <w:rFonts w:hint="eastAsia" w:ascii="宋体" w:hAnsi="宋体" w:cs="宋体"/>
          <w:b/>
          <w:bCs/>
          <w:color w:val="auto"/>
          <w:sz w:val="84"/>
          <w:highlight w:val="none"/>
        </w:rPr>
      </w:pPr>
      <w:r>
        <w:rPr>
          <w:rFonts w:hint="eastAsia" w:ascii="宋体" w:hAnsi="宋体" w:cs="宋体"/>
          <w:b/>
          <w:bCs/>
          <w:color w:val="auto"/>
          <w:sz w:val="84"/>
          <w:highlight w:val="none"/>
        </w:rPr>
        <w:tab/>
      </w:r>
    </w:p>
    <w:p>
      <w:pPr>
        <w:spacing w:line="360" w:lineRule="auto"/>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招标编号：LNGX-2403020</w:t>
      </w:r>
    </w:p>
    <w:p>
      <w:pPr>
        <w:spacing w:line="360" w:lineRule="auto"/>
        <w:ind w:right="1016" w:rightChars="484"/>
        <w:rPr>
          <w:rFonts w:hint="eastAsia" w:ascii="宋体" w:hAnsi="宋体" w:cs="宋体"/>
          <w:b/>
          <w:bCs/>
          <w:color w:val="auto"/>
          <w:sz w:val="32"/>
          <w:szCs w:val="32"/>
          <w:highlight w:val="none"/>
        </w:rPr>
      </w:pPr>
    </w:p>
    <w:p>
      <w:pPr>
        <w:spacing w:line="360" w:lineRule="auto"/>
        <w:ind w:left="1417" w:right="42" w:rightChars="20" w:hanging="1417" w:hangingChars="441"/>
        <w:rPr>
          <w:rFonts w:hint="eastAsia" w:ascii="宋体" w:hAnsi="宋体" w:cs="宋体"/>
          <w:b/>
          <w:color w:val="auto"/>
          <w:kern w:val="0"/>
          <w:sz w:val="30"/>
          <w:szCs w:val="30"/>
          <w:highlight w:val="none"/>
        </w:rPr>
      </w:pPr>
      <w:r>
        <w:rPr>
          <w:rFonts w:hint="eastAsia" w:ascii="宋体" w:hAnsi="宋体" w:cs="宋体"/>
          <w:b/>
          <w:color w:val="auto"/>
          <w:kern w:val="0"/>
          <w:sz w:val="32"/>
          <w:szCs w:val="32"/>
          <w:highlight w:val="none"/>
        </w:rPr>
        <w:t>项目名称：</w:t>
      </w:r>
      <w:r>
        <w:rPr>
          <w:rFonts w:hint="eastAsia" w:ascii="宋体" w:hAnsi="宋体" w:cs="宋体"/>
          <w:b/>
          <w:color w:val="auto"/>
          <w:kern w:val="0"/>
          <w:sz w:val="30"/>
          <w:szCs w:val="30"/>
          <w:highlight w:val="none"/>
        </w:rPr>
        <w:t>辽宁省营口市海洋生态保护修复工程项目跟踪监测服务</w:t>
      </w:r>
    </w:p>
    <w:p>
      <w:pPr>
        <w:spacing w:line="360" w:lineRule="auto"/>
        <w:jc w:val="center"/>
        <w:rPr>
          <w:rFonts w:hint="eastAsia" w:ascii="宋体" w:hAnsi="宋体" w:cs="宋体"/>
          <w:b/>
          <w:color w:val="auto"/>
          <w:sz w:val="28"/>
          <w:szCs w:val="28"/>
          <w:highlight w:val="none"/>
        </w:rPr>
      </w:pPr>
    </w:p>
    <w:p>
      <w:pPr>
        <w:spacing w:line="360" w:lineRule="auto"/>
        <w:ind w:left="1417" w:right="42" w:rightChars="20" w:hanging="1417" w:hangingChars="441"/>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招标人：营口市自然资源局</w:t>
      </w:r>
    </w:p>
    <w:p>
      <w:pPr>
        <w:spacing w:line="360" w:lineRule="auto"/>
        <w:ind w:left="1417" w:right="42" w:rightChars="20" w:hanging="1417" w:hangingChars="441"/>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招标代理机构：辽宁国信建设工程管理有限公司</w:t>
      </w:r>
    </w:p>
    <w:p>
      <w:pPr>
        <w:spacing w:line="360" w:lineRule="auto"/>
        <w:rPr>
          <w:rFonts w:hint="eastAsia" w:ascii="宋体" w:hAnsi="宋体" w:cs="宋体"/>
          <w:color w:val="auto"/>
          <w:szCs w:val="24"/>
          <w:highlight w:val="none"/>
        </w:rPr>
      </w:pPr>
    </w:p>
    <w:p>
      <w:pPr>
        <w:spacing w:line="360" w:lineRule="auto"/>
        <w:rPr>
          <w:rFonts w:hint="eastAsia" w:ascii="宋体" w:hAnsi="宋体" w:cs="宋体"/>
          <w:color w:val="auto"/>
          <w:szCs w:val="24"/>
          <w:highlight w:val="none"/>
        </w:rPr>
      </w:pPr>
    </w:p>
    <w:p>
      <w:pPr>
        <w:spacing w:line="360" w:lineRule="auto"/>
        <w:jc w:val="center"/>
        <w:rPr>
          <w:rFonts w:hint="eastAsia" w:ascii="宋体" w:hAnsi="宋体" w:cs="宋体"/>
          <w:b/>
          <w:color w:val="auto"/>
          <w:sz w:val="36"/>
          <w:szCs w:val="28"/>
          <w:highlight w:val="none"/>
        </w:rPr>
      </w:pPr>
      <w:r>
        <w:rPr>
          <w:rFonts w:hint="eastAsia" w:ascii="宋体" w:hAnsi="宋体" w:cs="宋体"/>
          <w:b/>
          <w:color w:val="auto"/>
          <w:sz w:val="28"/>
          <w:szCs w:val="28"/>
          <w:highlight w:val="none"/>
        </w:rPr>
        <w:t>2024年</w:t>
      </w:r>
      <w:r>
        <w:rPr>
          <w:rFonts w:hint="eastAsia" w:ascii="宋体" w:hAnsi="宋体" w:cs="宋体"/>
          <w:b/>
          <w:color w:val="auto"/>
          <w:sz w:val="28"/>
          <w:szCs w:val="28"/>
          <w:highlight w:val="none"/>
          <w:lang w:eastAsia="zh-CN"/>
        </w:rPr>
        <w:t>7</w:t>
      </w:r>
      <w:r>
        <w:rPr>
          <w:rFonts w:hint="eastAsia" w:ascii="宋体" w:hAnsi="宋体" w:cs="宋体"/>
          <w:b/>
          <w:color w:val="auto"/>
          <w:sz w:val="28"/>
          <w:szCs w:val="28"/>
          <w:highlight w:val="none"/>
        </w:rPr>
        <w:t>月</w:t>
      </w:r>
    </w:p>
    <w:p>
      <w:pPr>
        <w:spacing w:line="360" w:lineRule="auto"/>
        <w:jc w:val="center"/>
        <w:rPr>
          <w:rFonts w:hint="eastAsia" w:ascii="宋体" w:hAnsi="宋体" w:eastAsia="宋体" w:cs="宋体"/>
          <w:b/>
          <w:color w:val="auto"/>
          <w:sz w:val="36"/>
          <w:szCs w:val="28"/>
          <w:highlight w:val="none"/>
        </w:rPr>
        <w:sectPr>
          <w:footerReference r:id="rId5" w:type="first"/>
          <w:headerReference r:id="rId3" w:type="default"/>
          <w:footerReference r:id="rId4" w:type="default"/>
          <w:pgSz w:w="11906" w:h="16838"/>
          <w:pgMar w:top="1440" w:right="1800" w:bottom="1440" w:left="1800" w:header="851" w:footer="992" w:gutter="0"/>
          <w:cols w:space="720" w:num="1"/>
          <w:docGrid w:type="lines" w:linePitch="312" w:charSpace="0"/>
        </w:sectPr>
      </w:pPr>
    </w:p>
    <w:p>
      <w:pPr>
        <w:autoSpaceDE w:val="0"/>
        <w:autoSpaceDN w:val="0"/>
        <w:adjustRightInd w:val="0"/>
        <w:spacing w:line="360" w:lineRule="auto"/>
        <w:jc w:val="center"/>
        <w:rPr>
          <w:rFonts w:hint="eastAsia" w:ascii="宋体" w:hAnsi="宋体" w:cs="宋体"/>
          <w:b/>
          <w:color w:val="auto"/>
          <w:sz w:val="32"/>
          <w:highlight w:val="none"/>
        </w:rPr>
      </w:pPr>
      <w:r>
        <w:rPr>
          <w:rFonts w:hint="eastAsia" w:ascii="宋体" w:hAnsi="宋体" w:cs="宋体"/>
          <w:b/>
          <w:color w:val="auto"/>
          <w:sz w:val="32"/>
          <w:highlight w:val="none"/>
        </w:rPr>
        <w:t>目 录</w:t>
      </w:r>
    </w:p>
    <w:p>
      <w:pPr>
        <w:autoSpaceDE w:val="0"/>
        <w:autoSpaceDN w:val="0"/>
        <w:adjustRightInd w:val="0"/>
        <w:spacing w:line="360" w:lineRule="auto"/>
        <w:jc w:val="center"/>
        <w:rPr>
          <w:rFonts w:hint="eastAsia" w:ascii="宋体" w:hAnsi="宋体" w:cs="宋体"/>
          <w:b/>
          <w:color w:val="auto"/>
          <w:sz w:val="32"/>
          <w:highlight w:val="none"/>
        </w:rPr>
      </w:pPr>
    </w:p>
    <w:p>
      <w:pPr>
        <w:spacing w:line="360" w:lineRule="auto"/>
        <w:rPr>
          <w:rFonts w:hint="eastAsia" w:ascii="宋体" w:hAnsi="宋体" w:cs="宋体"/>
          <w:color w:val="auto"/>
          <w:highlight w:val="none"/>
        </w:rPr>
      </w:pPr>
    </w:p>
    <w:p>
      <w:pPr>
        <w:pStyle w:val="19"/>
        <w:tabs>
          <w:tab w:val="right" w:leader="dot" w:pos="9355"/>
        </w:tabs>
        <w:rPr>
          <w:rFonts w:hint="eastAsia" w:ascii="宋体" w:hAnsi="宋体" w:cs="宋体"/>
          <w:color w:val="auto"/>
          <w:highlight w:val="none"/>
        </w:rPr>
      </w:pPr>
      <w:r>
        <w:rPr>
          <w:rFonts w:hint="eastAsia" w:ascii="宋体" w:hAnsi="宋体" w:cs="宋体"/>
          <w:color w:val="auto"/>
          <w:sz w:val="28"/>
          <w:szCs w:val="28"/>
          <w:highlight w:val="none"/>
        </w:rPr>
        <w:fldChar w:fldCharType="begin"/>
      </w:r>
      <w:r>
        <w:rPr>
          <w:rStyle w:val="30"/>
          <w:rFonts w:hint="eastAsia" w:ascii="宋体" w:hAnsi="宋体" w:cs="宋体"/>
          <w:color w:val="auto"/>
          <w:sz w:val="28"/>
          <w:szCs w:val="28"/>
          <w:highlight w:val="none"/>
        </w:rPr>
        <w:instrText xml:space="preserve"> TOC \o "1-3" \h \z \u </w:instrText>
      </w:r>
      <w:r>
        <w:rPr>
          <w:rFonts w:hint="eastAsia" w:ascii="宋体" w:hAnsi="宋体" w:cs="宋体"/>
          <w:color w:val="auto"/>
          <w:sz w:val="28"/>
          <w:szCs w:val="28"/>
          <w:highlight w:val="none"/>
        </w:rPr>
        <w:fldChar w:fldCharType="separate"/>
      </w:r>
      <w:r>
        <w:rPr>
          <w:rFonts w:hint="eastAsia" w:ascii="宋体" w:hAnsi="宋体" w:cs="宋体"/>
          <w:color w:val="auto"/>
          <w:highlight w:val="none"/>
        </w:rPr>
        <w:fldChar w:fldCharType="begin"/>
      </w:r>
      <w:r>
        <w:rPr>
          <w:rFonts w:hint="eastAsia" w:ascii="宋体" w:hAnsi="宋体" w:cs="宋体"/>
          <w:color w:val="auto"/>
          <w:highlight w:val="none"/>
        </w:rPr>
        <w:instrText xml:space="preserve">HYPERLINK  \l "_Toc25734" </w:instrText>
      </w:r>
      <w:r>
        <w:rPr>
          <w:rFonts w:hint="eastAsia" w:ascii="宋体" w:hAnsi="宋体" w:cs="宋体"/>
          <w:color w:val="auto"/>
          <w:highlight w:val="none"/>
        </w:rPr>
        <w:fldChar w:fldCharType="separate"/>
      </w:r>
      <w:r>
        <w:rPr>
          <w:rFonts w:hint="eastAsia" w:ascii="宋体" w:hAnsi="宋体" w:cs="宋体"/>
          <w:color w:val="auto"/>
          <w:w w:val="90"/>
          <w:highlight w:val="none"/>
        </w:rPr>
        <w:t xml:space="preserve">第一章 </w:t>
      </w:r>
      <w:r>
        <w:rPr>
          <w:rFonts w:hint="eastAsia" w:ascii="宋体" w:hAnsi="宋体" w:cs="宋体"/>
          <w:color w:val="auto"/>
          <w:highlight w:val="none"/>
        </w:rPr>
        <w:t>招标公告</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_Toc25734 \h </w:instrText>
      </w:r>
      <w:r>
        <w:rPr>
          <w:rFonts w:hint="eastAsia" w:ascii="宋体" w:hAnsi="宋体" w:cs="宋体"/>
          <w:color w:val="auto"/>
          <w:highlight w:val="none"/>
        </w:rPr>
        <w:fldChar w:fldCharType="separate"/>
      </w:r>
      <w:r>
        <w:rPr>
          <w:rFonts w:hint="eastAsia" w:ascii="宋体" w:hAnsi="宋体" w:cs="宋体"/>
          <w:color w:val="auto"/>
          <w:highlight w:val="none"/>
        </w:rPr>
        <w:t>3</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9"/>
        <w:tabs>
          <w:tab w:val="right" w:leader="dot" w:pos="9355"/>
        </w:tabs>
        <w:rPr>
          <w:rFonts w:hint="eastAsia" w:ascii="宋体" w:hAnsi="宋体" w:cs="宋体"/>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HYPERLINK  \l "_Toc18752" </w:instrText>
      </w:r>
      <w:r>
        <w:rPr>
          <w:rFonts w:hint="eastAsia" w:ascii="宋体" w:hAnsi="宋体" w:cs="宋体"/>
          <w:color w:val="auto"/>
          <w:highlight w:val="none"/>
        </w:rPr>
        <w:fldChar w:fldCharType="separate"/>
      </w:r>
      <w:r>
        <w:rPr>
          <w:rFonts w:hint="eastAsia" w:ascii="宋体" w:hAnsi="宋体" w:cs="宋体"/>
          <w:color w:val="auto"/>
          <w:w w:val="90"/>
          <w:highlight w:val="none"/>
        </w:rPr>
        <w:t xml:space="preserve">第二章 </w:t>
      </w:r>
      <w:r>
        <w:rPr>
          <w:rFonts w:hint="eastAsia" w:ascii="宋体" w:hAnsi="宋体" w:cs="宋体"/>
          <w:color w:val="auto"/>
          <w:szCs w:val="24"/>
          <w:highlight w:val="none"/>
        </w:rPr>
        <w:t>投标人须知</w:t>
      </w:r>
      <w:r>
        <w:rPr>
          <w:rFonts w:hint="eastAsia" w:ascii="宋体" w:hAnsi="宋体" w:cs="宋体"/>
          <w:color w:val="auto"/>
          <w:w w:val="90"/>
          <w:highlight w:val="none"/>
        </w:rPr>
        <w:t>前附表</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_Toc18752 \h </w:instrText>
      </w:r>
      <w:r>
        <w:rPr>
          <w:rFonts w:hint="eastAsia" w:ascii="宋体" w:hAnsi="宋体" w:cs="宋体"/>
          <w:color w:val="auto"/>
          <w:highlight w:val="none"/>
        </w:rPr>
        <w:fldChar w:fldCharType="separate"/>
      </w:r>
      <w:r>
        <w:rPr>
          <w:rFonts w:hint="eastAsia" w:ascii="宋体" w:hAnsi="宋体" w:cs="宋体"/>
          <w:color w:val="auto"/>
          <w:highlight w:val="none"/>
        </w:rPr>
        <w:t>6</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9"/>
        <w:tabs>
          <w:tab w:val="right" w:leader="dot" w:pos="9355"/>
        </w:tabs>
        <w:rPr>
          <w:rFonts w:hint="eastAsia" w:ascii="宋体" w:hAnsi="宋体" w:cs="宋体"/>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HYPERLINK  \l "_Toc8512" </w:instrText>
      </w:r>
      <w:r>
        <w:rPr>
          <w:rFonts w:hint="eastAsia" w:ascii="宋体" w:hAnsi="宋体" w:cs="宋体"/>
          <w:color w:val="auto"/>
          <w:highlight w:val="none"/>
        </w:rPr>
        <w:fldChar w:fldCharType="separate"/>
      </w:r>
      <w:r>
        <w:rPr>
          <w:rFonts w:hint="eastAsia" w:ascii="宋体" w:hAnsi="宋体" w:cs="宋体"/>
          <w:color w:val="auto"/>
          <w:w w:val="90"/>
          <w:highlight w:val="none"/>
        </w:rPr>
        <w:t xml:space="preserve">第三章 </w:t>
      </w:r>
      <w:r>
        <w:rPr>
          <w:rFonts w:hint="eastAsia" w:ascii="宋体" w:hAnsi="宋体" w:cs="宋体"/>
          <w:color w:val="auto"/>
          <w:szCs w:val="24"/>
          <w:highlight w:val="none"/>
        </w:rPr>
        <w:t>投标人须知</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_Toc8512 \h </w:instrText>
      </w:r>
      <w:r>
        <w:rPr>
          <w:rFonts w:hint="eastAsia" w:ascii="宋体" w:hAnsi="宋体" w:cs="宋体"/>
          <w:color w:val="auto"/>
          <w:highlight w:val="none"/>
        </w:rPr>
        <w:fldChar w:fldCharType="separate"/>
      </w:r>
      <w:r>
        <w:rPr>
          <w:rFonts w:hint="eastAsia" w:ascii="宋体" w:hAnsi="宋体" w:cs="宋体"/>
          <w:color w:val="auto"/>
          <w:highlight w:val="none"/>
        </w:rPr>
        <w:t>11</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9"/>
        <w:tabs>
          <w:tab w:val="right" w:leader="dot" w:pos="9355"/>
        </w:tabs>
        <w:rPr>
          <w:rFonts w:hint="eastAsia" w:ascii="宋体" w:hAnsi="宋体" w:cs="宋体"/>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HYPERLINK  \l "_Toc10022" </w:instrText>
      </w:r>
      <w:r>
        <w:rPr>
          <w:rFonts w:hint="eastAsia" w:ascii="宋体" w:hAnsi="宋体" w:cs="宋体"/>
          <w:color w:val="auto"/>
          <w:highlight w:val="none"/>
        </w:rPr>
        <w:fldChar w:fldCharType="separate"/>
      </w:r>
      <w:r>
        <w:rPr>
          <w:rFonts w:hint="eastAsia" w:ascii="宋体" w:hAnsi="宋体" w:cs="宋体"/>
          <w:color w:val="auto"/>
          <w:w w:val="90"/>
          <w:highlight w:val="none"/>
        </w:rPr>
        <w:t>第四章 合同主要条款</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_Toc10022 \h </w:instrText>
      </w:r>
      <w:r>
        <w:rPr>
          <w:rFonts w:hint="eastAsia" w:ascii="宋体" w:hAnsi="宋体" w:cs="宋体"/>
          <w:color w:val="auto"/>
          <w:highlight w:val="none"/>
        </w:rPr>
        <w:fldChar w:fldCharType="separate"/>
      </w:r>
      <w:r>
        <w:rPr>
          <w:rFonts w:hint="eastAsia" w:ascii="宋体" w:hAnsi="宋体" w:cs="宋体"/>
          <w:color w:val="auto"/>
          <w:highlight w:val="none"/>
        </w:rPr>
        <w:t>23</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9"/>
        <w:tabs>
          <w:tab w:val="right" w:leader="dot" w:pos="9355"/>
        </w:tabs>
        <w:rPr>
          <w:rFonts w:hint="eastAsia" w:ascii="宋体" w:hAnsi="宋体" w:cs="宋体"/>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HYPERLINK  \l "_Toc22813" </w:instrText>
      </w:r>
      <w:r>
        <w:rPr>
          <w:rFonts w:hint="eastAsia" w:ascii="宋体" w:hAnsi="宋体" w:cs="宋体"/>
          <w:color w:val="auto"/>
          <w:highlight w:val="none"/>
        </w:rPr>
        <w:fldChar w:fldCharType="separate"/>
      </w:r>
      <w:r>
        <w:rPr>
          <w:rFonts w:hint="eastAsia" w:ascii="宋体" w:hAnsi="宋体" w:cs="宋体"/>
          <w:color w:val="auto"/>
          <w:w w:val="90"/>
          <w:highlight w:val="none"/>
        </w:rPr>
        <w:t>第五章 项目情况及服务需求</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_Toc22813 \h </w:instrText>
      </w:r>
      <w:r>
        <w:rPr>
          <w:rFonts w:hint="eastAsia" w:ascii="宋体" w:hAnsi="宋体" w:cs="宋体"/>
          <w:color w:val="auto"/>
          <w:highlight w:val="none"/>
        </w:rPr>
        <w:fldChar w:fldCharType="separate"/>
      </w:r>
      <w:r>
        <w:rPr>
          <w:rFonts w:hint="eastAsia" w:ascii="宋体" w:hAnsi="宋体" w:cs="宋体"/>
          <w:color w:val="auto"/>
          <w:highlight w:val="none"/>
        </w:rPr>
        <w:t>28</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9"/>
        <w:tabs>
          <w:tab w:val="right" w:leader="dot" w:pos="9355"/>
        </w:tabs>
        <w:rPr>
          <w:rFonts w:hint="eastAsia" w:ascii="宋体" w:hAnsi="宋体" w:cs="宋体"/>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HYPERLINK  \l "_Toc29388" </w:instrText>
      </w:r>
      <w:r>
        <w:rPr>
          <w:rFonts w:hint="eastAsia" w:ascii="宋体" w:hAnsi="宋体" w:cs="宋体"/>
          <w:color w:val="auto"/>
          <w:highlight w:val="none"/>
        </w:rPr>
        <w:fldChar w:fldCharType="separate"/>
      </w:r>
      <w:r>
        <w:rPr>
          <w:rFonts w:hint="eastAsia" w:ascii="宋体" w:hAnsi="宋体" w:cs="宋体"/>
          <w:color w:val="auto"/>
          <w:w w:val="90"/>
          <w:highlight w:val="none"/>
        </w:rPr>
        <w:t>第六章 附件（投标文件格式）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_Toc29388 \h </w:instrText>
      </w:r>
      <w:r>
        <w:rPr>
          <w:rFonts w:hint="eastAsia" w:ascii="宋体" w:hAnsi="宋体" w:cs="宋体"/>
          <w:color w:val="auto"/>
          <w:highlight w:val="none"/>
        </w:rPr>
        <w:fldChar w:fldCharType="separate"/>
      </w:r>
      <w:r>
        <w:rPr>
          <w:rFonts w:hint="eastAsia" w:ascii="宋体" w:hAnsi="宋体" w:cs="宋体"/>
          <w:color w:val="auto"/>
          <w:highlight w:val="none"/>
        </w:rPr>
        <w:t>31</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2"/>
        <w:tabs>
          <w:tab w:val="right" w:leader="dot" w:pos="9355"/>
          <w:tab w:val="clear" w:pos="9628"/>
        </w:tabs>
        <w:rPr>
          <w:rFonts w:hint="eastAsia" w:ascii="宋体" w:hAnsi="宋体" w:cs="宋体"/>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HYPERLINK  \l "_Toc16137" </w:instrText>
      </w:r>
      <w:r>
        <w:rPr>
          <w:rFonts w:hint="eastAsia" w:ascii="宋体" w:hAnsi="宋体" w:cs="宋体"/>
          <w:color w:val="auto"/>
          <w:highlight w:val="none"/>
        </w:rPr>
        <w:fldChar w:fldCharType="separate"/>
      </w:r>
      <w:r>
        <w:rPr>
          <w:rFonts w:hint="eastAsia" w:ascii="宋体" w:hAnsi="宋体" w:cs="宋体"/>
          <w:color w:val="auto"/>
          <w:highlight w:val="none"/>
        </w:rPr>
        <w:t>第一部分 投标函部分</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_Toc16137 \h </w:instrText>
      </w:r>
      <w:r>
        <w:rPr>
          <w:rFonts w:hint="eastAsia" w:ascii="宋体" w:hAnsi="宋体" w:cs="宋体"/>
          <w:color w:val="auto"/>
          <w:highlight w:val="none"/>
        </w:rPr>
        <w:fldChar w:fldCharType="separate"/>
      </w:r>
      <w:r>
        <w:rPr>
          <w:rFonts w:hint="eastAsia" w:ascii="宋体" w:hAnsi="宋体" w:cs="宋体"/>
          <w:color w:val="auto"/>
          <w:highlight w:val="none"/>
        </w:rPr>
        <w:t>33</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2"/>
        <w:tabs>
          <w:tab w:val="right" w:leader="dot" w:pos="9355"/>
          <w:tab w:val="clear" w:pos="9628"/>
        </w:tabs>
        <w:rPr>
          <w:rFonts w:hint="eastAsia" w:ascii="宋体" w:hAnsi="宋体" w:cs="宋体"/>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HYPERLINK  \l "_Toc28002" </w:instrText>
      </w:r>
      <w:r>
        <w:rPr>
          <w:rFonts w:hint="eastAsia" w:ascii="宋体" w:hAnsi="宋体" w:cs="宋体"/>
          <w:color w:val="auto"/>
          <w:highlight w:val="none"/>
        </w:rPr>
        <w:fldChar w:fldCharType="separate"/>
      </w:r>
      <w:r>
        <w:rPr>
          <w:rFonts w:hint="eastAsia" w:ascii="宋体" w:hAnsi="宋体" w:cs="宋体"/>
          <w:color w:val="auto"/>
          <w:szCs w:val="28"/>
          <w:highlight w:val="none"/>
        </w:rPr>
        <w:t>1、投标函(格式)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_Toc28002 \h </w:instrText>
      </w:r>
      <w:r>
        <w:rPr>
          <w:rFonts w:hint="eastAsia" w:ascii="宋体" w:hAnsi="宋体" w:cs="宋体"/>
          <w:color w:val="auto"/>
          <w:highlight w:val="none"/>
        </w:rPr>
        <w:fldChar w:fldCharType="separate"/>
      </w:r>
      <w:r>
        <w:rPr>
          <w:rFonts w:hint="eastAsia" w:ascii="宋体" w:hAnsi="宋体" w:cs="宋体"/>
          <w:color w:val="auto"/>
          <w:highlight w:val="none"/>
        </w:rPr>
        <w:t>33</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2"/>
        <w:tabs>
          <w:tab w:val="right" w:leader="dot" w:pos="9355"/>
          <w:tab w:val="clear" w:pos="9628"/>
        </w:tabs>
        <w:rPr>
          <w:rFonts w:hint="eastAsia" w:ascii="宋体" w:hAnsi="宋体" w:cs="宋体"/>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HYPERLINK  \l "_Toc19545" </w:instrText>
      </w:r>
      <w:r>
        <w:rPr>
          <w:rFonts w:hint="eastAsia" w:ascii="宋体" w:hAnsi="宋体" w:cs="宋体"/>
          <w:color w:val="auto"/>
          <w:highlight w:val="none"/>
        </w:rPr>
        <w:fldChar w:fldCharType="separate"/>
      </w:r>
      <w:r>
        <w:rPr>
          <w:rFonts w:hint="eastAsia" w:ascii="宋体" w:hAnsi="宋体" w:cs="宋体"/>
          <w:color w:val="auto"/>
          <w:szCs w:val="28"/>
          <w:highlight w:val="none"/>
        </w:rPr>
        <w:t>2、投标函附录格式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_Toc19545 \h </w:instrText>
      </w:r>
      <w:r>
        <w:rPr>
          <w:rFonts w:hint="eastAsia" w:ascii="宋体" w:hAnsi="宋体" w:cs="宋体"/>
          <w:color w:val="auto"/>
          <w:highlight w:val="none"/>
        </w:rPr>
        <w:fldChar w:fldCharType="separate"/>
      </w:r>
      <w:r>
        <w:rPr>
          <w:rFonts w:hint="eastAsia" w:ascii="宋体" w:hAnsi="宋体" w:cs="宋体"/>
          <w:color w:val="auto"/>
          <w:highlight w:val="none"/>
        </w:rPr>
        <w:t>34</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2"/>
        <w:tabs>
          <w:tab w:val="right" w:leader="dot" w:pos="9355"/>
          <w:tab w:val="clear" w:pos="9628"/>
        </w:tabs>
        <w:rPr>
          <w:rFonts w:hint="eastAsia" w:ascii="宋体" w:hAnsi="宋体" w:cs="宋体"/>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HYPERLINK  \l "_Toc18397" </w:instrText>
      </w:r>
      <w:r>
        <w:rPr>
          <w:rFonts w:hint="eastAsia" w:ascii="宋体" w:hAnsi="宋体" w:cs="宋体"/>
          <w:color w:val="auto"/>
          <w:highlight w:val="none"/>
        </w:rPr>
        <w:fldChar w:fldCharType="separate"/>
      </w:r>
      <w:r>
        <w:rPr>
          <w:rFonts w:hint="eastAsia" w:ascii="宋体" w:hAnsi="宋体" w:cs="宋体"/>
          <w:color w:val="auto"/>
          <w:highlight w:val="none"/>
        </w:rPr>
        <w:t>第二部分 资格审查部分</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_Toc18397 \h </w:instrText>
      </w:r>
      <w:r>
        <w:rPr>
          <w:rFonts w:hint="eastAsia" w:ascii="宋体" w:hAnsi="宋体" w:cs="宋体"/>
          <w:color w:val="auto"/>
          <w:highlight w:val="none"/>
        </w:rPr>
        <w:fldChar w:fldCharType="separate"/>
      </w:r>
      <w:r>
        <w:rPr>
          <w:rFonts w:hint="eastAsia" w:ascii="宋体" w:hAnsi="宋体" w:cs="宋体"/>
          <w:color w:val="auto"/>
          <w:highlight w:val="none"/>
        </w:rPr>
        <w:t>35</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2"/>
        <w:tabs>
          <w:tab w:val="right" w:leader="dot" w:pos="9355"/>
          <w:tab w:val="clear" w:pos="9628"/>
        </w:tabs>
        <w:rPr>
          <w:rFonts w:hint="eastAsia" w:ascii="宋体" w:hAnsi="宋体" w:cs="宋体"/>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HYPERLINK  \l "_Toc18633" </w:instrText>
      </w:r>
      <w:r>
        <w:rPr>
          <w:rFonts w:hint="eastAsia" w:ascii="宋体" w:hAnsi="宋体" w:cs="宋体"/>
          <w:color w:val="auto"/>
          <w:highlight w:val="none"/>
        </w:rPr>
        <w:fldChar w:fldCharType="separate"/>
      </w:r>
      <w:r>
        <w:rPr>
          <w:rFonts w:hint="eastAsia" w:ascii="宋体" w:hAnsi="宋体" w:cs="宋体"/>
          <w:color w:val="auto"/>
          <w:szCs w:val="28"/>
          <w:highlight w:val="none"/>
        </w:rPr>
        <w:t>1、投标人一般情况（格式）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_Toc18633 \h </w:instrText>
      </w:r>
      <w:r>
        <w:rPr>
          <w:rFonts w:hint="eastAsia" w:ascii="宋体" w:hAnsi="宋体" w:cs="宋体"/>
          <w:color w:val="auto"/>
          <w:highlight w:val="none"/>
        </w:rPr>
        <w:fldChar w:fldCharType="separate"/>
      </w:r>
      <w:r>
        <w:rPr>
          <w:rFonts w:hint="eastAsia" w:ascii="宋体" w:hAnsi="宋体" w:cs="宋体"/>
          <w:color w:val="auto"/>
          <w:highlight w:val="none"/>
        </w:rPr>
        <w:t>35</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2"/>
        <w:tabs>
          <w:tab w:val="right" w:leader="dot" w:pos="9355"/>
          <w:tab w:val="clear" w:pos="9628"/>
        </w:tabs>
        <w:rPr>
          <w:rFonts w:hint="eastAsia" w:ascii="宋体" w:hAnsi="宋体" w:cs="宋体"/>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HYPERLINK  \l "_Toc30089" </w:instrText>
      </w:r>
      <w:r>
        <w:rPr>
          <w:rFonts w:hint="eastAsia" w:ascii="宋体" w:hAnsi="宋体" w:cs="宋体"/>
          <w:color w:val="auto"/>
          <w:highlight w:val="none"/>
        </w:rPr>
        <w:fldChar w:fldCharType="separate"/>
      </w:r>
      <w:r>
        <w:rPr>
          <w:rFonts w:hint="eastAsia" w:ascii="宋体" w:hAnsi="宋体" w:cs="宋体"/>
          <w:color w:val="auto"/>
          <w:szCs w:val="28"/>
          <w:highlight w:val="none"/>
        </w:rPr>
        <w:t>2、法定代表人身份证明书（格式）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_Toc30089 \h </w:instrText>
      </w:r>
      <w:r>
        <w:rPr>
          <w:rFonts w:hint="eastAsia" w:ascii="宋体" w:hAnsi="宋体" w:cs="宋体"/>
          <w:color w:val="auto"/>
          <w:highlight w:val="none"/>
        </w:rPr>
        <w:fldChar w:fldCharType="separate"/>
      </w:r>
      <w:r>
        <w:rPr>
          <w:rFonts w:hint="eastAsia" w:ascii="宋体" w:hAnsi="宋体" w:cs="宋体"/>
          <w:color w:val="auto"/>
          <w:highlight w:val="none"/>
        </w:rPr>
        <w:t>36</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2"/>
        <w:tabs>
          <w:tab w:val="right" w:leader="dot" w:pos="9355"/>
          <w:tab w:val="clear" w:pos="9628"/>
        </w:tabs>
        <w:rPr>
          <w:rFonts w:hint="eastAsia" w:ascii="宋体" w:hAnsi="宋体" w:cs="宋体"/>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HYPERLINK  \l "_Toc752" </w:instrText>
      </w:r>
      <w:r>
        <w:rPr>
          <w:rFonts w:hint="eastAsia" w:ascii="宋体" w:hAnsi="宋体" w:cs="宋体"/>
          <w:color w:val="auto"/>
          <w:highlight w:val="none"/>
        </w:rPr>
        <w:fldChar w:fldCharType="separate"/>
      </w:r>
      <w:r>
        <w:rPr>
          <w:rFonts w:hint="eastAsia" w:ascii="宋体" w:hAnsi="宋体" w:cs="宋体"/>
          <w:color w:val="auto"/>
          <w:szCs w:val="28"/>
          <w:highlight w:val="none"/>
        </w:rPr>
        <w:t>3、法定代表人授权书（格式）（如法定代表人投标不需此项）</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_Toc752 \h </w:instrText>
      </w:r>
      <w:r>
        <w:rPr>
          <w:rFonts w:hint="eastAsia" w:ascii="宋体" w:hAnsi="宋体" w:cs="宋体"/>
          <w:color w:val="auto"/>
          <w:highlight w:val="none"/>
        </w:rPr>
        <w:fldChar w:fldCharType="separate"/>
      </w:r>
      <w:r>
        <w:rPr>
          <w:rFonts w:hint="eastAsia" w:ascii="宋体" w:hAnsi="宋体" w:cs="宋体"/>
          <w:color w:val="auto"/>
          <w:highlight w:val="none"/>
        </w:rPr>
        <w:t>37</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2"/>
        <w:tabs>
          <w:tab w:val="right" w:leader="dot" w:pos="9355"/>
          <w:tab w:val="clear" w:pos="9628"/>
        </w:tabs>
        <w:rPr>
          <w:rFonts w:hint="eastAsia" w:ascii="宋体" w:hAnsi="宋体" w:cs="宋体"/>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HYPERLINK  \l "_Toc31028" </w:instrText>
      </w:r>
      <w:r>
        <w:rPr>
          <w:rFonts w:hint="eastAsia" w:ascii="宋体" w:hAnsi="宋体" w:cs="宋体"/>
          <w:color w:val="auto"/>
          <w:highlight w:val="none"/>
        </w:rPr>
        <w:fldChar w:fldCharType="separate"/>
      </w:r>
      <w:r>
        <w:rPr>
          <w:rFonts w:hint="eastAsia" w:ascii="宋体" w:hAnsi="宋体" w:cs="宋体"/>
          <w:color w:val="auto"/>
          <w:highlight w:val="none"/>
        </w:rPr>
        <w:t>4、项目负责人</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_Toc31028 \h </w:instrText>
      </w:r>
      <w:r>
        <w:rPr>
          <w:rFonts w:hint="eastAsia" w:ascii="宋体" w:hAnsi="宋体" w:cs="宋体"/>
          <w:color w:val="auto"/>
          <w:highlight w:val="none"/>
        </w:rPr>
        <w:fldChar w:fldCharType="separate"/>
      </w:r>
      <w:r>
        <w:rPr>
          <w:rFonts w:hint="eastAsia" w:ascii="宋体" w:hAnsi="宋体" w:cs="宋体"/>
          <w:color w:val="auto"/>
          <w:highlight w:val="none"/>
        </w:rPr>
        <w:t>38</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2"/>
        <w:tabs>
          <w:tab w:val="right" w:leader="dot" w:pos="9355"/>
          <w:tab w:val="clear" w:pos="9628"/>
        </w:tabs>
        <w:rPr>
          <w:rFonts w:hint="eastAsia" w:ascii="宋体" w:hAnsi="宋体" w:cs="宋体"/>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HYPERLINK  \l "_Toc28333" </w:instrText>
      </w:r>
      <w:r>
        <w:rPr>
          <w:rFonts w:hint="eastAsia" w:ascii="宋体" w:hAnsi="宋体" w:cs="宋体"/>
          <w:color w:val="auto"/>
          <w:highlight w:val="none"/>
        </w:rPr>
        <w:fldChar w:fldCharType="separate"/>
      </w:r>
      <w:r>
        <w:rPr>
          <w:rFonts w:hint="eastAsia" w:ascii="宋体" w:hAnsi="宋体" w:cs="宋体"/>
          <w:color w:val="auto"/>
          <w:szCs w:val="28"/>
          <w:highlight w:val="none"/>
        </w:rPr>
        <w:t>5、投标保证书格式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_Toc28333 \h </w:instrText>
      </w:r>
      <w:r>
        <w:rPr>
          <w:rFonts w:hint="eastAsia" w:ascii="宋体" w:hAnsi="宋体" w:cs="宋体"/>
          <w:color w:val="auto"/>
          <w:highlight w:val="none"/>
        </w:rPr>
        <w:fldChar w:fldCharType="separate"/>
      </w:r>
      <w:r>
        <w:rPr>
          <w:rFonts w:hint="eastAsia" w:ascii="宋体" w:hAnsi="宋体" w:cs="宋体"/>
          <w:color w:val="auto"/>
          <w:highlight w:val="none"/>
        </w:rPr>
        <w:t>39</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2"/>
        <w:tabs>
          <w:tab w:val="right" w:leader="dot" w:pos="9355"/>
          <w:tab w:val="clear" w:pos="9628"/>
        </w:tabs>
        <w:rPr>
          <w:rFonts w:hint="eastAsia" w:ascii="宋体" w:hAnsi="宋体" w:cs="宋体"/>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HYPERLINK  \l "_Toc10853" </w:instrText>
      </w:r>
      <w:r>
        <w:rPr>
          <w:rFonts w:hint="eastAsia" w:ascii="宋体" w:hAnsi="宋体" w:cs="宋体"/>
          <w:color w:val="auto"/>
          <w:highlight w:val="none"/>
        </w:rPr>
        <w:fldChar w:fldCharType="separate"/>
      </w:r>
      <w:r>
        <w:rPr>
          <w:rFonts w:hint="eastAsia" w:ascii="宋体" w:hAnsi="宋体" w:cs="宋体"/>
          <w:color w:val="auto"/>
          <w:szCs w:val="28"/>
          <w:highlight w:val="none"/>
        </w:rPr>
        <w:t>6、投标保证金收据扫描件或付款凭证</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_Toc10853 \h </w:instrText>
      </w:r>
      <w:r>
        <w:rPr>
          <w:rFonts w:hint="eastAsia" w:ascii="宋体" w:hAnsi="宋体" w:cs="宋体"/>
          <w:color w:val="auto"/>
          <w:highlight w:val="none"/>
        </w:rPr>
        <w:fldChar w:fldCharType="separate"/>
      </w:r>
      <w:r>
        <w:rPr>
          <w:rFonts w:hint="eastAsia" w:ascii="宋体" w:hAnsi="宋体" w:cs="宋体"/>
          <w:color w:val="auto"/>
          <w:highlight w:val="none"/>
        </w:rPr>
        <w:t>40</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2"/>
        <w:tabs>
          <w:tab w:val="right" w:leader="dot" w:pos="9355"/>
          <w:tab w:val="clear" w:pos="9628"/>
        </w:tabs>
        <w:rPr>
          <w:rFonts w:hint="eastAsia" w:ascii="宋体" w:hAnsi="宋体" w:cs="宋体"/>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HYPERLINK  \l "_Toc29700" </w:instrText>
      </w:r>
      <w:r>
        <w:rPr>
          <w:rFonts w:hint="eastAsia" w:ascii="宋体" w:hAnsi="宋体" w:cs="宋体"/>
          <w:color w:val="auto"/>
          <w:highlight w:val="none"/>
        </w:rPr>
        <w:fldChar w:fldCharType="separate"/>
      </w:r>
      <w:r>
        <w:rPr>
          <w:rFonts w:hint="eastAsia" w:ascii="宋体" w:hAnsi="宋体" w:cs="宋体"/>
          <w:color w:val="auto"/>
          <w:highlight w:val="none"/>
        </w:rPr>
        <w:t>第三部分 技术部分</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_Toc29700 \h </w:instrText>
      </w:r>
      <w:r>
        <w:rPr>
          <w:rFonts w:hint="eastAsia" w:ascii="宋体" w:hAnsi="宋体" w:cs="宋体"/>
          <w:color w:val="auto"/>
          <w:highlight w:val="none"/>
        </w:rPr>
        <w:fldChar w:fldCharType="separate"/>
      </w:r>
      <w:r>
        <w:rPr>
          <w:rFonts w:hint="eastAsia" w:ascii="宋体" w:hAnsi="宋体" w:cs="宋体"/>
          <w:color w:val="auto"/>
          <w:highlight w:val="none"/>
        </w:rPr>
        <w:t>44</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2"/>
        <w:tabs>
          <w:tab w:val="right" w:leader="dot" w:pos="9355"/>
          <w:tab w:val="clear" w:pos="9628"/>
        </w:tabs>
        <w:rPr>
          <w:rFonts w:hint="eastAsia" w:ascii="宋体" w:hAnsi="宋体" w:cs="宋体"/>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HYPERLINK  \l "_Toc27966" </w:instrText>
      </w:r>
      <w:r>
        <w:rPr>
          <w:rFonts w:hint="eastAsia" w:ascii="宋体" w:hAnsi="宋体" w:cs="宋体"/>
          <w:color w:val="auto"/>
          <w:highlight w:val="none"/>
        </w:rPr>
        <w:fldChar w:fldCharType="separate"/>
      </w:r>
      <w:r>
        <w:rPr>
          <w:rFonts w:hint="eastAsia" w:ascii="宋体" w:hAnsi="宋体" w:cs="宋体"/>
          <w:color w:val="auto"/>
          <w:highlight w:val="none"/>
        </w:rPr>
        <w:t>第四部分 商务部分</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_Toc27966 \h </w:instrText>
      </w:r>
      <w:r>
        <w:rPr>
          <w:rFonts w:hint="eastAsia" w:ascii="宋体" w:hAnsi="宋体" w:cs="宋体"/>
          <w:color w:val="auto"/>
          <w:highlight w:val="none"/>
        </w:rPr>
        <w:fldChar w:fldCharType="separate"/>
      </w:r>
      <w:r>
        <w:rPr>
          <w:rFonts w:hint="eastAsia" w:ascii="宋体" w:hAnsi="宋体" w:cs="宋体"/>
          <w:color w:val="auto"/>
          <w:highlight w:val="none"/>
        </w:rPr>
        <w:t>45</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2"/>
        <w:tabs>
          <w:tab w:val="right" w:leader="dot" w:pos="9355"/>
          <w:tab w:val="clear" w:pos="9628"/>
        </w:tabs>
        <w:rPr>
          <w:rFonts w:hint="eastAsia" w:ascii="宋体" w:hAnsi="宋体" w:cs="宋体"/>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HYPERLINK  \l "_Toc23035" </w:instrText>
      </w:r>
      <w:r>
        <w:rPr>
          <w:rFonts w:hint="eastAsia" w:ascii="宋体" w:hAnsi="宋体" w:cs="宋体"/>
          <w:color w:val="auto"/>
          <w:highlight w:val="none"/>
        </w:rPr>
        <w:fldChar w:fldCharType="separate"/>
      </w:r>
      <w:r>
        <w:rPr>
          <w:rFonts w:hint="eastAsia" w:ascii="宋体" w:hAnsi="宋体" w:cs="宋体"/>
          <w:color w:val="auto"/>
          <w:szCs w:val="28"/>
          <w:highlight w:val="none"/>
        </w:rPr>
        <w:t>1、服务说明</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_Toc23035 \h </w:instrText>
      </w:r>
      <w:r>
        <w:rPr>
          <w:rFonts w:hint="eastAsia" w:ascii="宋体" w:hAnsi="宋体" w:cs="宋体"/>
          <w:color w:val="auto"/>
          <w:highlight w:val="none"/>
        </w:rPr>
        <w:fldChar w:fldCharType="separate"/>
      </w:r>
      <w:r>
        <w:rPr>
          <w:rFonts w:hint="eastAsia" w:ascii="宋体" w:hAnsi="宋体" w:cs="宋体"/>
          <w:color w:val="auto"/>
          <w:highlight w:val="none"/>
        </w:rPr>
        <w:t>45</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2"/>
        <w:tabs>
          <w:tab w:val="right" w:leader="dot" w:pos="9355"/>
          <w:tab w:val="clear" w:pos="9628"/>
        </w:tabs>
        <w:rPr>
          <w:rFonts w:hint="eastAsia" w:ascii="宋体" w:hAnsi="宋体" w:cs="宋体"/>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HYPERLINK  \l "_Toc14964" </w:instrText>
      </w:r>
      <w:r>
        <w:rPr>
          <w:rFonts w:hint="eastAsia" w:ascii="宋体" w:hAnsi="宋体" w:cs="宋体"/>
          <w:color w:val="auto"/>
          <w:highlight w:val="none"/>
        </w:rPr>
        <w:fldChar w:fldCharType="separate"/>
      </w:r>
      <w:r>
        <w:rPr>
          <w:rFonts w:hint="eastAsia" w:ascii="宋体" w:hAnsi="宋体" w:cs="宋体"/>
          <w:color w:val="auto"/>
          <w:szCs w:val="28"/>
          <w:highlight w:val="none"/>
        </w:rPr>
        <w:t>2、拟投入本项目的人员情况（格式）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_Toc14964 \h </w:instrText>
      </w:r>
      <w:r>
        <w:rPr>
          <w:rFonts w:hint="eastAsia" w:ascii="宋体" w:hAnsi="宋体" w:cs="宋体"/>
          <w:color w:val="auto"/>
          <w:highlight w:val="none"/>
        </w:rPr>
        <w:fldChar w:fldCharType="separate"/>
      </w:r>
      <w:r>
        <w:rPr>
          <w:rFonts w:hint="eastAsia" w:ascii="宋体" w:hAnsi="宋体" w:cs="宋体"/>
          <w:color w:val="auto"/>
          <w:highlight w:val="none"/>
        </w:rPr>
        <w:t>46</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2"/>
        <w:tabs>
          <w:tab w:val="right" w:leader="dot" w:pos="9355"/>
          <w:tab w:val="clear" w:pos="9628"/>
        </w:tabs>
        <w:rPr>
          <w:rFonts w:hint="eastAsia" w:ascii="宋体" w:hAnsi="宋体" w:cs="宋体"/>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HYPERLINK  \l "_Toc21806" </w:instrText>
      </w:r>
      <w:r>
        <w:rPr>
          <w:rFonts w:hint="eastAsia" w:ascii="宋体" w:hAnsi="宋体" w:cs="宋体"/>
          <w:color w:val="auto"/>
          <w:highlight w:val="none"/>
        </w:rPr>
        <w:fldChar w:fldCharType="separate"/>
      </w:r>
      <w:r>
        <w:rPr>
          <w:rFonts w:hint="eastAsia" w:ascii="宋体" w:hAnsi="宋体" w:cs="宋体"/>
          <w:color w:val="auto"/>
          <w:szCs w:val="28"/>
          <w:highlight w:val="none"/>
        </w:rPr>
        <w:t>3、2021年1月1日至今类似服务业绩（如有）</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_Toc21806 \h </w:instrText>
      </w:r>
      <w:r>
        <w:rPr>
          <w:rFonts w:hint="eastAsia" w:ascii="宋体" w:hAnsi="宋体" w:cs="宋体"/>
          <w:color w:val="auto"/>
          <w:highlight w:val="none"/>
        </w:rPr>
        <w:fldChar w:fldCharType="separate"/>
      </w:r>
      <w:r>
        <w:rPr>
          <w:rFonts w:hint="eastAsia" w:ascii="宋体" w:hAnsi="宋体" w:cs="宋体"/>
          <w:color w:val="auto"/>
          <w:highlight w:val="none"/>
        </w:rPr>
        <w:t>47</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2"/>
        <w:tabs>
          <w:tab w:val="right" w:leader="dot" w:pos="9355"/>
          <w:tab w:val="clear" w:pos="9628"/>
        </w:tabs>
        <w:rPr>
          <w:rFonts w:hint="eastAsia" w:ascii="宋体" w:hAnsi="宋体" w:cs="宋体"/>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HYPERLINK  \l "_Toc2" </w:instrText>
      </w:r>
      <w:r>
        <w:rPr>
          <w:rFonts w:hint="eastAsia" w:ascii="宋体" w:hAnsi="宋体" w:cs="宋体"/>
          <w:color w:val="auto"/>
          <w:highlight w:val="none"/>
        </w:rPr>
        <w:fldChar w:fldCharType="separate"/>
      </w:r>
      <w:r>
        <w:rPr>
          <w:rFonts w:hint="eastAsia" w:ascii="宋体" w:hAnsi="宋体" w:cs="宋体"/>
          <w:color w:val="auto"/>
          <w:highlight w:val="none"/>
        </w:rPr>
        <w:t>第五部分 其他资料</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 \h </w:instrText>
      </w:r>
      <w:r>
        <w:rPr>
          <w:rFonts w:hint="eastAsia" w:ascii="宋体" w:hAnsi="宋体" w:cs="宋体"/>
          <w:color w:val="auto"/>
          <w:highlight w:val="none"/>
        </w:rPr>
        <w:fldChar w:fldCharType="separate"/>
      </w:r>
      <w:r>
        <w:rPr>
          <w:rFonts w:hint="eastAsia" w:ascii="宋体" w:hAnsi="宋体" w:cs="宋体"/>
          <w:color w:val="auto"/>
          <w:highlight w:val="none"/>
        </w:rPr>
        <w:t>48</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2"/>
        <w:tabs>
          <w:tab w:val="right" w:leader="dot" w:pos="9355"/>
          <w:tab w:val="clear" w:pos="9628"/>
        </w:tabs>
        <w:rPr>
          <w:rFonts w:hint="eastAsia" w:ascii="宋体" w:hAnsi="宋体" w:cs="宋体"/>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HYPERLINK  \l "_Toc16436" </w:instrText>
      </w:r>
      <w:r>
        <w:rPr>
          <w:rFonts w:hint="eastAsia" w:ascii="宋体" w:hAnsi="宋体" w:cs="宋体"/>
          <w:color w:val="auto"/>
          <w:highlight w:val="none"/>
        </w:rPr>
        <w:fldChar w:fldCharType="separate"/>
      </w:r>
      <w:r>
        <w:rPr>
          <w:rFonts w:hint="eastAsia" w:ascii="宋体" w:hAnsi="宋体" w:cs="宋体"/>
          <w:color w:val="auto"/>
          <w:szCs w:val="28"/>
          <w:highlight w:val="none"/>
        </w:rPr>
        <w:t>1、承诺书（格式）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_Toc16436 \h </w:instrText>
      </w:r>
      <w:r>
        <w:rPr>
          <w:rFonts w:hint="eastAsia" w:ascii="宋体" w:hAnsi="宋体" w:cs="宋体"/>
          <w:color w:val="auto"/>
          <w:highlight w:val="none"/>
        </w:rPr>
        <w:fldChar w:fldCharType="separate"/>
      </w:r>
      <w:r>
        <w:rPr>
          <w:rFonts w:hint="eastAsia" w:ascii="宋体" w:hAnsi="宋体" w:cs="宋体"/>
          <w:color w:val="auto"/>
          <w:highlight w:val="none"/>
        </w:rPr>
        <w:t>48</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2"/>
        <w:tabs>
          <w:tab w:val="right" w:leader="dot" w:pos="9355"/>
          <w:tab w:val="clear" w:pos="9628"/>
        </w:tabs>
        <w:rPr>
          <w:rFonts w:hint="eastAsia" w:ascii="宋体" w:hAnsi="宋体" w:cs="宋体"/>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HYPERLINK  \l "_Toc26756" </w:instrText>
      </w:r>
      <w:r>
        <w:rPr>
          <w:rFonts w:hint="eastAsia" w:ascii="宋体" w:hAnsi="宋体" w:cs="宋体"/>
          <w:color w:val="auto"/>
          <w:highlight w:val="none"/>
        </w:rPr>
        <w:fldChar w:fldCharType="separate"/>
      </w:r>
      <w:r>
        <w:rPr>
          <w:rFonts w:hint="eastAsia" w:ascii="宋体" w:hAnsi="宋体" w:cs="宋体"/>
          <w:color w:val="auto"/>
          <w:szCs w:val="28"/>
          <w:highlight w:val="none"/>
        </w:rPr>
        <w:t>2、待解决的诉讼（格式）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_Toc26756 \h </w:instrText>
      </w:r>
      <w:r>
        <w:rPr>
          <w:rFonts w:hint="eastAsia" w:ascii="宋体" w:hAnsi="宋体" w:cs="宋体"/>
          <w:color w:val="auto"/>
          <w:highlight w:val="none"/>
        </w:rPr>
        <w:fldChar w:fldCharType="separate"/>
      </w:r>
      <w:r>
        <w:rPr>
          <w:rFonts w:hint="eastAsia" w:ascii="宋体" w:hAnsi="宋体" w:cs="宋体"/>
          <w:color w:val="auto"/>
          <w:highlight w:val="none"/>
        </w:rPr>
        <w:t>49</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2"/>
        <w:tabs>
          <w:tab w:val="right" w:leader="dot" w:pos="9355"/>
          <w:tab w:val="clear" w:pos="9628"/>
        </w:tabs>
        <w:rPr>
          <w:rFonts w:hint="eastAsia" w:ascii="宋体" w:hAnsi="宋体" w:cs="宋体"/>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HYPERLINK  \l "_Toc29714" </w:instrText>
      </w:r>
      <w:r>
        <w:rPr>
          <w:rFonts w:hint="eastAsia" w:ascii="宋体" w:hAnsi="宋体" w:cs="宋体"/>
          <w:color w:val="auto"/>
          <w:highlight w:val="none"/>
        </w:rPr>
        <w:fldChar w:fldCharType="separate"/>
      </w:r>
      <w:r>
        <w:rPr>
          <w:rFonts w:hint="eastAsia" w:ascii="宋体" w:hAnsi="宋体" w:cs="宋体"/>
          <w:color w:val="auto"/>
          <w:szCs w:val="28"/>
          <w:highlight w:val="none"/>
        </w:rPr>
        <w:t>3、投标人未处于被责令停业，财产被接管、冻结破产状态承诺书（格式）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_Toc29714 \h </w:instrText>
      </w:r>
      <w:r>
        <w:rPr>
          <w:rFonts w:hint="eastAsia" w:ascii="宋体" w:hAnsi="宋体" w:cs="宋体"/>
          <w:color w:val="auto"/>
          <w:highlight w:val="none"/>
        </w:rPr>
        <w:fldChar w:fldCharType="separate"/>
      </w:r>
      <w:r>
        <w:rPr>
          <w:rFonts w:hint="eastAsia" w:ascii="宋体" w:hAnsi="宋体" w:cs="宋体"/>
          <w:color w:val="auto"/>
          <w:highlight w:val="none"/>
        </w:rPr>
        <w:t>50</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2"/>
        <w:tabs>
          <w:tab w:val="right" w:leader="dot" w:pos="9355"/>
          <w:tab w:val="clear" w:pos="9628"/>
        </w:tabs>
        <w:rPr>
          <w:rFonts w:hint="eastAsia" w:ascii="宋体" w:hAnsi="宋体" w:cs="宋体"/>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HYPERLINK  \l "_Toc18014" </w:instrText>
      </w:r>
      <w:r>
        <w:rPr>
          <w:rFonts w:hint="eastAsia" w:ascii="宋体" w:hAnsi="宋体" w:cs="宋体"/>
          <w:color w:val="auto"/>
          <w:highlight w:val="none"/>
        </w:rPr>
        <w:fldChar w:fldCharType="separate"/>
      </w:r>
      <w:r>
        <w:rPr>
          <w:rFonts w:hint="eastAsia" w:ascii="宋体" w:hAnsi="宋体" w:cs="宋体"/>
          <w:color w:val="auto"/>
          <w:highlight w:val="none"/>
        </w:rPr>
        <w:t>4、投标人认为所需要的其他材料</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_Toc18014 \h </w:instrText>
      </w:r>
      <w:r>
        <w:rPr>
          <w:rFonts w:hint="eastAsia" w:ascii="宋体" w:hAnsi="宋体" w:cs="宋体"/>
          <w:color w:val="auto"/>
          <w:highlight w:val="none"/>
        </w:rPr>
        <w:fldChar w:fldCharType="separate"/>
      </w:r>
      <w:r>
        <w:rPr>
          <w:rFonts w:hint="eastAsia" w:ascii="宋体" w:hAnsi="宋体" w:cs="宋体"/>
          <w:color w:val="auto"/>
          <w:highlight w:val="none"/>
        </w:rPr>
        <w:t>51</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9"/>
        <w:tabs>
          <w:tab w:val="right" w:leader="dot" w:pos="9355"/>
        </w:tabs>
        <w:rPr>
          <w:rFonts w:hint="eastAsia" w:ascii="宋体" w:hAnsi="宋体" w:cs="宋体"/>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HYPERLINK  \l "_Toc10566" </w:instrText>
      </w:r>
      <w:r>
        <w:rPr>
          <w:rFonts w:hint="eastAsia" w:ascii="宋体" w:hAnsi="宋体" w:cs="宋体"/>
          <w:color w:val="auto"/>
          <w:highlight w:val="none"/>
        </w:rPr>
        <w:fldChar w:fldCharType="separate"/>
      </w:r>
      <w:r>
        <w:rPr>
          <w:rFonts w:hint="eastAsia" w:ascii="宋体" w:hAnsi="宋体" w:cs="宋体"/>
          <w:color w:val="auto"/>
          <w:w w:val="90"/>
          <w:highlight w:val="none"/>
        </w:rPr>
        <w:t>第七章 评标办法</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_Toc10566 \h </w:instrText>
      </w:r>
      <w:r>
        <w:rPr>
          <w:rFonts w:hint="eastAsia" w:ascii="宋体" w:hAnsi="宋体" w:cs="宋体"/>
          <w:color w:val="auto"/>
          <w:highlight w:val="none"/>
        </w:rPr>
        <w:fldChar w:fldCharType="separate"/>
      </w:r>
      <w:r>
        <w:rPr>
          <w:rFonts w:hint="eastAsia" w:ascii="宋体" w:hAnsi="宋体" w:cs="宋体"/>
          <w:color w:val="auto"/>
          <w:highlight w:val="none"/>
        </w:rPr>
        <w:t>52</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tabs>
          <w:tab w:val="right" w:leader="dot" w:pos="9628"/>
        </w:tabs>
        <w:snapToGrid w:val="0"/>
        <w:spacing w:line="360" w:lineRule="auto"/>
        <w:rPr>
          <w:rFonts w:hint="eastAsia" w:ascii="宋体" w:hAnsi="宋体" w:eastAsia="宋体" w:cs="宋体"/>
          <w:color w:val="auto"/>
          <w:sz w:val="30"/>
          <w:highlight w:val="none"/>
        </w:rPr>
        <w:sectPr>
          <w:headerReference r:id="rId6" w:type="first"/>
          <w:pgSz w:w="11906" w:h="16838"/>
          <w:pgMar w:top="1134" w:right="1133" w:bottom="1134" w:left="1418" w:header="454" w:footer="454" w:gutter="0"/>
          <w:cols w:space="720" w:num="1"/>
          <w:titlePg/>
          <w:docGrid w:type="lines" w:linePitch="312" w:charSpace="0"/>
        </w:sectPr>
      </w:pPr>
      <w:r>
        <w:rPr>
          <w:rFonts w:hint="eastAsia" w:ascii="宋体" w:hAnsi="宋体" w:cs="宋体"/>
          <w:color w:val="auto"/>
          <w:szCs w:val="28"/>
          <w:highlight w:val="none"/>
        </w:rPr>
        <w:fldChar w:fldCharType="end"/>
      </w:r>
    </w:p>
    <w:p>
      <w:pPr>
        <w:spacing w:line="360" w:lineRule="auto"/>
        <w:rPr>
          <w:rFonts w:hint="eastAsia" w:ascii="宋体" w:hAnsi="宋体" w:cs="宋体"/>
          <w:color w:val="auto"/>
          <w:highlight w:val="none"/>
        </w:rPr>
      </w:pPr>
    </w:p>
    <w:p>
      <w:pPr>
        <w:spacing w:line="360" w:lineRule="auto"/>
        <w:rPr>
          <w:rFonts w:hint="eastAsia" w:ascii="宋体" w:hAnsi="宋体" w:cs="宋体"/>
          <w:color w:val="auto"/>
          <w:sz w:val="24"/>
          <w:szCs w:val="24"/>
          <w:highlight w:val="none"/>
        </w:rPr>
      </w:pPr>
    </w:p>
    <w:p>
      <w:pPr>
        <w:spacing w:line="360" w:lineRule="auto"/>
        <w:rPr>
          <w:rFonts w:hint="eastAsia" w:ascii="宋体" w:hAnsi="宋体" w:cs="宋体"/>
          <w:color w:val="auto"/>
          <w:sz w:val="24"/>
          <w:szCs w:val="24"/>
          <w:highlight w:val="none"/>
        </w:rPr>
      </w:pPr>
    </w:p>
    <w:p>
      <w:pPr>
        <w:spacing w:line="360" w:lineRule="auto"/>
        <w:rPr>
          <w:rFonts w:hint="eastAsia" w:ascii="宋体" w:hAnsi="宋体" w:cs="宋体"/>
          <w:color w:val="auto"/>
          <w:sz w:val="24"/>
          <w:szCs w:val="24"/>
          <w:highlight w:val="none"/>
        </w:rPr>
      </w:pPr>
    </w:p>
    <w:p>
      <w:pPr>
        <w:spacing w:line="360" w:lineRule="auto"/>
        <w:rPr>
          <w:rFonts w:hint="eastAsia" w:ascii="宋体" w:hAnsi="宋体" w:cs="宋体"/>
          <w:color w:val="auto"/>
          <w:sz w:val="24"/>
          <w:szCs w:val="24"/>
          <w:highlight w:val="none"/>
        </w:rPr>
      </w:pPr>
    </w:p>
    <w:p>
      <w:pPr>
        <w:spacing w:line="360" w:lineRule="auto"/>
        <w:rPr>
          <w:rFonts w:hint="eastAsia" w:ascii="宋体" w:hAnsi="宋体" w:cs="宋体"/>
          <w:color w:val="auto"/>
          <w:sz w:val="24"/>
          <w:szCs w:val="24"/>
          <w:highlight w:val="none"/>
        </w:rPr>
      </w:pPr>
    </w:p>
    <w:p>
      <w:pPr>
        <w:spacing w:line="360" w:lineRule="auto"/>
        <w:rPr>
          <w:rFonts w:hint="eastAsia" w:ascii="宋体" w:hAnsi="宋体" w:cs="宋体"/>
          <w:color w:val="auto"/>
          <w:sz w:val="24"/>
          <w:szCs w:val="24"/>
          <w:highlight w:val="none"/>
        </w:rPr>
      </w:pPr>
    </w:p>
    <w:p>
      <w:pPr>
        <w:spacing w:line="360" w:lineRule="auto"/>
        <w:rPr>
          <w:rFonts w:hint="eastAsia" w:ascii="宋体" w:hAnsi="宋体" w:cs="宋体"/>
          <w:color w:val="auto"/>
          <w:sz w:val="24"/>
          <w:szCs w:val="24"/>
          <w:highlight w:val="none"/>
        </w:rPr>
      </w:pPr>
    </w:p>
    <w:p>
      <w:pPr>
        <w:spacing w:line="360" w:lineRule="auto"/>
        <w:rPr>
          <w:rFonts w:hint="eastAsia" w:ascii="宋体" w:hAnsi="宋体" w:cs="宋体"/>
          <w:color w:val="auto"/>
          <w:sz w:val="24"/>
          <w:szCs w:val="24"/>
          <w:highlight w:val="none"/>
        </w:rPr>
      </w:pPr>
    </w:p>
    <w:p>
      <w:pPr>
        <w:spacing w:line="360" w:lineRule="auto"/>
        <w:rPr>
          <w:rFonts w:hint="eastAsia" w:ascii="宋体" w:hAnsi="宋体" w:cs="宋体"/>
          <w:color w:val="auto"/>
          <w:sz w:val="24"/>
          <w:szCs w:val="24"/>
          <w:highlight w:val="none"/>
        </w:rPr>
      </w:pPr>
    </w:p>
    <w:p>
      <w:pPr>
        <w:spacing w:line="360" w:lineRule="auto"/>
        <w:rPr>
          <w:rFonts w:hint="eastAsia" w:ascii="宋体" w:hAnsi="宋体" w:cs="宋体"/>
          <w:color w:val="auto"/>
          <w:sz w:val="24"/>
          <w:szCs w:val="24"/>
          <w:highlight w:val="none"/>
        </w:rPr>
      </w:pPr>
    </w:p>
    <w:p>
      <w:pPr>
        <w:spacing w:line="360" w:lineRule="auto"/>
        <w:rPr>
          <w:rFonts w:hint="eastAsia" w:ascii="宋体" w:hAnsi="宋体" w:cs="宋体"/>
          <w:color w:val="auto"/>
          <w:sz w:val="24"/>
          <w:szCs w:val="24"/>
          <w:highlight w:val="none"/>
        </w:rPr>
      </w:pPr>
    </w:p>
    <w:p>
      <w:pPr>
        <w:spacing w:line="360" w:lineRule="auto"/>
        <w:rPr>
          <w:rFonts w:hint="eastAsia" w:ascii="宋体" w:hAnsi="宋体" w:cs="宋体"/>
          <w:color w:val="auto"/>
          <w:sz w:val="24"/>
          <w:szCs w:val="24"/>
          <w:highlight w:val="none"/>
        </w:rPr>
      </w:pPr>
    </w:p>
    <w:p>
      <w:pPr>
        <w:spacing w:line="360" w:lineRule="auto"/>
        <w:rPr>
          <w:rFonts w:hint="eastAsia" w:ascii="宋体" w:hAnsi="宋体" w:cs="宋体"/>
          <w:color w:val="auto"/>
          <w:sz w:val="24"/>
          <w:szCs w:val="24"/>
          <w:highlight w:val="none"/>
        </w:rPr>
      </w:pPr>
    </w:p>
    <w:p>
      <w:pPr>
        <w:pStyle w:val="2"/>
        <w:numPr>
          <w:ilvl w:val="0"/>
          <w:numId w:val="2"/>
        </w:numPr>
        <w:spacing w:line="360" w:lineRule="auto"/>
        <w:jc w:val="center"/>
        <w:rPr>
          <w:rFonts w:hint="eastAsia" w:ascii="宋体" w:hAnsi="宋体" w:cs="宋体"/>
          <w:color w:val="auto"/>
          <w:w w:val="90"/>
          <w:highlight w:val="none"/>
        </w:rPr>
      </w:pPr>
      <w:bookmarkStart w:id="0" w:name="_Toc30943"/>
      <w:bookmarkEnd w:id="0"/>
      <w:bookmarkStart w:id="1" w:name="_Toc350515646"/>
      <w:bookmarkEnd w:id="1"/>
      <w:bookmarkStart w:id="2" w:name="_Toc344394137"/>
      <w:bookmarkEnd w:id="2"/>
      <w:bookmarkStart w:id="3" w:name="_Toc349568709"/>
      <w:bookmarkEnd w:id="3"/>
      <w:bookmarkStart w:id="4" w:name="_Toc25734"/>
      <w:bookmarkEnd w:id="4"/>
      <w:bookmarkStart w:id="5" w:name="_Toc349568450"/>
      <w:bookmarkEnd w:id="5"/>
      <w:bookmarkStart w:id="6" w:name="_Toc343510551"/>
      <w:bookmarkEnd w:id="6"/>
      <w:r>
        <w:rPr>
          <w:rFonts w:hint="eastAsia" w:ascii="宋体" w:hAnsi="宋体" w:cs="宋体"/>
          <w:color w:val="auto"/>
          <w:w w:val="90"/>
          <w:highlight w:val="none"/>
        </w:rPr>
        <w:t xml:space="preserve">  </w:t>
      </w:r>
      <w:r>
        <w:rPr>
          <w:rFonts w:hint="eastAsia" w:ascii="宋体" w:hAnsi="宋体" w:cs="宋体"/>
          <w:color w:val="auto"/>
          <w:highlight w:val="none"/>
        </w:rPr>
        <w:t>招标公告</w:t>
      </w:r>
    </w:p>
    <w:p>
      <w:pPr>
        <w:spacing w:line="360" w:lineRule="auto"/>
        <w:rPr>
          <w:rFonts w:hint="eastAsia" w:ascii="宋体" w:hAnsi="宋体" w:cs="宋体"/>
          <w:color w:val="auto"/>
          <w:highlight w:val="none"/>
        </w:rPr>
      </w:pPr>
    </w:p>
    <w:p>
      <w:pPr>
        <w:pStyle w:val="14"/>
        <w:spacing w:line="360" w:lineRule="auto"/>
        <w:jc w:val="center"/>
        <w:rPr>
          <w:rFonts w:hint="eastAsia" w:ascii="宋体" w:hAnsi="宋体" w:cs="宋体"/>
          <w:b/>
          <w:color w:val="auto"/>
          <w:sz w:val="30"/>
          <w:highlight w:val="none"/>
        </w:rPr>
      </w:pPr>
    </w:p>
    <w:p>
      <w:pPr>
        <w:spacing w:line="360" w:lineRule="auto"/>
        <w:rPr>
          <w:rFonts w:hint="eastAsia" w:ascii="宋体" w:hAnsi="宋体" w:cs="宋体"/>
          <w:color w:val="auto"/>
          <w:highlight w:val="none"/>
        </w:rPr>
      </w:pPr>
    </w:p>
    <w:p>
      <w:pPr>
        <w:spacing w:line="360" w:lineRule="auto"/>
        <w:rPr>
          <w:rFonts w:hint="eastAsia" w:ascii="宋体" w:hAnsi="宋体" w:cs="宋体"/>
          <w:color w:val="auto"/>
          <w:highlight w:val="none"/>
        </w:rPr>
      </w:pPr>
    </w:p>
    <w:p>
      <w:pPr>
        <w:spacing w:line="360" w:lineRule="auto"/>
        <w:rPr>
          <w:rFonts w:hint="eastAsia" w:ascii="宋体" w:hAnsi="宋体" w:cs="宋体"/>
          <w:color w:val="auto"/>
          <w:highlight w:val="none"/>
        </w:rPr>
      </w:pPr>
    </w:p>
    <w:p>
      <w:pPr>
        <w:spacing w:line="360" w:lineRule="auto"/>
        <w:rPr>
          <w:rFonts w:hint="eastAsia" w:ascii="宋体" w:hAnsi="宋体" w:cs="宋体"/>
          <w:color w:val="auto"/>
          <w:highlight w:val="none"/>
        </w:rPr>
      </w:pPr>
    </w:p>
    <w:p>
      <w:pPr>
        <w:spacing w:line="360" w:lineRule="auto"/>
        <w:jc w:val="center"/>
        <w:rPr>
          <w:rFonts w:hint="eastAsia" w:ascii="宋体" w:hAnsi="宋体" w:cs="宋体"/>
          <w:color w:val="auto"/>
          <w:sz w:val="28"/>
          <w:szCs w:val="24"/>
          <w:highlight w:val="none"/>
        </w:rPr>
      </w:pPr>
      <w:r>
        <w:rPr>
          <w:rFonts w:hint="eastAsia" w:ascii="宋体" w:hAnsi="宋体" w:cs="宋体"/>
          <w:b/>
          <w:bCs/>
          <w:color w:val="auto"/>
          <w:sz w:val="32"/>
          <w:szCs w:val="24"/>
          <w:highlight w:val="none"/>
        </w:rPr>
        <w:br w:type="page"/>
      </w:r>
      <w:r>
        <w:rPr>
          <w:rFonts w:hint="eastAsia" w:ascii="宋体" w:hAnsi="宋体" w:cs="宋体"/>
          <w:b/>
          <w:bCs/>
          <w:color w:val="auto"/>
          <w:sz w:val="32"/>
          <w:szCs w:val="24"/>
          <w:highlight w:val="none"/>
        </w:rPr>
        <w:t>辽宁省营口市海洋生态保护修复工程项目跟踪监测服务</w:t>
      </w:r>
    </w:p>
    <w:p>
      <w:pPr>
        <w:spacing w:line="360" w:lineRule="auto"/>
        <w:jc w:val="center"/>
        <w:rPr>
          <w:rFonts w:hint="eastAsia" w:ascii="宋体" w:hAnsi="宋体" w:cs="宋体"/>
          <w:b/>
          <w:bCs/>
          <w:color w:val="auto"/>
          <w:sz w:val="40"/>
          <w:szCs w:val="24"/>
          <w:highlight w:val="none"/>
        </w:rPr>
      </w:pPr>
      <w:bookmarkStart w:id="7" w:name="资格预审合格通知书"/>
      <w:bookmarkEnd w:id="7"/>
      <w:r>
        <w:rPr>
          <w:rFonts w:hint="eastAsia" w:ascii="宋体" w:hAnsi="宋体" w:cs="宋体"/>
          <w:b/>
          <w:bCs/>
          <w:color w:val="auto"/>
          <w:sz w:val="40"/>
          <w:szCs w:val="24"/>
          <w:highlight w:val="none"/>
        </w:rPr>
        <w:t>招标公告</w:t>
      </w:r>
    </w:p>
    <w:p>
      <w:pPr>
        <w:spacing w:after="120" w:line="360" w:lineRule="auto"/>
        <w:rPr>
          <w:rFonts w:hint="eastAsia" w:ascii="宋体" w:hAnsi="宋体" w:cs="宋体"/>
          <w:b/>
          <w:bCs/>
          <w:color w:val="auto"/>
          <w:sz w:val="20"/>
          <w:szCs w:val="24"/>
          <w:highlight w:val="none"/>
        </w:rPr>
      </w:pPr>
    </w:p>
    <w:p>
      <w:pPr>
        <w:spacing w:line="360" w:lineRule="auto"/>
        <w:ind w:firstLine="566" w:firstLineChars="236"/>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辽宁国信建设工程管理有限公司</w:t>
      </w:r>
      <w:r>
        <w:rPr>
          <w:rFonts w:hint="eastAsia" w:ascii="宋体" w:hAnsi="宋体" w:cs="宋体"/>
          <w:color w:val="auto"/>
          <w:sz w:val="24"/>
          <w:szCs w:val="24"/>
          <w:highlight w:val="none"/>
        </w:rPr>
        <w:t>受</w:t>
      </w:r>
      <w:r>
        <w:rPr>
          <w:rFonts w:hint="eastAsia" w:ascii="宋体" w:hAnsi="宋体" w:cs="宋体"/>
          <w:color w:val="auto"/>
          <w:sz w:val="24"/>
          <w:szCs w:val="24"/>
          <w:highlight w:val="none"/>
          <w:u w:val="single"/>
        </w:rPr>
        <w:t>营口市自然资源局</w:t>
      </w:r>
      <w:r>
        <w:rPr>
          <w:rFonts w:hint="eastAsia" w:ascii="宋体" w:hAnsi="宋体" w:cs="宋体"/>
          <w:color w:val="auto"/>
          <w:sz w:val="24"/>
          <w:szCs w:val="24"/>
          <w:highlight w:val="none"/>
        </w:rPr>
        <w:t>委托对</w:t>
      </w:r>
      <w:r>
        <w:rPr>
          <w:rFonts w:hint="eastAsia" w:ascii="宋体" w:hAnsi="宋体" w:cs="宋体"/>
          <w:color w:val="auto"/>
          <w:sz w:val="24"/>
          <w:szCs w:val="24"/>
          <w:highlight w:val="none"/>
          <w:u w:val="single"/>
        </w:rPr>
        <w:t>辽宁省营口市海洋生态保护修复工程项目跟踪监测服务</w:t>
      </w:r>
      <w:r>
        <w:rPr>
          <w:rFonts w:hint="eastAsia" w:ascii="宋体" w:hAnsi="宋体" w:cs="宋体"/>
          <w:color w:val="auto"/>
          <w:sz w:val="24"/>
          <w:szCs w:val="24"/>
          <w:highlight w:val="none"/>
        </w:rPr>
        <w:t>（招标编号：LNGX-2403020）进行国内公开招标，欢迎有意愿、有合格资质条件的投标单位参加投标。</w:t>
      </w:r>
    </w:p>
    <w:p>
      <w:pPr>
        <w:numPr>
          <w:ilvl w:val="0"/>
          <w:numId w:val="3"/>
        </w:numPr>
        <w:tabs>
          <w:tab w:val="left" w:pos="709"/>
          <w:tab w:val="left" w:pos="1134"/>
        </w:tabs>
        <w:spacing w:line="360" w:lineRule="auto"/>
        <w:ind w:left="0" w:firstLine="567"/>
        <w:rPr>
          <w:rFonts w:hint="eastAsia" w:ascii="宋体" w:hAnsi="宋体" w:cs="宋体"/>
          <w:color w:val="auto"/>
          <w:sz w:val="24"/>
          <w:szCs w:val="24"/>
          <w:highlight w:val="none"/>
        </w:rPr>
      </w:pPr>
      <w:r>
        <w:rPr>
          <w:rFonts w:hint="eastAsia" w:ascii="宋体" w:hAnsi="宋体" w:cs="宋体"/>
          <w:b/>
          <w:color w:val="auto"/>
          <w:sz w:val="24"/>
          <w:szCs w:val="24"/>
          <w:highlight w:val="none"/>
        </w:rPr>
        <w:t>项目名称：</w:t>
      </w:r>
      <w:r>
        <w:rPr>
          <w:rFonts w:hint="eastAsia" w:ascii="宋体" w:hAnsi="宋体" w:cs="宋体"/>
          <w:color w:val="auto"/>
          <w:sz w:val="24"/>
          <w:szCs w:val="24"/>
          <w:highlight w:val="none"/>
        </w:rPr>
        <w:t>辽宁省营口市海洋生态保护修复工程项目跟踪监测服务。</w:t>
      </w:r>
    </w:p>
    <w:p>
      <w:pPr>
        <w:numPr>
          <w:ilvl w:val="0"/>
          <w:numId w:val="3"/>
        </w:numPr>
        <w:tabs>
          <w:tab w:val="left" w:pos="993"/>
          <w:tab w:val="left" w:pos="1134"/>
        </w:tabs>
        <w:spacing w:line="360" w:lineRule="auto"/>
        <w:ind w:left="0" w:firstLine="567"/>
        <w:rPr>
          <w:rFonts w:hint="eastAsia" w:ascii="宋体" w:hAnsi="宋体" w:cs="宋体"/>
          <w:color w:val="auto"/>
          <w:sz w:val="24"/>
          <w:szCs w:val="24"/>
          <w:highlight w:val="none"/>
        </w:rPr>
      </w:pPr>
      <w:r>
        <w:rPr>
          <w:rFonts w:hint="eastAsia" w:ascii="宋体" w:hAnsi="宋体" w:cs="宋体"/>
          <w:b/>
          <w:color w:val="auto"/>
          <w:sz w:val="24"/>
          <w:szCs w:val="24"/>
          <w:highlight w:val="none"/>
        </w:rPr>
        <w:t>招标范围：</w:t>
      </w:r>
      <w:r>
        <w:rPr>
          <w:rFonts w:hint="eastAsia" w:ascii="宋体" w:hAnsi="宋体" w:cs="宋体"/>
          <w:bCs/>
          <w:color w:val="auto"/>
          <w:sz w:val="24"/>
          <w:szCs w:val="24"/>
          <w:highlight w:val="none"/>
        </w:rPr>
        <w:t>本项目拟完成修复总面积 1630.34ha,整治修复岸线长度 2951.90m，其中修复砂质岸线 1287m、生态护岸 1664.90m；整治修复滨海湿地面积1555.22ha，其中保育和种植盐沼植被面积269.69ha、浒苔防治面积1006.83ha。针对上述内容拟委托服务机构提供项目跟踪监测服务。</w:t>
      </w:r>
    </w:p>
    <w:p>
      <w:pPr>
        <w:numPr>
          <w:ilvl w:val="0"/>
          <w:numId w:val="3"/>
        </w:numPr>
        <w:tabs>
          <w:tab w:val="left" w:pos="993"/>
          <w:tab w:val="left" w:pos="1134"/>
        </w:tabs>
        <w:spacing w:line="360" w:lineRule="auto"/>
        <w:ind w:left="0" w:firstLine="567"/>
        <w:rPr>
          <w:rFonts w:hint="eastAsia" w:ascii="宋体" w:hAnsi="宋体" w:cs="宋体"/>
          <w:color w:val="auto"/>
          <w:sz w:val="24"/>
          <w:szCs w:val="24"/>
          <w:highlight w:val="none"/>
        </w:rPr>
      </w:pPr>
      <w:r>
        <w:rPr>
          <w:rFonts w:hint="eastAsia" w:ascii="宋体" w:hAnsi="宋体" w:cs="宋体"/>
          <w:b/>
          <w:color w:val="auto"/>
          <w:sz w:val="24"/>
          <w:szCs w:val="24"/>
          <w:highlight w:val="none"/>
        </w:rPr>
        <w:t>服务地点：</w:t>
      </w:r>
      <w:r>
        <w:rPr>
          <w:rFonts w:hint="eastAsia" w:ascii="宋体" w:hAnsi="宋体" w:cs="宋体"/>
          <w:color w:val="auto"/>
          <w:sz w:val="24"/>
          <w:szCs w:val="24"/>
          <w:highlight w:val="none"/>
        </w:rPr>
        <w:t>招标人</w:t>
      </w:r>
      <w:r>
        <w:rPr>
          <w:rFonts w:hint="eastAsia" w:ascii="宋体" w:hAnsi="宋体" w:cs="宋体"/>
          <w:color w:val="auto"/>
          <w:kern w:val="0"/>
          <w:sz w:val="24"/>
          <w:highlight w:val="none"/>
        </w:rPr>
        <w:t>指定地点。</w:t>
      </w:r>
    </w:p>
    <w:p>
      <w:pPr>
        <w:numPr>
          <w:ilvl w:val="0"/>
          <w:numId w:val="3"/>
        </w:numPr>
        <w:tabs>
          <w:tab w:val="left" w:pos="993"/>
          <w:tab w:val="left" w:pos="1134"/>
        </w:tabs>
        <w:spacing w:line="360" w:lineRule="auto"/>
        <w:ind w:left="0" w:firstLine="567"/>
        <w:rPr>
          <w:rFonts w:hint="eastAsia" w:ascii="宋体" w:hAnsi="宋体" w:cs="宋体"/>
          <w:color w:val="auto"/>
          <w:sz w:val="24"/>
          <w:szCs w:val="24"/>
          <w:highlight w:val="none"/>
        </w:rPr>
      </w:pPr>
      <w:r>
        <w:rPr>
          <w:rFonts w:hint="eastAsia" w:ascii="宋体" w:hAnsi="宋体" w:cs="宋体"/>
          <w:b/>
          <w:color w:val="auto"/>
          <w:sz w:val="24"/>
          <w:szCs w:val="24"/>
          <w:highlight w:val="none"/>
        </w:rPr>
        <w:t>资金来源及落实情况：</w:t>
      </w:r>
      <w:r>
        <w:rPr>
          <w:rFonts w:hint="eastAsia" w:ascii="宋体" w:hAnsi="宋体" w:cs="宋体"/>
          <w:color w:val="auto"/>
          <w:sz w:val="24"/>
          <w:szCs w:val="24"/>
          <w:highlight w:val="none"/>
        </w:rPr>
        <w:t>中央资金，已落实。估算价：</w:t>
      </w:r>
      <w:r>
        <w:rPr>
          <w:rFonts w:hint="eastAsia" w:ascii="宋体" w:hAnsi="宋体" w:cs="宋体"/>
          <w:color w:val="auto"/>
          <w:sz w:val="24"/>
          <w:szCs w:val="24"/>
          <w:highlight w:val="none"/>
          <w:lang w:val="en-US" w:eastAsia="zh-CN"/>
        </w:rPr>
        <w:t>1580</w:t>
      </w:r>
      <w:r>
        <w:rPr>
          <w:rFonts w:hint="eastAsia" w:ascii="宋体" w:hAnsi="宋体" w:cs="宋体"/>
          <w:color w:val="auto"/>
          <w:sz w:val="24"/>
          <w:szCs w:val="24"/>
          <w:highlight w:val="none"/>
        </w:rPr>
        <w:t>万元。</w:t>
      </w:r>
    </w:p>
    <w:p>
      <w:pPr>
        <w:numPr>
          <w:ilvl w:val="0"/>
          <w:numId w:val="3"/>
        </w:numPr>
        <w:tabs>
          <w:tab w:val="left" w:pos="1134"/>
        </w:tabs>
        <w:spacing w:line="360" w:lineRule="auto"/>
        <w:ind w:left="0" w:firstLine="567"/>
        <w:rPr>
          <w:rFonts w:hint="eastAsia" w:ascii="宋体" w:hAnsi="宋体" w:cs="宋体"/>
          <w:color w:val="auto"/>
          <w:sz w:val="24"/>
          <w:szCs w:val="24"/>
          <w:highlight w:val="none"/>
        </w:rPr>
      </w:pPr>
      <w:r>
        <w:rPr>
          <w:rFonts w:hint="eastAsia" w:ascii="宋体" w:hAnsi="宋体" w:cs="宋体"/>
          <w:b/>
          <w:color w:val="auto"/>
          <w:sz w:val="24"/>
          <w:szCs w:val="24"/>
          <w:highlight w:val="none"/>
        </w:rPr>
        <w:t>服务期限：</w:t>
      </w:r>
      <w:r>
        <w:rPr>
          <w:rFonts w:hint="eastAsia" w:ascii="宋体" w:hAnsi="宋体" w:cs="宋体"/>
          <w:bCs/>
          <w:color w:val="auto"/>
          <w:sz w:val="24"/>
          <w:szCs w:val="24"/>
          <w:highlight w:val="none"/>
        </w:rPr>
        <w:t>2024年08月01日至202</w:t>
      </w:r>
      <w:r>
        <w:rPr>
          <w:rFonts w:hint="eastAsia" w:ascii="宋体" w:hAnsi="宋体" w:cs="宋体"/>
          <w:bCs/>
          <w:color w:val="auto"/>
          <w:sz w:val="24"/>
          <w:szCs w:val="24"/>
          <w:highlight w:val="none"/>
          <w:lang w:val="en-US" w:eastAsia="zh-CN"/>
        </w:rPr>
        <w:t>8</w:t>
      </w:r>
      <w:r>
        <w:rPr>
          <w:rFonts w:hint="eastAsia" w:ascii="宋体" w:hAnsi="宋体" w:cs="宋体"/>
          <w:bCs/>
          <w:color w:val="auto"/>
          <w:sz w:val="24"/>
          <w:szCs w:val="24"/>
          <w:highlight w:val="none"/>
        </w:rPr>
        <w:t>年12月31日。（具体时间以合同签订为准）。</w:t>
      </w:r>
    </w:p>
    <w:p>
      <w:pPr>
        <w:numPr>
          <w:ilvl w:val="0"/>
          <w:numId w:val="3"/>
        </w:numPr>
        <w:tabs>
          <w:tab w:val="left" w:pos="1134"/>
        </w:tabs>
        <w:spacing w:line="360" w:lineRule="auto"/>
        <w:ind w:left="0" w:firstLine="567"/>
        <w:rPr>
          <w:rFonts w:hint="eastAsia" w:ascii="宋体" w:hAnsi="宋体" w:cs="宋体"/>
          <w:color w:val="auto"/>
          <w:sz w:val="24"/>
          <w:szCs w:val="24"/>
          <w:highlight w:val="none"/>
        </w:rPr>
      </w:pPr>
      <w:r>
        <w:rPr>
          <w:rFonts w:hint="eastAsia" w:ascii="宋体" w:hAnsi="宋体" w:cs="宋体"/>
          <w:b/>
          <w:color w:val="auto"/>
          <w:sz w:val="24"/>
          <w:szCs w:val="24"/>
          <w:highlight w:val="none"/>
        </w:rPr>
        <w:t>投标资格要求：</w:t>
      </w:r>
    </w:p>
    <w:p>
      <w:pPr>
        <w:numPr>
          <w:ilvl w:val="0"/>
          <w:numId w:val="4"/>
        </w:numPr>
        <w:tabs>
          <w:tab w:val="left" w:pos="993"/>
          <w:tab w:val="clear" w:pos="780"/>
        </w:tabs>
        <w:snapToGrid w:val="0"/>
        <w:spacing w:line="360" w:lineRule="auto"/>
        <w:ind w:left="0" w:firstLine="540"/>
        <w:rPr>
          <w:rFonts w:hint="eastAsia" w:ascii="宋体" w:hAnsi="宋体" w:cs="宋体"/>
          <w:color w:val="auto"/>
          <w:kern w:val="0"/>
          <w:sz w:val="24"/>
          <w:szCs w:val="28"/>
          <w:highlight w:val="none"/>
        </w:rPr>
      </w:pPr>
      <w:r>
        <w:rPr>
          <w:rFonts w:hint="eastAsia" w:ascii="宋体" w:hAnsi="宋体" w:cs="宋体"/>
          <w:color w:val="auto"/>
          <w:sz w:val="24"/>
          <w:szCs w:val="24"/>
          <w:highlight w:val="none"/>
        </w:rPr>
        <w:t>投标人须</w:t>
      </w:r>
      <w:r>
        <w:rPr>
          <w:rFonts w:hint="eastAsia" w:ascii="宋体" w:hAnsi="宋体" w:cs="宋体"/>
          <w:color w:val="auto"/>
          <w:sz w:val="24"/>
          <w:highlight w:val="none"/>
        </w:rPr>
        <w:t>具有独立承担民事责任能力的在中华人民共和国境内注册的法人或其他组织，具有从事本项目的能力</w:t>
      </w:r>
      <w:r>
        <w:rPr>
          <w:rFonts w:hint="eastAsia" w:ascii="宋体" w:hAnsi="宋体" w:cs="宋体"/>
          <w:color w:val="auto"/>
          <w:sz w:val="24"/>
          <w:szCs w:val="24"/>
          <w:highlight w:val="none"/>
        </w:rPr>
        <w:t>；</w:t>
      </w:r>
    </w:p>
    <w:p>
      <w:pPr>
        <w:numPr>
          <w:ilvl w:val="0"/>
          <w:numId w:val="4"/>
        </w:numPr>
        <w:tabs>
          <w:tab w:val="left" w:pos="993"/>
          <w:tab w:val="clear" w:pos="780"/>
        </w:tabs>
        <w:snapToGrid w:val="0"/>
        <w:spacing w:line="360" w:lineRule="auto"/>
        <w:ind w:left="0" w:firstLine="540"/>
        <w:rPr>
          <w:rFonts w:hint="eastAsia" w:ascii="宋体" w:hAnsi="宋体" w:cs="宋体"/>
          <w:color w:val="auto"/>
          <w:sz w:val="24"/>
          <w:szCs w:val="24"/>
          <w:highlight w:val="none"/>
        </w:rPr>
      </w:pPr>
      <w:r>
        <w:rPr>
          <w:rFonts w:hint="eastAsia" w:ascii="宋体" w:hAnsi="宋体" w:cs="宋体"/>
          <w:color w:val="auto"/>
          <w:sz w:val="24"/>
          <w:szCs w:val="24"/>
          <w:highlight w:val="none"/>
        </w:rPr>
        <w:t>投标人须具有</w:t>
      </w:r>
      <w:r>
        <w:rPr>
          <w:rFonts w:hint="eastAsia" w:ascii="宋体" w:hAnsi="宋体" w:cs="宋体"/>
          <w:color w:val="auto"/>
          <w:sz w:val="24"/>
          <w:szCs w:val="24"/>
          <w:highlight w:val="none"/>
          <w:lang w:val="en-US" w:eastAsia="zh-CN"/>
        </w:rPr>
        <w:t>有效的</w:t>
      </w:r>
      <w:r>
        <w:rPr>
          <w:rFonts w:hint="eastAsia" w:ascii="宋体" w:hAnsi="宋体" w:cs="宋体"/>
          <w:color w:val="auto"/>
          <w:sz w:val="24"/>
          <w:szCs w:val="24"/>
          <w:highlight w:val="none"/>
        </w:rPr>
        <w:t>测绘</w:t>
      </w:r>
      <w:r>
        <w:rPr>
          <w:rFonts w:hint="eastAsia" w:ascii="宋体" w:hAnsi="宋体" w:cs="宋体"/>
          <w:color w:val="auto"/>
          <w:sz w:val="24"/>
          <w:szCs w:val="24"/>
          <w:highlight w:val="none"/>
          <w:lang w:val="en-US" w:eastAsia="zh-CN"/>
        </w:rPr>
        <w:t>乙</w:t>
      </w:r>
      <w:r>
        <w:rPr>
          <w:rFonts w:hint="eastAsia" w:ascii="宋体" w:hAnsi="宋体" w:cs="宋体"/>
          <w:color w:val="auto"/>
          <w:sz w:val="24"/>
          <w:szCs w:val="24"/>
          <w:highlight w:val="none"/>
        </w:rPr>
        <w:t>级(含)以上资质证书（专业范围含海洋测绘）证书</w:t>
      </w:r>
      <w:r>
        <w:rPr>
          <w:rFonts w:hint="eastAsia" w:ascii="宋体" w:hAnsi="宋体" w:cs="宋体"/>
          <w:color w:val="auto"/>
          <w:sz w:val="24"/>
          <w:szCs w:val="24"/>
          <w:highlight w:val="none"/>
          <w:lang w:val="en-US" w:eastAsia="zh-CN"/>
        </w:rPr>
        <w:t>及有效的</w:t>
      </w:r>
      <w:r>
        <w:rPr>
          <w:rFonts w:hint="eastAsia" w:ascii="宋体" w:hAnsi="宋体" w:cs="宋体"/>
          <w:color w:val="auto"/>
          <w:kern w:val="0"/>
          <w:sz w:val="24"/>
          <w:szCs w:val="28"/>
          <w:highlight w:val="none"/>
          <w:lang w:val="en-US" w:eastAsia="zh-CN"/>
        </w:rPr>
        <w:t>省级及以上质量技术监督部门颁发的</w:t>
      </w:r>
      <w:r>
        <w:rPr>
          <w:rFonts w:hint="eastAsia" w:ascii="宋体" w:hAnsi="宋体" w:cs="宋体"/>
          <w:color w:val="auto"/>
          <w:sz w:val="24"/>
          <w:szCs w:val="24"/>
          <w:highlight w:val="none"/>
        </w:rPr>
        <w:t>CMA</w:t>
      </w:r>
      <w:r>
        <w:rPr>
          <w:rFonts w:hint="eastAsia" w:ascii="宋体" w:hAnsi="宋体" w:cs="宋体"/>
          <w:color w:val="auto"/>
          <w:sz w:val="24"/>
          <w:szCs w:val="24"/>
          <w:highlight w:val="none"/>
          <w:lang w:val="en-US" w:eastAsia="zh-CN"/>
        </w:rPr>
        <w:t>认证证书</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检测范围应包括海水</w:t>
      </w:r>
      <w:r>
        <w:rPr>
          <w:rFonts w:hint="eastAsia" w:ascii="宋体" w:hAnsi="宋体" w:cs="宋体"/>
          <w:color w:val="auto"/>
          <w:sz w:val="24"/>
          <w:szCs w:val="24"/>
          <w:highlight w:val="none"/>
          <w:lang w:val="en-US" w:eastAsia="zh-CN"/>
        </w:rPr>
        <w:t>水质</w:t>
      </w:r>
      <w:r>
        <w:rPr>
          <w:rFonts w:hint="eastAsia" w:ascii="宋体" w:hAnsi="宋体" w:cs="宋体"/>
          <w:color w:val="auto"/>
          <w:sz w:val="24"/>
          <w:szCs w:val="24"/>
          <w:highlight w:val="none"/>
        </w:rPr>
        <w:t>、海洋沉积物</w:t>
      </w:r>
      <w:r>
        <w:rPr>
          <w:rFonts w:hint="eastAsia" w:ascii="宋体" w:hAnsi="宋体" w:cs="宋体"/>
          <w:color w:val="auto"/>
          <w:kern w:val="0"/>
          <w:sz w:val="24"/>
          <w:szCs w:val="28"/>
          <w:highlight w:val="none"/>
          <w:lang w:val="en-US" w:eastAsia="zh-CN"/>
        </w:rPr>
        <w:t>及</w:t>
      </w:r>
      <w:r>
        <w:rPr>
          <w:rFonts w:hint="eastAsia" w:ascii="宋体" w:hAnsi="宋体" w:cs="宋体"/>
          <w:color w:val="auto"/>
          <w:kern w:val="0"/>
          <w:sz w:val="24"/>
          <w:szCs w:val="28"/>
          <w:highlight w:val="none"/>
          <w:lang w:val="en-US" w:eastAsia="zh-CN"/>
        </w:rPr>
        <w:t>海洋生物生态相关内容</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w:t>
      </w:r>
    </w:p>
    <w:p>
      <w:pPr>
        <w:numPr>
          <w:ilvl w:val="0"/>
          <w:numId w:val="4"/>
        </w:numPr>
        <w:tabs>
          <w:tab w:val="left" w:pos="993"/>
          <w:tab w:val="clear" w:pos="780"/>
        </w:tabs>
        <w:snapToGrid w:val="0"/>
        <w:spacing w:line="360" w:lineRule="auto"/>
        <w:ind w:left="0" w:firstLine="540"/>
        <w:rPr>
          <w:rFonts w:hint="eastAsia" w:ascii="宋体" w:hAnsi="宋体" w:cs="宋体"/>
          <w:color w:val="auto"/>
          <w:kern w:val="0"/>
          <w:sz w:val="24"/>
          <w:szCs w:val="28"/>
          <w:highlight w:val="none"/>
        </w:rPr>
      </w:pPr>
      <w:r>
        <w:rPr>
          <w:rFonts w:hint="eastAsia" w:ascii="宋体" w:hAnsi="宋体" w:cs="宋体"/>
          <w:color w:val="auto"/>
          <w:kern w:val="0"/>
          <w:sz w:val="24"/>
          <w:szCs w:val="28"/>
          <w:highlight w:val="none"/>
        </w:rPr>
        <w:t>投标人</w:t>
      </w:r>
      <w:r>
        <w:rPr>
          <w:rFonts w:hint="eastAsia" w:ascii="宋体" w:hAnsi="宋体" w:cs="宋体"/>
          <w:color w:val="auto"/>
          <w:sz w:val="24"/>
          <w:highlight w:val="none"/>
        </w:rPr>
        <w:t>不得被列入“失信被执行人”或“失信惩戒对象”或“重大税收违法案件当事人”，以“信用中国”网站（www.creditchina.gov.cn）查询为准。（需在招标公告发布后从“信用中国”网站打印查询结果并加盖公章）；</w:t>
      </w:r>
    </w:p>
    <w:p>
      <w:pPr>
        <w:numPr>
          <w:ilvl w:val="0"/>
          <w:numId w:val="4"/>
        </w:numPr>
        <w:tabs>
          <w:tab w:val="left" w:pos="993"/>
          <w:tab w:val="clear" w:pos="780"/>
        </w:tabs>
        <w:snapToGrid w:val="0"/>
        <w:spacing w:line="360" w:lineRule="auto"/>
        <w:ind w:left="0" w:firstLine="540"/>
        <w:rPr>
          <w:rFonts w:hint="eastAsia" w:ascii="宋体" w:hAnsi="宋体" w:cs="宋体"/>
          <w:color w:val="auto"/>
          <w:kern w:val="0"/>
          <w:sz w:val="24"/>
          <w:szCs w:val="28"/>
          <w:highlight w:val="none"/>
        </w:rPr>
      </w:pPr>
      <w:r>
        <w:rPr>
          <w:rFonts w:hint="eastAsia" w:ascii="宋体" w:hAnsi="宋体" w:cs="宋体"/>
          <w:color w:val="auto"/>
          <w:kern w:val="0"/>
          <w:sz w:val="24"/>
          <w:szCs w:val="28"/>
          <w:highlight w:val="none"/>
        </w:rPr>
        <w:t>本项目接受联合体投标申请，联合体投标的，应满足下列要求：</w:t>
      </w:r>
    </w:p>
    <w:p>
      <w:pPr>
        <w:numPr>
          <w:ilvl w:val="0"/>
          <w:numId w:val="0"/>
        </w:numPr>
        <w:tabs>
          <w:tab w:val="left" w:pos="993"/>
        </w:tabs>
        <w:snapToGrid w:val="0"/>
        <w:spacing w:line="360" w:lineRule="auto"/>
        <w:ind w:left="540" w:leftChars="0"/>
        <w:rPr>
          <w:rFonts w:hint="eastAsia" w:ascii="宋体" w:hAnsi="宋体" w:cs="宋体"/>
          <w:color w:val="auto"/>
          <w:kern w:val="0"/>
          <w:sz w:val="24"/>
          <w:szCs w:val="28"/>
          <w:highlight w:val="none"/>
        </w:rPr>
      </w:pPr>
      <w:r>
        <w:rPr>
          <w:rFonts w:hint="eastAsia" w:ascii="宋体" w:hAnsi="宋体" w:cs="宋体"/>
          <w:color w:val="auto"/>
          <w:kern w:val="0"/>
          <w:sz w:val="24"/>
          <w:szCs w:val="28"/>
          <w:highlight w:val="none"/>
        </w:rPr>
        <w:t>1）投标时需提交联合体协议作为要件之一，联合体协议中要载明联合体投标代表的牵头人，并声明联合体各方的权利和义务、相关工作范围；</w:t>
      </w:r>
    </w:p>
    <w:p>
      <w:pPr>
        <w:numPr>
          <w:ilvl w:val="0"/>
          <w:numId w:val="0"/>
        </w:numPr>
        <w:tabs>
          <w:tab w:val="left" w:pos="993"/>
        </w:tabs>
        <w:snapToGrid w:val="0"/>
        <w:spacing w:line="360" w:lineRule="auto"/>
        <w:ind w:left="540" w:leftChars="0"/>
        <w:rPr>
          <w:rFonts w:hint="eastAsia" w:ascii="宋体" w:hAnsi="宋体" w:cs="宋体"/>
          <w:color w:val="auto"/>
          <w:kern w:val="0"/>
          <w:sz w:val="24"/>
          <w:szCs w:val="28"/>
          <w:highlight w:val="none"/>
        </w:rPr>
      </w:pPr>
      <w:r>
        <w:rPr>
          <w:rFonts w:hint="eastAsia" w:ascii="宋体" w:hAnsi="宋体" w:cs="宋体"/>
          <w:color w:val="auto"/>
          <w:kern w:val="0"/>
          <w:sz w:val="24"/>
          <w:szCs w:val="28"/>
          <w:highlight w:val="none"/>
        </w:rPr>
        <w:t>2）联合体各方均需具有良好的商业信誉，没有处于被责令停业或破产状态，且资产未被重组、接管、冻结；</w:t>
      </w:r>
    </w:p>
    <w:p>
      <w:pPr>
        <w:numPr>
          <w:ilvl w:val="0"/>
          <w:numId w:val="0"/>
        </w:numPr>
        <w:tabs>
          <w:tab w:val="left" w:pos="993"/>
        </w:tabs>
        <w:snapToGrid w:val="0"/>
        <w:spacing w:line="360" w:lineRule="auto"/>
        <w:ind w:left="540" w:leftChars="0"/>
        <w:rPr>
          <w:rFonts w:hint="eastAsia" w:ascii="宋体" w:hAnsi="宋体" w:cs="宋体"/>
          <w:color w:val="auto"/>
          <w:kern w:val="0"/>
          <w:sz w:val="24"/>
          <w:szCs w:val="28"/>
          <w:highlight w:val="none"/>
        </w:rPr>
      </w:pPr>
      <w:r>
        <w:rPr>
          <w:rFonts w:hint="eastAsia" w:ascii="宋体" w:hAnsi="宋体" w:cs="宋体"/>
          <w:color w:val="auto"/>
          <w:kern w:val="0"/>
          <w:sz w:val="24"/>
          <w:szCs w:val="28"/>
          <w:highlight w:val="none"/>
        </w:rPr>
        <w:t>3）联合体各方不得再以自己名义单独或参加其他联合体在本招标项目中投标。</w:t>
      </w:r>
    </w:p>
    <w:p>
      <w:pPr>
        <w:numPr>
          <w:ilvl w:val="0"/>
          <w:numId w:val="0"/>
        </w:numPr>
        <w:tabs>
          <w:tab w:val="left" w:pos="993"/>
        </w:tabs>
        <w:snapToGrid w:val="0"/>
        <w:spacing w:line="360" w:lineRule="auto"/>
        <w:ind w:left="540" w:leftChars="0"/>
        <w:rPr>
          <w:rFonts w:hint="eastAsia" w:ascii="宋体" w:hAnsi="宋体" w:cs="宋体"/>
          <w:color w:val="auto"/>
          <w:kern w:val="0"/>
          <w:sz w:val="24"/>
          <w:szCs w:val="28"/>
          <w:highlight w:val="none"/>
        </w:rPr>
      </w:pPr>
      <w:r>
        <w:rPr>
          <w:rFonts w:hint="eastAsia" w:ascii="宋体" w:hAnsi="宋体" w:cs="宋体"/>
          <w:color w:val="auto"/>
          <w:kern w:val="0"/>
          <w:sz w:val="24"/>
          <w:szCs w:val="28"/>
          <w:highlight w:val="none"/>
        </w:rPr>
        <w:t>4）联合体最多允许</w:t>
      </w:r>
      <w:r>
        <w:rPr>
          <w:rFonts w:hint="eastAsia" w:ascii="宋体" w:hAnsi="宋体" w:cs="宋体"/>
          <w:color w:val="auto"/>
          <w:kern w:val="0"/>
          <w:sz w:val="24"/>
          <w:szCs w:val="28"/>
          <w:highlight w:val="none"/>
          <w:lang w:val="en-US" w:eastAsia="zh-CN"/>
        </w:rPr>
        <w:t>2</w:t>
      </w:r>
      <w:r>
        <w:rPr>
          <w:rFonts w:hint="eastAsia" w:ascii="宋体" w:hAnsi="宋体" w:cs="宋体"/>
          <w:color w:val="auto"/>
          <w:kern w:val="0"/>
          <w:sz w:val="24"/>
          <w:szCs w:val="28"/>
          <w:highlight w:val="none"/>
        </w:rPr>
        <w:t>家单位。</w:t>
      </w:r>
    </w:p>
    <w:p>
      <w:pPr>
        <w:numPr>
          <w:ilvl w:val="0"/>
          <w:numId w:val="4"/>
        </w:numPr>
        <w:tabs>
          <w:tab w:val="left" w:pos="993"/>
          <w:tab w:val="clear" w:pos="780"/>
        </w:tabs>
        <w:snapToGrid w:val="0"/>
        <w:spacing w:line="360" w:lineRule="auto"/>
        <w:ind w:left="0" w:firstLine="540"/>
        <w:rPr>
          <w:rFonts w:hint="eastAsia" w:ascii="宋体" w:hAnsi="宋体" w:cs="宋体"/>
          <w:color w:val="auto"/>
          <w:kern w:val="0"/>
          <w:sz w:val="24"/>
          <w:szCs w:val="28"/>
          <w:highlight w:val="none"/>
        </w:rPr>
      </w:pPr>
      <w:r>
        <w:rPr>
          <w:rFonts w:hint="eastAsia" w:ascii="宋体" w:hAnsi="宋体" w:cs="宋体"/>
          <w:color w:val="auto"/>
          <w:kern w:val="0"/>
          <w:sz w:val="24"/>
          <w:szCs w:val="28"/>
          <w:highlight w:val="none"/>
        </w:rPr>
        <w:t>单位负责人为同一人或者存在控股、管理关系的不同单位，不得参加同一招标项目投标。</w:t>
      </w:r>
    </w:p>
    <w:p>
      <w:pPr>
        <w:numPr>
          <w:ilvl w:val="0"/>
          <w:numId w:val="3"/>
        </w:numPr>
        <w:tabs>
          <w:tab w:val="left" w:pos="1134"/>
        </w:tabs>
        <w:spacing w:line="360" w:lineRule="auto"/>
        <w:ind w:left="0" w:firstLine="567"/>
        <w:rPr>
          <w:rFonts w:hint="eastAsia" w:ascii="宋体" w:hAnsi="宋体" w:cs="宋体"/>
          <w:b/>
          <w:color w:val="auto"/>
          <w:sz w:val="24"/>
          <w:szCs w:val="24"/>
          <w:highlight w:val="none"/>
        </w:rPr>
      </w:pPr>
      <w:r>
        <w:rPr>
          <w:rFonts w:hint="eastAsia" w:ascii="宋体" w:hAnsi="宋体" w:cs="宋体"/>
          <w:b/>
          <w:color w:val="auto"/>
          <w:sz w:val="24"/>
          <w:szCs w:val="24"/>
          <w:highlight w:val="none"/>
        </w:rPr>
        <w:t>资格审查方式：资格后审。</w:t>
      </w:r>
    </w:p>
    <w:p>
      <w:pPr>
        <w:numPr>
          <w:ilvl w:val="0"/>
          <w:numId w:val="3"/>
        </w:numPr>
        <w:tabs>
          <w:tab w:val="left" w:pos="1134"/>
        </w:tabs>
        <w:spacing w:line="360" w:lineRule="auto"/>
        <w:ind w:left="0" w:firstLine="567"/>
        <w:rPr>
          <w:rFonts w:hint="eastAsia" w:ascii="宋体" w:hAnsi="宋体" w:cs="宋体"/>
          <w:b/>
          <w:color w:val="auto"/>
          <w:sz w:val="24"/>
          <w:szCs w:val="24"/>
          <w:highlight w:val="none"/>
        </w:rPr>
      </w:pPr>
      <w:r>
        <w:rPr>
          <w:rFonts w:hint="eastAsia" w:ascii="宋体" w:hAnsi="宋体" w:cs="宋体"/>
          <w:b/>
          <w:color w:val="auto"/>
          <w:sz w:val="24"/>
          <w:szCs w:val="24"/>
          <w:highlight w:val="none"/>
        </w:rPr>
        <w:t>招标文件的获取：</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凡有意参加投标者，在“辽宁省公共资源交易一张网电子化平台（https://www.lnsggzy.com/EpointSSO/login/oauth2login）”上进行投标确认，自行下载招标文件。投标人在投标的全过程中要随时关注辽宁省公共资源交易一张网电子化平台，及时获取相关信息，否则，由此造成的一切后果，由投标人自行负责。</w:t>
      </w:r>
    </w:p>
    <w:p>
      <w:pPr>
        <w:spacing w:line="360" w:lineRule="auto"/>
        <w:ind w:firstLine="480" w:firstLineChars="200"/>
        <w:rPr>
          <w:rFonts w:hint="eastAsia" w:ascii="宋体" w:hAnsi="宋体" w:cs="宋体"/>
          <w:b/>
          <w:color w:val="auto"/>
          <w:sz w:val="24"/>
          <w:szCs w:val="24"/>
          <w:highlight w:val="none"/>
        </w:rPr>
      </w:pPr>
      <w:r>
        <w:rPr>
          <w:rFonts w:hint="eastAsia" w:ascii="宋体" w:hAnsi="宋体" w:cs="宋体"/>
          <w:color w:val="auto"/>
          <w:sz w:val="24"/>
          <w:szCs w:val="24"/>
          <w:highlight w:val="none"/>
        </w:rPr>
        <w:t>2.领取招标文件时间：自</w:t>
      </w:r>
      <w:r>
        <w:rPr>
          <w:rFonts w:hint="eastAsia" w:ascii="宋体" w:hAnsi="宋体" w:cs="宋体"/>
          <w:color w:val="auto"/>
          <w:sz w:val="24"/>
          <w:szCs w:val="24"/>
          <w:highlight w:val="none"/>
          <w:u w:val="single"/>
        </w:rPr>
        <w:t>2024年0</w:t>
      </w:r>
      <w:r>
        <w:rPr>
          <w:rFonts w:hint="eastAsia" w:ascii="宋体" w:hAnsi="宋体" w:cs="宋体"/>
          <w:color w:val="auto"/>
          <w:sz w:val="24"/>
          <w:szCs w:val="24"/>
          <w:highlight w:val="none"/>
          <w:u w:val="single"/>
          <w:lang w:val="en-US" w:eastAsia="zh-CN"/>
        </w:rPr>
        <w:t>7</w:t>
      </w:r>
      <w:r>
        <w:rPr>
          <w:rFonts w:hint="eastAsia" w:ascii="宋体" w:hAnsi="宋体" w:cs="宋体"/>
          <w:color w:val="auto"/>
          <w:sz w:val="24"/>
          <w:szCs w:val="24"/>
          <w:highlight w:val="none"/>
          <w:u w:val="single"/>
        </w:rPr>
        <w:t>月XX日16:00</w:t>
      </w:r>
      <w:r>
        <w:rPr>
          <w:rFonts w:hint="eastAsia" w:ascii="宋体" w:hAnsi="宋体" w:cs="宋体"/>
          <w:color w:val="auto"/>
          <w:sz w:val="24"/>
          <w:szCs w:val="24"/>
          <w:highlight w:val="none"/>
        </w:rPr>
        <w:t>起至</w:t>
      </w:r>
      <w:r>
        <w:rPr>
          <w:rFonts w:hint="eastAsia" w:ascii="宋体" w:hAnsi="宋体" w:cs="宋体"/>
          <w:color w:val="auto"/>
          <w:sz w:val="24"/>
          <w:szCs w:val="24"/>
          <w:highlight w:val="none"/>
          <w:u w:val="single"/>
        </w:rPr>
        <w:t>2024年0</w:t>
      </w:r>
      <w:r>
        <w:rPr>
          <w:rFonts w:hint="eastAsia" w:ascii="宋体" w:hAnsi="宋体" w:cs="宋体"/>
          <w:color w:val="auto"/>
          <w:sz w:val="24"/>
          <w:szCs w:val="24"/>
          <w:highlight w:val="none"/>
          <w:u w:val="single"/>
          <w:lang w:val="en-US" w:eastAsia="zh-CN"/>
        </w:rPr>
        <w:t>7</w:t>
      </w:r>
      <w:r>
        <w:rPr>
          <w:rFonts w:hint="eastAsia" w:ascii="宋体" w:hAnsi="宋体" w:cs="宋体"/>
          <w:color w:val="auto"/>
          <w:sz w:val="24"/>
          <w:szCs w:val="24"/>
          <w:highlight w:val="none"/>
          <w:u w:val="single"/>
        </w:rPr>
        <w:t>月XX日17:00</w:t>
      </w:r>
      <w:r>
        <w:rPr>
          <w:rFonts w:hint="eastAsia" w:ascii="宋体" w:hAnsi="宋体" w:cs="宋体"/>
          <w:color w:val="auto"/>
          <w:sz w:val="24"/>
          <w:szCs w:val="24"/>
          <w:highlight w:val="none"/>
        </w:rPr>
        <w:t>止。</w:t>
      </w:r>
    </w:p>
    <w:p>
      <w:pPr>
        <w:numPr>
          <w:ilvl w:val="0"/>
          <w:numId w:val="3"/>
        </w:numPr>
        <w:tabs>
          <w:tab w:val="left" w:pos="1134"/>
        </w:tabs>
        <w:spacing w:line="360" w:lineRule="auto"/>
        <w:ind w:left="0" w:firstLine="567"/>
        <w:rPr>
          <w:rFonts w:hint="eastAsia" w:ascii="宋体" w:hAnsi="宋体" w:cs="宋体"/>
          <w:b/>
          <w:color w:val="auto"/>
          <w:sz w:val="24"/>
          <w:szCs w:val="24"/>
          <w:highlight w:val="none"/>
        </w:rPr>
      </w:pPr>
      <w:r>
        <w:rPr>
          <w:rFonts w:hint="eastAsia" w:ascii="宋体" w:hAnsi="宋体" w:cs="宋体"/>
          <w:b/>
          <w:color w:val="auto"/>
          <w:sz w:val="24"/>
          <w:szCs w:val="24"/>
          <w:highlight w:val="none"/>
        </w:rPr>
        <w:t xml:space="preserve">投标文件的递交及开标： </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1.投标文件递交的截止时间和开标时间：</w:t>
      </w:r>
      <w:r>
        <w:rPr>
          <w:rFonts w:hint="eastAsia" w:ascii="宋体" w:hAnsi="宋体" w:cs="宋体"/>
          <w:color w:val="auto"/>
          <w:sz w:val="24"/>
          <w:szCs w:val="24"/>
          <w:highlight w:val="none"/>
          <w:u w:val="single"/>
        </w:rPr>
        <w:t>2024年07月XX日上午9时30分</w:t>
      </w:r>
      <w:r>
        <w:rPr>
          <w:rFonts w:hint="eastAsia" w:ascii="宋体" w:hAnsi="宋体" w:cs="宋体"/>
          <w:color w:val="auto"/>
          <w:sz w:val="24"/>
          <w:szCs w:val="24"/>
          <w:highlight w:val="none"/>
        </w:rPr>
        <w:t>（北京时间）。届时请参加投标的代表出席开标仪式。</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2.投标文件递交地址：在“辽宁省公共资源交易一张网电子化平台（https://www.lnsggzy.com/EpointSSO/login/oauth2login）”上传投标文件。</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3.开标方式：远程开标（不见面交易）。</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4.开标网址：</w:t>
      </w:r>
      <w:r>
        <w:rPr>
          <w:rFonts w:hint="eastAsia" w:ascii="宋体" w:hAnsi="宋体" w:cs="宋体"/>
          <w:color w:val="auto"/>
          <w:sz w:val="24"/>
          <w:szCs w:val="24"/>
          <w:highlight w:val="none"/>
          <w:u w:val="single"/>
        </w:rPr>
        <w:t>https://www.lnsggzy.com/BidOpeningHall/bidhall/dqliaoning/login</w:t>
      </w:r>
      <w:r>
        <w:rPr>
          <w:rFonts w:hint="eastAsia" w:ascii="宋体" w:hAnsi="宋体" w:cs="宋体"/>
          <w:color w:val="auto"/>
          <w:sz w:val="24"/>
          <w:szCs w:val="24"/>
          <w:highlight w:val="none"/>
        </w:rPr>
        <w:t>。投标文件需要用实体CA数字证书或移动CA数字证书生成上传。并在递交投标文件截止时间起30分钟内（因开标系统发生不可抗力产生延误解密时间的，招标人将延长相应的解密时长，其他原因不予延长解密时间），登录交易系统进入所投开标项目，使用CA 数字证书解密投标文件，未在规定时间内完成解密的投标人，视为放弃本次投标。</w:t>
      </w:r>
    </w:p>
    <w:p>
      <w:pPr>
        <w:numPr>
          <w:ilvl w:val="0"/>
          <w:numId w:val="3"/>
        </w:numPr>
        <w:tabs>
          <w:tab w:val="left" w:pos="1418"/>
        </w:tabs>
        <w:spacing w:line="360" w:lineRule="auto"/>
        <w:ind w:left="0" w:firstLine="482" w:firstLineChars="200"/>
        <w:rPr>
          <w:rFonts w:hint="eastAsia" w:ascii="宋体" w:hAnsi="宋体" w:cs="宋体"/>
          <w:color w:val="auto"/>
          <w:sz w:val="24"/>
          <w:highlight w:val="none"/>
        </w:rPr>
      </w:pPr>
      <w:r>
        <w:rPr>
          <w:rFonts w:hint="eastAsia" w:ascii="宋体" w:hAnsi="宋体" w:cs="宋体"/>
          <w:b/>
          <w:color w:val="auto"/>
          <w:sz w:val="24"/>
          <w:szCs w:val="24"/>
          <w:highlight w:val="none"/>
        </w:rPr>
        <w:t>发布公告的媒介：</w:t>
      </w:r>
      <w:r>
        <w:rPr>
          <w:rFonts w:hint="eastAsia" w:ascii="宋体" w:hAnsi="宋体" w:cs="宋体"/>
          <w:color w:val="auto"/>
          <w:sz w:val="24"/>
          <w:szCs w:val="24"/>
          <w:highlight w:val="none"/>
        </w:rPr>
        <w:t>本次招标公告同时在辽宁省招标投标监管网、</w:t>
      </w:r>
      <w:r>
        <w:rPr>
          <w:rFonts w:hint="eastAsia" w:ascii="宋体" w:hAnsi="宋体" w:eastAsia="宋体" w:cs="宋体"/>
          <w:color w:val="auto"/>
          <w:sz w:val="24"/>
          <w:szCs w:val="24"/>
          <w:highlight w:val="none"/>
          <w:shd w:val="clear" w:color="auto" w:fill="FFFFFF"/>
        </w:rPr>
        <w:t>辽宁省公共资源交易网</w:t>
      </w:r>
      <w:r>
        <w:rPr>
          <w:rFonts w:hint="eastAsia" w:ascii="宋体" w:hAnsi="宋体" w:cs="宋体"/>
          <w:color w:val="auto"/>
          <w:sz w:val="24"/>
          <w:szCs w:val="24"/>
          <w:highlight w:val="none"/>
          <w:shd w:val="clear" w:color="auto" w:fill="FFFFFF"/>
        </w:rPr>
        <w:t>及营口市公共资源交易网</w:t>
      </w:r>
      <w:r>
        <w:rPr>
          <w:rFonts w:hint="eastAsia" w:ascii="宋体" w:hAnsi="宋体" w:cs="宋体"/>
          <w:color w:val="auto"/>
          <w:sz w:val="24"/>
          <w:szCs w:val="24"/>
          <w:highlight w:val="none"/>
        </w:rPr>
        <w:t>上发布。</w:t>
      </w:r>
    </w:p>
    <w:p>
      <w:pPr>
        <w:numPr>
          <w:ilvl w:val="0"/>
          <w:numId w:val="3"/>
        </w:numPr>
        <w:tabs>
          <w:tab w:val="left" w:pos="1418"/>
        </w:tabs>
        <w:spacing w:line="360" w:lineRule="auto"/>
        <w:ind w:left="0" w:firstLine="482" w:firstLineChars="200"/>
        <w:rPr>
          <w:rFonts w:hint="eastAsia" w:ascii="宋体" w:hAnsi="宋体" w:cs="宋体"/>
          <w:color w:val="auto"/>
          <w:sz w:val="24"/>
          <w:highlight w:val="none"/>
        </w:rPr>
      </w:pPr>
      <w:r>
        <w:rPr>
          <w:rFonts w:hint="eastAsia" w:ascii="宋体" w:hAnsi="宋体" w:cs="宋体"/>
          <w:b/>
          <w:color w:val="auto"/>
          <w:sz w:val="24"/>
          <w:szCs w:val="24"/>
          <w:highlight w:val="none"/>
        </w:rPr>
        <w:t>联系方式</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招标人：营口市自然资源局</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地址：营口市站前区辽河大街东14-5号</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联系人：鲍先生</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eastAsia="宋体" w:cs="宋体"/>
          <w:color w:val="auto"/>
          <w:sz w:val="24"/>
          <w:highlight w:val="none"/>
        </w:rPr>
        <w:t>0417-2661302</w:t>
      </w: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招标代理机构：辽宁国信建设工程管理有限公司</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联系地址：营口市站前区东新路7-12号</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联系人：魏先生</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联系电话：0417-3355086</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传真：0417-3355059</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电子信箱：gxzbscb@163.com</w:t>
      </w:r>
    </w:p>
    <w:p>
      <w:pPr>
        <w:rPr>
          <w:rFonts w:hint="eastAsia" w:ascii="宋体" w:hAnsi="宋体" w:cs="宋体"/>
          <w:color w:val="auto"/>
          <w:highlight w:val="none"/>
        </w:rPr>
      </w:pPr>
    </w:p>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 xml:space="preserve">                            </w:t>
      </w:r>
    </w:p>
    <w:p>
      <w:pPr>
        <w:spacing w:line="360" w:lineRule="auto"/>
        <w:ind w:right="120"/>
        <w:jc w:val="right"/>
        <w:rPr>
          <w:rFonts w:hint="eastAsia" w:ascii="宋体" w:hAnsi="宋体" w:cs="宋体"/>
          <w:color w:val="auto"/>
          <w:highlight w:val="none"/>
        </w:rPr>
      </w:pPr>
      <w:r>
        <w:rPr>
          <w:rFonts w:hint="eastAsia" w:ascii="宋体" w:hAnsi="宋体" w:cs="宋体"/>
          <w:color w:val="auto"/>
          <w:sz w:val="24"/>
          <w:highlight w:val="none"/>
        </w:rPr>
        <w:t xml:space="preserve"> </w:t>
      </w:r>
    </w:p>
    <w:p>
      <w:pPr>
        <w:spacing w:line="360" w:lineRule="auto"/>
        <w:rPr>
          <w:rFonts w:hint="eastAsia" w:ascii="宋体" w:hAnsi="宋体" w:cs="宋体"/>
          <w:color w:val="auto"/>
          <w:sz w:val="24"/>
          <w:szCs w:val="24"/>
          <w:highlight w:val="none"/>
        </w:rPr>
      </w:pPr>
    </w:p>
    <w:p>
      <w:pPr>
        <w:spacing w:line="360" w:lineRule="auto"/>
        <w:rPr>
          <w:rFonts w:hint="eastAsia" w:ascii="宋体" w:hAnsi="宋体" w:cs="宋体"/>
          <w:color w:val="auto"/>
          <w:sz w:val="24"/>
          <w:szCs w:val="24"/>
          <w:highlight w:val="none"/>
        </w:rPr>
      </w:pPr>
    </w:p>
    <w:p>
      <w:pPr>
        <w:spacing w:line="360" w:lineRule="auto"/>
        <w:rPr>
          <w:rFonts w:hint="eastAsia" w:ascii="宋体" w:hAnsi="宋体" w:cs="宋体"/>
          <w:color w:val="auto"/>
          <w:sz w:val="24"/>
          <w:szCs w:val="24"/>
          <w:highlight w:val="none"/>
        </w:rPr>
      </w:pPr>
    </w:p>
    <w:p>
      <w:pPr>
        <w:spacing w:line="360" w:lineRule="auto"/>
        <w:rPr>
          <w:rFonts w:hint="eastAsia" w:ascii="宋体" w:hAnsi="宋体" w:cs="宋体"/>
          <w:color w:val="auto"/>
          <w:sz w:val="24"/>
          <w:szCs w:val="24"/>
          <w:highlight w:val="none"/>
        </w:rPr>
      </w:pPr>
    </w:p>
    <w:p>
      <w:pPr>
        <w:spacing w:line="360" w:lineRule="auto"/>
        <w:rPr>
          <w:rFonts w:hint="eastAsia" w:ascii="宋体" w:hAnsi="宋体" w:cs="宋体"/>
          <w:color w:val="auto"/>
          <w:sz w:val="24"/>
          <w:szCs w:val="24"/>
          <w:highlight w:val="none"/>
        </w:rPr>
      </w:pPr>
    </w:p>
    <w:p>
      <w:pPr>
        <w:spacing w:line="360" w:lineRule="auto"/>
        <w:rPr>
          <w:rFonts w:hint="eastAsia" w:ascii="宋体" w:hAnsi="宋体" w:cs="宋体"/>
          <w:color w:val="auto"/>
          <w:sz w:val="24"/>
          <w:szCs w:val="24"/>
          <w:highlight w:val="none"/>
        </w:rPr>
      </w:pPr>
    </w:p>
    <w:p>
      <w:pPr>
        <w:spacing w:line="360" w:lineRule="auto"/>
        <w:rPr>
          <w:rFonts w:hint="eastAsia" w:ascii="宋体" w:hAnsi="宋体" w:cs="宋体"/>
          <w:color w:val="auto"/>
          <w:sz w:val="24"/>
          <w:szCs w:val="24"/>
          <w:highlight w:val="none"/>
        </w:rPr>
      </w:pPr>
    </w:p>
    <w:p>
      <w:pPr>
        <w:spacing w:line="360" w:lineRule="auto"/>
        <w:jc w:val="center"/>
        <w:rPr>
          <w:rFonts w:hint="eastAsia" w:ascii="宋体" w:hAnsi="宋体" w:eastAsia="宋体" w:cs="宋体"/>
          <w:color w:val="auto"/>
          <w:w w:val="90"/>
          <w:highlight w:val="none"/>
        </w:rPr>
      </w:pPr>
      <w:bookmarkStart w:id="8" w:name="_Toc19585"/>
      <w:bookmarkEnd w:id="8"/>
      <w:bookmarkStart w:id="9" w:name="_Toc18752"/>
      <w:bookmarkEnd w:id="9"/>
      <w:bookmarkStart w:id="10" w:name="_Toc344394138"/>
      <w:bookmarkEnd w:id="10"/>
      <w:bookmarkStart w:id="11" w:name="_Toc349568710"/>
      <w:bookmarkEnd w:id="11"/>
      <w:bookmarkStart w:id="12" w:name="_Toc349568451"/>
      <w:bookmarkEnd w:id="12"/>
      <w:bookmarkStart w:id="13" w:name="_Toc343510552"/>
      <w:bookmarkEnd w:id="13"/>
      <w:bookmarkStart w:id="14" w:name="_Toc350515647"/>
      <w:bookmarkEnd w:id="14"/>
      <w:r>
        <w:rPr>
          <w:rFonts w:hint="eastAsia" w:ascii="宋体" w:hAnsi="宋体" w:eastAsia="宋体" w:cs="宋体"/>
          <w:color w:val="auto"/>
          <w:w w:val="90"/>
          <w:highlight w:val="none"/>
        </w:rPr>
        <w:br w:type="page"/>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pStyle w:val="2"/>
        <w:numPr>
          <w:ilvl w:val="0"/>
          <w:numId w:val="2"/>
        </w:numPr>
        <w:spacing w:line="360" w:lineRule="auto"/>
        <w:jc w:val="center"/>
        <w:rPr>
          <w:rFonts w:hint="eastAsia" w:ascii="宋体" w:hAnsi="宋体" w:cs="宋体"/>
          <w:color w:val="auto"/>
          <w:w w:val="90"/>
          <w:highlight w:val="none"/>
        </w:rPr>
      </w:pPr>
      <w:r>
        <w:rPr>
          <w:rFonts w:hint="eastAsia" w:ascii="宋体" w:hAnsi="宋体" w:cs="宋体"/>
          <w:color w:val="auto"/>
          <w:w w:val="90"/>
          <w:highlight w:val="none"/>
        </w:rPr>
        <w:t xml:space="preserve">  </w:t>
      </w:r>
      <w:r>
        <w:rPr>
          <w:rFonts w:hint="eastAsia" w:ascii="宋体" w:hAnsi="宋体" w:cs="宋体"/>
          <w:color w:val="auto"/>
          <w:szCs w:val="24"/>
          <w:highlight w:val="none"/>
        </w:rPr>
        <w:t>投标人须知</w:t>
      </w:r>
      <w:r>
        <w:rPr>
          <w:rFonts w:hint="eastAsia" w:ascii="宋体" w:hAnsi="宋体" w:cs="宋体"/>
          <w:color w:val="auto"/>
          <w:w w:val="90"/>
          <w:highlight w:val="none"/>
        </w:rPr>
        <w:t>前附表</w:t>
      </w:r>
    </w:p>
    <w:p>
      <w:pPr>
        <w:tabs>
          <w:tab w:val="left" w:pos="7770"/>
        </w:tabs>
        <w:autoSpaceDE w:val="0"/>
        <w:autoSpaceDN w:val="0"/>
        <w:spacing w:line="360" w:lineRule="auto"/>
        <w:rPr>
          <w:rFonts w:hint="eastAsia" w:ascii="宋体" w:hAnsi="宋体" w:cs="宋体"/>
          <w:color w:val="auto"/>
          <w:sz w:val="24"/>
          <w:highlight w:val="none"/>
        </w:rPr>
      </w:pPr>
    </w:p>
    <w:p>
      <w:pPr>
        <w:tabs>
          <w:tab w:val="left" w:pos="7770"/>
        </w:tabs>
        <w:autoSpaceDE w:val="0"/>
        <w:autoSpaceDN w:val="0"/>
        <w:spacing w:line="360" w:lineRule="auto"/>
        <w:rPr>
          <w:rFonts w:hint="eastAsia" w:ascii="宋体" w:hAnsi="宋体" w:cs="宋体"/>
          <w:color w:val="auto"/>
          <w:sz w:val="24"/>
          <w:highlight w:val="none"/>
        </w:rPr>
      </w:pPr>
    </w:p>
    <w:p>
      <w:pPr>
        <w:tabs>
          <w:tab w:val="left" w:pos="7770"/>
        </w:tabs>
        <w:autoSpaceDE w:val="0"/>
        <w:autoSpaceDN w:val="0"/>
        <w:spacing w:line="360" w:lineRule="auto"/>
        <w:rPr>
          <w:rFonts w:hint="eastAsia" w:ascii="宋体" w:hAnsi="宋体" w:cs="宋体"/>
          <w:color w:val="auto"/>
          <w:sz w:val="24"/>
          <w:highlight w:val="none"/>
        </w:rPr>
      </w:pPr>
    </w:p>
    <w:p>
      <w:pPr>
        <w:tabs>
          <w:tab w:val="left" w:pos="7770"/>
        </w:tabs>
        <w:autoSpaceDE w:val="0"/>
        <w:autoSpaceDN w:val="0"/>
        <w:spacing w:line="360" w:lineRule="auto"/>
        <w:rPr>
          <w:rFonts w:hint="eastAsia" w:ascii="宋体" w:hAnsi="宋体" w:cs="宋体"/>
          <w:color w:val="auto"/>
          <w:sz w:val="24"/>
          <w:highlight w:val="none"/>
        </w:rPr>
      </w:pPr>
    </w:p>
    <w:p>
      <w:pPr>
        <w:tabs>
          <w:tab w:val="left" w:pos="7770"/>
        </w:tabs>
        <w:autoSpaceDE w:val="0"/>
        <w:autoSpaceDN w:val="0"/>
        <w:spacing w:line="360" w:lineRule="auto"/>
        <w:rPr>
          <w:rFonts w:hint="eastAsia" w:ascii="宋体" w:hAnsi="宋体" w:cs="宋体"/>
          <w:color w:val="auto"/>
          <w:sz w:val="24"/>
          <w:highlight w:val="none"/>
        </w:rPr>
      </w:pPr>
    </w:p>
    <w:p>
      <w:pPr>
        <w:tabs>
          <w:tab w:val="left" w:pos="7770"/>
        </w:tabs>
        <w:autoSpaceDE w:val="0"/>
        <w:autoSpaceDN w:val="0"/>
        <w:spacing w:line="360" w:lineRule="auto"/>
        <w:rPr>
          <w:rFonts w:hint="eastAsia" w:ascii="宋体" w:hAnsi="宋体" w:cs="宋体"/>
          <w:color w:val="auto"/>
          <w:sz w:val="24"/>
          <w:highlight w:val="none"/>
        </w:rPr>
      </w:pPr>
    </w:p>
    <w:p>
      <w:pPr>
        <w:tabs>
          <w:tab w:val="left" w:pos="7770"/>
        </w:tabs>
        <w:autoSpaceDE w:val="0"/>
        <w:autoSpaceDN w:val="0"/>
        <w:spacing w:line="360" w:lineRule="auto"/>
        <w:rPr>
          <w:rFonts w:hint="eastAsia" w:ascii="宋体" w:hAnsi="宋体" w:cs="宋体"/>
          <w:color w:val="auto"/>
          <w:sz w:val="24"/>
          <w:highlight w:val="none"/>
        </w:rPr>
      </w:pPr>
    </w:p>
    <w:p>
      <w:pPr>
        <w:tabs>
          <w:tab w:val="left" w:pos="7770"/>
        </w:tabs>
        <w:autoSpaceDE w:val="0"/>
        <w:autoSpaceDN w:val="0"/>
        <w:spacing w:line="360" w:lineRule="auto"/>
        <w:rPr>
          <w:rFonts w:hint="eastAsia" w:ascii="宋体" w:hAnsi="宋体" w:cs="宋体"/>
          <w:color w:val="auto"/>
          <w:sz w:val="24"/>
          <w:highlight w:val="none"/>
        </w:rPr>
      </w:pPr>
    </w:p>
    <w:p>
      <w:pPr>
        <w:tabs>
          <w:tab w:val="left" w:pos="7770"/>
        </w:tabs>
        <w:autoSpaceDE w:val="0"/>
        <w:autoSpaceDN w:val="0"/>
        <w:spacing w:line="360" w:lineRule="auto"/>
        <w:rPr>
          <w:rFonts w:hint="eastAsia" w:ascii="宋体" w:hAnsi="宋体" w:cs="宋体"/>
          <w:color w:val="auto"/>
          <w:sz w:val="24"/>
          <w:highlight w:val="none"/>
        </w:rPr>
      </w:pPr>
    </w:p>
    <w:p>
      <w:pPr>
        <w:tabs>
          <w:tab w:val="left" w:pos="7770"/>
        </w:tabs>
        <w:autoSpaceDE w:val="0"/>
        <w:autoSpaceDN w:val="0"/>
        <w:spacing w:line="360" w:lineRule="auto"/>
        <w:rPr>
          <w:rFonts w:hint="eastAsia" w:ascii="宋体" w:hAnsi="宋体" w:cs="宋体"/>
          <w:color w:val="auto"/>
          <w:sz w:val="24"/>
          <w:highlight w:val="none"/>
        </w:rPr>
      </w:pPr>
    </w:p>
    <w:p>
      <w:pPr>
        <w:tabs>
          <w:tab w:val="left" w:pos="7770"/>
        </w:tabs>
        <w:autoSpaceDE w:val="0"/>
        <w:autoSpaceDN w:val="0"/>
        <w:spacing w:line="360" w:lineRule="auto"/>
        <w:rPr>
          <w:rFonts w:hint="eastAsia" w:ascii="宋体" w:hAnsi="宋体" w:cs="宋体"/>
          <w:color w:val="auto"/>
          <w:sz w:val="24"/>
          <w:highlight w:val="none"/>
        </w:rPr>
      </w:pPr>
    </w:p>
    <w:p>
      <w:pPr>
        <w:tabs>
          <w:tab w:val="left" w:pos="7770"/>
        </w:tabs>
        <w:autoSpaceDE w:val="0"/>
        <w:autoSpaceDN w:val="0"/>
        <w:spacing w:line="360" w:lineRule="auto"/>
        <w:rPr>
          <w:rFonts w:hint="eastAsia" w:ascii="宋体" w:hAnsi="宋体" w:cs="宋体"/>
          <w:color w:val="auto"/>
          <w:sz w:val="24"/>
          <w:highlight w:val="none"/>
        </w:rPr>
      </w:pPr>
    </w:p>
    <w:p>
      <w:pPr>
        <w:tabs>
          <w:tab w:val="left" w:pos="7770"/>
        </w:tabs>
        <w:autoSpaceDE w:val="0"/>
        <w:autoSpaceDN w:val="0"/>
        <w:spacing w:line="360" w:lineRule="auto"/>
        <w:rPr>
          <w:rFonts w:hint="eastAsia" w:ascii="宋体" w:hAnsi="宋体" w:cs="宋体"/>
          <w:color w:val="auto"/>
          <w:sz w:val="24"/>
          <w:highlight w:val="none"/>
        </w:rPr>
      </w:pPr>
    </w:p>
    <w:p>
      <w:pPr>
        <w:spacing w:after="120" w:afterLines="50" w:line="360" w:lineRule="auto"/>
        <w:ind w:firstLine="442"/>
        <w:jc w:val="center"/>
        <w:rPr>
          <w:rFonts w:hint="eastAsia" w:ascii="宋体" w:hAnsi="宋体" w:cs="宋体"/>
          <w:b/>
          <w:color w:val="auto"/>
          <w:w w:val="90"/>
          <w:sz w:val="36"/>
          <w:highlight w:val="none"/>
        </w:rPr>
      </w:pPr>
      <w:r>
        <w:rPr>
          <w:rFonts w:hint="eastAsia" w:ascii="宋体" w:hAnsi="宋体" w:cs="宋体"/>
          <w:b/>
          <w:color w:val="auto"/>
          <w:w w:val="90"/>
          <w:sz w:val="36"/>
          <w:highlight w:val="none"/>
        </w:rPr>
        <w:br w:type="page"/>
      </w:r>
      <w:r>
        <w:rPr>
          <w:rFonts w:hint="eastAsia" w:ascii="宋体" w:hAnsi="宋体" w:cs="宋体"/>
          <w:b/>
          <w:color w:val="auto"/>
          <w:w w:val="90"/>
          <w:sz w:val="36"/>
          <w:highlight w:val="none"/>
        </w:rPr>
        <w:t>一、投标人须知前附表</w:t>
      </w:r>
    </w:p>
    <w:p>
      <w:pPr>
        <w:tabs>
          <w:tab w:val="left" w:pos="7770"/>
        </w:tabs>
        <w:autoSpaceDE w:val="0"/>
        <w:autoSpaceDN w:val="0"/>
        <w:spacing w:line="360" w:lineRule="auto"/>
        <w:rPr>
          <w:rFonts w:hint="eastAsia" w:ascii="宋体" w:hAnsi="宋体" w:cs="宋体"/>
          <w:color w:val="auto"/>
          <w:highlight w:val="none"/>
        </w:rPr>
      </w:pPr>
    </w:p>
    <w:tbl>
      <w:tblPr>
        <w:tblStyle w:val="26"/>
        <w:tblW w:w="1002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60"/>
        <w:gridCol w:w="815"/>
        <w:gridCol w:w="864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2" w:hRule="atLeast"/>
          <w:tblHeader/>
          <w:jc w:val="center"/>
        </w:trPr>
        <w:tc>
          <w:tcPr>
            <w:tcW w:w="560" w:type="dxa"/>
            <w:vAlign w:val="center"/>
          </w:tcPr>
          <w:p>
            <w:pPr>
              <w:snapToGrid w:val="0"/>
              <w:spacing w:line="36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项号</w:t>
            </w:r>
          </w:p>
        </w:tc>
        <w:tc>
          <w:tcPr>
            <w:tcW w:w="815" w:type="dxa"/>
            <w:vAlign w:val="center"/>
          </w:tcPr>
          <w:p>
            <w:pPr>
              <w:snapToGrid w:val="0"/>
              <w:spacing w:line="36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w:t>
            </w:r>
          </w:p>
        </w:tc>
        <w:tc>
          <w:tcPr>
            <w:tcW w:w="8647" w:type="dxa"/>
            <w:vAlign w:val="center"/>
          </w:tcPr>
          <w:p>
            <w:pPr>
              <w:snapToGrid w:val="0"/>
              <w:spacing w:line="36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8" w:hRule="atLeast"/>
          <w:jc w:val="center"/>
        </w:trPr>
        <w:tc>
          <w:tcPr>
            <w:tcW w:w="10022" w:type="dxa"/>
            <w:gridSpan w:val="3"/>
            <w:shd w:val="clear" w:color="auto" w:fill="E6E6E6"/>
            <w:vAlign w:val="center"/>
          </w:tcPr>
          <w:p>
            <w:pPr>
              <w:snapToGrid w:val="0"/>
              <w:spacing w:line="36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内 容 和 说  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60" w:type="dxa"/>
            <w:shd w:val="clear" w:color="auto" w:fill="FFFFFF"/>
            <w:vAlign w:val="center"/>
          </w:tcPr>
          <w:p>
            <w:pPr>
              <w:pStyle w:val="34"/>
              <w:numPr>
                <w:ilvl w:val="0"/>
                <w:numId w:val="5"/>
              </w:numPr>
              <w:snapToGrid w:val="0"/>
              <w:spacing w:line="360" w:lineRule="auto"/>
              <w:ind w:firstLineChars="0"/>
              <w:jc w:val="center"/>
              <w:rPr>
                <w:rFonts w:hint="eastAsia" w:ascii="宋体" w:hAnsi="宋体" w:cs="宋体"/>
                <w:b/>
                <w:color w:val="auto"/>
                <w:sz w:val="24"/>
                <w:highlight w:val="none"/>
              </w:rPr>
            </w:pPr>
            <w:r>
              <w:rPr>
                <w:rFonts w:hint="eastAsia" w:ascii="宋体" w:hAnsi="宋体" w:cs="宋体"/>
                <w:color w:val="auto"/>
                <w:sz w:val="24"/>
                <w:highlight w:val="none"/>
              </w:rPr>
              <w:t>2</w:t>
            </w:r>
          </w:p>
        </w:tc>
        <w:tc>
          <w:tcPr>
            <w:tcW w:w="815" w:type="dxa"/>
            <w:tcBorders>
              <w:bottom w:val="single" w:color="auto" w:sz="6" w:space="0"/>
            </w:tcBorders>
            <w:shd w:val="clear" w:color="auto" w:fill="FFFFFF"/>
            <w:vAlign w:val="center"/>
          </w:tcPr>
          <w:p>
            <w:pPr>
              <w:snapToGrid w:val="0"/>
              <w:spacing w:line="360" w:lineRule="auto"/>
              <w:jc w:val="center"/>
              <w:rPr>
                <w:rFonts w:hint="eastAsia" w:ascii="宋体" w:hAnsi="宋体" w:cs="宋体"/>
                <w:b/>
                <w:color w:val="auto"/>
                <w:sz w:val="24"/>
                <w:szCs w:val="24"/>
                <w:highlight w:val="none"/>
              </w:rPr>
            </w:pPr>
            <w:r>
              <w:rPr>
                <w:rFonts w:hint="eastAsia" w:ascii="宋体" w:hAnsi="宋体" w:cs="宋体"/>
                <w:bCs/>
                <w:color w:val="auto"/>
                <w:sz w:val="24"/>
                <w:szCs w:val="24"/>
                <w:highlight w:val="none"/>
              </w:rPr>
              <w:t>3.1</w:t>
            </w:r>
          </w:p>
        </w:tc>
        <w:tc>
          <w:tcPr>
            <w:tcW w:w="8647" w:type="dxa"/>
            <w:shd w:val="clear" w:color="auto" w:fill="FFFFFF"/>
            <w:vAlign w:val="center"/>
          </w:tcPr>
          <w:p>
            <w:pPr>
              <w:snapToGrid w:val="0"/>
              <w:spacing w:line="360" w:lineRule="auto"/>
              <w:rPr>
                <w:rFonts w:hint="eastAsia" w:ascii="宋体" w:hAnsi="宋体" w:cs="宋体"/>
                <w:b/>
                <w:color w:val="auto"/>
                <w:sz w:val="24"/>
                <w:szCs w:val="24"/>
                <w:highlight w:val="none"/>
              </w:rPr>
            </w:pPr>
            <w:r>
              <w:rPr>
                <w:rFonts w:hint="eastAsia" w:ascii="宋体" w:hAnsi="宋体" w:cs="宋体"/>
                <w:color w:val="auto"/>
                <w:sz w:val="24"/>
                <w:szCs w:val="24"/>
                <w:highlight w:val="none"/>
              </w:rPr>
              <w:t>资金来源：中央资金，已落实。估算价：</w:t>
            </w:r>
            <w:r>
              <w:rPr>
                <w:rFonts w:hint="eastAsia" w:ascii="宋体" w:hAnsi="宋体" w:cs="宋体"/>
                <w:color w:val="auto"/>
                <w:sz w:val="24"/>
                <w:szCs w:val="24"/>
                <w:highlight w:val="none"/>
                <w:lang w:val="en-US" w:eastAsia="zh-CN"/>
              </w:rPr>
              <w:t>1580</w:t>
            </w:r>
            <w:r>
              <w:rPr>
                <w:rFonts w:hint="eastAsia" w:ascii="宋体" w:hAnsi="宋体" w:cs="宋体"/>
                <w:color w:val="auto"/>
                <w:sz w:val="24"/>
                <w:szCs w:val="24"/>
                <w:highlight w:val="none"/>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60" w:type="dxa"/>
            <w:shd w:val="clear" w:color="auto" w:fill="FFFFFF"/>
            <w:vAlign w:val="center"/>
          </w:tcPr>
          <w:p>
            <w:pPr>
              <w:pStyle w:val="34"/>
              <w:numPr>
                <w:ilvl w:val="0"/>
                <w:numId w:val="5"/>
              </w:numPr>
              <w:snapToGrid w:val="0"/>
              <w:spacing w:line="360" w:lineRule="auto"/>
              <w:ind w:firstLineChars="0"/>
              <w:jc w:val="center"/>
              <w:rPr>
                <w:rFonts w:hint="eastAsia" w:ascii="宋体" w:hAnsi="宋体" w:cs="宋体"/>
                <w:b/>
                <w:color w:val="auto"/>
                <w:sz w:val="24"/>
                <w:highlight w:val="none"/>
              </w:rPr>
            </w:pPr>
            <w:r>
              <w:rPr>
                <w:rFonts w:hint="eastAsia" w:ascii="宋体" w:hAnsi="宋体" w:cs="宋体"/>
                <w:color w:val="auto"/>
                <w:sz w:val="24"/>
                <w:highlight w:val="none"/>
              </w:rPr>
              <w:t>2</w:t>
            </w:r>
          </w:p>
        </w:tc>
        <w:tc>
          <w:tcPr>
            <w:tcW w:w="815" w:type="dxa"/>
            <w:tcBorders>
              <w:top w:val="single" w:color="auto" w:sz="6" w:space="0"/>
              <w:bottom w:val="single" w:color="auto" w:sz="6" w:space="0"/>
            </w:tcBorders>
            <w:shd w:val="clear" w:color="auto" w:fill="FFFFFF"/>
            <w:vAlign w:val="center"/>
          </w:tcPr>
          <w:p>
            <w:pPr>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1.1</w:t>
            </w:r>
          </w:p>
        </w:tc>
        <w:tc>
          <w:tcPr>
            <w:tcW w:w="8647" w:type="dxa"/>
            <w:shd w:val="clear" w:color="auto" w:fill="FFFFFF"/>
            <w:vAlign w:val="center"/>
          </w:tcPr>
          <w:p>
            <w:pPr>
              <w:snapToGrid w:val="0"/>
              <w:spacing w:line="360" w:lineRule="auto"/>
              <w:rPr>
                <w:rFonts w:hint="eastAsia" w:ascii="宋体" w:hAnsi="宋体" w:cs="宋体"/>
                <w:color w:val="auto"/>
                <w:sz w:val="24"/>
                <w:szCs w:val="24"/>
                <w:highlight w:val="none"/>
              </w:rPr>
            </w:pPr>
            <w:r>
              <w:rPr>
                <w:rFonts w:hint="eastAsia" w:ascii="宋体" w:hAnsi="宋体" w:cs="宋体"/>
                <w:color w:val="auto"/>
                <w:sz w:val="24"/>
                <w:highlight w:val="none"/>
              </w:rPr>
              <w:t>招标方式：公开招标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60" w:type="dxa"/>
            <w:vAlign w:val="center"/>
          </w:tcPr>
          <w:p>
            <w:pPr>
              <w:pStyle w:val="34"/>
              <w:numPr>
                <w:ilvl w:val="0"/>
                <w:numId w:val="5"/>
              </w:numPr>
              <w:snapToGrid w:val="0"/>
              <w:spacing w:line="360" w:lineRule="auto"/>
              <w:ind w:firstLineChars="0"/>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815" w:type="dxa"/>
            <w:tcBorders>
              <w:top w:val="single" w:color="auto" w:sz="6" w:space="0"/>
            </w:tcBorders>
            <w:vAlign w:val="center"/>
          </w:tcPr>
          <w:p>
            <w:pPr>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1.2</w:t>
            </w:r>
          </w:p>
        </w:tc>
        <w:tc>
          <w:tcPr>
            <w:tcW w:w="8647" w:type="dxa"/>
            <w:vAlign w:val="center"/>
          </w:tcPr>
          <w:p>
            <w:pPr>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项目名称：</w:t>
            </w:r>
            <w:r>
              <w:rPr>
                <w:rFonts w:hint="eastAsia" w:ascii="宋体" w:hAnsi="宋体" w:cs="宋体"/>
                <w:color w:val="auto"/>
                <w:sz w:val="24"/>
                <w:highlight w:val="none"/>
              </w:rPr>
              <w:t>辽宁省营口市海洋生态保护修复工程项目跟踪监测服务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60" w:type="dxa"/>
            <w:vAlign w:val="center"/>
          </w:tcPr>
          <w:p>
            <w:pPr>
              <w:pStyle w:val="34"/>
              <w:numPr>
                <w:ilvl w:val="0"/>
                <w:numId w:val="5"/>
              </w:numPr>
              <w:snapToGrid w:val="0"/>
              <w:spacing w:line="360" w:lineRule="auto"/>
              <w:ind w:firstLineChars="0"/>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815" w:type="dxa"/>
            <w:vAlign w:val="center"/>
          </w:tcPr>
          <w:p>
            <w:pPr>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1.3</w:t>
            </w:r>
          </w:p>
        </w:tc>
        <w:tc>
          <w:tcPr>
            <w:tcW w:w="8647" w:type="dxa"/>
            <w:vAlign w:val="center"/>
          </w:tcPr>
          <w:p>
            <w:pPr>
              <w:snapToGrid w:val="0"/>
              <w:spacing w:line="360" w:lineRule="auto"/>
              <w:rPr>
                <w:rFonts w:hint="eastAsia" w:ascii="宋体" w:hAnsi="宋体" w:cs="宋体"/>
                <w:bCs/>
                <w:color w:val="auto"/>
                <w:kern w:val="0"/>
                <w:sz w:val="24"/>
                <w:highlight w:val="none"/>
              </w:rPr>
            </w:pPr>
            <w:r>
              <w:rPr>
                <w:rFonts w:hint="eastAsia" w:ascii="宋体" w:hAnsi="宋体" w:cs="宋体"/>
                <w:color w:val="auto"/>
                <w:sz w:val="24"/>
                <w:szCs w:val="24"/>
                <w:highlight w:val="none"/>
              </w:rPr>
              <w:t>招标人名称：</w:t>
            </w:r>
            <w:r>
              <w:rPr>
                <w:rFonts w:hint="eastAsia" w:ascii="宋体" w:hAnsi="宋体" w:cs="宋体"/>
                <w:bCs/>
                <w:color w:val="auto"/>
                <w:kern w:val="0"/>
                <w:sz w:val="24"/>
                <w:highlight w:val="none"/>
              </w:rPr>
              <w:t>营口市自然资源局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2" w:hRule="atLeast"/>
          <w:jc w:val="center"/>
        </w:trPr>
        <w:tc>
          <w:tcPr>
            <w:tcW w:w="560" w:type="dxa"/>
            <w:vAlign w:val="center"/>
          </w:tcPr>
          <w:p>
            <w:pPr>
              <w:pStyle w:val="34"/>
              <w:numPr>
                <w:ilvl w:val="0"/>
                <w:numId w:val="5"/>
              </w:numPr>
              <w:snapToGrid w:val="0"/>
              <w:spacing w:line="360" w:lineRule="auto"/>
              <w:ind w:firstLineChars="0"/>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815" w:type="dxa"/>
            <w:vAlign w:val="center"/>
          </w:tcPr>
          <w:p>
            <w:pPr>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1.4</w:t>
            </w:r>
          </w:p>
        </w:tc>
        <w:tc>
          <w:tcPr>
            <w:tcW w:w="8647" w:type="dxa"/>
            <w:vAlign w:val="center"/>
          </w:tcPr>
          <w:p>
            <w:pPr>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招标代理机构名称：</w:t>
            </w:r>
            <w:r>
              <w:rPr>
                <w:rFonts w:hint="eastAsia" w:ascii="宋体" w:hAnsi="宋体" w:cs="宋体"/>
                <w:color w:val="auto"/>
                <w:sz w:val="24"/>
                <w:highlight w:val="none"/>
              </w:rPr>
              <w:t>辽宁国信建设工程管理有限公司</w:t>
            </w:r>
          </w:p>
          <w:p>
            <w:pPr>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地址：</w:t>
            </w:r>
            <w:r>
              <w:rPr>
                <w:rFonts w:hint="eastAsia" w:ascii="宋体" w:hAnsi="宋体" w:cs="宋体"/>
                <w:color w:val="auto"/>
                <w:sz w:val="24"/>
                <w:highlight w:val="none"/>
              </w:rPr>
              <w:t>营口市站前区东新路7-12号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6" w:hRule="atLeast"/>
          <w:jc w:val="center"/>
        </w:trPr>
        <w:tc>
          <w:tcPr>
            <w:tcW w:w="560" w:type="dxa"/>
            <w:vAlign w:val="center"/>
          </w:tcPr>
          <w:p>
            <w:pPr>
              <w:pStyle w:val="34"/>
              <w:numPr>
                <w:ilvl w:val="0"/>
                <w:numId w:val="5"/>
              </w:numPr>
              <w:snapToGrid w:val="0"/>
              <w:spacing w:line="360" w:lineRule="auto"/>
              <w:ind w:firstLineChars="0"/>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815" w:type="dxa"/>
            <w:vAlign w:val="center"/>
          </w:tcPr>
          <w:p>
            <w:pPr>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1.5</w:t>
            </w:r>
          </w:p>
        </w:tc>
        <w:tc>
          <w:tcPr>
            <w:tcW w:w="8647" w:type="dxa"/>
            <w:vAlign w:val="center"/>
          </w:tcPr>
          <w:p>
            <w:pPr>
              <w:snapToGrid w:val="0"/>
              <w:spacing w:line="360" w:lineRule="auto"/>
              <w:rPr>
                <w:rFonts w:hint="eastAsia" w:ascii="宋体" w:hAnsi="宋体" w:cs="宋体"/>
                <w:color w:val="auto"/>
                <w:sz w:val="24"/>
                <w:szCs w:val="24"/>
                <w:highlight w:val="none"/>
              </w:rPr>
            </w:pPr>
            <w:r>
              <w:rPr>
                <w:rFonts w:hint="eastAsia" w:ascii="宋体" w:hAnsi="宋体" w:cs="宋体"/>
                <w:color w:val="auto"/>
                <w:sz w:val="24"/>
                <w:highlight w:val="none"/>
              </w:rPr>
              <w:t>服务地点：</w:t>
            </w:r>
            <w:r>
              <w:rPr>
                <w:rFonts w:hint="eastAsia" w:ascii="宋体" w:hAnsi="宋体" w:cs="宋体"/>
                <w:color w:val="auto"/>
                <w:sz w:val="24"/>
                <w:szCs w:val="24"/>
                <w:highlight w:val="none"/>
              </w:rPr>
              <w:t>招标人</w:t>
            </w:r>
            <w:r>
              <w:rPr>
                <w:rFonts w:hint="eastAsia" w:ascii="宋体" w:hAnsi="宋体" w:cs="宋体"/>
                <w:color w:val="auto"/>
                <w:kern w:val="0"/>
                <w:sz w:val="24"/>
                <w:highlight w:val="none"/>
              </w:rPr>
              <w:t>指定地点。</w:t>
            </w:r>
            <w:r>
              <w:rPr>
                <w:rFonts w:hint="eastAsia" w:ascii="宋体" w:hAnsi="宋体" w:cs="宋体"/>
                <w:color w:val="auto"/>
                <w:sz w:val="24"/>
                <w:szCs w:val="24"/>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2" w:hRule="atLeast"/>
          <w:jc w:val="center"/>
        </w:trPr>
        <w:tc>
          <w:tcPr>
            <w:tcW w:w="560" w:type="dxa"/>
            <w:vAlign w:val="center"/>
          </w:tcPr>
          <w:p>
            <w:pPr>
              <w:pStyle w:val="34"/>
              <w:numPr>
                <w:ilvl w:val="0"/>
                <w:numId w:val="5"/>
              </w:numPr>
              <w:snapToGrid w:val="0"/>
              <w:spacing w:line="360" w:lineRule="auto"/>
              <w:ind w:firstLineChars="0"/>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815" w:type="dxa"/>
            <w:vAlign w:val="center"/>
          </w:tcPr>
          <w:p>
            <w:pPr>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1.6</w:t>
            </w:r>
          </w:p>
        </w:tc>
        <w:tc>
          <w:tcPr>
            <w:tcW w:w="8647" w:type="dxa"/>
            <w:vAlign w:val="center"/>
          </w:tcPr>
          <w:p>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质量要求：合格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60" w:type="dxa"/>
            <w:vAlign w:val="center"/>
          </w:tcPr>
          <w:p>
            <w:pPr>
              <w:pStyle w:val="34"/>
              <w:numPr>
                <w:ilvl w:val="0"/>
                <w:numId w:val="5"/>
              </w:numPr>
              <w:snapToGrid w:val="0"/>
              <w:spacing w:line="360" w:lineRule="auto"/>
              <w:ind w:firstLineChars="0"/>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815" w:type="dxa"/>
            <w:vAlign w:val="center"/>
          </w:tcPr>
          <w:p>
            <w:pPr>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2.1</w:t>
            </w:r>
          </w:p>
        </w:tc>
        <w:tc>
          <w:tcPr>
            <w:tcW w:w="8647" w:type="dxa"/>
            <w:vAlign w:val="center"/>
          </w:tcPr>
          <w:p>
            <w:pPr>
              <w:tabs>
                <w:tab w:val="left" w:pos="993"/>
                <w:tab w:val="left" w:pos="1134"/>
              </w:tabs>
              <w:spacing w:line="360" w:lineRule="auto"/>
              <w:rPr>
                <w:rFonts w:hint="eastAsia" w:ascii="宋体" w:hAnsi="宋体" w:cs="宋体"/>
                <w:color w:val="auto"/>
                <w:sz w:val="24"/>
                <w:highlight w:val="none"/>
              </w:rPr>
            </w:pPr>
            <w:r>
              <w:rPr>
                <w:rFonts w:hint="eastAsia" w:ascii="宋体" w:hAnsi="宋体" w:cs="宋体"/>
                <w:color w:val="auto"/>
                <w:sz w:val="24"/>
                <w:szCs w:val="24"/>
                <w:highlight w:val="none"/>
              </w:rPr>
              <w:t>招标范围：</w:t>
            </w:r>
            <w:r>
              <w:rPr>
                <w:rFonts w:hint="eastAsia" w:ascii="宋体" w:hAnsi="宋体" w:cs="宋体"/>
                <w:bCs/>
                <w:color w:val="auto"/>
                <w:sz w:val="24"/>
                <w:szCs w:val="24"/>
                <w:highlight w:val="none"/>
              </w:rPr>
              <w:t>本项目拟完成修复总面积 1630.34ha,整治修复岸线长度 2951.90m，其中修复砂质岸线 1287m、生态护岸 1664.90m；整治修复滨海湿地面积1555.22ha，其中保育和种植盐沼植被面积269.69ha、浒苔防治面积1006.83ha。针对上述内容拟委托服务机构提供项目跟踪监测服务。（服务内容包括但不限于资料收集和整理、跟踪监测方案编制及实施、成果报告编制及提交审核、报告内容修改及复核、资料归档、过程技术咨询及根据招标人对项目的要求所进行的其他工作。所编制的成果报告须遵照法规及规范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60" w:type="dxa"/>
            <w:vAlign w:val="center"/>
          </w:tcPr>
          <w:p>
            <w:pPr>
              <w:pStyle w:val="34"/>
              <w:numPr>
                <w:ilvl w:val="0"/>
                <w:numId w:val="5"/>
              </w:numPr>
              <w:snapToGrid w:val="0"/>
              <w:spacing w:line="360" w:lineRule="auto"/>
              <w:ind w:firstLineChars="0"/>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815" w:type="dxa"/>
            <w:vAlign w:val="center"/>
          </w:tcPr>
          <w:p>
            <w:pPr>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highlight w:val="none"/>
              </w:rPr>
              <w:t>2.2</w:t>
            </w:r>
          </w:p>
        </w:tc>
        <w:tc>
          <w:tcPr>
            <w:tcW w:w="8647" w:type="dxa"/>
            <w:vAlign w:val="center"/>
          </w:tcPr>
          <w:p>
            <w:pPr>
              <w:snapToGrid w:val="0"/>
              <w:spacing w:line="360" w:lineRule="auto"/>
              <w:rPr>
                <w:rFonts w:hint="eastAsia" w:ascii="宋体" w:hAnsi="宋体" w:cs="宋体"/>
                <w:color w:val="auto"/>
                <w:sz w:val="24"/>
                <w:highlight w:val="none"/>
              </w:rPr>
            </w:pPr>
            <w:r>
              <w:rPr>
                <w:rFonts w:hint="eastAsia" w:ascii="宋体" w:hAnsi="宋体" w:cs="宋体"/>
                <w:color w:val="auto"/>
                <w:sz w:val="24"/>
                <w:szCs w:val="24"/>
                <w:highlight w:val="none"/>
              </w:rPr>
              <w:t>服务期限：2024年08月01日</w:t>
            </w:r>
            <w:r>
              <w:rPr>
                <w:rFonts w:hint="eastAsia" w:ascii="宋体" w:hAnsi="宋体" w:cs="宋体"/>
                <w:bCs/>
                <w:color w:val="auto"/>
                <w:sz w:val="24"/>
                <w:szCs w:val="24"/>
                <w:highlight w:val="none"/>
              </w:rPr>
              <w:t>至</w:t>
            </w:r>
            <w:r>
              <w:rPr>
                <w:rFonts w:hint="eastAsia" w:ascii="宋体" w:hAnsi="宋体" w:cs="宋体"/>
                <w:color w:val="auto"/>
                <w:kern w:val="0"/>
                <w:sz w:val="24"/>
                <w:szCs w:val="28"/>
                <w:highlight w:val="none"/>
              </w:rPr>
              <w:t>202</w:t>
            </w:r>
            <w:r>
              <w:rPr>
                <w:rFonts w:hint="eastAsia" w:ascii="宋体" w:hAnsi="宋体" w:cs="宋体"/>
                <w:color w:val="auto"/>
                <w:kern w:val="0"/>
                <w:sz w:val="24"/>
                <w:szCs w:val="28"/>
                <w:highlight w:val="none"/>
                <w:lang w:val="en-US" w:eastAsia="zh-CN"/>
              </w:rPr>
              <w:t>8</w:t>
            </w:r>
            <w:r>
              <w:rPr>
                <w:rFonts w:hint="eastAsia" w:ascii="宋体" w:hAnsi="宋体" w:cs="宋体"/>
                <w:color w:val="auto"/>
                <w:kern w:val="0"/>
                <w:sz w:val="24"/>
                <w:szCs w:val="28"/>
                <w:highlight w:val="none"/>
              </w:rPr>
              <w:t>年</w:t>
            </w:r>
            <w:r>
              <w:rPr>
                <w:rFonts w:hint="eastAsia" w:ascii="宋体" w:hAnsi="宋体" w:cs="宋体"/>
                <w:bCs/>
                <w:color w:val="auto"/>
                <w:sz w:val="24"/>
                <w:szCs w:val="24"/>
                <w:highlight w:val="none"/>
              </w:rPr>
              <w:t>12月31日。（具体时间以合同签订为准）。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60" w:type="dxa"/>
            <w:vAlign w:val="center"/>
          </w:tcPr>
          <w:p>
            <w:pPr>
              <w:pStyle w:val="34"/>
              <w:numPr>
                <w:ilvl w:val="0"/>
                <w:numId w:val="5"/>
              </w:numPr>
              <w:snapToGrid w:val="0"/>
              <w:spacing w:line="360" w:lineRule="auto"/>
              <w:ind w:firstLineChars="0"/>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815" w:type="dxa"/>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5.1</w:t>
            </w:r>
          </w:p>
        </w:tc>
        <w:tc>
          <w:tcPr>
            <w:tcW w:w="8647" w:type="dxa"/>
            <w:vAlign w:val="center"/>
          </w:tcPr>
          <w:p>
            <w:pPr>
              <w:snapToGrid w:val="0"/>
              <w:spacing w:line="360" w:lineRule="auto"/>
              <w:rPr>
                <w:rFonts w:hint="eastAsia" w:ascii="宋体" w:hAnsi="宋体" w:cs="宋体"/>
                <w:color w:val="auto"/>
                <w:sz w:val="24"/>
                <w:highlight w:val="none"/>
              </w:rPr>
            </w:pPr>
            <w:r>
              <w:rPr>
                <w:rFonts w:hint="eastAsia" w:ascii="宋体" w:hAnsi="宋体" w:cs="宋体"/>
                <w:color w:val="auto"/>
                <w:sz w:val="24"/>
                <w:szCs w:val="24"/>
                <w:highlight w:val="none"/>
              </w:rPr>
              <w:t>资格审查方式：资格后审。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10022" w:type="dxa"/>
            <w:gridSpan w:val="3"/>
            <w:tcBorders>
              <w:top w:val="single" w:color="auto" w:sz="6" w:space="0"/>
              <w:bottom w:val="single" w:color="auto" w:sz="6" w:space="0"/>
            </w:tcBorders>
            <w:shd w:val="clear" w:color="auto" w:fill="D9D9D9"/>
            <w:vAlign w:val="center"/>
          </w:tcPr>
          <w:p>
            <w:pPr>
              <w:snapToGrid w:val="0"/>
              <w:spacing w:line="36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投标人资格条件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560" w:type="dxa"/>
            <w:tcBorders>
              <w:top w:val="single" w:color="auto" w:sz="6" w:space="0"/>
              <w:bottom w:val="single" w:color="auto" w:sz="6" w:space="0"/>
            </w:tcBorders>
            <w:vAlign w:val="center"/>
          </w:tcPr>
          <w:p>
            <w:pPr>
              <w:pStyle w:val="34"/>
              <w:numPr>
                <w:ilvl w:val="0"/>
                <w:numId w:val="5"/>
              </w:numPr>
              <w:snapToGrid w:val="0"/>
              <w:spacing w:line="360" w:lineRule="auto"/>
              <w:ind w:firstLineChars="0"/>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815" w:type="dxa"/>
            <w:tcBorders>
              <w:top w:val="single" w:color="auto" w:sz="6" w:space="0"/>
              <w:bottom w:val="single" w:color="auto" w:sz="6" w:space="0"/>
            </w:tcBorders>
            <w:vAlign w:val="center"/>
          </w:tcPr>
          <w:p>
            <w:pPr>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4</w:t>
            </w:r>
          </w:p>
        </w:tc>
        <w:tc>
          <w:tcPr>
            <w:tcW w:w="8647" w:type="dxa"/>
            <w:tcBorders>
              <w:top w:val="single" w:color="auto" w:sz="6" w:space="0"/>
              <w:bottom w:val="single" w:color="auto" w:sz="6" w:space="0"/>
            </w:tcBorders>
            <w:vAlign w:val="center"/>
          </w:tcPr>
          <w:p>
            <w:pPr>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本次招标实行资格后审，投标人的资格要求同本项目招标公告《投标资格要求》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10022" w:type="dxa"/>
            <w:gridSpan w:val="3"/>
            <w:tcBorders>
              <w:top w:val="single" w:color="auto" w:sz="6" w:space="0"/>
              <w:bottom w:val="single" w:color="auto" w:sz="6" w:space="0"/>
            </w:tcBorders>
            <w:shd w:val="clear" w:color="auto" w:fill="D9D9D9"/>
            <w:vAlign w:val="center"/>
          </w:tcPr>
          <w:p>
            <w:pPr>
              <w:snapToGrid w:val="0"/>
              <w:spacing w:line="36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现场踏勘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1" w:hRule="atLeast"/>
          <w:jc w:val="center"/>
        </w:trPr>
        <w:tc>
          <w:tcPr>
            <w:tcW w:w="560" w:type="dxa"/>
            <w:tcBorders>
              <w:top w:val="single" w:color="auto" w:sz="6" w:space="0"/>
              <w:bottom w:val="single" w:color="auto" w:sz="6" w:space="0"/>
            </w:tcBorders>
            <w:vAlign w:val="center"/>
          </w:tcPr>
          <w:p>
            <w:pPr>
              <w:pStyle w:val="34"/>
              <w:numPr>
                <w:ilvl w:val="0"/>
                <w:numId w:val="5"/>
              </w:numPr>
              <w:snapToGrid w:val="0"/>
              <w:spacing w:line="360" w:lineRule="auto"/>
              <w:ind w:firstLineChars="0"/>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815" w:type="dxa"/>
            <w:tcBorders>
              <w:top w:val="single" w:color="auto" w:sz="6" w:space="0"/>
              <w:bottom w:val="single" w:color="auto" w:sz="6" w:space="0"/>
            </w:tcBorders>
            <w:vAlign w:val="center"/>
          </w:tcPr>
          <w:p>
            <w:pPr>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6.1</w:t>
            </w:r>
          </w:p>
        </w:tc>
        <w:tc>
          <w:tcPr>
            <w:tcW w:w="8647" w:type="dxa"/>
            <w:tcBorders>
              <w:top w:val="single" w:color="auto" w:sz="6" w:space="0"/>
              <w:bottom w:val="single" w:color="auto" w:sz="6" w:space="0"/>
            </w:tcBorders>
            <w:vAlign w:val="center"/>
          </w:tcPr>
          <w:p>
            <w:pPr>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招标人不统一组织踏勘。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5" w:hRule="atLeast"/>
          <w:jc w:val="center"/>
        </w:trPr>
        <w:tc>
          <w:tcPr>
            <w:tcW w:w="10022" w:type="dxa"/>
            <w:gridSpan w:val="3"/>
            <w:tcBorders>
              <w:top w:val="single" w:color="auto" w:sz="6" w:space="0"/>
              <w:bottom w:val="single" w:color="auto" w:sz="6" w:space="0"/>
            </w:tcBorders>
            <w:shd w:val="clear" w:color="auto" w:fill="D9D9D9"/>
            <w:vAlign w:val="center"/>
          </w:tcPr>
          <w:p>
            <w:pPr>
              <w:snapToGrid w:val="0"/>
              <w:spacing w:line="36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投标人对招标文件提出的异议及要求澄清的截止时间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560" w:type="dxa"/>
            <w:tcBorders>
              <w:top w:val="single" w:color="auto" w:sz="6" w:space="0"/>
            </w:tcBorders>
            <w:vAlign w:val="center"/>
          </w:tcPr>
          <w:p>
            <w:pPr>
              <w:pStyle w:val="34"/>
              <w:numPr>
                <w:ilvl w:val="0"/>
                <w:numId w:val="5"/>
              </w:numPr>
              <w:snapToGrid w:val="0"/>
              <w:spacing w:line="360" w:lineRule="auto"/>
              <w:ind w:firstLineChars="0"/>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815" w:type="dxa"/>
            <w:tcBorders>
              <w:top w:val="single" w:color="auto" w:sz="6" w:space="0"/>
            </w:tcBorders>
            <w:vAlign w:val="center"/>
          </w:tcPr>
          <w:p>
            <w:pPr>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9</w:t>
            </w:r>
          </w:p>
        </w:tc>
        <w:tc>
          <w:tcPr>
            <w:tcW w:w="8647" w:type="dxa"/>
            <w:tcBorders>
              <w:top w:val="single" w:color="auto" w:sz="6" w:space="0"/>
            </w:tcBorders>
            <w:vAlign w:val="center"/>
          </w:tcPr>
          <w:p>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1、投标人对招标文件提出异议的截止时间：各投标人应在投标截止时间十（10）天前以书面形式向招标代理提出（电话0417-3355086）。对各投标人提出的疑问，招标人以书面形式回答。</w:t>
            </w:r>
          </w:p>
          <w:p>
            <w:pPr>
              <w:snapToGrid w:val="0"/>
              <w:spacing w:line="360" w:lineRule="auto"/>
              <w:rPr>
                <w:rFonts w:hint="eastAsia" w:ascii="宋体" w:hAnsi="宋体" w:cs="宋体"/>
                <w:color w:val="auto"/>
                <w:sz w:val="24"/>
                <w:szCs w:val="24"/>
                <w:highlight w:val="none"/>
              </w:rPr>
            </w:pPr>
            <w:r>
              <w:rPr>
                <w:rFonts w:hint="eastAsia" w:ascii="宋体" w:hAnsi="宋体" w:cs="宋体"/>
                <w:color w:val="auto"/>
                <w:sz w:val="24"/>
                <w:highlight w:val="none"/>
              </w:rPr>
              <w:t>2、投标人要求澄清招标文件的截止时间为投标截止时间15日前。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10022" w:type="dxa"/>
            <w:gridSpan w:val="3"/>
            <w:tcBorders>
              <w:top w:val="single" w:color="auto" w:sz="6" w:space="0"/>
            </w:tcBorders>
            <w:shd w:val="clear" w:color="auto" w:fill="D9D9D9"/>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b/>
                <w:color w:val="auto"/>
                <w:sz w:val="24"/>
                <w:szCs w:val="24"/>
                <w:highlight w:val="none"/>
              </w:rPr>
              <w:t>投  标  报  价  和  货  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560" w:type="dxa"/>
            <w:tcBorders>
              <w:top w:val="single" w:color="auto" w:sz="6" w:space="0"/>
            </w:tcBorders>
            <w:vAlign w:val="center"/>
          </w:tcPr>
          <w:p>
            <w:pPr>
              <w:pStyle w:val="34"/>
              <w:numPr>
                <w:ilvl w:val="0"/>
                <w:numId w:val="5"/>
              </w:numPr>
              <w:snapToGrid w:val="0"/>
              <w:spacing w:line="360" w:lineRule="auto"/>
              <w:ind w:firstLineChars="0"/>
              <w:jc w:val="center"/>
              <w:rPr>
                <w:rFonts w:hint="eastAsia" w:ascii="宋体" w:hAnsi="宋体" w:cs="宋体"/>
                <w:color w:val="auto"/>
                <w:sz w:val="24"/>
                <w:highlight w:val="none"/>
              </w:rPr>
            </w:pPr>
          </w:p>
        </w:tc>
        <w:tc>
          <w:tcPr>
            <w:tcW w:w="815" w:type="dxa"/>
            <w:tcBorders>
              <w:top w:val="single" w:color="auto" w:sz="6" w:space="0"/>
            </w:tcBorders>
            <w:vAlign w:val="center"/>
          </w:tcPr>
          <w:p>
            <w:pPr>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14.1</w:t>
            </w:r>
          </w:p>
        </w:tc>
        <w:tc>
          <w:tcPr>
            <w:tcW w:w="8647" w:type="dxa"/>
            <w:tcBorders>
              <w:top w:val="single" w:color="auto" w:sz="6" w:space="0"/>
            </w:tcBorders>
            <w:vAlign w:val="center"/>
          </w:tcPr>
          <w:p>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投标报价方式：投标报价应为固定总价的报价方式，投标人根据招标人提供的资料自行填报固定总价，其价格应包含完成所需的一切费用。按可调整价格报价的投标文件将被视为不响应招标文件。</w:t>
            </w:r>
          </w:p>
          <w:p>
            <w:pPr>
              <w:snapToGrid w:val="0"/>
              <w:spacing w:line="360" w:lineRule="auto"/>
              <w:jc w:val="left"/>
              <w:rPr>
                <w:rFonts w:hint="eastAsia" w:ascii="宋体" w:hAnsi="宋体" w:cs="宋体"/>
                <w:color w:val="auto"/>
                <w:highlight w:val="none"/>
              </w:rPr>
            </w:pPr>
            <w:r>
              <w:rPr>
                <w:rFonts w:hint="eastAsia" w:ascii="宋体" w:hAnsi="宋体" w:cs="宋体"/>
                <w:color w:val="auto"/>
                <w:sz w:val="24"/>
                <w:highlight w:val="none"/>
              </w:rPr>
              <w:t>本项目最高投标限价：</w:t>
            </w:r>
            <w:r>
              <w:rPr>
                <w:rFonts w:hint="eastAsia" w:ascii="宋体" w:hAnsi="宋体" w:cs="宋体"/>
                <w:color w:val="auto"/>
                <w:sz w:val="24"/>
                <w:highlight w:val="none"/>
                <w:lang w:val="en-US" w:eastAsia="zh-CN"/>
              </w:rPr>
              <w:t>1580</w:t>
            </w:r>
            <w:r>
              <w:rPr>
                <w:rFonts w:hint="eastAsia" w:ascii="宋体" w:hAnsi="宋体" w:cs="宋体"/>
                <w:color w:val="auto"/>
                <w:sz w:val="24"/>
                <w:highlight w:val="none"/>
              </w:rPr>
              <w:t>万元。投标人所填报价不得高于上述最高限价，否则按废标处理。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60" w:type="dxa"/>
            <w:tcBorders>
              <w:top w:val="single" w:color="auto" w:sz="6" w:space="0"/>
            </w:tcBorders>
            <w:vAlign w:val="center"/>
          </w:tcPr>
          <w:p>
            <w:pPr>
              <w:pStyle w:val="34"/>
              <w:numPr>
                <w:ilvl w:val="0"/>
                <w:numId w:val="5"/>
              </w:numPr>
              <w:snapToGrid w:val="0"/>
              <w:spacing w:line="360" w:lineRule="auto"/>
              <w:ind w:firstLineChars="0"/>
              <w:jc w:val="center"/>
              <w:rPr>
                <w:rFonts w:hint="eastAsia" w:ascii="宋体" w:hAnsi="宋体" w:cs="宋体"/>
                <w:color w:val="auto"/>
                <w:sz w:val="24"/>
                <w:highlight w:val="none"/>
              </w:rPr>
            </w:pPr>
          </w:p>
        </w:tc>
        <w:tc>
          <w:tcPr>
            <w:tcW w:w="815" w:type="dxa"/>
            <w:tcBorders>
              <w:top w:val="single" w:color="auto" w:sz="6" w:space="0"/>
            </w:tcBorders>
            <w:vAlign w:val="center"/>
          </w:tcPr>
          <w:p>
            <w:pPr>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15.1</w:t>
            </w:r>
          </w:p>
        </w:tc>
        <w:tc>
          <w:tcPr>
            <w:tcW w:w="8647" w:type="dxa"/>
            <w:tcBorders>
              <w:top w:val="single" w:color="auto" w:sz="6" w:space="0"/>
            </w:tcBorders>
            <w:vAlign w:val="center"/>
          </w:tcPr>
          <w:p>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投标货币：人民币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66" w:hRule="atLeast"/>
          <w:jc w:val="center"/>
        </w:trPr>
        <w:tc>
          <w:tcPr>
            <w:tcW w:w="10022" w:type="dxa"/>
            <w:gridSpan w:val="3"/>
            <w:shd w:val="clear" w:color="auto" w:fill="E6E6E6"/>
            <w:vAlign w:val="center"/>
          </w:tcPr>
          <w:p>
            <w:pPr>
              <w:snapToGrid w:val="0"/>
              <w:spacing w:line="36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投 标 文 件 的 编 制 和 递 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3" w:hRule="atLeast"/>
          <w:jc w:val="center"/>
        </w:trPr>
        <w:tc>
          <w:tcPr>
            <w:tcW w:w="560" w:type="dxa"/>
            <w:vAlign w:val="center"/>
          </w:tcPr>
          <w:p>
            <w:pPr>
              <w:pStyle w:val="34"/>
              <w:numPr>
                <w:ilvl w:val="0"/>
                <w:numId w:val="5"/>
              </w:numPr>
              <w:snapToGrid w:val="0"/>
              <w:spacing w:line="360" w:lineRule="auto"/>
              <w:ind w:firstLineChars="0"/>
              <w:jc w:val="center"/>
              <w:rPr>
                <w:rFonts w:hint="eastAsia" w:ascii="宋体" w:hAnsi="宋体" w:cs="宋体"/>
                <w:color w:val="auto"/>
                <w:sz w:val="24"/>
                <w:highlight w:val="none"/>
              </w:rPr>
            </w:pPr>
            <w:r>
              <w:rPr>
                <w:rFonts w:hint="eastAsia" w:ascii="宋体" w:hAnsi="宋体" w:cs="宋体"/>
                <w:color w:val="auto"/>
                <w:sz w:val="24"/>
                <w:highlight w:val="none"/>
              </w:rPr>
              <w:t>14</w:t>
            </w:r>
          </w:p>
        </w:tc>
        <w:tc>
          <w:tcPr>
            <w:tcW w:w="815" w:type="dxa"/>
            <w:vAlign w:val="center"/>
          </w:tcPr>
          <w:p>
            <w:pPr>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18</w:t>
            </w:r>
          </w:p>
        </w:tc>
        <w:tc>
          <w:tcPr>
            <w:tcW w:w="8647" w:type="dxa"/>
            <w:vAlign w:val="center"/>
          </w:tcPr>
          <w:p>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是否要求投标人递交投标保证金：</w:t>
            </w:r>
          </w:p>
          <w:p>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 不要求</w:t>
            </w:r>
          </w:p>
          <w:p>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 要求</w:t>
            </w:r>
          </w:p>
          <w:p>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1.投标保证金有效期：与投标有效期一致。</w:t>
            </w:r>
          </w:p>
          <w:p>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2.投标保证金的形式：</w:t>
            </w:r>
          </w:p>
          <w:p>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 xml:space="preserve">☑ 电汇 ☑ 保函：        </w:t>
            </w:r>
          </w:p>
          <w:p>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3.投标保证金金额：人民币</w:t>
            </w:r>
            <w:r>
              <w:rPr>
                <w:rFonts w:hint="eastAsia" w:ascii="宋体" w:hAnsi="宋体" w:cs="宋体"/>
                <w:color w:val="auto"/>
                <w:sz w:val="24"/>
                <w:highlight w:val="none"/>
                <w:lang w:val="en-US" w:eastAsia="zh-CN"/>
              </w:rPr>
              <w:t>150000.00</w:t>
            </w:r>
            <w:r>
              <w:rPr>
                <w:rFonts w:hint="eastAsia" w:ascii="宋体" w:hAnsi="宋体" w:cs="宋体"/>
                <w:color w:val="auto"/>
                <w:sz w:val="24"/>
                <w:highlight w:val="none"/>
              </w:rPr>
              <w:t>元。</w:t>
            </w:r>
          </w:p>
          <w:p>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（1）电汇：投标保证金必须是从投标人单位的基本账户转入收取投标保证金的账户。</w:t>
            </w:r>
          </w:p>
          <w:p>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（2）此账户仅为递交投标保证金的账户，汇款时请备注项目编号及款项。</w:t>
            </w:r>
          </w:p>
          <w:p>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收取投标保证金账号：</w:t>
            </w:r>
          </w:p>
          <w:p>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账户名称：辽宁国信建设工程管理有限公司</w:t>
            </w:r>
          </w:p>
          <w:p>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开户银行：招商银行营口分行营业部</w:t>
            </w:r>
          </w:p>
          <w:p>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账    号：417900156710302</w:t>
            </w:r>
          </w:p>
          <w:p>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a.请将投标保证金在投标截止时间前转入收取投标保证金的账户，以到账时间为准。</w:t>
            </w:r>
          </w:p>
          <w:p>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b.投标保证金退还时一律以银行转账方式退回，不退现金。</w:t>
            </w:r>
          </w:p>
          <w:p>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c.投标保证金的退还事宜请与招标代理机构联系，电话：0417-3355086 。</w:t>
            </w:r>
          </w:p>
          <w:p>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（2）保函（包括：银行业金融机构保函、担保公司担保保函等）</w:t>
            </w:r>
          </w:p>
          <w:p>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递交要求：投标人须将有效的保函及投标人的基本账户开户许可证（或基本存款账户信息）的原件扫描件或截图编制在招标文件指定位置中。</w:t>
            </w:r>
          </w:p>
          <w:p>
            <w:pPr>
              <w:snapToGrid w:val="0"/>
              <w:spacing w:line="360" w:lineRule="auto"/>
              <w:jc w:val="left"/>
              <w:rPr>
                <w:rFonts w:hint="eastAsia" w:ascii="宋体" w:hAnsi="宋体" w:cs="宋体"/>
                <w:i/>
                <w:color w:val="auto"/>
                <w:sz w:val="24"/>
                <w:szCs w:val="24"/>
                <w:highlight w:val="none"/>
              </w:rPr>
            </w:pPr>
            <w:r>
              <w:rPr>
                <w:rFonts w:hint="eastAsia" w:ascii="宋体" w:hAnsi="宋体" w:cs="宋体"/>
                <w:color w:val="auto"/>
                <w:sz w:val="24"/>
                <w:highlight w:val="none"/>
              </w:rPr>
              <w:t>4.其他：投标人须将有效的保函及投标人的基本账户开户许可证（或基本存款账户信息）的原件扫描件或截图，以PDF文件格式，在保证金（或保函）递交截止时间前发送到招标代理机构邮箱并通过电话确认（邮箱：gxzbscb@163.com，联系电话：0417-3355086，邮件主题和正文需注明投标单位名称和项目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60" w:type="dxa"/>
            <w:vAlign w:val="center"/>
          </w:tcPr>
          <w:p>
            <w:pPr>
              <w:pStyle w:val="34"/>
              <w:numPr>
                <w:ilvl w:val="0"/>
                <w:numId w:val="5"/>
              </w:numPr>
              <w:snapToGrid w:val="0"/>
              <w:spacing w:line="360" w:lineRule="auto"/>
              <w:ind w:firstLineChars="0"/>
              <w:jc w:val="center"/>
              <w:rPr>
                <w:rFonts w:hint="eastAsia" w:ascii="宋体" w:hAnsi="宋体" w:cs="宋体"/>
                <w:color w:val="auto"/>
                <w:sz w:val="24"/>
                <w:highlight w:val="none"/>
              </w:rPr>
            </w:pPr>
          </w:p>
        </w:tc>
        <w:tc>
          <w:tcPr>
            <w:tcW w:w="815" w:type="dxa"/>
            <w:vAlign w:val="center"/>
          </w:tcPr>
          <w:p>
            <w:pPr>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19.1</w:t>
            </w:r>
          </w:p>
        </w:tc>
        <w:tc>
          <w:tcPr>
            <w:tcW w:w="8647" w:type="dxa"/>
            <w:vAlign w:val="center"/>
          </w:tcPr>
          <w:p>
            <w:pPr>
              <w:snapToGrid w:val="0"/>
              <w:spacing w:line="360" w:lineRule="auto"/>
              <w:jc w:val="left"/>
              <w:rPr>
                <w:rFonts w:hint="eastAsia" w:ascii="宋体" w:hAnsi="宋体" w:cs="宋体"/>
                <w:i/>
                <w:color w:val="auto"/>
                <w:sz w:val="24"/>
                <w:szCs w:val="24"/>
                <w:highlight w:val="none"/>
              </w:rPr>
            </w:pPr>
            <w:r>
              <w:rPr>
                <w:rFonts w:hint="eastAsia" w:ascii="宋体" w:hAnsi="宋体" w:cs="宋体"/>
                <w:color w:val="auto"/>
                <w:sz w:val="24"/>
                <w:szCs w:val="24"/>
                <w:highlight w:val="none"/>
              </w:rPr>
              <w:t>投标有效期：</w:t>
            </w:r>
            <w:r>
              <w:rPr>
                <w:rFonts w:hint="eastAsia" w:ascii="宋体" w:hAnsi="宋体" w:cs="宋体"/>
                <w:color w:val="auto"/>
                <w:sz w:val="24"/>
                <w:szCs w:val="24"/>
                <w:highlight w:val="none"/>
                <w:u w:val="single"/>
              </w:rPr>
              <w:t>90日历</w:t>
            </w:r>
            <w:r>
              <w:rPr>
                <w:rFonts w:hint="eastAsia" w:ascii="宋体" w:hAnsi="宋体" w:cs="宋体"/>
                <w:color w:val="auto"/>
                <w:sz w:val="24"/>
                <w:szCs w:val="24"/>
                <w:highlight w:val="none"/>
              </w:rPr>
              <w:t>天（从投标截止之日算起）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4" w:hRule="atLeast"/>
          <w:jc w:val="center"/>
        </w:trPr>
        <w:tc>
          <w:tcPr>
            <w:tcW w:w="560" w:type="dxa"/>
            <w:vAlign w:val="center"/>
          </w:tcPr>
          <w:p>
            <w:pPr>
              <w:pStyle w:val="34"/>
              <w:numPr>
                <w:ilvl w:val="0"/>
                <w:numId w:val="5"/>
              </w:numPr>
              <w:snapToGrid w:val="0"/>
              <w:spacing w:line="360" w:lineRule="auto"/>
              <w:ind w:firstLineChars="0"/>
              <w:jc w:val="center"/>
              <w:rPr>
                <w:rFonts w:hint="eastAsia" w:ascii="宋体" w:hAnsi="宋体" w:cs="宋体"/>
                <w:color w:val="auto"/>
                <w:sz w:val="24"/>
                <w:highlight w:val="none"/>
              </w:rPr>
            </w:pPr>
            <w:r>
              <w:rPr>
                <w:rFonts w:hint="eastAsia" w:ascii="宋体" w:hAnsi="宋体" w:cs="宋体"/>
                <w:color w:val="auto"/>
                <w:sz w:val="24"/>
                <w:highlight w:val="none"/>
              </w:rPr>
              <w:t>15</w:t>
            </w:r>
          </w:p>
        </w:tc>
        <w:tc>
          <w:tcPr>
            <w:tcW w:w="815" w:type="dxa"/>
            <w:vAlign w:val="center"/>
          </w:tcPr>
          <w:p>
            <w:pPr>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20.1</w:t>
            </w:r>
          </w:p>
        </w:tc>
        <w:tc>
          <w:tcPr>
            <w:tcW w:w="8647" w:type="dxa"/>
            <w:vAlign w:val="center"/>
          </w:tcPr>
          <w:p>
            <w:pPr>
              <w:snapToGrid w:val="0"/>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纸质版投标文件份数：</w:t>
            </w:r>
          </w:p>
          <w:p>
            <w:pPr>
              <w:snapToGrid w:val="0"/>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1、正本</w:t>
            </w:r>
            <w:r>
              <w:rPr>
                <w:rFonts w:hint="eastAsia" w:ascii="宋体" w:hAnsi="宋体" w:cs="宋体"/>
                <w:color w:val="auto"/>
                <w:sz w:val="24"/>
                <w:szCs w:val="24"/>
                <w:highlight w:val="none"/>
                <w:u w:val="single"/>
              </w:rPr>
              <w:t>壹</w:t>
            </w:r>
            <w:r>
              <w:rPr>
                <w:rFonts w:hint="eastAsia" w:ascii="宋体" w:hAnsi="宋体" w:cs="宋体"/>
                <w:color w:val="auto"/>
                <w:sz w:val="24"/>
                <w:szCs w:val="24"/>
                <w:highlight w:val="none"/>
              </w:rPr>
              <w:t>本，副本</w:t>
            </w:r>
            <w:r>
              <w:rPr>
                <w:rFonts w:hint="eastAsia" w:ascii="宋体" w:hAnsi="宋体" w:cs="宋体"/>
                <w:color w:val="auto"/>
                <w:sz w:val="24"/>
                <w:szCs w:val="24"/>
                <w:highlight w:val="none"/>
                <w:u w:val="single"/>
              </w:rPr>
              <w:t>肆</w:t>
            </w:r>
            <w:r>
              <w:rPr>
                <w:rFonts w:hint="eastAsia" w:ascii="宋体" w:hAnsi="宋体" w:cs="宋体"/>
                <w:color w:val="auto"/>
                <w:sz w:val="24"/>
                <w:szCs w:val="24"/>
                <w:highlight w:val="none"/>
              </w:rPr>
              <w:t>本，封面应分别注明正、副本字样。</w:t>
            </w:r>
          </w:p>
          <w:p>
            <w:pPr>
              <w:snapToGrid w:val="0"/>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2、投标文件电子文档贰份（(U 盘word 版一份，加盖公章的PDF 版一份））。</w:t>
            </w:r>
          </w:p>
          <w:p>
            <w:pPr>
              <w:pStyle w:val="25"/>
              <w:ind w:left="0" w:firstLine="0"/>
              <w:rPr>
                <w:rFonts w:hint="eastAsia" w:ascii="宋体" w:hAnsi="宋体" w:cs="宋体"/>
                <w:color w:val="auto"/>
                <w:highlight w:val="none"/>
              </w:rPr>
            </w:pPr>
            <w:r>
              <w:rPr>
                <w:rFonts w:hint="eastAsia" w:ascii="宋体" w:hAnsi="宋体" w:cs="宋体"/>
                <w:color w:val="auto"/>
                <w:szCs w:val="24"/>
                <w:highlight w:val="none"/>
              </w:rPr>
              <w:t>3、仅由中标人提供。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4" w:hRule="atLeast"/>
          <w:jc w:val="center"/>
        </w:trPr>
        <w:tc>
          <w:tcPr>
            <w:tcW w:w="560" w:type="dxa"/>
            <w:vAlign w:val="center"/>
          </w:tcPr>
          <w:p>
            <w:pPr>
              <w:pStyle w:val="34"/>
              <w:numPr>
                <w:ilvl w:val="0"/>
                <w:numId w:val="5"/>
              </w:numPr>
              <w:snapToGrid w:val="0"/>
              <w:spacing w:line="360" w:lineRule="auto"/>
              <w:ind w:firstLineChars="0"/>
              <w:jc w:val="center"/>
              <w:rPr>
                <w:rFonts w:hint="eastAsia" w:ascii="宋体" w:hAnsi="宋体" w:cs="宋体"/>
                <w:color w:val="auto"/>
                <w:sz w:val="24"/>
                <w:highlight w:val="none"/>
              </w:rPr>
            </w:pPr>
            <w:r>
              <w:rPr>
                <w:rFonts w:hint="eastAsia" w:ascii="宋体" w:hAnsi="宋体" w:cs="宋体"/>
                <w:color w:val="auto"/>
                <w:sz w:val="24"/>
                <w:highlight w:val="none"/>
              </w:rPr>
              <w:t>16</w:t>
            </w:r>
          </w:p>
        </w:tc>
        <w:tc>
          <w:tcPr>
            <w:tcW w:w="815" w:type="dxa"/>
            <w:vAlign w:val="center"/>
          </w:tcPr>
          <w:p>
            <w:pPr>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21.3</w:t>
            </w:r>
          </w:p>
          <w:p>
            <w:pPr>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22.1</w:t>
            </w:r>
          </w:p>
        </w:tc>
        <w:tc>
          <w:tcPr>
            <w:tcW w:w="8647" w:type="dxa"/>
            <w:vAlign w:val="center"/>
          </w:tcPr>
          <w:p>
            <w:pPr>
              <w:snapToGrid w:val="0"/>
              <w:spacing w:line="360" w:lineRule="auto"/>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投标文件递交截止时间：</w:t>
            </w:r>
            <w:r>
              <w:rPr>
                <w:rFonts w:hint="eastAsia" w:ascii="宋体" w:hAnsi="宋体" w:cs="宋体"/>
                <w:color w:val="auto"/>
                <w:sz w:val="24"/>
                <w:szCs w:val="24"/>
                <w:highlight w:val="none"/>
                <w:u w:val="single"/>
              </w:rPr>
              <w:t>2024年07月XX日上午9时30分(北京时间)</w:t>
            </w:r>
          </w:p>
          <w:p>
            <w:pPr>
              <w:snapToGrid w:val="0"/>
              <w:spacing w:line="360" w:lineRule="auto"/>
              <w:jc w:val="left"/>
              <w:rPr>
                <w:rFonts w:hint="eastAsia" w:ascii="宋体" w:hAnsi="宋体" w:cs="宋体"/>
                <w:b/>
                <w:color w:val="auto"/>
                <w:sz w:val="24"/>
                <w:szCs w:val="24"/>
                <w:highlight w:val="none"/>
              </w:rPr>
            </w:pPr>
            <w:r>
              <w:rPr>
                <w:rFonts w:hint="eastAsia" w:ascii="宋体" w:hAnsi="宋体" w:cs="宋体"/>
                <w:color w:val="auto"/>
                <w:sz w:val="24"/>
                <w:szCs w:val="24"/>
                <w:highlight w:val="none"/>
              </w:rPr>
              <w:t>投标文件递交地址：</w:t>
            </w:r>
            <w:r>
              <w:rPr>
                <w:rFonts w:hint="eastAsia" w:ascii="宋体" w:hAnsi="宋体" w:cs="宋体"/>
                <w:color w:val="auto"/>
                <w:sz w:val="24"/>
                <w:highlight w:val="none"/>
              </w:rPr>
              <w:t>在“辽宁省公共资源交易一张网电子化平台（https://www.lnsggzy.com/EpointSSO/login/oauth2login）”上传投标文件。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6" w:hRule="atLeast"/>
          <w:jc w:val="center"/>
        </w:trPr>
        <w:tc>
          <w:tcPr>
            <w:tcW w:w="560" w:type="dxa"/>
            <w:vAlign w:val="center"/>
          </w:tcPr>
          <w:p>
            <w:pPr>
              <w:pStyle w:val="34"/>
              <w:numPr>
                <w:ilvl w:val="0"/>
                <w:numId w:val="5"/>
              </w:numPr>
              <w:snapToGrid w:val="0"/>
              <w:spacing w:line="360" w:lineRule="auto"/>
              <w:ind w:firstLineChars="0"/>
              <w:jc w:val="center"/>
              <w:rPr>
                <w:rFonts w:hint="eastAsia" w:ascii="宋体" w:hAnsi="宋体" w:cs="宋体"/>
                <w:color w:val="auto"/>
                <w:sz w:val="24"/>
                <w:highlight w:val="none"/>
              </w:rPr>
            </w:pPr>
            <w:r>
              <w:rPr>
                <w:rFonts w:hint="eastAsia" w:ascii="宋体" w:hAnsi="宋体" w:cs="宋体"/>
                <w:color w:val="auto"/>
                <w:sz w:val="24"/>
                <w:highlight w:val="none"/>
              </w:rPr>
              <w:t>17</w:t>
            </w:r>
          </w:p>
        </w:tc>
        <w:tc>
          <w:tcPr>
            <w:tcW w:w="815" w:type="dxa"/>
            <w:vAlign w:val="center"/>
          </w:tcPr>
          <w:p>
            <w:pPr>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25.1</w:t>
            </w:r>
          </w:p>
        </w:tc>
        <w:tc>
          <w:tcPr>
            <w:tcW w:w="8647" w:type="dxa"/>
            <w:vAlign w:val="top"/>
          </w:tcPr>
          <w:p>
            <w:pPr>
              <w:snapToGrid w:val="0"/>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开标时间：</w:t>
            </w:r>
            <w:r>
              <w:rPr>
                <w:rFonts w:hint="eastAsia" w:ascii="宋体" w:hAnsi="宋体" w:cs="宋体"/>
                <w:color w:val="auto"/>
                <w:sz w:val="24"/>
                <w:szCs w:val="24"/>
                <w:highlight w:val="none"/>
                <w:u w:val="single"/>
              </w:rPr>
              <w:t>2024年07月XX日上午9时30</w:t>
            </w:r>
            <w:r>
              <w:rPr>
                <w:rFonts w:hint="eastAsia" w:ascii="宋体" w:hAnsi="宋体" w:cs="宋体"/>
                <w:color w:val="auto"/>
                <w:sz w:val="24"/>
                <w:szCs w:val="24"/>
                <w:highlight w:val="none"/>
              </w:rPr>
              <w:t>分(北京时间)</w:t>
            </w:r>
          </w:p>
          <w:p>
            <w:pPr>
              <w:snapToGrid w:val="0"/>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开标方式：远程开标（不见面交易）</w:t>
            </w:r>
          </w:p>
          <w:p>
            <w:pPr>
              <w:snapToGrid w:val="0"/>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解密时间：招标人发出解密提示后30分钟内。遇到投标人较多或其他特殊情况在30分钟内无法完成解密的，可报项目行政监督部门适当延长解密时间。</w:t>
            </w:r>
          </w:p>
          <w:p>
            <w:pPr>
              <w:snapToGrid w:val="0"/>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注意：1.递交投标文件截止时间止到开标结束不得擅自离开开标大厅，否则影响到文件解密、质疑等环节的后果由投标人自行承担。</w:t>
            </w:r>
          </w:p>
          <w:p>
            <w:pPr>
              <w:snapToGrid w:val="0"/>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2.投标人应在规定的投标文件解密时间内完成投标文件解密操作，若在规定时间内未完成解密操作或解密失败的，后果由投标人自行承担。</w:t>
            </w:r>
          </w:p>
          <w:p>
            <w:pPr>
              <w:snapToGrid w:val="0"/>
              <w:spacing w:line="360" w:lineRule="auto"/>
              <w:jc w:val="left"/>
              <w:rPr>
                <w:rFonts w:hint="eastAsia" w:ascii="宋体" w:hAnsi="宋体" w:cs="宋体"/>
                <w:color w:val="auto"/>
                <w:highlight w:val="none"/>
              </w:rPr>
            </w:pPr>
            <w:r>
              <w:rPr>
                <w:rFonts w:hint="eastAsia" w:ascii="宋体" w:hAnsi="宋体" w:cs="宋体"/>
                <w:color w:val="auto"/>
                <w:sz w:val="24"/>
                <w:szCs w:val="24"/>
                <w:highlight w:val="none"/>
              </w:rPr>
              <w:t>3.在开标记录生成并公布后的5分钟内完成在开标记录表确认的操作，未在规定时间内完成确认的视为认同开标结果。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08" w:hRule="atLeast"/>
          <w:jc w:val="center"/>
        </w:trPr>
        <w:tc>
          <w:tcPr>
            <w:tcW w:w="10022" w:type="dxa"/>
            <w:gridSpan w:val="3"/>
            <w:shd w:val="clear" w:color="auto" w:fill="E0E0E0"/>
            <w:vAlign w:val="center"/>
          </w:tcPr>
          <w:p>
            <w:pPr>
              <w:snapToGrid w:val="0"/>
              <w:spacing w:line="360" w:lineRule="auto"/>
              <w:jc w:val="center"/>
              <w:rPr>
                <w:rFonts w:hint="eastAsia" w:ascii="宋体" w:hAnsi="宋体" w:cs="宋体"/>
                <w:color w:val="auto"/>
                <w:sz w:val="24"/>
                <w:szCs w:val="24"/>
                <w:highlight w:val="none"/>
              </w:rPr>
            </w:pPr>
            <w:r>
              <w:rPr>
                <w:rFonts w:hint="eastAsia" w:ascii="宋体" w:hAnsi="宋体" w:cs="宋体"/>
                <w:b/>
                <w:color w:val="auto"/>
                <w:sz w:val="24"/>
                <w:szCs w:val="24"/>
                <w:highlight w:val="none"/>
              </w:rPr>
              <w:t>评   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560" w:type="dxa"/>
            <w:tcBorders>
              <w:right w:val="single" w:color="auto" w:sz="4" w:space="0"/>
            </w:tcBorders>
            <w:vAlign w:val="center"/>
          </w:tcPr>
          <w:p>
            <w:pPr>
              <w:pStyle w:val="34"/>
              <w:numPr>
                <w:ilvl w:val="0"/>
                <w:numId w:val="5"/>
              </w:numPr>
              <w:snapToGrid w:val="0"/>
              <w:spacing w:line="360" w:lineRule="auto"/>
              <w:ind w:firstLineChars="0"/>
              <w:jc w:val="center"/>
              <w:rPr>
                <w:rFonts w:hint="eastAsia" w:ascii="宋体" w:hAnsi="宋体" w:cs="宋体"/>
                <w:color w:val="auto"/>
                <w:sz w:val="24"/>
                <w:highlight w:val="none"/>
              </w:rPr>
            </w:pPr>
            <w:r>
              <w:rPr>
                <w:rFonts w:hint="eastAsia" w:ascii="宋体" w:hAnsi="宋体" w:cs="宋体"/>
                <w:color w:val="auto"/>
                <w:sz w:val="24"/>
                <w:highlight w:val="none"/>
              </w:rPr>
              <w:t>18</w:t>
            </w:r>
          </w:p>
        </w:tc>
        <w:tc>
          <w:tcPr>
            <w:tcW w:w="815" w:type="dxa"/>
            <w:tcBorders>
              <w:right w:val="single" w:color="auto" w:sz="4" w:space="0"/>
            </w:tcBorders>
            <w:vAlign w:val="center"/>
          </w:tcPr>
          <w:p>
            <w:pPr>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31.4</w:t>
            </w:r>
          </w:p>
        </w:tc>
        <w:tc>
          <w:tcPr>
            <w:tcW w:w="8647" w:type="dxa"/>
            <w:tcBorders>
              <w:left w:val="single" w:color="auto" w:sz="4" w:space="0"/>
            </w:tcBorders>
            <w:vAlign w:val="center"/>
          </w:tcPr>
          <w:p>
            <w:pPr>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评标方法及标准：详见招标文件第七章《评标办法》。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46" w:hRule="atLeast"/>
          <w:jc w:val="center"/>
        </w:trPr>
        <w:tc>
          <w:tcPr>
            <w:tcW w:w="10022" w:type="dxa"/>
            <w:gridSpan w:val="3"/>
            <w:tcBorders>
              <w:top w:val="single" w:color="auto" w:sz="6" w:space="0"/>
              <w:bottom w:val="single" w:color="auto" w:sz="6" w:space="0"/>
            </w:tcBorders>
            <w:shd w:val="clear" w:color="auto" w:fill="D9D9D9"/>
            <w:vAlign w:val="center"/>
          </w:tcPr>
          <w:p>
            <w:pPr>
              <w:snapToGrid w:val="0"/>
              <w:spacing w:line="36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招标代理服务费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560" w:type="dxa"/>
            <w:tcBorders>
              <w:top w:val="single" w:color="auto" w:sz="6" w:space="0"/>
              <w:bottom w:val="single" w:color="auto" w:sz="6" w:space="0"/>
            </w:tcBorders>
            <w:vAlign w:val="center"/>
          </w:tcPr>
          <w:p>
            <w:pPr>
              <w:pStyle w:val="34"/>
              <w:numPr>
                <w:ilvl w:val="0"/>
                <w:numId w:val="5"/>
              </w:numPr>
              <w:snapToGrid w:val="0"/>
              <w:spacing w:line="360" w:lineRule="auto"/>
              <w:ind w:firstLineChars="0"/>
              <w:jc w:val="center"/>
              <w:rPr>
                <w:rFonts w:hint="eastAsia" w:ascii="宋体" w:hAnsi="宋体" w:cs="宋体"/>
                <w:color w:val="auto"/>
                <w:sz w:val="24"/>
                <w:highlight w:val="none"/>
              </w:rPr>
            </w:pPr>
            <w:r>
              <w:rPr>
                <w:rFonts w:hint="eastAsia" w:ascii="宋体" w:hAnsi="宋体" w:cs="宋体"/>
                <w:color w:val="auto"/>
                <w:sz w:val="24"/>
                <w:highlight w:val="none"/>
              </w:rPr>
              <w:t>19</w:t>
            </w:r>
          </w:p>
        </w:tc>
        <w:tc>
          <w:tcPr>
            <w:tcW w:w="815" w:type="dxa"/>
            <w:tcBorders>
              <w:top w:val="single" w:color="auto" w:sz="6" w:space="0"/>
              <w:bottom w:val="single" w:color="auto" w:sz="6" w:space="0"/>
            </w:tcBorders>
            <w:vAlign w:val="center"/>
          </w:tcPr>
          <w:p>
            <w:pPr>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7.3</w:t>
            </w:r>
          </w:p>
        </w:tc>
        <w:tc>
          <w:tcPr>
            <w:tcW w:w="8647" w:type="dxa"/>
            <w:tcBorders>
              <w:top w:val="single" w:color="auto" w:sz="6" w:space="0"/>
              <w:bottom w:val="single" w:color="auto" w:sz="6" w:space="0"/>
            </w:tcBorders>
            <w:vAlign w:val="center"/>
          </w:tcPr>
          <w:p>
            <w:pPr>
              <w:snapToGrid w:val="0"/>
              <w:spacing w:line="360" w:lineRule="auto"/>
              <w:jc w:val="left"/>
              <w:rPr>
                <w:rFonts w:hint="eastAsia" w:ascii="宋体" w:hAnsi="宋体" w:cs="宋体"/>
                <w:b/>
                <w:color w:val="auto"/>
                <w:sz w:val="24"/>
                <w:szCs w:val="24"/>
                <w:highlight w:val="none"/>
              </w:rPr>
            </w:pPr>
            <w:r>
              <w:rPr>
                <w:rFonts w:hint="eastAsia" w:ascii="宋体" w:hAnsi="宋体" w:cs="宋体"/>
                <w:color w:val="auto"/>
                <w:sz w:val="24"/>
                <w:highlight w:val="none"/>
              </w:rPr>
              <w:t>以中标价为计算基数，参照原国家发展计划委员会《招标代理服务收费管理暂行办法》(计价格[2002]1980号文)(服务类)标准收取，由</w:t>
            </w:r>
            <w:r>
              <w:rPr>
                <w:rFonts w:hint="eastAsia" w:ascii="宋体" w:hAnsi="宋体" w:cs="宋体"/>
                <w:b/>
                <w:color w:val="auto"/>
                <w:sz w:val="24"/>
                <w:highlight w:val="none"/>
                <w:u w:val="single"/>
              </w:rPr>
              <w:t>中标人</w:t>
            </w:r>
            <w:r>
              <w:rPr>
                <w:rFonts w:hint="eastAsia" w:ascii="宋体" w:hAnsi="宋体" w:cs="宋体"/>
                <w:color w:val="auto"/>
                <w:sz w:val="24"/>
                <w:highlight w:val="none"/>
              </w:rPr>
              <w:t>在领取中标通知书的同时以现金或电汇向招标代理机构交纳招标代理服务费用。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46" w:hRule="atLeast"/>
          <w:jc w:val="center"/>
        </w:trPr>
        <w:tc>
          <w:tcPr>
            <w:tcW w:w="10022" w:type="dxa"/>
            <w:gridSpan w:val="3"/>
            <w:tcBorders>
              <w:top w:val="single" w:color="auto" w:sz="6" w:space="0"/>
              <w:bottom w:val="single" w:color="auto" w:sz="6" w:space="0"/>
            </w:tcBorders>
            <w:shd w:val="clear" w:color="auto" w:fill="D9D9D9"/>
            <w:vAlign w:val="center"/>
          </w:tcPr>
          <w:p>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公证服务费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46" w:hRule="atLeast"/>
          <w:jc w:val="center"/>
        </w:trPr>
        <w:tc>
          <w:tcPr>
            <w:tcW w:w="10022" w:type="dxa"/>
            <w:gridSpan w:val="3"/>
            <w:tcBorders>
              <w:top w:val="single" w:color="auto" w:sz="6" w:space="0"/>
              <w:bottom w:val="single" w:color="auto" w:sz="6" w:space="0"/>
            </w:tcBorders>
            <w:shd w:val="clear" w:color="auto" w:fill="D9D9D9"/>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b/>
                <w:color w:val="auto"/>
                <w:sz w:val="24"/>
                <w:szCs w:val="24"/>
                <w:highlight w:val="none"/>
              </w:rPr>
              <w:t>履约保证金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60" w:type="dxa"/>
            <w:tcBorders>
              <w:top w:val="single" w:color="auto" w:sz="6" w:space="0"/>
              <w:bottom w:val="single" w:color="auto" w:sz="6" w:space="0"/>
            </w:tcBorders>
            <w:vAlign w:val="center"/>
          </w:tcPr>
          <w:p>
            <w:pPr>
              <w:pStyle w:val="34"/>
              <w:numPr>
                <w:ilvl w:val="0"/>
                <w:numId w:val="5"/>
              </w:numPr>
              <w:snapToGrid w:val="0"/>
              <w:spacing w:line="360" w:lineRule="auto"/>
              <w:ind w:firstLineChars="0"/>
              <w:jc w:val="center"/>
              <w:rPr>
                <w:rFonts w:hint="eastAsia" w:ascii="宋体" w:hAnsi="宋体" w:cs="宋体"/>
                <w:color w:val="auto"/>
                <w:sz w:val="24"/>
                <w:highlight w:val="none"/>
              </w:rPr>
            </w:pPr>
          </w:p>
        </w:tc>
        <w:tc>
          <w:tcPr>
            <w:tcW w:w="815" w:type="dxa"/>
            <w:tcBorders>
              <w:top w:val="single" w:color="auto" w:sz="6" w:space="0"/>
              <w:bottom w:val="single" w:color="auto" w:sz="6" w:space="0"/>
            </w:tcBorders>
            <w:vAlign w:val="center"/>
          </w:tcPr>
          <w:p>
            <w:pPr>
              <w:snapToGrid w:val="0"/>
              <w:spacing w:line="360" w:lineRule="auto"/>
              <w:jc w:val="center"/>
              <w:rPr>
                <w:rFonts w:hint="eastAsia" w:ascii="宋体" w:hAnsi="宋体" w:cs="宋体"/>
                <w:color w:val="auto"/>
                <w:sz w:val="24"/>
                <w:highlight w:val="none"/>
              </w:rPr>
            </w:pPr>
          </w:p>
        </w:tc>
        <w:tc>
          <w:tcPr>
            <w:tcW w:w="8647" w:type="dxa"/>
            <w:tcBorders>
              <w:top w:val="single" w:color="auto" w:sz="6" w:space="0"/>
              <w:bottom w:val="single" w:color="auto" w:sz="6" w:space="0"/>
            </w:tcBorders>
            <w:vAlign w:val="center"/>
          </w:tcPr>
          <w:p>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10022" w:type="dxa"/>
            <w:gridSpan w:val="3"/>
            <w:tcBorders>
              <w:top w:val="single" w:color="auto" w:sz="6" w:space="0"/>
              <w:bottom w:val="single" w:color="auto" w:sz="6" w:space="0"/>
            </w:tcBorders>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其他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60" w:type="dxa"/>
            <w:tcBorders>
              <w:top w:val="single" w:color="auto" w:sz="6" w:space="0"/>
              <w:bottom w:val="single" w:color="auto" w:sz="6" w:space="0"/>
            </w:tcBorders>
            <w:vAlign w:val="center"/>
          </w:tcPr>
          <w:p>
            <w:pPr>
              <w:pStyle w:val="34"/>
              <w:numPr>
                <w:ilvl w:val="0"/>
                <w:numId w:val="5"/>
              </w:numPr>
              <w:snapToGrid w:val="0"/>
              <w:spacing w:line="360" w:lineRule="auto"/>
              <w:ind w:firstLineChars="0"/>
              <w:jc w:val="center"/>
              <w:rPr>
                <w:rFonts w:hint="eastAsia" w:ascii="宋体" w:hAnsi="宋体" w:cs="宋体"/>
                <w:color w:val="auto"/>
                <w:sz w:val="24"/>
                <w:highlight w:val="none"/>
              </w:rPr>
            </w:pPr>
          </w:p>
        </w:tc>
        <w:tc>
          <w:tcPr>
            <w:tcW w:w="815" w:type="dxa"/>
            <w:tcBorders>
              <w:top w:val="single" w:color="auto" w:sz="6" w:space="0"/>
              <w:bottom w:val="single" w:color="auto" w:sz="6" w:space="0"/>
            </w:tcBorders>
            <w:vAlign w:val="center"/>
          </w:tcPr>
          <w:p>
            <w:pPr>
              <w:snapToGrid w:val="0"/>
              <w:spacing w:line="360" w:lineRule="auto"/>
              <w:jc w:val="center"/>
              <w:rPr>
                <w:rFonts w:hint="eastAsia" w:ascii="宋体" w:hAnsi="宋体" w:cs="宋体"/>
                <w:color w:val="auto"/>
                <w:sz w:val="24"/>
                <w:highlight w:val="none"/>
              </w:rPr>
            </w:pPr>
          </w:p>
        </w:tc>
        <w:tc>
          <w:tcPr>
            <w:tcW w:w="8647" w:type="dxa"/>
            <w:tcBorders>
              <w:top w:val="single" w:color="auto" w:sz="6" w:space="0"/>
              <w:bottom w:val="single" w:color="auto" w:sz="6" w:space="0"/>
            </w:tcBorders>
            <w:vAlign w:val="center"/>
          </w:tcPr>
          <w:p>
            <w:pPr>
              <w:snapToGrid w:val="0"/>
              <w:spacing w:line="360" w:lineRule="auto"/>
              <w:jc w:val="left"/>
              <w:rPr>
                <w:rFonts w:hint="eastAsia" w:ascii="宋体" w:hAnsi="宋体" w:cs="宋体"/>
                <w:color w:val="auto"/>
                <w:highlight w:val="none"/>
              </w:rPr>
            </w:pPr>
            <w:r>
              <w:rPr>
                <w:rFonts w:hint="eastAsia" w:ascii="宋体" w:hAnsi="宋体" w:cs="宋体"/>
                <w:color w:val="auto"/>
                <w:sz w:val="24"/>
                <w:highlight w:val="none"/>
              </w:rPr>
              <w:t>招标代理机构服务质量监督电话：0417-3322810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60" w:type="dxa"/>
            <w:tcBorders>
              <w:top w:val="single" w:color="auto" w:sz="6" w:space="0"/>
              <w:bottom w:val="single" w:color="auto" w:sz="6" w:space="0"/>
            </w:tcBorders>
            <w:vAlign w:val="center"/>
          </w:tcPr>
          <w:p>
            <w:pPr>
              <w:pStyle w:val="34"/>
              <w:numPr>
                <w:ilvl w:val="0"/>
                <w:numId w:val="5"/>
              </w:numPr>
              <w:snapToGrid w:val="0"/>
              <w:spacing w:line="360" w:lineRule="auto"/>
              <w:ind w:firstLineChars="0"/>
              <w:jc w:val="center"/>
              <w:rPr>
                <w:rFonts w:hint="eastAsia" w:ascii="宋体" w:hAnsi="宋体" w:cs="宋体"/>
                <w:color w:val="auto"/>
                <w:sz w:val="24"/>
                <w:highlight w:val="none"/>
              </w:rPr>
            </w:pPr>
          </w:p>
        </w:tc>
        <w:tc>
          <w:tcPr>
            <w:tcW w:w="815" w:type="dxa"/>
            <w:tcBorders>
              <w:top w:val="single" w:color="auto" w:sz="6" w:space="0"/>
              <w:bottom w:val="single" w:color="auto" w:sz="6" w:space="0"/>
            </w:tcBorders>
            <w:vAlign w:val="center"/>
          </w:tcPr>
          <w:p>
            <w:pPr>
              <w:snapToGrid w:val="0"/>
              <w:spacing w:line="360" w:lineRule="auto"/>
              <w:jc w:val="center"/>
              <w:rPr>
                <w:rFonts w:hint="eastAsia" w:ascii="宋体" w:hAnsi="宋体" w:cs="宋体"/>
                <w:color w:val="auto"/>
                <w:sz w:val="24"/>
                <w:highlight w:val="none"/>
              </w:rPr>
            </w:pPr>
          </w:p>
        </w:tc>
        <w:tc>
          <w:tcPr>
            <w:tcW w:w="8647" w:type="dxa"/>
            <w:tcBorders>
              <w:top w:val="single" w:color="auto" w:sz="6" w:space="0"/>
              <w:bottom w:val="single" w:color="auto" w:sz="6" w:space="0"/>
            </w:tcBorders>
            <w:vAlign w:val="center"/>
          </w:tcPr>
          <w:p>
            <w:pPr>
              <w:numPr>
                <w:ilvl w:val="0"/>
                <w:numId w:val="6"/>
              </w:num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付款方式：</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分四次支付。第一次付款：提交跟踪监测方案后20日内，支付至合同价款的30%；第二次付款：市级验收时提交成果报告并通过专家评审后，支付至合同价款的75%；第三次付款：项目省级验收后，支付至合同价款的90%；第四次付款：验收通过后2年内提交监测报告，支付至合同价款的100%。四次付款均应提供有效发票。</w:t>
            </w:r>
          </w:p>
          <w:p>
            <w:pPr>
              <w:snapToGrid w:val="0"/>
              <w:spacing w:line="360" w:lineRule="auto"/>
              <w:jc w:val="left"/>
              <w:rPr>
                <w:rFonts w:hint="eastAsia" w:ascii="宋体" w:hAnsi="宋体" w:cs="宋体"/>
                <w:color w:val="auto"/>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交易中心服务费：按辽发改价格 (2023) 128 号规定执行。由中标人向营口市建设工程交易服务中心有限公司全额缴纳，此项费用不得在投标报价中。。</w:t>
            </w:r>
          </w:p>
        </w:tc>
      </w:tr>
    </w:tbl>
    <w:p>
      <w:pPr>
        <w:tabs>
          <w:tab w:val="left" w:pos="7770"/>
        </w:tabs>
        <w:autoSpaceDE w:val="0"/>
        <w:autoSpaceDN w:val="0"/>
        <w:spacing w:line="360" w:lineRule="auto"/>
        <w:rPr>
          <w:rFonts w:hint="eastAsia" w:ascii="宋体" w:hAnsi="宋体" w:eastAsia="宋体" w:cs="宋体"/>
          <w:color w:val="auto"/>
          <w:highlight w:val="none"/>
        </w:rPr>
        <w:sectPr>
          <w:headerReference r:id="rId7" w:type="default"/>
          <w:pgSz w:w="11906" w:h="16838"/>
          <w:pgMar w:top="1134" w:right="1134" w:bottom="1134" w:left="1134" w:header="454" w:footer="454" w:gutter="0"/>
          <w:cols w:space="720" w:num="1"/>
          <w:docGrid w:linePitch="312" w:charSpace="0"/>
        </w:sect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pStyle w:val="2"/>
        <w:numPr>
          <w:ilvl w:val="0"/>
          <w:numId w:val="2"/>
        </w:numPr>
        <w:spacing w:line="360" w:lineRule="auto"/>
        <w:jc w:val="center"/>
        <w:rPr>
          <w:rFonts w:hint="eastAsia" w:ascii="宋体" w:hAnsi="宋体" w:cs="宋体"/>
          <w:color w:val="auto"/>
          <w:w w:val="90"/>
          <w:highlight w:val="none"/>
        </w:rPr>
      </w:pPr>
      <w:bookmarkStart w:id="15" w:name="_Toc8512"/>
      <w:bookmarkEnd w:id="15"/>
      <w:bookmarkStart w:id="16" w:name="_Toc349568711"/>
      <w:bookmarkEnd w:id="16"/>
      <w:bookmarkStart w:id="17" w:name="_Toc343510553"/>
      <w:bookmarkEnd w:id="17"/>
      <w:bookmarkStart w:id="18" w:name="_Toc344394139"/>
      <w:bookmarkEnd w:id="18"/>
      <w:bookmarkStart w:id="19" w:name="_Toc7705"/>
      <w:bookmarkEnd w:id="19"/>
      <w:bookmarkStart w:id="20" w:name="_Toc350515648"/>
      <w:bookmarkEnd w:id="20"/>
      <w:bookmarkStart w:id="21" w:name="_Toc349568452"/>
      <w:bookmarkEnd w:id="21"/>
      <w:r>
        <w:rPr>
          <w:rFonts w:hint="eastAsia" w:ascii="宋体" w:hAnsi="宋体" w:cs="宋体"/>
          <w:color w:val="auto"/>
          <w:w w:val="90"/>
          <w:highlight w:val="none"/>
        </w:rPr>
        <w:t xml:space="preserve">  </w:t>
      </w:r>
      <w:r>
        <w:rPr>
          <w:rFonts w:hint="eastAsia" w:ascii="宋体" w:hAnsi="宋体" w:cs="宋体"/>
          <w:color w:val="auto"/>
          <w:szCs w:val="24"/>
          <w:highlight w:val="none"/>
        </w:rPr>
        <w:t>投标人须知</w:t>
      </w:r>
    </w:p>
    <w:p>
      <w:pPr>
        <w:tabs>
          <w:tab w:val="left" w:pos="7770"/>
        </w:tabs>
        <w:autoSpaceDE w:val="0"/>
        <w:autoSpaceDN w:val="0"/>
        <w:spacing w:line="360" w:lineRule="auto"/>
        <w:rPr>
          <w:rFonts w:hint="eastAsia" w:ascii="宋体" w:hAnsi="宋体" w:cs="宋体"/>
          <w:color w:val="auto"/>
          <w:highlight w:val="none"/>
        </w:rPr>
      </w:pPr>
    </w:p>
    <w:p>
      <w:pPr>
        <w:tabs>
          <w:tab w:val="left" w:pos="7770"/>
        </w:tabs>
        <w:autoSpaceDE w:val="0"/>
        <w:autoSpaceDN w:val="0"/>
        <w:spacing w:line="360" w:lineRule="auto"/>
        <w:rPr>
          <w:rFonts w:hint="eastAsia" w:ascii="宋体" w:hAnsi="宋体" w:cs="宋体"/>
          <w:color w:val="auto"/>
          <w:highlight w:val="none"/>
        </w:rPr>
      </w:pPr>
    </w:p>
    <w:p>
      <w:pPr>
        <w:tabs>
          <w:tab w:val="left" w:pos="7770"/>
        </w:tabs>
        <w:autoSpaceDE w:val="0"/>
        <w:autoSpaceDN w:val="0"/>
        <w:spacing w:line="360" w:lineRule="auto"/>
        <w:rPr>
          <w:rFonts w:hint="eastAsia" w:ascii="宋体" w:hAnsi="宋体" w:cs="宋体"/>
          <w:color w:val="auto"/>
          <w:highlight w:val="none"/>
        </w:rPr>
      </w:pPr>
    </w:p>
    <w:p>
      <w:pPr>
        <w:tabs>
          <w:tab w:val="left" w:pos="7770"/>
        </w:tabs>
        <w:autoSpaceDE w:val="0"/>
        <w:autoSpaceDN w:val="0"/>
        <w:spacing w:line="360" w:lineRule="auto"/>
        <w:rPr>
          <w:rFonts w:hint="eastAsia" w:ascii="宋体" w:hAnsi="宋体" w:cs="宋体"/>
          <w:color w:val="auto"/>
          <w:highlight w:val="none"/>
        </w:rPr>
      </w:pPr>
    </w:p>
    <w:p>
      <w:pPr>
        <w:tabs>
          <w:tab w:val="left" w:pos="7770"/>
        </w:tabs>
        <w:autoSpaceDE w:val="0"/>
        <w:autoSpaceDN w:val="0"/>
        <w:spacing w:line="360" w:lineRule="auto"/>
        <w:rPr>
          <w:rFonts w:hint="eastAsia" w:ascii="宋体" w:hAnsi="宋体" w:cs="宋体"/>
          <w:color w:val="auto"/>
          <w:highlight w:val="none"/>
        </w:rPr>
      </w:pPr>
    </w:p>
    <w:p>
      <w:pPr>
        <w:tabs>
          <w:tab w:val="left" w:pos="7770"/>
        </w:tabs>
        <w:autoSpaceDE w:val="0"/>
        <w:autoSpaceDN w:val="0"/>
        <w:spacing w:line="360" w:lineRule="auto"/>
        <w:rPr>
          <w:rFonts w:hint="eastAsia" w:ascii="宋体" w:hAnsi="宋体" w:cs="宋体"/>
          <w:color w:val="auto"/>
          <w:highlight w:val="none"/>
        </w:rPr>
      </w:pPr>
    </w:p>
    <w:p>
      <w:pPr>
        <w:tabs>
          <w:tab w:val="left" w:pos="7770"/>
        </w:tabs>
        <w:autoSpaceDE w:val="0"/>
        <w:autoSpaceDN w:val="0"/>
        <w:spacing w:line="360" w:lineRule="auto"/>
        <w:rPr>
          <w:rFonts w:hint="eastAsia" w:ascii="宋体" w:hAnsi="宋体" w:cs="宋体"/>
          <w:color w:val="auto"/>
          <w:highlight w:val="none"/>
        </w:rPr>
      </w:pPr>
    </w:p>
    <w:p>
      <w:pPr>
        <w:tabs>
          <w:tab w:val="left" w:pos="7770"/>
        </w:tabs>
        <w:autoSpaceDE w:val="0"/>
        <w:autoSpaceDN w:val="0"/>
        <w:spacing w:line="360" w:lineRule="auto"/>
        <w:rPr>
          <w:rFonts w:hint="eastAsia" w:ascii="宋体" w:hAnsi="宋体" w:cs="宋体"/>
          <w:color w:val="auto"/>
          <w:highlight w:val="none"/>
        </w:rPr>
      </w:pPr>
    </w:p>
    <w:p>
      <w:pPr>
        <w:tabs>
          <w:tab w:val="left" w:pos="7770"/>
        </w:tabs>
        <w:autoSpaceDE w:val="0"/>
        <w:autoSpaceDN w:val="0"/>
        <w:spacing w:line="360" w:lineRule="auto"/>
        <w:rPr>
          <w:rFonts w:hint="eastAsia" w:ascii="宋体" w:hAnsi="宋体" w:cs="宋体"/>
          <w:color w:val="auto"/>
          <w:highlight w:val="none"/>
        </w:rPr>
      </w:pPr>
    </w:p>
    <w:p>
      <w:pPr>
        <w:tabs>
          <w:tab w:val="left" w:pos="7770"/>
        </w:tabs>
        <w:autoSpaceDE w:val="0"/>
        <w:autoSpaceDN w:val="0"/>
        <w:spacing w:line="360" w:lineRule="auto"/>
        <w:rPr>
          <w:rFonts w:hint="eastAsia" w:ascii="宋体" w:hAnsi="宋体" w:cs="宋体"/>
          <w:color w:val="auto"/>
          <w:highlight w:val="none"/>
        </w:rPr>
      </w:pPr>
    </w:p>
    <w:p>
      <w:pPr>
        <w:tabs>
          <w:tab w:val="left" w:pos="7770"/>
        </w:tabs>
        <w:autoSpaceDE w:val="0"/>
        <w:autoSpaceDN w:val="0"/>
        <w:spacing w:line="360" w:lineRule="auto"/>
        <w:rPr>
          <w:rFonts w:hint="eastAsia" w:ascii="宋体" w:hAnsi="宋体" w:cs="宋体"/>
          <w:color w:val="auto"/>
          <w:highlight w:val="none"/>
        </w:rPr>
      </w:pPr>
    </w:p>
    <w:p>
      <w:pPr>
        <w:tabs>
          <w:tab w:val="left" w:pos="7770"/>
        </w:tabs>
        <w:autoSpaceDE w:val="0"/>
        <w:autoSpaceDN w:val="0"/>
        <w:spacing w:line="360" w:lineRule="auto"/>
        <w:rPr>
          <w:rFonts w:hint="eastAsia" w:ascii="宋体" w:hAnsi="宋体" w:cs="宋体"/>
          <w:color w:val="auto"/>
          <w:highlight w:val="none"/>
        </w:rPr>
      </w:pPr>
    </w:p>
    <w:p>
      <w:pPr>
        <w:tabs>
          <w:tab w:val="left" w:pos="7770"/>
        </w:tabs>
        <w:autoSpaceDE w:val="0"/>
        <w:autoSpaceDN w:val="0"/>
        <w:spacing w:line="360" w:lineRule="auto"/>
        <w:rPr>
          <w:rFonts w:hint="eastAsia" w:ascii="宋体" w:hAnsi="宋体" w:cs="宋体"/>
          <w:color w:val="auto"/>
          <w:highlight w:val="none"/>
        </w:rPr>
      </w:pPr>
    </w:p>
    <w:p>
      <w:pPr>
        <w:tabs>
          <w:tab w:val="left" w:pos="7770"/>
        </w:tabs>
        <w:autoSpaceDE w:val="0"/>
        <w:autoSpaceDN w:val="0"/>
        <w:spacing w:line="360" w:lineRule="auto"/>
        <w:rPr>
          <w:rFonts w:hint="eastAsia" w:ascii="宋体" w:hAnsi="宋体" w:cs="宋体"/>
          <w:color w:val="auto"/>
          <w:highlight w:val="none"/>
        </w:rPr>
      </w:pPr>
    </w:p>
    <w:p>
      <w:pPr>
        <w:tabs>
          <w:tab w:val="left" w:pos="7770"/>
        </w:tabs>
        <w:autoSpaceDE w:val="0"/>
        <w:autoSpaceDN w:val="0"/>
        <w:spacing w:line="360" w:lineRule="auto"/>
        <w:rPr>
          <w:rFonts w:hint="eastAsia" w:ascii="宋体" w:hAnsi="宋体" w:cs="宋体"/>
          <w:color w:val="auto"/>
          <w:highlight w:val="none"/>
        </w:rPr>
      </w:pPr>
    </w:p>
    <w:p>
      <w:pPr>
        <w:tabs>
          <w:tab w:val="left" w:pos="7770"/>
        </w:tabs>
        <w:autoSpaceDE w:val="0"/>
        <w:autoSpaceDN w:val="0"/>
        <w:spacing w:line="360" w:lineRule="auto"/>
        <w:rPr>
          <w:rFonts w:hint="eastAsia" w:ascii="宋体" w:hAnsi="宋体" w:cs="宋体"/>
          <w:color w:val="auto"/>
          <w:highlight w:val="none"/>
        </w:rPr>
      </w:pPr>
    </w:p>
    <w:p>
      <w:pPr>
        <w:tabs>
          <w:tab w:val="left" w:pos="7770"/>
        </w:tabs>
        <w:autoSpaceDE w:val="0"/>
        <w:autoSpaceDN w:val="0"/>
        <w:spacing w:line="360" w:lineRule="auto"/>
        <w:rPr>
          <w:rFonts w:hint="eastAsia" w:ascii="宋体" w:hAnsi="宋体" w:cs="宋体"/>
          <w:color w:val="auto"/>
          <w:highlight w:val="none"/>
        </w:rPr>
      </w:pPr>
    </w:p>
    <w:p>
      <w:pPr>
        <w:tabs>
          <w:tab w:val="left" w:pos="7770"/>
        </w:tabs>
        <w:autoSpaceDE w:val="0"/>
        <w:autoSpaceDN w:val="0"/>
        <w:spacing w:line="360" w:lineRule="auto"/>
        <w:rPr>
          <w:rFonts w:hint="eastAsia" w:ascii="宋体" w:hAnsi="宋体" w:cs="宋体"/>
          <w:color w:val="auto"/>
          <w:highlight w:val="none"/>
        </w:rPr>
      </w:pPr>
    </w:p>
    <w:p>
      <w:pPr>
        <w:tabs>
          <w:tab w:val="left" w:pos="7770"/>
        </w:tabs>
        <w:autoSpaceDE w:val="0"/>
        <w:autoSpaceDN w:val="0"/>
        <w:spacing w:line="360" w:lineRule="auto"/>
        <w:rPr>
          <w:rFonts w:hint="eastAsia" w:ascii="宋体" w:hAnsi="宋体" w:cs="宋体"/>
          <w:color w:val="auto"/>
          <w:highlight w:val="none"/>
        </w:rPr>
      </w:pPr>
    </w:p>
    <w:p>
      <w:pPr>
        <w:tabs>
          <w:tab w:val="left" w:pos="7770"/>
        </w:tabs>
        <w:autoSpaceDE w:val="0"/>
        <w:autoSpaceDN w:val="0"/>
        <w:spacing w:line="360" w:lineRule="auto"/>
        <w:rPr>
          <w:rFonts w:hint="eastAsia" w:ascii="宋体" w:hAnsi="宋体" w:cs="宋体"/>
          <w:color w:val="auto"/>
          <w:highlight w:val="none"/>
        </w:rPr>
      </w:pPr>
    </w:p>
    <w:p>
      <w:pPr>
        <w:tabs>
          <w:tab w:val="left" w:pos="7770"/>
        </w:tabs>
        <w:autoSpaceDE w:val="0"/>
        <w:autoSpaceDN w:val="0"/>
        <w:spacing w:line="360" w:lineRule="auto"/>
        <w:rPr>
          <w:rFonts w:hint="eastAsia" w:ascii="宋体" w:hAnsi="宋体" w:cs="宋体"/>
          <w:color w:val="auto"/>
          <w:highlight w:val="none"/>
        </w:rPr>
      </w:pPr>
    </w:p>
    <w:p>
      <w:pPr>
        <w:tabs>
          <w:tab w:val="left" w:pos="7770"/>
        </w:tabs>
        <w:autoSpaceDE w:val="0"/>
        <w:autoSpaceDN w:val="0"/>
        <w:spacing w:line="360" w:lineRule="auto"/>
        <w:rPr>
          <w:rFonts w:hint="eastAsia" w:ascii="宋体" w:hAnsi="宋体" w:cs="宋体"/>
          <w:color w:val="auto"/>
          <w:highlight w:val="none"/>
        </w:rPr>
      </w:pPr>
    </w:p>
    <w:p>
      <w:pPr>
        <w:tabs>
          <w:tab w:val="left" w:pos="7770"/>
        </w:tabs>
        <w:autoSpaceDE w:val="0"/>
        <w:autoSpaceDN w:val="0"/>
        <w:spacing w:line="360" w:lineRule="auto"/>
        <w:rPr>
          <w:rFonts w:hint="eastAsia" w:ascii="宋体" w:hAnsi="宋体" w:cs="宋体"/>
          <w:color w:val="auto"/>
          <w:highlight w:val="none"/>
        </w:rPr>
      </w:pPr>
    </w:p>
    <w:p>
      <w:pPr>
        <w:tabs>
          <w:tab w:val="left" w:pos="7770"/>
        </w:tabs>
        <w:autoSpaceDE w:val="0"/>
        <w:autoSpaceDN w:val="0"/>
        <w:spacing w:line="360" w:lineRule="auto"/>
        <w:rPr>
          <w:rFonts w:hint="eastAsia" w:ascii="宋体" w:hAnsi="宋体" w:cs="宋体"/>
          <w:color w:val="auto"/>
          <w:highlight w:val="none"/>
        </w:rPr>
      </w:pPr>
    </w:p>
    <w:p>
      <w:pPr>
        <w:tabs>
          <w:tab w:val="left" w:pos="7770"/>
        </w:tabs>
        <w:autoSpaceDE w:val="0"/>
        <w:autoSpaceDN w:val="0"/>
        <w:spacing w:line="360" w:lineRule="auto"/>
        <w:rPr>
          <w:rFonts w:hint="eastAsia" w:ascii="宋体" w:hAnsi="宋体" w:cs="宋体"/>
          <w:color w:val="auto"/>
          <w:highlight w:val="none"/>
        </w:rPr>
      </w:pPr>
    </w:p>
    <w:p>
      <w:pPr>
        <w:spacing w:line="240" w:lineRule="auto"/>
        <w:jc w:val="left"/>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投标人须知</w:t>
      </w:r>
    </w:p>
    <w:p>
      <w:pPr>
        <w:pStyle w:val="5"/>
        <w:tabs>
          <w:tab w:val="center" w:pos="4677"/>
          <w:tab w:val="left" w:pos="6240"/>
        </w:tabs>
        <w:rPr>
          <w:rFonts w:hint="eastAsia" w:ascii="宋体" w:hAnsi="宋体" w:eastAsia="宋体" w:cs="宋体"/>
          <w:b/>
          <w:color w:val="auto"/>
          <w:highlight w:val="none"/>
        </w:rPr>
      </w:pPr>
      <w:r>
        <w:rPr>
          <w:rFonts w:hint="eastAsia" w:ascii="宋体" w:hAnsi="宋体" w:eastAsia="宋体" w:cs="宋体"/>
          <w:b/>
          <w:color w:val="auto"/>
          <w:highlight w:val="none"/>
        </w:rPr>
        <w:t>（一）总   则</w:t>
      </w:r>
    </w:p>
    <w:p>
      <w:pPr>
        <w:pStyle w:val="6"/>
        <w:ind w:left="1008" w:hanging="1008"/>
        <w:rPr>
          <w:rFonts w:hint="eastAsia" w:ascii="宋体" w:hAnsi="宋体" w:cs="宋体"/>
          <w:bCs/>
          <w:color w:val="auto"/>
          <w:highlight w:val="none"/>
        </w:rPr>
      </w:pPr>
      <w:r>
        <w:rPr>
          <w:rFonts w:hint="eastAsia" w:ascii="宋体" w:hAnsi="宋体" w:cs="宋体"/>
          <w:bCs/>
          <w:color w:val="auto"/>
          <w:highlight w:val="none"/>
        </w:rPr>
        <w:t>1、项目说明</w:t>
      </w:r>
    </w:p>
    <w:p>
      <w:pPr>
        <w:spacing w:line="360" w:lineRule="auto"/>
        <w:ind w:left="2161" w:leftChars="229" w:hanging="1680" w:hangingChars="700"/>
        <w:rPr>
          <w:rFonts w:hint="eastAsia" w:ascii="宋体" w:hAnsi="宋体" w:cs="宋体"/>
          <w:color w:val="auto"/>
          <w:sz w:val="24"/>
          <w:highlight w:val="none"/>
        </w:rPr>
      </w:pPr>
      <w:r>
        <w:rPr>
          <w:rFonts w:hint="eastAsia" w:ascii="宋体" w:hAnsi="宋体" w:cs="宋体"/>
          <w:color w:val="auto"/>
          <w:sz w:val="24"/>
          <w:highlight w:val="none"/>
        </w:rPr>
        <w:t>1.1招标方式：公开招标</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1.2项目名称：辽宁省营口市海洋生态保护修复工程项目跟踪监测服务</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1.3招标人名称：营口市自然资源局</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1.4招标代理机构名称：辽宁国信建设工程管理有限公司</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1.5服务地点：</w:t>
      </w:r>
      <w:r>
        <w:rPr>
          <w:rFonts w:hint="eastAsia" w:ascii="宋体" w:hAnsi="宋体" w:cs="宋体"/>
          <w:color w:val="auto"/>
          <w:sz w:val="24"/>
          <w:szCs w:val="24"/>
          <w:highlight w:val="none"/>
        </w:rPr>
        <w:t>招标人</w:t>
      </w:r>
      <w:r>
        <w:rPr>
          <w:rFonts w:hint="eastAsia" w:ascii="宋体" w:hAnsi="宋体" w:cs="宋体"/>
          <w:color w:val="auto"/>
          <w:kern w:val="0"/>
          <w:sz w:val="24"/>
          <w:highlight w:val="none"/>
        </w:rPr>
        <w:t>指定地点。</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1.6质量要求：合格</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1.7本招标文件服从于国家、行业主管部门及地方的法律法规，本招标文件未能说明的部分，按照国家、行业主管部门及地方法律法规严格执行。</w:t>
      </w:r>
    </w:p>
    <w:p>
      <w:pPr>
        <w:pStyle w:val="6"/>
        <w:numPr>
          <w:ilvl w:val="0"/>
          <w:numId w:val="7"/>
        </w:numPr>
        <w:rPr>
          <w:rFonts w:hint="eastAsia" w:ascii="宋体" w:hAnsi="宋体" w:cs="宋体"/>
          <w:bCs/>
          <w:color w:val="auto"/>
          <w:highlight w:val="none"/>
        </w:rPr>
      </w:pPr>
      <w:r>
        <w:rPr>
          <w:rFonts w:hint="eastAsia" w:ascii="宋体" w:hAnsi="宋体" w:cs="宋体"/>
          <w:bCs/>
          <w:color w:val="auto"/>
          <w:highlight w:val="none"/>
        </w:rPr>
        <w:t>招标范围、交货期及合同期限</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highlight w:val="none"/>
        </w:rPr>
        <w:t>2</w:t>
      </w:r>
      <w:r>
        <w:rPr>
          <w:rFonts w:hint="eastAsia" w:ascii="宋体" w:hAnsi="宋体" w:cs="宋体"/>
          <w:color w:val="auto"/>
          <w:sz w:val="24"/>
          <w:szCs w:val="24"/>
          <w:highlight w:val="none"/>
        </w:rPr>
        <w:t>.1招标范围：</w:t>
      </w:r>
      <w:r>
        <w:rPr>
          <w:rFonts w:hint="eastAsia" w:ascii="宋体" w:hAnsi="宋体" w:cs="宋体"/>
          <w:bCs/>
          <w:color w:val="auto"/>
          <w:sz w:val="24"/>
          <w:szCs w:val="24"/>
          <w:highlight w:val="none"/>
        </w:rPr>
        <w:t>本项目拟完成修复总面积 1630.34ha,整治修复岸线长度 2951.90m，其中修复砂质岸线 1287m、生态护岸 1664.90m；整治修复滨海湿地面积1555.22ha，其中保育和种植盐沼植被面积269.69ha、浒苔防治面积1006.83ha。针对上述内容拟委托服务机构提供项目跟踪监测服务。（服务内容包括但不限于资料收集和整理、跟踪监测方案编制及实施、成果报告编制及提交审核、报告内容修改及复核、资料归档、过程技术咨询及根据招标人对项目的要求所进行的其他工作。所编制的成果报告须遵照法规及规范要求）。</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highlight w:val="none"/>
        </w:rPr>
        <w:t>2.2本招标项目的</w:t>
      </w:r>
      <w:r>
        <w:rPr>
          <w:rFonts w:hint="eastAsia" w:ascii="宋体" w:hAnsi="宋体" w:cs="宋体"/>
          <w:color w:val="auto"/>
          <w:sz w:val="24"/>
          <w:szCs w:val="24"/>
          <w:highlight w:val="none"/>
        </w:rPr>
        <w:t>服务期限：详见投标人须知前附表。</w:t>
      </w:r>
    </w:p>
    <w:p>
      <w:pPr>
        <w:pStyle w:val="6"/>
        <w:ind w:left="1008" w:hanging="1008"/>
        <w:rPr>
          <w:rFonts w:hint="eastAsia" w:ascii="宋体" w:hAnsi="宋体" w:cs="宋体"/>
          <w:bCs/>
          <w:color w:val="auto"/>
          <w:highlight w:val="none"/>
        </w:rPr>
      </w:pPr>
      <w:r>
        <w:rPr>
          <w:rFonts w:hint="eastAsia" w:ascii="宋体" w:hAnsi="宋体" w:cs="宋体"/>
          <w:bCs/>
          <w:color w:val="auto"/>
          <w:highlight w:val="none"/>
        </w:rPr>
        <w:t>3、资金来源</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3.1本招标项目资金来源详见本须知前附表第1项，其全部资金用于本项目服务合同项下的合格支付。</w:t>
      </w:r>
    </w:p>
    <w:p>
      <w:pPr>
        <w:pStyle w:val="6"/>
        <w:ind w:left="1008" w:hanging="1008"/>
        <w:rPr>
          <w:rFonts w:hint="eastAsia" w:ascii="宋体" w:hAnsi="宋体" w:cs="宋体"/>
          <w:bCs/>
          <w:color w:val="auto"/>
          <w:highlight w:val="none"/>
        </w:rPr>
      </w:pPr>
      <w:r>
        <w:rPr>
          <w:rFonts w:hint="eastAsia" w:ascii="宋体" w:hAnsi="宋体" w:cs="宋体"/>
          <w:bCs/>
          <w:color w:val="auto"/>
          <w:highlight w:val="none"/>
        </w:rPr>
        <w:t>4、投标人资质要求</w:t>
      </w:r>
    </w:p>
    <w:p>
      <w:pPr>
        <w:pStyle w:val="35"/>
        <w:numPr>
          <w:ilvl w:val="0"/>
          <w:numId w:val="8"/>
        </w:numPr>
        <w:tabs>
          <w:tab w:val="left" w:pos="150"/>
          <w:tab w:val="left" w:pos="993"/>
        </w:tabs>
        <w:autoSpaceDE w:val="0"/>
        <w:autoSpaceDN w:val="0"/>
        <w:adjustRightInd w:val="0"/>
        <w:snapToGrid w:val="0"/>
        <w:spacing w:line="360" w:lineRule="auto"/>
        <w:ind w:left="2" w:firstLine="360"/>
        <w:rPr>
          <w:rFonts w:hint="eastAsia" w:ascii="宋体" w:hAnsi="宋体" w:cs="宋体"/>
          <w:bCs w:val="0"/>
          <w:color w:val="auto"/>
          <w:sz w:val="24"/>
          <w:highlight w:val="none"/>
        </w:rPr>
      </w:pPr>
      <w:r>
        <w:rPr>
          <w:rFonts w:hint="eastAsia" w:ascii="宋体" w:hAnsi="宋体" w:cs="宋体"/>
          <w:bCs w:val="0"/>
          <w:color w:val="auto"/>
          <w:sz w:val="24"/>
          <w:highlight w:val="none"/>
        </w:rPr>
        <w:t>详见</w:t>
      </w:r>
      <w:r>
        <w:rPr>
          <w:rFonts w:hint="eastAsia" w:ascii="宋体" w:hAnsi="宋体" w:cs="宋体"/>
          <w:color w:val="auto"/>
          <w:sz w:val="24"/>
          <w:highlight w:val="none"/>
        </w:rPr>
        <w:t>本须知前附表第11项。</w:t>
      </w:r>
    </w:p>
    <w:p>
      <w:pPr>
        <w:pStyle w:val="35"/>
        <w:numPr>
          <w:ilvl w:val="1"/>
          <w:numId w:val="0"/>
        </w:numPr>
        <w:tabs>
          <w:tab w:val="left" w:pos="150"/>
          <w:tab w:val="left" w:pos="709"/>
          <w:tab w:val="left" w:pos="993"/>
        </w:tabs>
        <w:autoSpaceDE w:val="0"/>
        <w:autoSpaceDN w:val="0"/>
        <w:adjustRightInd w:val="0"/>
        <w:snapToGrid w:val="0"/>
        <w:spacing w:line="360" w:lineRule="auto"/>
        <w:ind w:left="2" w:hanging="2" w:hangingChars="1"/>
        <w:rPr>
          <w:rFonts w:hint="eastAsia" w:ascii="宋体" w:hAnsi="宋体" w:cs="宋体"/>
          <w:bCs w:val="0"/>
          <w:color w:val="auto"/>
          <w:highlight w:val="none"/>
        </w:rPr>
      </w:pPr>
      <w:r>
        <w:rPr>
          <w:rFonts w:hint="eastAsia" w:ascii="宋体" w:hAnsi="宋体" w:cs="宋体"/>
          <w:bCs w:val="0"/>
          <w:color w:val="auto"/>
          <w:sz w:val="24"/>
          <w:highlight w:val="none"/>
        </w:rPr>
        <w:tab/>
      </w:r>
      <w:r>
        <w:rPr>
          <w:rFonts w:hint="eastAsia" w:ascii="宋体" w:hAnsi="宋体" w:cs="宋体"/>
          <w:bCs w:val="0"/>
          <w:color w:val="auto"/>
          <w:sz w:val="24"/>
          <w:highlight w:val="none"/>
        </w:rPr>
        <w:t xml:space="preserve">    </w:t>
      </w:r>
      <w:r>
        <w:rPr>
          <w:rFonts w:hint="eastAsia" w:ascii="宋体" w:hAnsi="宋体" w:cs="宋体"/>
          <w:b/>
          <w:color w:val="auto"/>
          <w:sz w:val="24"/>
          <w:highlight w:val="none"/>
        </w:rPr>
        <w:t>投标人发生合并、分立、破产等重大变化的，应当及时书面告知招标人。投标人不再具备招标文件规定的资格条件或者其投标影响招标公正性的，其投标无效。</w:t>
      </w:r>
    </w:p>
    <w:p>
      <w:pPr>
        <w:pStyle w:val="6"/>
        <w:numPr>
          <w:ilvl w:val="0"/>
          <w:numId w:val="9"/>
        </w:numPr>
        <w:rPr>
          <w:rFonts w:hint="eastAsia" w:ascii="宋体" w:hAnsi="宋体" w:cs="宋体"/>
          <w:bCs/>
          <w:color w:val="auto"/>
          <w:highlight w:val="none"/>
        </w:rPr>
      </w:pPr>
      <w:r>
        <w:rPr>
          <w:rFonts w:hint="eastAsia" w:ascii="宋体" w:hAnsi="宋体" w:cs="宋体"/>
          <w:bCs/>
          <w:color w:val="auto"/>
          <w:highlight w:val="none"/>
        </w:rPr>
        <w:t>资格审查方式</w:t>
      </w:r>
    </w:p>
    <w:p>
      <w:pPr>
        <w:pStyle w:val="35"/>
        <w:numPr>
          <w:ilvl w:val="1"/>
          <w:numId w:val="0"/>
        </w:numPr>
        <w:tabs>
          <w:tab w:val="left" w:pos="150"/>
          <w:tab w:val="left" w:pos="709"/>
          <w:tab w:val="left" w:pos="993"/>
        </w:tabs>
        <w:autoSpaceDE w:val="0"/>
        <w:autoSpaceDN w:val="0"/>
        <w:adjustRightInd w:val="0"/>
        <w:snapToGrid w:val="0"/>
        <w:spacing w:line="360" w:lineRule="auto"/>
        <w:ind w:left="426"/>
        <w:rPr>
          <w:rFonts w:hint="eastAsia" w:ascii="宋体" w:hAnsi="宋体" w:cs="宋体"/>
          <w:bCs w:val="0"/>
          <w:color w:val="auto"/>
          <w:highlight w:val="none"/>
        </w:rPr>
      </w:pPr>
      <w:r>
        <w:rPr>
          <w:rFonts w:hint="eastAsia" w:ascii="宋体" w:hAnsi="宋体" w:cs="宋体"/>
          <w:bCs w:val="0"/>
          <w:color w:val="auto"/>
          <w:sz w:val="24"/>
          <w:highlight w:val="none"/>
        </w:rPr>
        <w:t>5.1</w:t>
      </w:r>
      <w:r>
        <w:rPr>
          <w:rFonts w:hint="eastAsia" w:ascii="宋体" w:hAnsi="宋体" w:cs="宋体"/>
          <w:color w:val="auto"/>
          <w:sz w:val="24"/>
          <w:highlight w:val="none"/>
        </w:rPr>
        <w:t>本招标项目资格审查方式详见本须知前附表第11项。</w:t>
      </w:r>
    </w:p>
    <w:p>
      <w:pPr>
        <w:pStyle w:val="6"/>
        <w:ind w:left="1008" w:hanging="1008"/>
        <w:rPr>
          <w:rFonts w:hint="eastAsia" w:ascii="宋体" w:hAnsi="宋体" w:cs="宋体"/>
          <w:bCs/>
          <w:color w:val="auto"/>
          <w:highlight w:val="none"/>
        </w:rPr>
      </w:pPr>
      <w:r>
        <w:rPr>
          <w:rFonts w:hint="eastAsia" w:ascii="宋体" w:hAnsi="宋体" w:cs="宋体"/>
          <w:bCs/>
          <w:color w:val="auto"/>
          <w:highlight w:val="none"/>
        </w:rPr>
        <w:t>6、踏勘现场</w:t>
      </w:r>
    </w:p>
    <w:p>
      <w:pPr>
        <w:pStyle w:val="20"/>
        <w:ind w:firstLine="0"/>
        <w:rPr>
          <w:rFonts w:hint="eastAsia" w:ascii="宋体" w:hAnsi="宋体" w:cs="宋体"/>
          <w:color w:val="auto"/>
          <w:highlight w:val="none"/>
        </w:rPr>
      </w:pPr>
      <w:r>
        <w:rPr>
          <w:rFonts w:hint="eastAsia" w:ascii="宋体" w:hAnsi="宋体" w:cs="宋体"/>
          <w:color w:val="auto"/>
          <w:highlight w:val="none"/>
        </w:rPr>
        <w:t xml:space="preserve">    6.1 招标人不统一组织踏勘，投标人自行踏勘。投标人承担踏勘现场所发生的自身费用。</w:t>
      </w:r>
    </w:p>
    <w:p>
      <w:pPr>
        <w:spacing w:line="360" w:lineRule="auto"/>
        <w:ind w:firstLine="532"/>
        <w:rPr>
          <w:rFonts w:hint="eastAsia" w:ascii="宋体" w:hAnsi="宋体" w:cs="宋体"/>
          <w:color w:val="auto"/>
          <w:sz w:val="24"/>
          <w:highlight w:val="none"/>
        </w:rPr>
      </w:pPr>
      <w:r>
        <w:rPr>
          <w:rFonts w:hint="eastAsia" w:ascii="宋体" w:hAnsi="宋体" w:cs="宋体"/>
          <w:color w:val="auto"/>
          <w:sz w:val="24"/>
          <w:highlight w:val="none"/>
        </w:rPr>
        <w:t>6.2投标人及其代表必须承担在现场踏勘过程中，由于其的行为所造成的人身伤害（无论是否致命）、财产损失或损坏，以及其他任何原因造成的损失、损坏或费用。招标人在投标人及其代表踏勘中不负任何责任。</w:t>
      </w:r>
    </w:p>
    <w:p>
      <w:pPr>
        <w:pStyle w:val="20"/>
        <w:ind w:firstLine="532"/>
        <w:rPr>
          <w:rFonts w:hint="eastAsia" w:ascii="宋体" w:hAnsi="宋体" w:cs="宋体"/>
          <w:color w:val="auto"/>
          <w:highlight w:val="none"/>
        </w:rPr>
      </w:pPr>
      <w:r>
        <w:rPr>
          <w:rFonts w:hint="eastAsia" w:ascii="宋体" w:hAnsi="宋体" w:cs="宋体"/>
          <w:color w:val="auto"/>
          <w:highlight w:val="none"/>
        </w:rPr>
        <w:t>6.3 招标人向投标人提供的有关现场的数据和资料，是招标人现有的能被投标人利用的资料，招标人对投标人做出的任何推论、理解和结论均不负责任。</w:t>
      </w:r>
    </w:p>
    <w:p>
      <w:pPr>
        <w:pStyle w:val="20"/>
        <w:ind w:firstLine="532"/>
        <w:rPr>
          <w:rFonts w:hint="eastAsia" w:ascii="宋体" w:hAnsi="宋体" w:cs="宋体"/>
          <w:color w:val="auto"/>
          <w:highlight w:val="none"/>
        </w:rPr>
      </w:pPr>
      <w:r>
        <w:rPr>
          <w:rFonts w:hint="eastAsia" w:ascii="宋体" w:hAnsi="宋体" w:cs="宋体"/>
          <w:color w:val="auto"/>
          <w:highlight w:val="none"/>
        </w:rPr>
        <w:t>6.4 经招标人允许，投标人可为踏勘目的进入招标人的项目现场，但投标人不得因此使招标人承担有关的责任和蒙受损失。投标人应承担踏勘现场的责任和风险。</w:t>
      </w:r>
    </w:p>
    <w:p>
      <w:pPr>
        <w:pStyle w:val="6"/>
        <w:ind w:left="1008" w:hanging="1008"/>
        <w:rPr>
          <w:rFonts w:hint="eastAsia" w:ascii="宋体" w:hAnsi="宋体" w:cs="宋体"/>
          <w:bCs/>
          <w:color w:val="auto"/>
          <w:highlight w:val="none"/>
        </w:rPr>
      </w:pPr>
      <w:r>
        <w:rPr>
          <w:rFonts w:hint="eastAsia" w:ascii="宋体" w:hAnsi="宋体" w:cs="宋体"/>
          <w:bCs/>
          <w:color w:val="auto"/>
          <w:highlight w:val="none"/>
        </w:rPr>
        <w:t>7、投标费用</w:t>
      </w:r>
    </w:p>
    <w:p>
      <w:pPr>
        <w:pStyle w:val="20"/>
        <w:ind w:firstLine="532"/>
        <w:rPr>
          <w:rFonts w:hint="eastAsia" w:ascii="宋体" w:hAnsi="宋体" w:cs="宋体"/>
          <w:color w:val="auto"/>
          <w:highlight w:val="none"/>
        </w:rPr>
      </w:pPr>
      <w:r>
        <w:rPr>
          <w:rFonts w:hint="eastAsia" w:ascii="宋体" w:hAnsi="宋体" w:cs="宋体"/>
          <w:color w:val="auto"/>
          <w:highlight w:val="none"/>
        </w:rPr>
        <w:t>7.1招标人不承担投标人编制投标文件与递交投标文件所涉及的费用和应由投标人承担其参加本招标活动自身所发生的费用，论投标的结果如何，招标人均无义务和责任承担上述费用。</w:t>
      </w:r>
    </w:p>
    <w:p>
      <w:pPr>
        <w:pStyle w:val="20"/>
        <w:ind w:firstLine="532"/>
        <w:rPr>
          <w:rFonts w:hint="eastAsia" w:ascii="宋体" w:hAnsi="宋体" w:cs="宋体"/>
          <w:b/>
          <w:color w:val="auto"/>
          <w:highlight w:val="none"/>
        </w:rPr>
      </w:pPr>
      <w:r>
        <w:rPr>
          <w:rFonts w:hint="eastAsia" w:ascii="宋体" w:hAnsi="宋体" w:cs="宋体"/>
          <w:color w:val="auto"/>
          <w:highlight w:val="none"/>
        </w:rPr>
        <w:t>7.2</w:t>
      </w:r>
      <w:r>
        <w:rPr>
          <w:rFonts w:hint="eastAsia" w:ascii="宋体" w:hAnsi="宋体" w:cs="宋体"/>
          <w:bCs/>
          <w:color w:val="auto"/>
          <w:highlight w:val="none"/>
        </w:rPr>
        <w:t>招标代理服务费：向中标人收取招标代理服务费。</w:t>
      </w:r>
    </w:p>
    <w:p>
      <w:pPr>
        <w:pStyle w:val="5"/>
        <w:tabs>
          <w:tab w:val="center" w:pos="4677"/>
          <w:tab w:val="left" w:pos="6240"/>
        </w:tabs>
        <w:rPr>
          <w:rFonts w:hint="eastAsia" w:ascii="宋体" w:hAnsi="宋体" w:eastAsia="宋体" w:cs="宋体"/>
          <w:b/>
          <w:color w:val="auto"/>
          <w:highlight w:val="none"/>
        </w:rPr>
      </w:pPr>
      <w:r>
        <w:rPr>
          <w:rFonts w:hint="eastAsia" w:ascii="宋体" w:hAnsi="宋体" w:eastAsia="宋体" w:cs="宋体"/>
          <w:b/>
          <w:color w:val="auto"/>
          <w:highlight w:val="none"/>
        </w:rPr>
        <w:t>（二） 招标文件</w:t>
      </w:r>
    </w:p>
    <w:p>
      <w:pPr>
        <w:pStyle w:val="6"/>
        <w:ind w:left="1008" w:hanging="1008"/>
        <w:rPr>
          <w:rFonts w:hint="eastAsia" w:ascii="宋体" w:hAnsi="宋体" w:cs="宋体"/>
          <w:bCs/>
          <w:color w:val="auto"/>
          <w:highlight w:val="none"/>
        </w:rPr>
      </w:pPr>
      <w:r>
        <w:rPr>
          <w:rFonts w:hint="eastAsia" w:ascii="宋体" w:hAnsi="宋体" w:cs="宋体"/>
          <w:bCs/>
          <w:color w:val="auto"/>
          <w:highlight w:val="none"/>
        </w:rPr>
        <w:t>8、招标文件的组成</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highlight w:val="none"/>
        </w:rPr>
        <w:t>8.1招标文件包括本招标文件目录和附件所示的全部内容。</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8.2 除8.1内容外，招标人在提交投标文件截止时间15日前，以书面形式发出的对招标文件的澄清或修改、补充内容，均为招标文件的组成部分，对招标人和投标人起约束作用。</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8.3 投标人获取招标文件后，应仔细检查招标文件的所有内容，如有残缺等问题应在提交投标文件截止时间15日前以书面形式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pPr>
        <w:pStyle w:val="6"/>
        <w:ind w:left="1008" w:hanging="1008"/>
        <w:rPr>
          <w:rFonts w:hint="eastAsia" w:ascii="宋体" w:hAnsi="宋体" w:cs="宋体"/>
          <w:bCs/>
          <w:color w:val="auto"/>
          <w:highlight w:val="none"/>
        </w:rPr>
      </w:pPr>
      <w:r>
        <w:rPr>
          <w:rFonts w:hint="eastAsia" w:ascii="宋体" w:hAnsi="宋体" w:cs="宋体"/>
          <w:bCs/>
          <w:color w:val="auto"/>
          <w:highlight w:val="none"/>
        </w:rPr>
        <w:t>9、投标人对招标文件提出异议及要求澄清的截止时间</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9.1.投标人对招标文件提出异议的截止时间：各投标人应在投标截止时间十（10）天前以书面形式向招标代理提出（电话0417-3355086）。对各投标人提出的疑问，招标人以书面形式回答。</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9.2投标人要求澄清招标文件的截止时间为投标截止时间15日前。</w:t>
      </w:r>
    </w:p>
    <w:p>
      <w:pPr>
        <w:pStyle w:val="6"/>
        <w:ind w:left="1008" w:hanging="1008"/>
        <w:rPr>
          <w:rFonts w:hint="eastAsia" w:ascii="宋体" w:hAnsi="宋体" w:cs="宋体"/>
          <w:bCs/>
          <w:color w:val="auto"/>
          <w:highlight w:val="none"/>
        </w:rPr>
      </w:pPr>
      <w:r>
        <w:rPr>
          <w:rFonts w:hint="eastAsia" w:ascii="宋体" w:hAnsi="宋体" w:cs="宋体"/>
          <w:bCs/>
          <w:color w:val="auto"/>
          <w:highlight w:val="none"/>
        </w:rPr>
        <w:t>10、招标文件的修改</w:t>
      </w:r>
    </w:p>
    <w:p>
      <w:pPr>
        <w:spacing w:line="360" w:lineRule="auto"/>
        <w:ind w:firstLine="532"/>
        <w:rPr>
          <w:rFonts w:hint="eastAsia" w:ascii="宋体" w:hAnsi="宋体" w:cs="宋体"/>
          <w:color w:val="auto"/>
          <w:sz w:val="24"/>
          <w:highlight w:val="none"/>
        </w:rPr>
      </w:pPr>
      <w:r>
        <w:rPr>
          <w:rFonts w:hint="eastAsia" w:ascii="宋体" w:hAnsi="宋体" w:cs="宋体"/>
          <w:color w:val="auto"/>
          <w:sz w:val="24"/>
          <w:highlight w:val="none"/>
        </w:rPr>
        <w:t>10.1 在投标截止时间前，招标人无论出于自己的考虑，还是出于对投标人提问的澄清，均可对招标文件用补充文件的方式进行修改。</w:t>
      </w:r>
    </w:p>
    <w:p>
      <w:pPr>
        <w:spacing w:line="360" w:lineRule="auto"/>
        <w:ind w:firstLine="532"/>
        <w:rPr>
          <w:rFonts w:hint="eastAsia" w:ascii="宋体" w:hAnsi="宋体" w:cs="宋体"/>
          <w:b/>
          <w:color w:val="auto"/>
          <w:sz w:val="24"/>
          <w:highlight w:val="none"/>
        </w:rPr>
      </w:pPr>
      <w:r>
        <w:rPr>
          <w:rFonts w:hint="eastAsia" w:ascii="宋体" w:hAnsi="宋体" w:cs="宋体"/>
          <w:color w:val="auto"/>
          <w:sz w:val="24"/>
          <w:highlight w:val="none"/>
        </w:rPr>
        <w:t>10.2 对招标文件的修改，将以书面的形式通知每一投标人。补充文件将作为招标文件的组成部分，对所有投标人均有约束力。</w:t>
      </w:r>
    </w:p>
    <w:p>
      <w:pPr>
        <w:spacing w:line="360" w:lineRule="auto"/>
        <w:ind w:firstLine="532"/>
        <w:rPr>
          <w:rFonts w:hint="eastAsia" w:ascii="宋体" w:hAnsi="宋体" w:cs="宋体"/>
          <w:color w:val="auto"/>
          <w:sz w:val="24"/>
          <w:highlight w:val="none"/>
        </w:rPr>
      </w:pPr>
      <w:r>
        <w:rPr>
          <w:rFonts w:hint="eastAsia" w:ascii="宋体" w:hAnsi="宋体" w:cs="宋体"/>
          <w:color w:val="auto"/>
          <w:sz w:val="24"/>
          <w:highlight w:val="none"/>
        </w:rPr>
        <w:t>10.3为使投标人有足够的时间按招标文件的修改要求考虑修正投标文件，招标人可酌情推迟投标的截止日期和开标日期，并将此变更通知每一投标人。如果修改招标文件的时间距投标截止时间不足15日，并且修改内容影响投标文件编制的，将相应延长投标截止时间。</w:t>
      </w:r>
    </w:p>
    <w:p>
      <w:pPr>
        <w:spacing w:line="360" w:lineRule="auto"/>
        <w:ind w:firstLine="532"/>
        <w:rPr>
          <w:rFonts w:hint="eastAsia" w:ascii="宋体" w:hAnsi="宋体" w:cs="宋体"/>
          <w:color w:val="auto"/>
          <w:sz w:val="24"/>
          <w:highlight w:val="none"/>
        </w:rPr>
      </w:pPr>
      <w:r>
        <w:rPr>
          <w:rFonts w:hint="eastAsia" w:ascii="宋体" w:hAnsi="宋体" w:cs="宋体"/>
          <w:color w:val="auto"/>
          <w:sz w:val="24"/>
          <w:highlight w:val="none"/>
        </w:rPr>
        <w:t>10.4</w:t>
      </w:r>
      <w:r>
        <w:rPr>
          <w:rFonts w:hint="eastAsia" w:ascii="宋体" w:hAnsi="宋体" w:cs="宋体"/>
          <w:bCs/>
          <w:color w:val="auto"/>
          <w:kern w:val="0"/>
          <w:sz w:val="24"/>
          <w:highlight w:val="none"/>
        </w:rPr>
        <w:t>招标文件的澄清（招标答疑）、修改、补充等内容均以书面形式明确的内容为准。当招标文件、招标文件的澄清（招标答疑）、修改、补充等在同一内容的表述上不一致时，以最后发出的书面文件为准</w:t>
      </w:r>
      <w:r>
        <w:rPr>
          <w:rFonts w:hint="eastAsia" w:ascii="宋体" w:hAnsi="宋体" w:cs="宋体"/>
          <w:color w:val="auto"/>
          <w:sz w:val="24"/>
          <w:highlight w:val="none"/>
        </w:rPr>
        <w:t>。</w:t>
      </w:r>
    </w:p>
    <w:p>
      <w:pPr>
        <w:pStyle w:val="5"/>
        <w:tabs>
          <w:tab w:val="center" w:pos="4677"/>
          <w:tab w:val="left" w:pos="6240"/>
        </w:tabs>
        <w:rPr>
          <w:rFonts w:hint="eastAsia" w:ascii="宋体" w:hAnsi="宋体" w:eastAsia="宋体" w:cs="宋体"/>
          <w:b/>
          <w:color w:val="auto"/>
          <w:highlight w:val="none"/>
        </w:rPr>
      </w:pPr>
      <w:r>
        <w:rPr>
          <w:rFonts w:hint="eastAsia" w:ascii="宋体" w:hAnsi="宋体" w:eastAsia="宋体" w:cs="宋体"/>
          <w:b/>
          <w:color w:val="auto"/>
          <w:highlight w:val="none"/>
        </w:rPr>
        <w:t>（三）投标文件的编制</w:t>
      </w:r>
    </w:p>
    <w:p>
      <w:pPr>
        <w:pStyle w:val="6"/>
        <w:ind w:left="1008" w:hanging="1008"/>
        <w:rPr>
          <w:rFonts w:hint="eastAsia" w:ascii="宋体" w:hAnsi="宋体" w:cs="宋体"/>
          <w:color w:val="auto"/>
          <w:highlight w:val="none"/>
        </w:rPr>
      </w:pPr>
      <w:r>
        <w:rPr>
          <w:rFonts w:hint="eastAsia" w:ascii="宋体" w:hAnsi="宋体" w:cs="宋体"/>
          <w:color w:val="auto"/>
          <w:highlight w:val="none"/>
        </w:rPr>
        <w:t>11、编制要求</w:t>
      </w:r>
    </w:p>
    <w:p>
      <w:pPr>
        <w:spacing w:line="360" w:lineRule="auto"/>
        <w:ind w:firstLine="532"/>
        <w:rPr>
          <w:rFonts w:hint="eastAsia" w:ascii="宋体" w:hAnsi="宋体" w:cs="宋体"/>
          <w:color w:val="auto"/>
          <w:sz w:val="24"/>
          <w:highlight w:val="none"/>
        </w:rPr>
      </w:pPr>
      <w:r>
        <w:rPr>
          <w:rFonts w:hint="eastAsia" w:ascii="宋体" w:hAnsi="宋体" w:cs="宋体"/>
          <w:color w:val="auto"/>
          <w:sz w:val="24"/>
          <w:highlight w:val="none"/>
        </w:rPr>
        <w:t>11.1投标人应认真阅读招标文件的所有内容，按招标文件的要求提供投标文件，并保证提供的全部资料的真实性，以使其投标对招标文件做出实质性响应，否则，其投标将被拒绝。</w:t>
      </w:r>
    </w:p>
    <w:p>
      <w:pPr>
        <w:spacing w:line="360" w:lineRule="auto"/>
        <w:ind w:firstLine="532"/>
        <w:rPr>
          <w:rFonts w:hint="eastAsia" w:ascii="宋体" w:hAnsi="宋体" w:cs="宋体"/>
          <w:color w:val="auto"/>
          <w:sz w:val="24"/>
          <w:highlight w:val="none"/>
        </w:rPr>
      </w:pPr>
      <w:r>
        <w:rPr>
          <w:rFonts w:hint="eastAsia" w:ascii="宋体" w:hAnsi="宋体" w:cs="宋体"/>
          <w:color w:val="auto"/>
          <w:sz w:val="24"/>
          <w:highlight w:val="none"/>
        </w:rPr>
        <w:t>11.2投标的语言：投标人提交的投标文件以及投标人与招标代理机构就有关投标的所有来往函电均应以中文书写。</w:t>
      </w:r>
    </w:p>
    <w:p>
      <w:pPr>
        <w:spacing w:line="360" w:lineRule="auto"/>
        <w:ind w:firstLine="532"/>
        <w:rPr>
          <w:rFonts w:hint="eastAsia" w:ascii="宋体" w:hAnsi="宋体" w:cs="宋体"/>
          <w:color w:val="auto"/>
          <w:sz w:val="24"/>
          <w:highlight w:val="none"/>
        </w:rPr>
      </w:pPr>
      <w:r>
        <w:rPr>
          <w:rFonts w:hint="eastAsia" w:ascii="宋体" w:hAnsi="宋体" w:cs="宋体"/>
          <w:color w:val="auto"/>
          <w:sz w:val="24"/>
          <w:highlight w:val="none"/>
        </w:rPr>
        <w:t>11.3除项目规范另有规定外，投标文件使用的度量衡单位，均采用中华人民共和国法定计量单位。</w:t>
      </w:r>
    </w:p>
    <w:p>
      <w:pPr>
        <w:pStyle w:val="6"/>
        <w:ind w:left="1008" w:hanging="1008"/>
        <w:rPr>
          <w:rFonts w:hint="eastAsia" w:ascii="宋体" w:hAnsi="宋体" w:cs="宋体"/>
          <w:color w:val="auto"/>
          <w:highlight w:val="none"/>
        </w:rPr>
      </w:pPr>
      <w:r>
        <w:rPr>
          <w:rFonts w:hint="eastAsia" w:ascii="宋体" w:hAnsi="宋体" w:cs="宋体"/>
          <w:color w:val="auto"/>
          <w:highlight w:val="none"/>
        </w:rPr>
        <w:t>12、投标文件的组成</w:t>
      </w:r>
    </w:p>
    <w:p>
      <w:pPr>
        <w:spacing w:line="360" w:lineRule="auto"/>
        <w:ind w:firstLine="532"/>
        <w:rPr>
          <w:rFonts w:hint="eastAsia" w:ascii="宋体" w:hAnsi="宋体" w:cs="宋体"/>
          <w:color w:val="auto"/>
          <w:sz w:val="24"/>
          <w:highlight w:val="none"/>
        </w:rPr>
      </w:pPr>
      <w:r>
        <w:rPr>
          <w:rFonts w:hint="eastAsia" w:ascii="宋体" w:hAnsi="宋体" w:cs="宋体"/>
          <w:color w:val="auto"/>
          <w:sz w:val="24"/>
          <w:highlight w:val="none"/>
        </w:rPr>
        <w:t>投标文件应按第六章“附件（投标文件格式）”进行编制，如有必要，可以增加附页，作为投标文件的组成部分。</w:t>
      </w:r>
    </w:p>
    <w:p>
      <w:pPr>
        <w:pStyle w:val="6"/>
        <w:ind w:left="1008" w:hanging="1008"/>
        <w:rPr>
          <w:rFonts w:hint="eastAsia" w:ascii="宋体" w:hAnsi="宋体" w:cs="宋体"/>
          <w:color w:val="auto"/>
          <w:highlight w:val="none"/>
        </w:rPr>
      </w:pPr>
      <w:r>
        <w:rPr>
          <w:rFonts w:hint="eastAsia" w:ascii="宋体" w:hAnsi="宋体" w:cs="宋体"/>
          <w:color w:val="auto"/>
          <w:highlight w:val="none"/>
        </w:rPr>
        <w:t xml:space="preserve">13、投标文件内容及格式    </w:t>
      </w:r>
    </w:p>
    <w:p>
      <w:pPr>
        <w:spacing w:line="360" w:lineRule="auto"/>
        <w:ind w:firstLine="532"/>
        <w:rPr>
          <w:rFonts w:hint="eastAsia" w:ascii="宋体" w:hAnsi="宋体" w:cs="宋体"/>
          <w:color w:val="auto"/>
          <w:sz w:val="24"/>
          <w:highlight w:val="none"/>
        </w:rPr>
      </w:pPr>
      <w:r>
        <w:rPr>
          <w:rFonts w:hint="eastAsia" w:ascii="宋体" w:hAnsi="宋体" w:cs="宋体"/>
          <w:color w:val="auto"/>
          <w:sz w:val="24"/>
          <w:highlight w:val="none"/>
        </w:rPr>
        <w:t>13.1投标人应按招标文件规定的全部内容（但不限于）与要求编制投标文件，投标人提交的投标文件应当使用招标文件所提供的投标文件全部格式（表格可以按同样格式扩展）。</w:t>
      </w:r>
    </w:p>
    <w:p>
      <w:pPr>
        <w:pStyle w:val="6"/>
        <w:ind w:left="1008" w:hanging="1008"/>
        <w:rPr>
          <w:rFonts w:hint="eastAsia" w:ascii="宋体" w:hAnsi="宋体" w:cs="宋体"/>
          <w:color w:val="auto"/>
          <w:highlight w:val="none"/>
        </w:rPr>
      </w:pPr>
      <w:r>
        <w:rPr>
          <w:rFonts w:hint="eastAsia" w:ascii="宋体" w:hAnsi="宋体" w:cs="宋体"/>
          <w:color w:val="auto"/>
          <w:highlight w:val="none"/>
        </w:rPr>
        <w:t>14、投标报价</w:t>
      </w:r>
    </w:p>
    <w:p>
      <w:pPr>
        <w:spacing w:line="360" w:lineRule="auto"/>
        <w:ind w:firstLine="525" w:firstLineChars="250"/>
        <w:rPr>
          <w:rFonts w:hint="eastAsia" w:ascii="宋体" w:hAnsi="宋体" w:cs="宋体"/>
          <w:color w:val="auto"/>
          <w:sz w:val="24"/>
          <w:highlight w:val="none"/>
        </w:rPr>
      </w:pPr>
      <w:r>
        <w:rPr>
          <w:rFonts w:hint="eastAsia" w:ascii="宋体" w:hAnsi="宋体" w:cs="宋体"/>
          <w:color w:val="auto"/>
          <w:highlight w:val="none"/>
        </w:rPr>
        <w:t xml:space="preserve"> </w:t>
      </w:r>
      <w:r>
        <w:rPr>
          <w:rFonts w:hint="eastAsia" w:ascii="宋体" w:hAnsi="宋体" w:cs="宋体"/>
          <w:color w:val="auto"/>
          <w:sz w:val="24"/>
          <w:highlight w:val="none"/>
        </w:rPr>
        <w:t>14.1投标报价方式：投标人根据市场价报固定总价，市场价包括人工费、管理费、利润等所有应计费用及政策性文件规定及合同包含的所有风险、责任等各项应有费用及税金（须开具增值税专用发票）。</w:t>
      </w:r>
    </w:p>
    <w:p>
      <w:pPr>
        <w:spacing w:line="360" w:lineRule="auto"/>
        <w:ind w:firstLine="600" w:firstLineChars="250"/>
        <w:rPr>
          <w:rFonts w:hint="eastAsia" w:ascii="宋体" w:hAnsi="宋体" w:cs="宋体"/>
          <w:color w:val="auto"/>
          <w:sz w:val="24"/>
          <w:highlight w:val="none"/>
        </w:rPr>
      </w:pPr>
      <w:r>
        <w:rPr>
          <w:rFonts w:hint="eastAsia" w:ascii="宋体" w:hAnsi="宋体" w:cs="宋体"/>
          <w:color w:val="auto"/>
          <w:sz w:val="24"/>
          <w:highlight w:val="none"/>
        </w:rPr>
        <w:t>14.2请各投标人在投标报价时必须自行考虑各种因素，认真分析、测算，作出合理报价参加投标。涉及到招标人新增或变更的内容，以双方协商确定的价格为依据据实结算。</w:t>
      </w:r>
    </w:p>
    <w:p>
      <w:pPr>
        <w:spacing w:line="360" w:lineRule="auto"/>
        <w:ind w:firstLine="600" w:firstLineChars="250"/>
        <w:rPr>
          <w:rFonts w:hint="eastAsia" w:ascii="宋体" w:hAnsi="宋体" w:cs="宋体"/>
          <w:color w:val="auto"/>
          <w:sz w:val="24"/>
          <w:highlight w:val="none"/>
        </w:rPr>
      </w:pPr>
      <w:r>
        <w:rPr>
          <w:rFonts w:hint="eastAsia" w:ascii="宋体" w:hAnsi="宋体" w:cs="宋体"/>
          <w:color w:val="auto"/>
          <w:sz w:val="24"/>
          <w:highlight w:val="none"/>
        </w:rPr>
        <w:t>14.3</w:t>
      </w:r>
      <w:r>
        <w:rPr>
          <w:rFonts w:hint="eastAsia" w:ascii="宋体" w:hAnsi="宋体" w:cs="宋体"/>
          <w:b/>
          <w:color w:val="auto"/>
          <w:sz w:val="24"/>
          <w:highlight w:val="none"/>
        </w:rPr>
        <w:t>最终结算时：投标人根据招标人提供的资料自行填报固定总价，其价格应包含完成所需的一切费用。按可调整价格报价的投标文件将被视为不响应招标文件。</w:t>
      </w:r>
    </w:p>
    <w:p>
      <w:pPr>
        <w:pStyle w:val="6"/>
        <w:ind w:left="1008" w:hanging="1008"/>
        <w:rPr>
          <w:rFonts w:hint="eastAsia" w:ascii="宋体" w:hAnsi="宋体" w:cs="宋体"/>
          <w:color w:val="auto"/>
          <w:highlight w:val="none"/>
        </w:rPr>
      </w:pPr>
      <w:r>
        <w:rPr>
          <w:rFonts w:hint="eastAsia" w:ascii="宋体" w:hAnsi="宋体" w:cs="宋体"/>
          <w:color w:val="auto"/>
          <w:highlight w:val="none"/>
        </w:rPr>
        <w:t>15、投标货币</w:t>
      </w:r>
    </w:p>
    <w:p>
      <w:pPr>
        <w:spacing w:line="360" w:lineRule="auto"/>
        <w:ind w:firstLine="500"/>
        <w:rPr>
          <w:rFonts w:hint="eastAsia" w:ascii="宋体" w:hAnsi="宋体" w:cs="宋体"/>
          <w:color w:val="auto"/>
          <w:sz w:val="24"/>
          <w:highlight w:val="none"/>
        </w:rPr>
      </w:pPr>
      <w:r>
        <w:rPr>
          <w:rFonts w:hint="eastAsia" w:ascii="宋体" w:hAnsi="宋体" w:cs="宋体"/>
          <w:color w:val="auto"/>
          <w:sz w:val="24"/>
          <w:highlight w:val="none"/>
        </w:rPr>
        <w:t>15.1投标人提供的服务一律用人民币结算及报价。</w:t>
      </w:r>
    </w:p>
    <w:p>
      <w:pPr>
        <w:pStyle w:val="6"/>
        <w:ind w:left="1008" w:hanging="1008"/>
        <w:rPr>
          <w:rFonts w:hint="eastAsia" w:ascii="宋体" w:hAnsi="宋体" w:cs="宋体"/>
          <w:color w:val="auto"/>
          <w:highlight w:val="none"/>
        </w:rPr>
      </w:pPr>
      <w:r>
        <w:rPr>
          <w:rFonts w:hint="eastAsia" w:ascii="宋体" w:hAnsi="宋体" w:cs="宋体"/>
          <w:color w:val="auto"/>
          <w:highlight w:val="none"/>
        </w:rPr>
        <w:t>16、证明投标人合格和资格的文件</w:t>
      </w:r>
    </w:p>
    <w:p>
      <w:pPr>
        <w:spacing w:line="360" w:lineRule="auto"/>
        <w:ind w:firstLine="500"/>
        <w:rPr>
          <w:rFonts w:hint="eastAsia" w:ascii="宋体" w:hAnsi="宋体" w:cs="宋体"/>
          <w:color w:val="auto"/>
          <w:sz w:val="24"/>
          <w:highlight w:val="none"/>
        </w:rPr>
      </w:pPr>
      <w:r>
        <w:rPr>
          <w:rFonts w:hint="eastAsia" w:ascii="宋体" w:hAnsi="宋体" w:cs="宋体"/>
          <w:color w:val="auto"/>
          <w:sz w:val="24"/>
          <w:highlight w:val="none"/>
        </w:rPr>
        <w:t>16.1投标人应提交证明其有资格参加投标的文件，详见“第七章 评标办法”。</w:t>
      </w:r>
    </w:p>
    <w:p>
      <w:pPr>
        <w:spacing w:line="360" w:lineRule="auto"/>
        <w:ind w:firstLine="500"/>
        <w:rPr>
          <w:rFonts w:hint="eastAsia" w:ascii="宋体" w:hAnsi="宋体" w:cs="宋体"/>
          <w:color w:val="auto"/>
          <w:sz w:val="24"/>
          <w:highlight w:val="none"/>
        </w:rPr>
      </w:pPr>
      <w:r>
        <w:rPr>
          <w:rFonts w:hint="eastAsia" w:ascii="宋体" w:hAnsi="宋体" w:cs="宋体"/>
          <w:color w:val="auto"/>
          <w:sz w:val="24"/>
          <w:highlight w:val="none"/>
        </w:rPr>
        <w:t>16.2投标人在投标时应符合本须知第5.1条的规定。</w:t>
      </w:r>
    </w:p>
    <w:p>
      <w:pPr>
        <w:pStyle w:val="6"/>
        <w:ind w:left="1008" w:hanging="1008"/>
        <w:rPr>
          <w:rFonts w:hint="eastAsia" w:ascii="宋体" w:hAnsi="宋体" w:cs="宋体"/>
          <w:color w:val="auto"/>
          <w:highlight w:val="none"/>
        </w:rPr>
      </w:pPr>
      <w:r>
        <w:rPr>
          <w:rFonts w:hint="eastAsia" w:ascii="宋体" w:hAnsi="宋体" w:cs="宋体"/>
          <w:color w:val="auto"/>
          <w:highlight w:val="none"/>
        </w:rPr>
        <w:t>17、证明服务的合格性和符合招标文件规定的文件</w:t>
      </w:r>
    </w:p>
    <w:p>
      <w:pPr>
        <w:spacing w:line="360" w:lineRule="auto"/>
        <w:ind w:firstLine="500"/>
        <w:rPr>
          <w:rFonts w:hint="eastAsia" w:ascii="宋体" w:hAnsi="宋体" w:cs="宋体"/>
          <w:color w:val="auto"/>
          <w:sz w:val="24"/>
          <w:highlight w:val="none"/>
        </w:rPr>
      </w:pPr>
      <w:r>
        <w:rPr>
          <w:rFonts w:hint="eastAsia" w:ascii="宋体" w:hAnsi="宋体" w:cs="宋体"/>
          <w:color w:val="auto"/>
          <w:sz w:val="24"/>
          <w:highlight w:val="none"/>
        </w:rPr>
        <w:t>17.1详见“第七章 评标办法”。</w:t>
      </w:r>
    </w:p>
    <w:p>
      <w:pPr>
        <w:pStyle w:val="6"/>
        <w:ind w:left="1008" w:hanging="1008"/>
        <w:rPr>
          <w:rFonts w:hint="eastAsia" w:ascii="宋体" w:hAnsi="宋体" w:cs="宋体"/>
          <w:color w:val="auto"/>
          <w:highlight w:val="none"/>
        </w:rPr>
      </w:pPr>
      <w:r>
        <w:rPr>
          <w:rFonts w:hint="eastAsia" w:ascii="宋体" w:hAnsi="宋体" w:cs="宋体"/>
          <w:color w:val="auto"/>
          <w:highlight w:val="none"/>
        </w:rPr>
        <w:t>18、投标保证金</w:t>
      </w:r>
    </w:p>
    <w:p>
      <w:pPr>
        <w:spacing w:line="360" w:lineRule="auto"/>
        <w:ind w:firstLine="500"/>
        <w:rPr>
          <w:rFonts w:hint="eastAsia" w:ascii="宋体" w:hAnsi="宋体" w:cs="宋体"/>
          <w:color w:val="auto"/>
          <w:sz w:val="24"/>
          <w:highlight w:val="none"/>
        </w:rPr>
      </w:pPr>
      <w:r>
        <w:rPr>
          <w:rFonts w:hint="eastAsia" w:ascii="宋体" w:hAnsi="宋体" w:cs="宋体"/>
          <w:color w:val="auto"/>
          <w:sz w:val="24"/>
          <w:highlight w:val="none"/>
        </w:rPr>
        <w:t>18.1投标人应按投标须知前附表第16项规定提交投标保证</w:t>
      </w:r>
      <w:r>
        <w:rPr>
          <w:rFonts w:hint="eastAsia" w:ascii="宋体" w:hAnsi="宋体" w:cs="宋体"/>
          <w:color w:val="auto"/>
          <w:sz w:val="24"/>
          <w:highlight w:val="none"/>
        </w:rPr>
        <w:tab/>
      </w:r>
      <w:r>
        <w:rPr>
          <w:rFonts w:hint="eastAsia" w:ascii="宋体" w:hAnsi="宋体" w:cs="宋体"/>
          <w:color w:val="auto"/>
          <w:sz w:val="24"/>
          <w:highlight w:val="none"/>
        </w:rPr>
        <w:t>金。</w:t>
      </w:r>
    </w:p>
    <w:p>
      <w:pPr>
        <w:spacing w:line="360" w:lineRule="auto"/>
        <w:ind w:firstLine="500"/>
        <w:rPr>
          <w:rFonts w:hint="eastAsia" w:ascii="宋体" w:hAnsi="宋体" w:cs="宋体"/>
          <w:color w:val="auto"/>
          <w:sz w:val="24"/>
          <w:highlight w:val="none"/>
        </w:rPr>
      </w:pPr>
      <w:r>
        <w:rPr>
          <w:rFonts w:hint="eastAsia" w:ascii="宋体" w:hAnsi="宋体" w:cs="宋体"/>
          <w:color w:val="auto"/>
          <w:sz w:val="24"/>
          <w:highlight w:val="none"/>
        </w:rPr>
        <w:t>18.2招标人与中标人签订合同后五日内,向未中标的投标人一次性退还投标保证金及银行同期利息。</w:t>
      </w:r>
    </w:p>
    <w:p>
      <w:pPr>
        <w:spacing w:line="360" w:lineRule="auto"/>
        <w:ind w:firstLine="500"/>
        <w:rPr>
          <w:rFonts w:hint="eastAsia" w:ascii="宋体" w:hAnsi="宋体" w:cs="宋体"/>
          <w:color w:val="auto"/>
          <w:sz w:val="24"/>
          <w:highlight w:val="none"/>
        </w:rPr>
      </w:pPr>
      <w:r>
        <w:rPr>
          <w:rFonts w:hint="eastAsia" w:ascii="宋体" w:hAnsi="宋体" w:cs="宋体"/>
          <w:color w:val="auto"/>
          <w:sz w:val="24"/>
          <w:highlight w:val="none"/>
        </w:rPr>
        <w:t>18.3银行同期存款利息：</w:t>
      </w:r>
    </w:p>
    <w:p>
      <w:pPr>
        <w:spacing w:line="360" w:lineRule="auto"/>
        <w:ind w:firstLine="500"/>
        <w:rPr>
          <w:rFonts w:hint="eastAsia" w:ascii="宋体" w:hAnsi="宋体" w:cs="宋体"/>
          <w:color w:val="auto"/>
          <w:sz w:val="24"/>
          <w:highlight w:val="none"/>
        </w:rPr>
      </w:pPr>
      <w:r>
        <w:rPr>
          <w:rFonts w:hint="eastAsia" w:ascii="宋体" w:hAnsi="宋体" w:cs="宋体"/>
          <w:color w:val="auto"/>
          <w:sz w:val="24"/>
          <w:highlight w:val="none"/>
        </w:rPr>
        <w:t>18.3.1投标保证金计息利率依照中国人民银行公布的同期活期存款利率；</w:t>
      </w:r>
    </w:p>
    <w:p>
      <w:pPr>
        <w:spacing w:line="360" w:lineRule="auto"/>
        <w:ind w:firstLine="500"/>
        <w:rPr>
          <w:rFonts w:hint="eastAsia" w:ascii="宋体" w:hAnsi="宋体" w:cs="宋体"/>
          <w:color w:val="auto"/>
          <w:sz w:val="24"/>
          <w:highlight w:val="none"/>
        </w:rPr>
      </w:pPr>
      <w:r>
        <w:rPr>
          <w:rFonts w:hint="eastAsia" w:ascii="宋体" w:hAnsi="宋体" w:cs="宋体"/>
          <w:color w:val="auto"/>
          <w:sz w:val="24"/>
          <w:highlight w:val="none"/>
        </w:rPr>
        <w:t>18.3.2银行同期存款利息的计算公式为：金额x年利率/360 x计息天数；</w:t>
      </w:r>
    </w:p>
    <w:p>
      <w:pPr>
        <w:spacing w:line="360" w:lineRule="auto"/>
        <w:ind w:firstLine="500"/>
        <w:rPr>
          <w:rFonts w:hint="eastAsia" w:ascii="宋体" w:hAnsi="宋体" w:cs="宋体"/>
          <w:color w:val="auto"/>
          <w:sz w:val="24"/>
          <w:highlight w:val="none"/>
        </w:rPr>
      </w:pPr>
      <w:r>
        <w:rPr>
          <w:rFonts w:hint="eastAsia" w:ascii="宋体" w:hAnsi="宋体" w:cs="宋体"/>
          <w:color w:val="auto"/>
          <w:sz w:val="24"/>
          <w:highlight w:val="none"/>
        </w:rPr>
        <w:t>18.3.3起息日为该项目的投标截止日，结息日为辽宁国信建设工程管理有限公司中标通知书发出当日；</w:t>
      </w:r>
    </w:p>
    <w:p>
      <w:pPr>
        <w:spacing w:line="360" w:lineRule="auto"/>
        <w:ind w:firstLine="500"/>
        <w:rPr>
          <w:rFonts w:hint="eastAsia" w:ascii="宋体" w:hAnsi="宋体" w:cs="宋体"/>
          <w:color w:val="auto"/>
          <w:sz w:val="24"/>
          <w:highlight w:val="none"/>
        </w:rPr>
      </w:pPr>
      <w:r>
        <w:rPr>
          <w:rFonts w:hint="eastAsia" w:ascii="宋体" w:hAnsi="宋体" w:cs="宋体"/>
          <w:color w:val="auto"/>
          <w:sz w:val="24"/>
          <w:highlight w:val="none"/>
        </w:rPr>
        <w:t>18.3.4招标代理公司将按有关规定，按时退还投标保证金本金。在退还投标保证金利息前，招标代理公司将向投标人提供相应的计息清单，要求投标人据此提供保证金利息发票。招标代理公司收到保证金利息发票方可退还保证金利息；</w:t>
      </w:r>
    </w:p>
    <w:p>
      <w:pPr>
        <w:spacing w:line="360" w:lineRule="auto"/>
        <w:ind w:firstLine="500"/>
        <w:rPr>
          <w:rFonts w:hint="eastAsia" w:ascii="宋体" w:hAnsi="宋体" w:cs="宋体"/>
          <w:color w:val="auto"/>
          <w:sz w:val="24"/>
          <w:highlight w:val="none"/>
        </w:rPr>
      </w:pPr>
      <w:r>
        <w:rPr>
          <w:rFonts w:hint="eastAsia" w:ascii="宋体" w:hAnsi="宋体" w:cs="宋体"/>
          <w:color w:val="auto"/>
          <w:sz w:val="24"/>
          <w:highlight w:val="none"/>
        </w:rPr>
        <w:t>18.3.5以银行转账支票或银行电汇方式提交的投标保证金，其利息按照专用账户开户银行退款当日挂牌对公活期存款利率计算，在退还投标保证金的同时将利息划拨至投标保证金的原拨付账户；</w:t>
      </w:r>
    </w:p>
    <w:p>
      <w:pPr>
        <w:spacing w:line="360" w:lineRule="auto"/>
        <w:ind w:firstLine="500"/>
        <w:rPr>
          <w:rFonts w:hint="eastAsia" w:ascii="宋体" w:hAnsi="宋体" w:cs="宋体"/>
          <w:color w:val="auto"/>
          <w:sz w:val="24"/>
          <w:highlight w:val="none"/>
        </w:rPr>
      </w:pPr>
      <w:r>
        <w:rPr>
          <w:rFonts w:hint="eastAsia" w:ascii="宋体" w:hAnsi="宋体" w:cs="宋体"/>
          <w:color w:val="auto"/>
          <w:sz w:val="24"/>
          <w:highlight w:val="none"/>
        </w:rPr>
        <w:t>18.3.6以保函或其他担保形式提交的投标保证金无利息。</w:t>
      </w:r>
    </w:p>
    <w:p>
      <w:pPr>
        <w:spacing w:line="360" w:lineRule="auto"/>
        <w:ind w:firstLine="500"/>
        <w:rPr>
          <w:rFonts w:hint="eastAsia" w:ascii="宋体" w:hAnsi="宋体" w:cs="宋体"/>
          <w:color w:val="auto"/>
          <w:sz w:val="24"/>
          <w:highlight w:val="none"/>
        </w:rPr>
      </w:pPr>
      <w:r>
        <w:rPr>
          <w:rFonts w:hint="eastAsia" w:ascii="宋体" w:hAnsi="宋体" w:cs="宋体"/>
          <w:color w:val="auto"/>
          <w:sz w:val="24"/>
          <w:highlight w:val="none"/>
        </w:rPr>
        <w:t>18.4中标人的投标担保，在中标人按本须知第36条规定签订合同后5日内予以退还。</w:t>
      </w:r>
    </w:p>
    <w:p>
      <w:pPr>
        <w:spacing w:line="360" w:lineRule="auto"/>
        <w:ind w:firstLine="500"/>
        <w:rPr>
          <w:rFonts w:hint="eastAsia" w:ascii="宋体" w:hAnsi="宋体" w:cs="宋体"/>
          <w:color w:val="auto"/>
          <w:sz w:val="24"/>
          <w:highlight w:val="none"/>
        </w:rPr>
      </w:pPr>
      <w:r>
        <w:rPr>
          <w:rFonts w:hint="eastAsia" w:ascii="宋体" w:hAnsi="宋体" w:cs="宋体"/>
          <w:color w:val="auto"/>
          <w:sz w:val="24"/>
          <w:highlight w:val="none"/>
        </w:rPr>
        <w:t>18.5如投标人发生下列情况之一时，投标担保将不予退还：</w:t>
      </w:r>
    </w:p>
    <w:p>
      <w:pPr>
        <w:spacing w:line="360" w:lineRule="auto"/>
        <w:ind w:firstLine="500"/>
        <w:rPr>
          <w:rFonts w:hint="eastAsia" w:ascii="宋体" w:hAnsi="宋体" w:cs="宋体"/>
          <w:color w:val="auto"/>
          <w:sz w:val="24"/>
          <w:highlight w:val="none"/>
        </w:rPr>
      </w:pPr>
      <w:r>
        <w:rPr>
          <w:rFonts w:hint="eastAsia" w:ascii="宋体" w:hAnsi="宋体" w:cs="宋体"/>
          <w:color w:val="auto"/>
          <w:sz w:val="24"/>
          <w:highlight w:val="none"/>
        </w:rPr>
        <w:t>18.5.1投标人在投标截止日后撤回投标书的；</w:t>
      </w:r>
    </w:p>
    <w:p>
      <w:pPr>
        <w:spacing w:line="360" w:lineRule="auto"/>
        <w:ind w:firstLine="500"/>
        <w:rPr>
          <w:rFonts w:hint="eastAsia" w:ascii="宋体" w:hAnsi="宋体" w:cs="宋体"/>
          <w:color w:val="auto"/>
          <w:sz w:val="24"/>
          <w:highlight w:val="none"/>
        </w:rPr>
      </w:pPr>
      <w:r>
        <w:rPr>
          <w:rFonts w:hint="eastAsia" w:ascii="宋体" w:hAnsi="宋体" w:cs="宋体"/>
          <w:color w:val="auto"/>
          <w:sz w:val="24"/>
          <w:highlight w:val="none"/>
        </w:rPr>
        <w:t>18.5.2中标人未能在规定期限内签订合同协议；</w:t>
      </w:r>
    </w:p>
    <w:p>
      <w:pPr>
        <w:spacing w:line="360" w:lineRule="auto"/>
        <w:ind w:firstLine="500"/>
        <w:rPr>
          <w:rFonts w:hint="eastAsia" w:ascii="宋体" w:hAnsi="宋体" w:cs="宋体"/>
          <w:color w:val="auto"/>
          <w:sz w:val="24"/>
          <w:highlight w:val="none"/>
        </w:rPr>
      </w:pPr>
      <w:r>
        <w:rPr>
          <w:rFonts w:hint="eastAsia" w:ascii="宋体" w:hAnsi="宋体" w:cs="宋体"/>
          <w:color w:val="auto"/>
          <w:sz w:val="24"/>
          <w:highlight w:val="none"/>
        </w:rPr>
        <w:t>18.5.3投标人在整个投标活动中有严重违反国家法律、法规并经查实。</w:t>
      </w:r>
    </w:p>
    <w:p>
      <w:pPr>
        <w:spacing w:line="360" w:lineRule="auto"/>
        <w:ind w:firstLine="500"/>
        <w:rPr>
          <w:rFonts w:hint="eastAsia" w:ascii="宋体" w:hAnsi="宋体" w:cs="宋体"/>
          <w:color w:val="auto"/>
          <w:sz w:val="24"/>
          <w:highlight w:val="none"/>
        </w:rPr>
      </w:pPr>
      <w:r>
        <w:rPr>
          <w:rFonts w:hint="eastAsia" w:ascii="宋体" w:hAnsi="宋体" w:cs="宋体"/>
          <w:color w:val="auto"/>
          <w:sz w:val="24"/>
          <w:highlight w:val="none"/>
        </w:rPr>
        <w:t>注：此账户仅为递交投标保证金的账户，汇款时请备注项目编号及款项。</w:t>
      </w:r>
    </w:p>
    <w:p>
      <w:pPr>
        <w:spacing w:line="360" w:lineRule="auto"/>
        <w:ind w:firstLine="500"/>
        <w:rPr>
          <w:rFonts w:hint="eastAsia" w:ascii="宋体" w:hAnsi="宋体" w:cs="宋体"/>
          <w:color w:val="auto"/>
          <w:sz w:val="24"/>
          <w:highlight w:val="none"/>
        </w:rPr>
      </w:pPr>
      <w:r>
        <w:rPr>
          <w:rFonts w:hint="eastAsia" w:ascii="宋体" w:hAnsi="宋体" w:cs="宋体"/>
          <w:color w:val="auto"/>
          <w:sz w:val="24"/>
          <w:highlight w:val="none"/>
        </w:rPr>
        <w:t xml:space="preserve">投标保证金账户信息： </w:t>
      </w:r>
    </w:p>
    <w:p>
      <w:pPr>
        <w:spacing w:line="360" w:lineRule="auto"/>
        <w:ind w:firstLine="500"/>
        <w:rPr>
          <w:rFonts w:hint="eastAsia" w:ascii="宋体" w:hAnsi="宋体" w:cs="宋体"/>
          <w:color w:val="auto"/>
          <w:sz w:val="24"/>
          <w:highlight w:val="none"/>
        </w:rPr>
      </w:pPr>
      <w:r>
        <w:rPr>
          <w:rFonts w:hint="eastAsia" w:ascii="宋体" w:hAnsi="宋体" w:cs="宋体"/>
          <w:color w:val="auto"/>
          <w:sz w:val="24"/>
          <w:highlight w:val="none"/>
        </w:rPr>
        <w:t xml:space="preserve">开户银行：招商银行营口分行营业部 </w:t>
      </w:r>
    </w:p>
    <w:p>
      <w:pPr>
        <w:spacing w:line="360" w:lineRule="auto"/>
        <w:ind w:firstLine="500"/>
        <w:rPr>
          <w:rFonts w:hint="eastAsia" w:ascii="宋体" w:hAnsi="宋体" w:cs="宋体"/>
          <w:color w:val="auto"/>
          <w:sz w:val="24"/>
          <w:highlight w:val="none"/>
        </w:rPr>
      </w:pPr>
      <w:r>
        <w:rPr>
          <w:rFonts w:hint="eastAsia" w:ascii="宋体" w:hAnsi="宋体" w:cs="宋体"/>
          <w:color w:val="auto"/>
          <w:sz w:val="24"/>
          <w:highlight w:val="none"/>
        </w:rPr>
        <w:t>账号：</w:t>
      </w:r>
      <w:r>
        <w:rPr>
          <w:rFonts w:hint="eastAsia" w:ascii="宋体" w:hAnsi="宋体" w:cs="宋体"/>
          <w:color w:val="auto"/>
          <w:sz w:val="24"/>
          <w:szCs w:val="24"/>
          <w:highlight w:val="none"/>
        </w:rPr>
        <w:t>417900156710302</w:t>
      </w:r>
    </w:p>
    <w:p>
      <w:pPr>
        <w:spacing w:line="360" w:lineRule="auto"/>
        <w:ind w:firstLine="500"/>
        <w:rPr>
          <w:rFonts w:hint="eastAsia" w:ascii="宋体" w:hAnsi="宋体" w:cs="宋体"/>
          <w:color w:val="auto"/>
          <w:sz w:val="24"/>
          <w:highlight w:val="none"/>
        </w:rPr>
      </w:pPr>
      <w:r>
        <w:rPr>
          <w:rFonts w:hint="eastAsia" w:ascii="宋体" w:hAnsi="宋体" w:cs="宋体"/>
          <w:color w:val="auto"/>
          <w:sz w:val="24"/>
          <w:highlight w:val="none"/>
        </w:rPr>
        <w:t>收款人：辽宁国信建设工程管理有限公司</w:t>
      </w:r>
    </w:p>
    <w:p>
      <w:pPr>
        <w:pStyle w:val="6"/>
        <w:ind w:firstLine="482" w:firstLineChars="200"/>
        <w:rPr>
          <w:rFonts w:hint="eastAsia" w:ascii="宋体" w:hAnsi="宋体" w:cs="宋体"/>
          <w:b w:val="0"/>
          <w:bCs/>
          <w:color w:val="auto"/>
          <w:highlight w:val="none"/>
        </w:rPr>
      </w:pPr>
      <w:r>
        <w:rPr>
          <w:rFonts w:hint="eastAsia" w:ascii="宋体" w:hAnsi="宋体" w:cs="宋体"/>
          <w:color w:val="auto"/>
          <w:highlight w:val="none"/>
        </w:rPr>
        <w:t>投标保证金退还：投标人需将代理公司开具的保证金收据（收据背面注明公司名称、原汇款账户开户行账号信息）送达至代理公司。经由代理公司财务部门审定合格后方可退款。清退保证金时间：每周周一、周三申请清退投标保证金。预计每周周二、周五投标保证金返还至投标单位银行账户中（特殊情况除外）。</w:t>
      </w:r>
    </w:p>
    <w:p>
      <w:pPr>
        <w:pStyle w:val="6"/>
        <w:ind w:left="1008" w:hanging="1008"/>
        <w:rPr>
          <w:rFonts w:hint="eastAsia" w:ascii="宋体" w:hAnsi="宋体" w:cs="宋体"/>
          <w:color w:val="auto"/>
          <w:highlight w:val="none"/>
        </w:rPr>
      </w:pPr>
      <w:r>
        <w:rPr>
          <w:rFonts w:hint="eastAsia" w:ascii="宋体" w:hAnsi="宋体" w:cs="宋体"/>
          <w:color w:val="auto"/>
          <w:highlight w:val="none"/>
        </w:rPr>
        <w:t>19、投标有效期</w:t>
      </w:r>
    </w:p>
    <w:p>
      <w:pPr>
        <w:spacing w:line="360" w:lineRule="auto"/>
        <w:ind w:firstLine="500"/>
        <w:rPr>
          <w:rFonts w:hint="eastAsia" w:ascii="宋体" w:hAnsi="宋体" w:cs="宋体"/>
          <w:color w:val="auto"/>
          <w:sz w:val="24"/>
          <w:highlight w:val="none"/>
        </w:rPr>
      </w:pPr>
      <w:r>
        <w:rPr>
          <w:rFonts w:hint="eastAsia" w:ascii="宋体" w:hAnsi="宋体" w:cs="宋体"/>
          <w:color w:val="auto"/>
          <w:sz w:val="24"/>
          <w:highlight w:val="none"/>
        </w:rPr>
        <w:t>19.1投标应自本须知第25.1条规定的开标日起，并在“投标人须知前附表”中所述期限内保持有效。投标有效期不足的投标将被视为非响应性投标而被否绝。</w:t>
      </w:r>
    </w:p>
    <w:p>
      <w:pPr>
        <w:spacing w:line="360" w:lineRule="auto"/>
        <w:ind w:firstLine="500"/>
        <w:rPr>
          <w:rFonts w:hint="eastAsia" w:ascii="宋体" w:hAnsi="宋体" w:cs="宋体"/>
          <w:color w:val="auto"/>
          <w:sz w:val="24"/>
          <w:highlight w:val="none"/>
        </w:rPr>
      </w:pPr>
      <w:r>
        <w:rPr>
          <w:rFonts w:hint="eastAsia" w:ascii="宋体" w:hAnsi="宋体" w:cs="宋体"/>
          <w:color w:val="auto"/>
          <w:sz w:val="24"/>
          <w:highlight w:val="none"/>
        </w:rPr>
        <w:t>19.2特殊情况下，在原投标有效期截止之前，招标代理机构可要求投标人同意延长投标有效期。这种要求与答复均应以书面形式提交。投标人可拒绝招标代理机构的这种要求，其投标保证金将正常退还。接受延长投标有效期的投标人将不会被要求和允许修正其投标，而只会被要求相应地延长其投标保证金的有效期。在这种情况下，本须知第18条有关投标保证金的退还和不予退还的规定将在延长了的有效期内继续有效。</w:t>
      </w:r>
    </w:p>
    <w:p>
      <w:pPr>
        <w:pStyle w:val="6"/>
        <w:ind w:left="1008" w:hanging="1008"/>
        <w:rPr>
          <w:rFonts w:hint="eastAsia" w:ascii="宋体" w:hAnsi="宋体" w:cs="宋体"/>
          <w:color w:val="auto"/>
          <w:highlight w:val="none"/>
        </w:rPr>
      </w:pPr>
      <w:r>
        <w:rPr>
          <w:rFonts w:hint="eastAsia" w:ascii="宋体" w:hAnsi="宋体" w:cs="宋体"/>
          <w:color w:val="auto"/>
          <w:highlight w:val="none"/>
        </w:rPr>
        <w:t>20、投标文件的份数和签署</w:t>
      </w:r>
    </w:p>
    <w:p>
      <w:pPr>
        <w:spacing w:line="360" w:lineRule="auto"/>
        <w:ind w:firstLine="500"/>
        <w:rPr>
          <w:rFonts w:hint="eastAsia" w:ascii="宋体" w:hAnsi="宋体" w:cs="宋体"/>
          <w:color w:val="auto"/>
          <w:sz w:val="24"/>
          <w:highlight w:val="none"/>
        </w:rPr>
      </w:pPr>
      <w:r>
        <w:rPr>
          <w:rFonts w:hint="eastAsia" w:ascii="宋体" w:hAnsi="宋体" w:cs="宋体"/>
          <w:color w:val="auto"/>
          <w:sz w:val="24"/>
          <w:highlight w:val="none"/>
        </w:rPr>
        <w:t>20.1 投标人应按本须知前附表第19项规定的份数提交投标文件。</w:t>
      </w:r>
    </w:p>
    <w:p>
      <w:pPr>
        <w:spacing w:line="360" w:lineRule="auto"/>
        <w:ind w:firstLine="500"/>
        <w:rPr>
          <w:rFonts w:hint="eastAsia" w:ascii="宋体" w:hAnsi="宋体" w:cs="宋体"/>
          <w:color w:val="auto"/>
          <w:sz w:val="24"/>
          <w:highlight w:val="none"/>
        </w:rPr>
      </w:pPr>
      <w:r>
        <w:rPr>
          <w:rFonts w:hint="eastAsia" w:ascii="宋体" w:hAnsi="宋体" w:cs="宋体"/>
          <w:color w:val="auto"/>
          <w:sz w:val="24"/>
          <w:highlight w:val="none"/>
        </w:rPr>
        <w:t xml:space="preserve">20.2 </w:t>
      </w:r>
      <w:r>
        <w:rPr>
          <w:rFonts w:hint="eastAsia" w:ascii="宋体" w:hAnsi="宋体" w:cs="宋体"/>
          <w:color w:val="auto"/>
          <w:sz w:val="24"/>
          <w:szCs w:val="24"/>
          <w:highlight w:val="none"/>
        </w:rPr>
        <w:t>投标文件封面、投标函均应加盖投标人印章并经法定代表人或负责人或其委托代理人签字或盖章。由委托代理人签字或盖章的在投标文件中须同时提交投标文件签署授权委托书。投标文件签署授权委托书格式、签字、盖章及内容均应符合要求，否则投标文件签署授权委托书无效。</w:t>
      </w:r>
    </w:p>
    <w:p>
      <w:pPr>
        <w:spacing w:line="360" w:lineRule="auto"/>
        <w:ind w:firstLine="500"/>
        <w:rPr>
          <w:rFonts w:hint="eastAsia" w:ascii="宋体" w:hAnsi="宋体" w:cs="宋体"/>
          <w:color w:val="auto"/>
          <w:sz w:val="24"/>
          <w:highlight w:val="none"/>
        </w:rPr>
      </w:pPr>
      <w:r>
        <w:rPr>
          <w:rFonts w:hint="eastAsia" w:ascii="宋体" w:hAnsi="宋体" w:cs="宋体"/>
          <w:color w:val="auto"/>
          <w:sz w:val="24"/>
          <w:highlight w:val="none"/>
        </w:rPr>
        <w:t>20.3 除投标人对错误处须修改外，全套投标文件应无涂改或行间插字和增删。如有修改，修改处应由投标人加盖投标人的印章或由投标文件签字人签字或盖章。</w:t>
      </w:r>
    </w:p>
    <w:p>
      <w:pPr>
        <w:spacing w:line="360" w:lineRule="auto"/>
        <w:ind w:firstLine="480" w:firstLineChars="200"/>
        <w:rPr>
          <w:rFonts w:hint="eastAsia" w:ascii="宋体" w:hAnsi="宋体" w:cs="宋体"/>
          <w:color w:val="auto"/>
          <w:sz w:val="24"/>
          <w:szCs w:val="28"/>
          <w:highlight w:val="none"/>
        </w:rPr>
      </w:pPr>
      <w:r>
        <w:rPr>
          <w:rFonts w:hint="eastAsia" w:ascii="宋体" w:hAnsi="宋体" w:cs="宋体"/>
          <w:color w:val="auto"/>
          <w:sz w:val="24"/>
          <w:highlight w:val="none"/>
        </w:rPr>
        <w:t>20</w:t>
      </w:r>
      <w:r>
        <w:rPr>
          <w:rFonts w:hint="eastAsia" w:ascii="宋体" w:hAnsi="宋体" w:cs="宋体"/>
          <w:color w:val="auto"/>
          <w:sz w:val="24"/>
          <w:szCs w:val="28"/>
          <w:highlight w:val="none"/>
        </w:rPr>
        <w:t>.4 投标文件应按招标文件及</w:t>
      </w:r>
      <w:r>
        <w:rPr>
          <w:rFonts w:hint="eastAsia" w:ascii="宋体" w:hAnsi="宋体" w:eastAsia="宋体" w:cs="宋体"/>
          <w:color w:val="auto"/>
          <w:sz w:val="24"/>
          <w:szCs w:val="24"/>
          <w:highlight w:val="none"/>
          <w:shd w:val="clear" w:color="auto" w:fill="FFFFFF"/>
        </w:rPr>
        <w:t>电子招标投标交易平台</w:t>
      </w:r>
      <w:r>
        <w:rPr>
          <w:rFonts w:hint="eastAsia" w:ascii="宋体" w:hAnsi="宋体" w:cs="宋体"/>
          <w:color w:val="auto"/>
          <w:sz w:val="24"/>
          <w:szCs w:val="28"/>
          <w:highlight w:val="none"/>
        </w:rPr>
        <w:t>系统要求进行编制，投标文件的内容应按评标办法所列内容顺序编写，以便评审。</w:t>
      </w:r>
    </w:p>
    <w:p>
      <w:pPr>
        <w:spacing w:line="360" w:lineRule="auto"/>
        <w:ind w:firstLine="480" w:firstLineChars="200"/>
        <w:rPr>
          <w:rFonts w:hint="eastAsia" w:ascii="宋体" w:hAnsi="宋体" w:cs="宋体"/>
          <w:color w:val="auto"/>
          <w:sz w:val="24"/>
          <w:szCs w:val="28"/>
          <w:highlight w:val="none"/>
        </w:rPr>
      </w:pPr>
    </w:p>
    <w:p>
      <w:pPr>
        <w:pStyle w:val="5"/>
        <w:tabs>
          <w:tab w:val="center" w:pos="4677"/>
          <w:tab w:val="left" w:pos="6240"/>
        </w:tabs>
        <w:rPr>
          <w:rFonts w:hint="eastAsia" w:ascii="宋体" w:hAnsi="宋体" w:eastAsia="宋体" w:cs="宋体"/>
          <w:b/>
          <w:color w:val="auto"/>
          <w:highlight w:val="none"/>
        </w:rPr>
      </w:pPr>
      <w:r>
        <w:rPr>
          <w:rFonts w:hint="eastAsia" w:ascii="宋体" w:hAnsi="宋体" w:eastAsia="宋体" w:cs="宋体"/>
          <w:b/>
          <w:color w:val="auto"/>
          <w:highlight w:val="none"/>
        </w:rPr>
        <w:t>（四）投标文件的提交</w:t>
      </w:r>
    </w:p>
    <w:p>
      <w:pPr>
        <w:pStyle w:val="6"/>
        <w:ind w:left="1008" w:hanging="1008"/>
        <w:rPr>
          <w:rFonts w:hint="eastAsia" w:ascii="宋体" w:hAnsi="宋体" w:cs="宋体"/>
          <w:color w:val="auto"/>
          <w:highlight w:val="none"/>
        </w:rPr>
      </w:pPr>
      <w:r>
        <w:rPr>
          <w:rFonts w:hint="eastAsia" w:ascii="宋体" w:hAnsi="宋体" w:cs="宋体"/>
          <w:color w:val="auto"/>
          <w:highlight w:val="none"/>
        </w:rPr>
        <w:t>21、投标文件的提交、密封与标记</w:t>
      </w:r>
    </w:p>
    <w:p>
      <w:pPr>
        <w:spacing w:line="360" w:lineRule="auto"/>
        <w:ind w:firstLine="630"/>
        <w:rPr>
          <w:rFonts w:hint="eastAsia" w:ascii="宋体" w:hAnsi="宋体" w:cs="宋体"/>
          <w:b/>
          <w:color w:val="auto"/>
          <w:sz w:val="24"/>
          <w:szCs w:val="28"/>
          <w:highlight w:val="none"/>
        </w:rPr>
      </w:pPr>
      <w:r>
        <w:rPr>
          <w:rFonts w:hint="eastAsia" w:ascii="宋体" w:hAnsi="宋体" w:cs="宋体"/>
          <w:color w:val="auto"/>
          <w:sz w:val="24"/>
          <w:szCs w:val="28"/>
          <w:highlight w:val="none"/>
        </w:rPr>
        <w:t xml:space="preserve">21.1 </w:t>
      </w:r>
      <w:r>
        <w:rPr>
          <w:rFonts w:hint="eastAsia" w:ascii="宋体" w:hAnsi="宋体" w:eastAsia="宋体" w:cs="宋体"/>
          <w:color w:val="auto"/>
          <w:sz w:val="24"/>
          <w:szCs w:val="24"/>
          <w:highlight w:val="none"/>
          <w:shd w:val="clear" w:color="auto" w:fill="FFFFFF"/>
        </w:rPr>
        <w:t>投标人应当按照招标文件和电子招标投标交易平台的要求加密投标文件</w:t>
      </w:r>
      <w:r>
        <w:rPr>
          <w:rFonts w:hint="eastAsia" w:ascii="宋体" w:hAnsi="宋体" w:cs="宋体"/>
          <w:color w:val="auto"/>
          <w:sz w:val="24"/>
          <w:szCs w:val="24"/>
          <w:highlight w:val="none"/>
          <w:shd w:val="clear" w:color="auto" w:fill="FFFFFF"/>
        </w:rPr>
        <w:t>。</w:t>
      </w:r>
    </w:p>
    <w:p>
      <w:pPr>
        <w:spacing w:line="360" w:lineRule="auto"/>
        <w:ind w:firstLine="630"/>
        <w:rPr>
          <w:rFonts w:hint="eastAsia" w:ascii="宋体" w:hAnsi="宋体" w:cs="宋体"/>
          <w:color w:val="auto"/>
          <w:sz w:val="24"/>
          <w:szCs w:val="28"/>
          <w:highlight w:val="none"/>
        </w:rPr>
      </w:pPr>
      <w:r>
        <w:rPr>
          <w:rFonts w:hint="eastAsia" w:ascii="宋体" w:hAnsi="宋体" w:cs="宋体"/>
          <w:color w:val="auto"/>
          <w:sz w:val="24"/>
          <w:szCs w:val="28"/>
          <w:highlight w:val="none"/>
        </w:rPr>
        <w:t>21.2 投标文件在投标人须知前附表第20项所述截止时间之前递交至投标须知前附表第20项所述地点。</w:t>
      </w:r>
    </w:p>
    <w:p>
      <w:pPr>
        <w:pStyle w:val="6"/>
        <w:ind w:left="1008" w:hanging="1008"/>
        <w:rPr>
          <w:rFonts w:hint="eastAsia" w:ascii="宋体" w:hAnsi="宋体" w:cs="宋体"/>
          <w:color w:val="auto"/>
          <w:highlight w:val="none"/>
        </w:rPr>
      </w:pPr>
      <w:r>
        <w:rPr>
          <w:rFonts w:hint="eastAsia" w:ascii="宋体" w:hAnsi="宋体" w:cs="宋体"/>
          <w:color w:val="auto"/>
          <w:highlight w:val="none"/>
        </w:rPr>
        <w:t>22、投标文件提交的截止时间</w:t>
      </w:r>
    </w:p>
    <w:p>
      <w:pPr>
        <w:spacing w:line="360" w:lineRule="auto"/>
        <w:ind w:firstLine="500"/>
        <w:rPr>
          <w:rFonts w:hint="eastAsia" w:ascii="宋体" w:hAnsi="宋体" w:cs="宋体"/>
          <w:b/>
          <w:color w:val="auto"/>
          <w:sz w:val="24"/>
          <w:highlight w:val="none"/>
        </w:rPr>
      </w:pPr>
      <w:r>
        <w:rPr>
          <w:rFonts w:hint="eastAsia" w:ascii="宋体" w:hAnsi="宋体" w:cs="宋体"/>
          <w:color w:val="auto"/>
          <w:sz w:val="24"/>
          <w:highlight w:val="none"/>
        </w:rPr>
        <w:t>22.1 投标文件的截止时间见本项目须知前附表第20项规定。</w:t>
      </w:r>
    </w:p>
    <w:p>
      <w:pPr>
        <w:spacing w:line="360" w:lineRule="auto"/>
        <w:ind w:firstLine="500"/>
        <w:rPr>
          <w:rFonts w:hint="eastAsia" w:ascii="宋体" w:hAnsi="宋体" w:cs="宋体"/>
          <w:color w:val="auto"/>
          <w:sz w:val="24"/>
          <w:highlight w:val="none"/>
        </w:rPr>
      </w:pPr>
      <w:r>
        <w:rPr>
          <w:rFonts w:hint="eastAsia" w:ascii="宋体" w:hAnsi="宋体" w:cs="宋体"/>
          <w:color w:val="auto"/>
          <w:sz w:val="24"/>
          <w:highlight w:val="none"/>
        </w:rPr>
        <w:t>22.2 招标人可按本须知第10条规定以修改补充通知的方式，酌情延长提交投标文件的截止时间。在此情况下，投标人的所有权利和义务以及投标人受制约的截止时间，均以延长后新的投标截止时间为准。</w:t>
      </w:r>
    </w:p>
    <w:p>
      <w:pPr>
        <w:pStyle w:val="6"/>
        <w:ind w:left="1008" w:hanging="1008"/>
        <w:rPr>
          <w:rFonts w:hint="eastAsia" w:ascii="宋体" w:hAnsi="宋体" w:cs="宋体"/>
          <w:color w:val="auto"/>
          <w:highlight w:val="none"/>
        </w:rPr>
      </w:pPr>
      <w:r>
        <w:rPr>
          <w:rFonts w:hint="eastAsia" w:ascii="宋体" w:hAnsi="宋体" w:cs="宋体"/>
          <w:color w:val="auto"/>
          <w:highlight w:val="none"/>
        </w:rPr>
        <w:t>23、迟交的投标文件</w:t>
      </w:r>
    </w:p>
    <w:p>
      <w:pPr>
        <w:spacing w:line="360" w:lineRule="auto"/>
        <w:ind w:firstLine="500"/>
        <w:rPr>
          <w:rFonts w:hint="eastAsia" w:ascii="宋体" w:hAnsi="宋体" w:cs="宋体"/>
          <w:color w:val="auto"/>
          <w:sz w:val="24"/>
          <w:highlight w:val="none"/>
        </w:rPr>
      </w:pPr>
      <w:r>
        <w:rPr>
          <w:rFonts w:hint="eastAsia" w:ascii="宋体" w:hAnsi="宋体" w:cs="宋体"/>
          <w:color w:val="auto"/>
          <w:sz w:val="24"/>
          <w:highlight w:val="none"/>
        </w:rPr>
        <w:t>23.1 招标人在本须知前附表第20项规定的投标截止时间以后收到的投标文件，将被拒收。</w:t>
      </w:r>
    </w:p>
    <w:p>
      <w:pPr>
        <w:pStyle w:val="6"/>
        <w:ind w:left="1008" w:hanging="1008"/>
        <w:rPr>
          <w:rFonts w:hint="eastAsia" w:ascii="宋体" w:hAnsi="宋体" w:cs="宋体"/>
          <w:color w:val="auto"/>
          <w:highlight w:val="none"/>
        </w:rPr>
      </w:pPr>
      <w:r>
        <w:rPr>
          <w:rFonts w:hint="eastAsia" w:ascii="宋体" w:hAnsi="宋体" w:cs="宋体"/>
          <w:color w:val="auto"/>
          <w:highlight w:val="none"/>
        </w:rPr>
        <w:t>24、投标文件的补充、修改与撤回</w:t>
      </w:r>
    </w:p>
    <w:p>
      <w:pPr>
        <w:spacing w:line="360" w:lineRule="auto"/>
        <w:ind w:firstLine="500"/>
        <w:rPr>
          <w:rFonts w:hint="eastAsia" w:ascii="宋体" w:hAnsi="宋体" w:cs="宋体"/>
          <w:color w:val="auto"/>
          <w:sz w:val="24"/>
          <w:highlight w:val="none"/>
        </w:rPr>
      </w:pPr>
      <w:r>
        <w:rPr>
          <w:rFonts w:hint="eastAsia" w:ascii="宋体" w:hAnsi="宋体" w:cs="宋体"/>
          <w:color w:val="auto"/>
          <w:sz w:val="24"/>
          <w:highlight w:val="none"/>
        </w:rPr>
        <w:t>24.1 投标人在提交投标文件以后，在规定的投标截止时间之前，可以补充修改或撤回已提交的投标文件。补充、修改的内容为投标文件的组成部分。</w:t>
      </w:r>
    </w:p>
    <w:p>
      <w:pPr>
        <w:spacing w:line="360" w:lineRule="auto"/>
        <w:ind w:firstLine="500"/>
        <w:rPr>
          <w:rFonts w:hint="eastAsia" w:ascii="宋体" w:hAnsi="宋体" w:cs="宋体"/>
          <w:color w:val="auto"/>
          <w:sz w:val="24"/>
          <w:highlight w:val="none"/>
        </w:rPr>
      </w:pPr>
      <w:r>
        <w:rPr>
          <w:rFonts w:hint="eastAsia" w:ascii="宋体" w:hAnsi="宋体" w:cs="宋体"/>
          <w:color w:val="auto"/>
          <w:sz w:val="24"/>
          <w:highlight w:val="none"/>
        </w:rPr>
        <w:t>24.2 在投标截止时间之后，投标人不得补充、修改投标文件。</w:t>
      </w:r>
    </w:p>
    <w:p>
      <w:pPr>
        <w:spacing w:line="360" w:lineRule="auto"/>
        <w:ind w:firstLine="500"/>
        <w:rPr>
          <w:rFonts w:hint="eastAsia" w:ascii="宋体" w:hAnsi="宋体" w:cs="宋体"/>
          <w:color w:val="auto"/>
          <w:sz w:val="24"/>
          <w:highlight w:val="none"/>
        </w:rPr>
      </w:pPr>
      <w:r>
        <w:rPr>
          <w:rFonts w:hint="eastAsia" w:ascii="宋体" w:hAnsi="宋体" w:cs="宋体"/>
          <w:color w:val="auto"/>
          <w:sz w:val="24"/>
          <w:highlight w:val="none"/>
        </w:rPr>
        <w:t>24.3 在投标截止时间至投标有效期满之前，投标人不得撤回其投标文件。</w:t>
      </w:r>
    </w:p>
    <w:p>
      <w:pPr>
        <w:pStyle w:val="5"/>
        <w:tabs>
          <w:tab w:val="center" w:pos="4677"/>
          <w:tab w:val="left" w:pos="6240"/>
        </w:tabs>
        <w:rPr>
          <w:rFonts w:hint="eastAsia" w:ascii="宋体" w:hAnsi="宋体" w:eastAsia="宋体" w:cs="宋体"/>
          <w:b/>
          <w:color w:val="auto"/>
          <w:highlight w:val="none"/>
        </w:rPr>
      </w:pPr>
      <w:r>
        <w:rPr>
          <w:rFonts w:hint="eastAsia" w:ascii="宋体" w:hAnsi="宋体" w:eastAsia="宋体" w:cs="宋体"/>
          <w:b/>
          <w:color w:val="auto"/>
          <w:highlight w:val="none"/>
        </w:rPr>
        <w:t>（五）开    标</w:t>
      </w:r>
    </w:p>
    <w:p>
      <w:pPr>
        <w:pStyle w:val="6"/>
        <w:ind w:left="1008" w:hanging="1008"/>
        <w:rPr>
          <w:rFonts w:hint="eastAsia" w:ascii="宋体" w:hAnsi="宋体" w:cs="宋体"/>
          <w:color w:val="auto"/>
          <w:highlight w:val="none"/>
        </w:rPr>
      </w:pPr>
      <w:r>
        <w:rPr>
          <w:rFonts w:hint="eastAsia" w:ascii="宋体" w:hAnsi="宋体" w:cs="宋体"/>
          <w:color w:val="auto"/>
          <w:highlight w:val="none"/>
        </w:rPr>
        <w:t>25、开标</w:t>
      </w:r>
    </w:p>
    <w:p>
      <w:pPr>
        <w:spacing w:line="360" w:lineRule="auto"/>
        <w:ind w:firstLine="500"/>
        <w:rPr>
          <w:rFonts w:hint="eastAsia" w:ascii="宋体" w:hAnsi="宋体" w:cs="宋体"/>
          <w:color w:val="auto"/>
          <w:sz w:val="24"/>
          <w:highlight w:val="none"/>
        </w:rPr>
      </w:pPr>
      <w:r>
        <w:rPr>
          <w:rFonts w:hint="eastAsia" w:ascii="宋体" w:hAnsi="宋体" w:cs="宋体"/>
          <w:color w:val="auto"/>
          <w:sz w:val="24"/>
          <w:highlight w:val="none"/>
        </w:rPr>
        <w:t>25.1招标代理机构在本须知前附表第19项规定的日期、时间和地点组织公开开标。开标时邀请所有投标人代表参加。参加开标的代表应在电子开标系统中签名报到以证明其出席。开标会由招标代理机构主持。</w:t>
      </w:r>
    </w:p>
    <w:p>
      <w:pPr>
        <w:spacing w:line="360" w:lineRule="auto"/>
        <w:ind w:firstLine="500"/>
        <w:rPr>
          <w:rFonts w:hint="eastAsia" w:ascii="宋体" w:hAnsi="宋体" w:cs="宋体"/>
          <w:color w:val="auto"/>
          <w:sz w:val="24"/>
          <w:highlight w:val="none"/>
        </w:rPr>
      </w:pPr>
      <w:r>
        <w:rPr>
          <w:rFonts w:hint="eastAsia" w:ascii="宋体" w:hAnsi="宋体" w:cs="宋体"/>
          <w:color w:val="auto"/>
          <w:sz w:val="24"/>
          <w:highlight w:val="none"/>
        </w:rPr>
        <w:t>25.2开标时，除了按照本须知第23条的规定原封退回迟到的投标之外，招标代理机构将当众宣读所有合格提交投标文件的投标人名称、以及招标人认为合适的其他内容。</w:t>
      </w:r>
    </w:p>
    <w:p>
      <w:pPr>
        <w:tabs>
          <w:tab w:val="left" w:pos="0"/>
        </w:tabs>
        <w:spacing w:line="360" w:lineRule="auto"/>
        <w:ind w:left="-2" w:right="40" w:rightChars="19" w:firstLine="480" w:firstLineChars="200"/>
        <w:rPr>
          <w:rFonts w:hint="eastAsia" w:ascii="宋体" w:hAnsi="宋体" w:cs="宋体"/>
          <w:color w:val="auto"/>
          <w:sz w:val="24"/>
          <w:highlight w:val="none"/>
        </w:rPr>
      </w:pPr>
      <w:r>
        <w:rPr>
          <w:rFonts w:hint="eastAsia" w:ascii="宋体" w:hAnsi="宋体" w:cs="宋体"/>
          <w:color w:val="auto"/>
          <w:sz w:val="24"/>
          <w:highlight w:val="none"/>
        </w:rPr>
        <w:t>25.3在开标时没有读出的有关声明，在评标时将不予考虑。</w:t>
      </w:r>
    </w:p>
    <w:p>
      <w:pPr>
        <w:tabs>
          <w:tab w:val="left" w:pos="0"/>
        </w:tabs>
        <w:spacing w:line="360" w:lineRule="auto"/>
        <w:ind w:left="-2" w:right="40" w:rightChars="19" w:firstLine="480" w:firstLineChars="200"/>
        <w:rPr>
          <w:rFonts w:hint="eastAsia" w:ascii="宋体" w:hAnsi="宋体" w:cs="宋体"/>
          <w:color w:val="auto"/>
          <w:sz w:val="24"/>
          <w:highlight w:val="none"/>
        </w:rPr>
      </w:pPr>
      <w:r>
        <w:rPr>
          <w:rFonts w:hint="eastAsia" w:ascii="宋体" w:hAnsi="宋体" w:cs="宋体"/>
          <w:color w:val="auto"/>
          <w:sz w:val="24"/>
          <w:highlight w:val="none"/>
        </w:rPr>
        <w:t>25.4招标代理机构将做开标记录，存档备查。</w:t>
      </w:r>
    </w:p>
    <w:p>
      <w:pPr>
        <w:spacing w:line="360" w:lineRule="auto"/>
        <w:ind w:firstLine="500"/>
        <w:rPr>
          <w:rFonts w:hint="eastAsia" w:ascii="宋体" w:hAnsi="宋体" w:cs="宋体"/>
          <w:color w:val="auto"/>
          <w:sz w:val="24"/>
          <w:highlight w:val="none"/>
        </w:rPr>
      </w:pPr>
      <w:r>
        <w:rPr>
          <w:rFonts w:hint="eastAsia" w:ascii="宋体" w:hAnsi="宋体" w:cs="宋体"/>
          <w:color w:val="auto"/>
          <w:sz w:val="24"/>
          <w:highlight w:val="none"/>
        </w:rPr>
        <w:t>25.5开标程序：</w:t>
      </w:r>
    </w:p>
    <w:p>
      <w:pPr>
        <w:pStyle w:val="14"/>
        <w:numPr>
          <w:ilvl w:val="0"/>
          <w:numId w:val="10"/>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宣布开标纪律；</w:t>
      </w:r>
    </w:p>
    <w:p>
      <w:pPr>
        <w:pStyle w:val="14"/>
        <w:numPr>
          <w:ilvl w:val="0"/>
          <w:numId w:val="10"/>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公布在投标截止时间前递交投标文件的投标人名称；</w:t>
      </w:r>
    </w:p>
    <w:p>
      <w:pPr>
        <w:pStyle w:val="14"/>
        <w:numPr>
          <w:ilvl w:val="0"/>
          <w:numId w:val="10"/>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宣布开标人、唱标人、记录人、监标人等有关人员姓名；</w:t>
      </w:r>
    </w:p>
    <w:p>
      <w:pPr>
        <w:pStyle w:val="14"/>
        <w:numPr>
          <w:ilvl w:val="0"/>
          <w:numId w:val="10"/>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投标人通过电子招标投标交易平台对已递交的电子投标文件进行解密，公布招标项目名称、投标人名称、投标保证金的递交情况、投标报价、服务期限及其他内容，并记录在案；</w:t>
      </w:r>
    </w:p>
    <w:p>
      <w:pPr>
        <w:pStyle w:val="14"/>
        <w:numPr>
          <w:ilvl w:val="0"/>
          <w:numId w:val="10"/>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（A）投标人代表、招标人代表、监标人、记录人等有关人员在开标记录上签字确认；（B）投标人代表、招标人代表、监标人、记录人等有关人员使用本人的电子印章在开标记录上签字确认；</w:t>
      </w:r>
    </w:p>
    <w:p>
      <w:pPr>
        <w:pStyle w:val="14"/>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（6）开标结束。</w:t>
      </w:r>
    </w:p>
    <w:p>
      <w:pPr>
        <w:spacing w:line="360" w:lineRule="auto"/>
        <w:ind w:firstLine="500"/>
        <w:rPr>
          <w:rFonts w:hint="eastAsia" w:ascii="宋体" w:hAnsi="宋体" w:cs="宋体"/>
          <w:color w:val="auto"/>
          <w:sz w:val="24"/>
          <w:highlight w:val="none"/>
        </w:rPr>
      </w:pPr>
      <w:r>
        <w:rPr>
          <w:rFonts w:hint="eastAsia" w:ascii="宋体" w:hAnsi="宋体" w:cs="宋体"/>
          <w:color w:val="auto"/>
          <w:sz w:val="24"/>
          <w:highlight w:val="none"/>
        </w:rPr>
        <w:t>25.5.1若唱标人宣读的投标文件主要内容与投标文件不符时，投标人有权在开标现场提出异议，经行政监管人员当场核查后，唱标人将重新宣读其投标文件主要内容。若投标人在开标现场未提出异议，则认为投标人已确认唱标人宣读的投标文件主要内容，投标人的法定代表人或负责人或授权委托人应在开标记录上签字确认。</w:t>
      </w:r>
    </w:p>
    <w:p>
      <w:pPr>
        <w:spacing w:line="360" w:lineRule="auto"/>
        <w:ind w:firstLine="500"/>
        <w:rPr>
          <w:rFonts w:hint="eastAsia" w:ascii="宋体" w:hAnsi="宋体" w:cs="宋体"/>
          <w:color w:val="auto"/>
          <w:sz w:val="24"/>
          <w:highlight w:val="none"/>
        </w:rPr>
      </w:pPr>
      <w:r>
        <w:rPr>
          <w:rFonts w:hint="eastAsia" w:ascii="宋体" w:hAnsi="宋体" w:cs="宋体"/>
          <w:color w:val="auto"/>
          <w:sz w:val="24"/>
          <w:highlight w:val="none"/>
        </w:rPr>
        <w:t>25.6 招标人在招标文件要求提交投标文件的截止时间前收到的投标文件，开标时都应当众予以拆封、宣读。</w:t>
      </w:r>
    </w:p>
    <w:p>
      <w:pPr>
        <w:spacing w:line="360" w:lineRule="auto"/>
        <w:ind w:firstLine="500"/>
        <w:rPr>
          <w:rFonts w:hint="eastAsia" w:ascii="宋体" w:hAnsi="宋体" w:cs="宋体"/>
          <w:color w:val="auto"/>
          <w:sz w:val="24"/>
          <w:highlight w:val="none"/>
        </w:rPr>
      </w:pPr>
      <w:r>
        <w:rPr>
          <w:rFonts w:hint="eastAsia" w:ascii="宋体" w:hAnsi="宋体" w:cs="宋体"/>
          <w:color w:val="auto"/>
          <w:sz w:val="24"/>
          <w:highlight w:val="none"/>
        </w:rPr>
        <w:t>25.7 招标代理机构工作人员对开标过程进行记录，并经纪检监察人员签字确认后存档备查。</w:t>
      </w:r>
    </w:p>
    <w:p>
      <w:pPr>
        <w:pStyle w:val="6"/>
        <w:ind w:left="1008" w:hanging="1008"/>
        <w:rPr>
          <w:rFonts w:hint="eastAsia" w:ascii="宋体" w:hAnsi="宋体" w:cs="宋体"/>
          <w:color w:val="auto"/>
          <w:highlight w:val="none"/>
        </w:rPr>
      </w:pPr>
      <w:r>
        <w:rPr>
          <w:rFonts w:hint="eastAsia" w:ascii="宋体" w:hAnsi="宋体" w:cs="宋体"/>
          <w:color w:val="auto"/>
          <w:highlight w:val="none"/>
        </w:rPr>
        <w:t>26、投标文件的有效性</w:t>
      </w:r>
    </w:p>
    <w:p>
      <w:pPr>
        <w:spacing w:line="360" w:lineRule="auto"/>
        <w:ind w:firstLine="500"/>
        <w:rPr>
          <w:rFonts w:hint="eastAsia" w:ascii="宋体" w:hAnsi="宋体" w:cs="宋体"/>
          <w:color w:val="auto"/>
          <w:sz w:val="24"/>
          <w:highlight w:val="none"/>
        </w:rPr>
      </w:pPr>
      <w:r>
        <w:rPr>
          <w:rFonts w:hint="eastAsia" w:ascii="宋体" w:hAnsi="宋体" w:cs="宋体"/>
          <w:color w:val="auto"/>
          <w:sz w:val="24"/>
          <w:highlight w:val="none"/>
        </w:rPr>
        <w:t>26.1 开标时，投标文件有下列情形之一的，招标人不予受理：</w:t>
      </w:r>
    </w:p>
    <w:p>
      <w:pPr>
        <w:spacing w:line="360" w:lineRule="auto"/>
        <w:ind w:firstLine="500"/>
        <w:rPr>
          <w:rFonts w:hint="eastAsia" w:ascii="宋体" w:hAnsi="宋体" w:cs="宋体"/>
          <w:color w:val="auto"/>
          <w:sz w:val="24"/>
          <w:highlight w:val="none"/>
        </w:rPr>
      </w:pPr>
      <w:r>
        <w:rPr>
          <w:rFonts w:hint="eastAsia" w:ascii="宋体" w:hAnsi="宋体" w:cs="宋体"/>
          <w:color w:val="auto"/>
          <w:sz w:val="24"/>
          <w:highlight w:val="none"/>
        </w:rPr>
        <w:t xml:space="preserve">    26.1.1逾期送达或未送达指定地点的；</w:t>
      </w:r>
    </w:p>
    <w:p>
      <w:pPr>
        <w:spacing w:line="360" w:lineRule="auto"/>
        <w:ind w:firstLine="500"/>
        <w:rPr>
          <w:rFonts w:hint="eastAsia" w:ascii="宋体" w:hAnsi="宋体" w:cs="宋体"/>
          <w:color w:val="auto"/>
          <w:sz w:val="24"/>
          <w:highlight w:val="none"/>
        </w:rPr>
      </w:pPr>
      <w:r>
        <w:rPr>
          <w:rFonts w:hint="eastAsia" w:ascii="宋体" w:hAnsi="宋体" w:cs="宋体"/>
          <w:color w:val="auto"/>
          <w:sz w:val="24"/>
          <w:highlight w:val="none"/>
        </w:rPr>
        <w:t xml:space="preserve">    26.1.2投标文件在规定时间内未解密或解密失败的；</w:t>
      </w:r>
    </w:p>
    <w:p>
      <w:pPr>
        <w:spacing w:line="360" w:lineRule="auto"/>
        <w:ind w:firstLine="500"/>
        <w:rPr>
          <w:rFonts w:hint="eastAsia" w:ascii="宋体" w:hAnsi="宋体" w:cs="宋体"/>
          <w:color w:val="auto"/>
          <w:sz w:val="24"/>
          <w:highlight w:val="none"/>
        </w:rPr>
      </w:pPr>
      <w:r>
        <w:rPr>
          <w:rFonts w:hint="eastAsia" w:ascii="宋体" w:hAnsi="宋体" w:cs="宋体"/>
          <w:color w:val="auto"/>
          <w:sz w:val="24"/>
          <w:highlight w:val="none"/>
        </w:rPr>
        <w:t>26.2开标结束后，所有开启并唱标完毕的投标文件将送达评标委员会进行评审、比较。</w:t>
      </w:r>
    </w:p>
    <w:p>
      <w:pPr>
        <w:pStyle w:val="5"/>
        <w:tabs>
          <w:tab w:val="center" w:pos="4677"/>
          <w:tab w:val="left" w:pos="6240"/>
        </w:tabs>
        <w:rPr>
          <w:rFonts w:hint="eastAsia" w:ascii="宋体" w:hAnsi="宋体" w:eastAsia="宋体" w:cs="宋体"/>
          <w:b/>
          <w:color w:val="auto"/>
          <w:highlight w:val="none"/>
        </w:rPr>
      </w:pPr>
      <w:r>
        <w:rPr>
          <w:rFonts w:hint="eastAsia" w:ascii="宋体" w:hAnsi="宋体" w:eastAsia="宋体" w:cs="宋体"/>
          <w:b/>
          <w:color w:val="auto"/>
          <w:highlight w:val="none"/>
        </w:rPr>
        <w:t>（六）评   标</w:t>
      </w:r>
    </w:p>
    <w:p>
      <w:pPr>
        <w:pStyle w:val="6"/>
        <w:ind w:left="1008" w:hanging="1008"/>
        <w:rPr>
          <w:rFonts w:hint="eastAsia" w:ascii="宋体" w:hAnsi="宋体" w:cs="宋体"/>
          <w:color w:val="auto"/>
          <w:highlight w:val="none"/>
        </w:rPr>
      </w:pPr>
      <w:r>
        <w:rPr>
          <w:rFonts w:hint="eastAsia" w:ascii="宋体" w:hAnsi="宋体" w:cs="宋体"/>
          <w:color w:val="auto"/>
          <w:highlight w:val="none"/>
        </w:rPr>
        <w:t>27、评标委员会与评标</w:t>
      </w:r>
    </w:p>
    <w:p>
      <w:pPr>
        <w:spacing w:line="360" w:lineRule="auto"/>
        <w:ind w:firstLine="500"/>
        <w:rPr>
          <w:rFonts w:hint="eastAsia" w:ascii="宋体" w:hAnsi="宋体" w:cs="宋体"/>
          <w:color w:val="auto"/>
          <w:sz w:val="24"/>
          <w:highlight w:val="none"/>
        </w:rPr>
      </w:pPr>
      <w:r>
        <w:rPr>
          <w:rFonts w:hint="eastAsia" w:ascii="宋体" w:hAnsi="宋体" w:cs="宋体"/>
          <w:color w:val="auto"/>
          <w:sz w:val="24"/>
          <w:highlight w:val="none"/>
        </w:rPr>
        <w:t>27.1评标委员会由招标人依法组建，负责评标活动。</w:t>
      </w:r>
    </w:p>
    <w:p>
      <w:pPr>
        <w:spacing w:line="360" w:lineRule="auto"/>
        <w:ind w:firstLine="500"/>
        <w:rPr>
          <w:rFonts w:hint="eastAsia" w:ascii="宋体" w:hAnsi="宋体" w:cs="宋体"/>
          <w:color w:val="auto"/>
          <w:sz w:val="24"/>
          <w:highlight w:val="none"/>
        </w:rPr>
      </w:pPr>
      <w:r>
        <w:rPr>
          <w:rFonts w:hint="eastAsia" w:ascii="宋体" w:hAnsi="宋体" w:cs="宋体"/>
          <w:color w:val="auto"/>
          <w:sz w:val="24"/>
          <w:highlight w:val="none"/>
        </w:rPr>
        <w:t>27.2开标结束后，开始评标，评标采用保密方式进行。</w:t>
      </w:r>
    </w:p>
    <w:p>
      <w:pPr>
        <w:pStyle w:val="6"/>
        <w:ind w:left="1008" w:hanging="1008"/>
        <w:rPr>
          <w:rFonts w:hint="eastAsia" w:ascii="宋体" w:hAnsi="宋体" w:cs="宋体"/>
          <w:color w:val="auto"/>
          <w:highlight w:val="none"/>
        </w:rPr>
      </w:pPr>
      <w:r>
        <w:rPr>
          <w:rFonts w:hint="eastAsia" w:ascii="宋体" w:hAnsi="宋体" w:cs="宋体"/>
          <w:color w:val="auto"/>
          <w:highlight w:val="none"/>
        </w:rPr>
        <w:t>28、评标过程的保密</w:t>
      </w:r>
    </w:p>
    <w:p>
      <w:pPr>
        <w:spacing w:line="360" w:lineRule="auto"/>
        <w:ind w:firstLine="500"/>
        <w:rPr>
          <w:rFonts w:hint="eastAsia" w:ascii="宋体" w:hAnsi="宋体" w:cs="宋体"/>
          <w:color w:val="auto"/>
          <w:sz w:val="24"/>
          <w:highlight w:val="none"/>
        </w:rPr>
      </w:pPr>
      <w:r>
        <w:rPr>
          <w:rFonts w:hint="eastAsia" w:ascii="宋体" w:hAnsi="宋体" w:cs="宋体"/>
          <w:color w:val="auto"/>
          <w:sz w:val="24"/>
          <w:highlight w:val="none"/>
        </w:rPr>
        <w:t>28.1开标后，直至授予中标单位合同为止，凡属于对投标文件的审查、澄清、评价和比较的有关资料以及中标单位的推荐情况，与评标有关的其他任何情况均严格保密，评标委员会成员及相关工作人员必须严格遵守保密纪律。</w:t>
      </w:r>
    </w:p>
    <w:p>
      <w:pPr>
        <w:spacing w:line="360" w:lineRule="auto"/>
        <w:ind w:firstLine="500"/>
        <w:rPr>
          <w:rFonts w:hint="eastAsia" w:ascii="宋体" w:hAnsi="宋体" w:cs="宋体"/>
          <w:color w:val="auto"/>
          <w:sz w:val="24"/>
          <w:highlight w:val="none"/>
        </w:rPr>
      </w:pPr>
      <w:r>
        <w:rPr>
          <w:rFonts w:hint="eastAsia" w:ascii="宋体" w:hAnsi="宋体" w:cs="宋体"/>
          <w:color w:val="auto"/>
          <w:sz w:val="24"/>
          <w:highlight w:val="none"/>
        </w:rPr>
        <w:t>28.2 在投标文件的评审和比较、中标单位入选以及授予合同的过程中，投标人向招标人和评标委员会施加影响的任何行为，都将会导致其投标被拒绝。</w:t>
      </w:r>
    </w:p>
    <w:p>
      <w:pPr>
        <w:spacing w:line="360" w:lineRule="auto"/>
        <w:ind w:firstLine="500"/>
        <w:rPr>
          <w:rFonts w:hint="eastAsia" w:ascii="宋体" w:hAnsi="宋体" w:cs="宋体"/>
          <w:color w:val="auto"/>
          <w:sz w:val="24"/>
          <w:highlight w:val="none"/>
        </w:rPr>
      </w:pPr>
      <w:r>
        <w:rPr>
          <w:rFonts w:hint="eastAsia" w:ascii="宋体" w:hAnsi="宋体" w:cs="宋体"/>
          <w:color w:val="auto"/>
          <w:sz w:val="24"/>
          <w:highlight w:val="none"/>
        </w:rPr>
        <w:t>28.3中标单位确定后，招标人不对未入选单位就评标过程以及未能入选原因作出任何解释。未中标单位不得向评标委员会组成人员或其他有关人员索问评标过程的情况和材料。</w:t>
      </w:r>
    </w:p>
    <w:p>
      <w:pPr>
        <w:pStyle w:val="6"/>
        <w:ind w:firstLine="0"/>
        <w:rPr>
          <w:rFonts w:hint="eastAsia" w:ascii="宋体" w:hAnsi="宋体" w:cs="宋体"/>
          <w:color w:val="auto"/>
          <w:highlight w:val="none"/>
        </w:rPr>
      </w:pPr>
      <w:r>
        <w:rPr>
          <w:rFonts w:hint="eastAsia" w:ascii="宋体" w:hAnsi="宋体" w:cs="宋体"/>
          <w:color w:val="auto"/>
          <w:highlight w:val="none"/>
        </w:rPr>
        <w:t>29、投标文件的澄清</w:t>
      </w:r>
    </w:p>
    <w:p>
      <w:pPr>
        <w:spacing w:line="360" w:lineRule="auto"/>
        <w:ind w:firstLine="500"/>
        <w:rPr>
          <w:rFonts w:hint="eastAsia" w:ascii="宋体" w:hAnsi="宋体" w:cs="宋体"/>
          <w:color w:val="auto"/>
          <w:sz w:val="24"/>
          <w:highlight w:val="none"/>
        </w:rPr>
      </w:pPr>
      <w:r>
        <w:rPr>
          <w:rFonts w:hint="eastAsia" w:ascii="宋体" w:hAnsi="宋体" w:cs="宋体"/>
          <w:color w:val="auto"/>
          <w:sz w:val="24"/>
          <w:highlight w:val="none"/>
        </w:rPr>
        <w:t>29.1为有助于投标文件的审查、评价和比较，评标委员会可以书面形式要求投标人对投标文件含义不明确的内容作必要的澄清或说明，投标人应采用书面形式进行澄清或说明，但不得超出投标文件的范围或改变投标文件的实质性内容。根据本须知第27条规定，凡属于评标委员会在评标中发现的计算错误进行核实的修改不在此列。</w:t>
      </w:r>
    </w:p>
    <w:p>
      <w:pPr>
        <w:pStyle w:val="6"/>
        <w:ind w:firstLine="0"/>
        <w:rPr>
          <w:rFonts w:hint="eastAsia" w:ascii="宋体" w:hAnsi="宋体" w:cs="宋体"/>
          <w:color w:val="auto"/>
          <w:highlight w:val="none"/>
        </w:rPr>
      </w:pPr>
      <w:r>
        <w:rPr>
          <w:rFonts w:hint="eastAsia" w:ascii="宋体" w:hAnsi="宋体" w:cs="宋体"/>
          <w:color w:val="auto"/>
          <w:highlight w:val="none"/>
        </w:rPr>
        <w:t>30、投标文件的评审</w:t>
      </w:r>
    </w:p>
    <w:p>
      <w:pPr>
        <w:spacing w:line="360" w:lineRule="auto"/>
        <w:ind w:firstLine="500"/>
        <w:rPr>
          <w:rFonts w:hint="eastAsia" w:ascii="宋体" w:hAnsi="宋体" w:cs="宋体"/>
          <w:color w:val="auto"/>
          <w:sz w:val="24"/>
          <w:highlight w:val="none"/>
        </w:rPr>
      </w:pPr>
      <w:r>
        <w:rPr>
          <w:rFonts w:hint="eastAsia" w:ascii="宋体" w:hAnsi="宋体" w:cs="宋体"/>
          <w:color w:val="auto"/>
          <w:sz w:val="24"/>
          <w:highlight w:val="none"/>
        </w:rPr>
        <w:t>30.1投标文件的评审分资格审查、初步评审和详细评审三步（详见《第七章 评标办法》）。</w:t>
      </w:r>
    </w:p>
    <w:p>
      <w:pPr>
        <w:pStyle w:val="6"/>
        <w:ind w:firstLine="0"/>
        <w:rPr>
          <w:rFonts w:hint="eastAsia" w:ascii="宋体" w:hAnsi="宋体" w:cs="宋体"/>
          <w:color w:val="auto"/>
          <w:highlight w:val="none"/>
        </w:rPr>
      </w:pPr>
      <w:r>
        <w:rPr>
          <w:rFonts w:hint="eastAsia" w:ascii="宋体" w:hAnsi="宋体" w:cs="宋体"/>
          <w:color w:val="auto"/>
          <w:highlight w:val="none"/>
        </w:rPr>
        <w:t>31、投标文件的评审、比较和否决</w:t>
      </w:r>
    </w:p>
    <w:p>
      <w:pPr>
        <w:spacing w:line="360" w:lineRule="auto"/>
        <w:ind w:firstLine="500"/>
        <w:rPr>
          <w:rFonts w:hint="eastAsia" w:ascii="宋体" w:hAnsi="宋体" w:cs="宋体"/>
          <w:color w:val="auto"/>
          <w:sz w:val="24"/>
          <w:szCs w:val="28"/>
          <w:highlight w:val="none"/>
        </w:rPr>
      </w:pPr>
      <w:r>
        <w:rPr>
          <w:rFonts w:hint="eastAsia" w:ascii="宋体" w:hAnsi="宋体" w:cs="宋体"/>
          <w:color w:val="auto"/>
          <w:sz w:val="24"/>
          <w:szCs w:val="28"/>
          <w:highlight w:val="none"/>
        </w:rPr>
        <w:t>31.1评标委员会将按照本须知第26条规定，仅对在实质上响应招标文件要求的投标文件进行评估和比较。</w:t>
      </w:r>
    </w:p>
    <w:p>
      <w:pPr>
        <w:spacing w:line="360" w:lineRule="auto"/>
        <w:ind w:firstLine="500"/>
        <w:rPr>
          <w:rFonts w:hint="eastAsia" w:ascii="宋体" w:hAnsi="宋体" w:cs="宋体"/>
          <w:color w:val="auto"/>
          <w:sz w:val="24"/>
          <w:szCs w:val="28"/>
          <w:highlight w:val="none"/>
        </w:rPr>
      </w:pPr>
      <w:r>
        <w:rPr>
          <w:rFonts w:hint="eastAsia" w:ascii="宋体" w:hAnsi="宋体" w:cs="宋体"/>
          <w:color w:val="auto"/>
          <w:sz w:val="24"/>
          <w:szCs w:val="28"/>
          <w:highlight w:val="none"/>
        </w:rPr>
        <w:t>31.2 在评审过程中,评标委员会可以书面形式要求投标人就投标文件中含义不明确的内容进行书面说明并提供相关材料。</w:t>
      </w:r>
    </w:p>
    <w:p>
      <w:pPr>
        <w:spacing w:line="360" w:lineRule="auto"/>
        <w:ind w:firstLine="500"/>
        <w:rPr>
          <w:rFonts w:hint="eastAsia" w:ascii="宋体" w:hAnsi="宋体" w:cs="宋体"/>
          <w:color w:val="auto"/>
          <w:sz w:val="24"/>
          <w:szCs w:val="28"/>
          <w:highlight w:val="none"/>
        </w:rPr>
      </w:pPr>
      <w:r>
        <w:rPr>
          <w:rFonts w:hint="eastAsia" w:ascii="宋体" w:hAnsi="宋体" w:cs="宋体"/>
          <w:color w:val="auto"/>
          <w:sz w:val="24"/>
          <w:szCs w:val="28"/>
          <w:highlight w:val="none"/>
        </w:rPr>
        <w:t>31.3评标委员会依据本须知前附表第22项规定的评标标准和方法，对投标文件进行评审和比较，向招标人提出书面评标报告，中标单位须符合本须知第4款之规定。</w:t>
      </w:r>
    </w:p>
    <w:p>
      <w:pPr>
        <w:spacing w:line="360" w:lineRule="auto"/>
        <w:ind w:firstLine="500"/>
        <w:rPr>
          <w:rFonts w:hint="eastAsia" w:ascii="宋体" w:hAnsi="宋体" w:cs="宋体"/>
          <w:color w:val="auto"/>
          <w:sz w:val="24"/>
          <w:szCs w:val="28"/>
          <w:highlight w:val="none"/>
        </w:rPr>
      </w:pPr>
      <w:r>
        <w:rPr>
          <w:rFonts w:hint="eastAsia" w:ascii="宋体" w:hAnsi="宋体" w:cs="宋体"/>
          <w:color w:val="auto"/>
          <w:sz w:val="24"/>
          <w:szCs w:val="28"/>
          <w:highlight w:val="none"/>
        </w:rPr>
        <w:t>31.4 评标方法和标准</w:t>
      </w:r>
    </w:p>
    <w:p>
      <w:pPr>
        <w:spacing w:line="360" w:lineRule="auto"/>
        <w:ind w:firstLine="500"/>
        <w:rPr>
          <w:rFonts w:hint="eastAsia" w:ascii="宋体" w:hAnsi="宋体" w:cs="宋体"/>
          <w:b/>
          <w:color w:val="auto"/>
          <w:sz w:val="24"/>
          <w:szCs w:val="28"/>
          <w:highlight w:val="none"/>
        </w:rPr>
      </w:pPr>
      <w:r>
        <w:rPr>
          <w:rFonts w:hint="eastAsia" w:ascii="宋体" w:hAnsi="宋体" w:cs="宋体"/>
          <w:b/>
          <w:color w:val="auto"/>
          <w:sz w:val="24"/>
          <w:szCs w:val="28"/>
          <w:highlight w:val="none"/>
        </w:rPr>
        <w:t>详见本</w:t>
      </w:r>
      <w:r>
        <w:rPr>
          <w:rFonts w:hint="eastAsia" w:ascii="宋体" w:hAnsi="宋体" w:cs="宋体"/>
          <w:b/>
          <w:color w:val="auto"/>
          <w:sz w:val="24"/>
          <w:highlight w:val="none"/>
        </w:rPr>
        <w:t>招标文件《第七章 评标办法》</w:t>
      </w:r>
    </w:p>
    <w:p>
      <w:pPr>
        <w:spacing w:line="360" w:lineRule="auto"/>
        <w:ind w:firstLine="523" w:firstLineChars="218"/>
        <w:rPr>
          <w:rFonts w:hint="eastAsia" w:ascii="宋体" w:hAnsi="宋体" w:cs="宋体"/>
          <w:color w:val="auto"/>
          <w:sz w:val="24"/>
          <w:szCs w:val="28"/>
          <w:highlight w:val="none"/>
        </w:rPr>
      </w:pPr>
      <w:r>
        <w:rPr>
          <w:rFonts w:hint="eastAsia" w:ascii="宋体" w:hAnsi="宋体" w:cs="宋体"/>
          <w:color w:val="auto"/>
          <w:sz w:val="24"/>
          <w:szCs w:val="28"/>
          <w:highlight w:val="none"/>
        </w:rPr>
        <w:t>31.5评分要求和统计分数原则</w:t>
      </w:r>
    </w:p>
    <w:p>
      <w:pPr>
        <w:spacing w:line="360" w:lineRule="auto"/>
        <w:ind w:firstLine="523" w:firstLineChars="218"/>
        <w:rPr>
          <w:rFonts w:hint="eastAsia" w:ascii="宋体" w:hAnsi="宋体" w:cs="宋体"/>
          <w:color w:val="auto"/>
          <w:sz w:val="24"/>
          <w:szCs w:val="28"/>
          <w:highlight w:val="none"/>
        </w:rPr>
      </w:pPr>
      <w:r>
        <w:rPr>
          <w:rFonts w:hint="eastAsia" w:ascii="宋体" w:hAnsi="宋体" w:cs="宋体"/>
          <w:color w:val="auto"/>
          <w:sz w:val="24"/>
          <w:szCs w:val="28"/>
          <w:highlight w:val="none"/>
        </w:rPr>
        <w:t>31.5.1评标委员会评委应首先对各投标人投标书进行评审，并按招标文件规定分值评分，</w:t>
      </w:r>
      <w:r>
        <w:rPr>
          <w:rFonts w:hint="eastAsia" w:ascii="宋体" w:hAnsi="宋体" w:cs="宋体"/>
          <w:color w:val="auto"/>
          <w:spacing w:val="4"/>
          <w:sz w:val="24"/>
          <w:highlight w:val="none"/>
        </w:rPr>
        <w:t>中间用插入法确定分数</w:t>
      </w:r>
      <w:r>
        <w:rPr>
          <w:rFonts w:hint="eastAsia" w:ascii="宋体" w:hAnsi="宋体" w:cs="宋体"/>
          <w:color w:val="auto"/>
          <w:sz w:val="24"/>
          <w:szCs w:val="28"/>
          <w:highlight w:val="none"/>
        </w:rPr>
        <w:t>。</w:t>
      </w:r>
    </w:p>
    <w:p>
      <w:pPr>
        <w:spacing w:line="360" w:lineRule="auto"/>
        <w:ind w:firstLine="523" w:firstLineChars="218"/>
        <w:rPr>
          <w:rFonts w:hint="eastAsia" w:ascii="宋体" w:hAnsi="宋体" w:cs="宋体"/>
          <w:color w:val="auto"/>
          <w:sz w:val="24"/>
          <w:szCs w:val="28"/>
          <w:highlight w:val="none"/>
        </w:rPr>
      </w:pPr>
      <w:r>
        <w:rPr>
          <w:rFonts w:hint="eastAsia" w:ascii="宋体" w:hAnsi="宋体" w:cs="宋体"/>
          <w:color w:val="auto"/>
          <w:sz w:val="24"/>
          <w:szCs w:val="28"/>
          <w:highlight w:val="none"/>
        </w:rPr>
        <w:t>31.5.2 技术部分、商务部分评分中，各评委应自主评分并签字确认。</w:t>
      </w:r>
    </w:p>
    <w:p>
      <w:pPr>
        <w:spacing w:line="360" w:lineRule="auto"/>
        <w:ind w:firstLine="523" w:firstLineChars="218"/>
        <w:rPr>
          <w:rFonts w:hint="eastAsia" w:ascii="宋体" w:hAnsi="宋体" w:cs="宋体"/>
          <w:color w:val="auto"/>
          <w:sz w:val="24"/>
          <w:szCs w:val="28"/>
          <w:highlight w:val="none"/>
        </w:rPr>
      </w:pPr>
      <w:r>
        <w:rPr>
          <w:rFonts w:hint="eastAsia" w:ascii="宋体" w:hAnsi="宋体" w:cs="宋体"/>
          <w:color w:val="auto"/>
          <w:sz w:val="24"/>
          <w:szCs w:val="28"/>
          <w:highlight w:val="none"/>
        </w:rPr>
        <w:t>31.5.3 统计分数原则：评分后计算平均分值为投标人技术部分的得分（保留小数点后两位）。</w:t>
      </w:r>
    </w:p>
    <w:p>
      <w:pPr>
        <w:spacing w:line="360" w:lineRule="auto"/>
        <w:ind w:firstLine="525" w:firstLineChars="218"/>
        <w:rPr>
          <w:rFonts w:hint="eastAsia" w:ascii="宋体" w:hAnsi="宋体" w:cs="宋体"/>
          <w:b/>
          <w:color w:val="auto"/>
          <w:sz w:val="24"/>
          <w:szCs w:val="28"/>
          <w:highlight w:val="none"/>
        </w:rPr>
      </w:pPr>
      <w:r>
        <w:rPr>
          <w:rFonts w:hint="eastAsia" w:ascii="宋体" w:hAnsi="宋体" w:cs="宋体"/>
          <w:b/>
          <w:color w:val="auto"/>
          <w:sz w:val="24"/>
          <w:szCs w:val="28"/>
          <w:highlight w:val="none"/>
        </w:rPr>
        <w:t>31.6招标人在评标委员会推荐的中标候选人中，确定排名第一的为中标人。</w:t>
      </w:r>
    </w:p>
    <w:p>
      <w:pPr>
        <w:spacing w:line="360" w:lineRule="auto"/>
        <w:ind w:firstLine="523" w:firstLineChars="218"/>
        <w:rPr>
          <w:rFonts w:hint="eastAsia" w:ascii="宋体" w:hAnsi="宋体" w:cs="宋体"/>
          <w:color w:val="auto"/>
          <w:sz w:val="24"/>
          <w:szCs w:val="28"/>
          <w:highlight w:val="none"/>
        </w:rPr>
      </w:pPr>
      <w:r>
        <w:rPr>
          <w:rFonts w:hint="eastAsia" w:ascii="宋体" w:hAnsi="宋体" w:cs="宋体"/>
          <w:color w:val="auto"/>
          <w:sz w:val="24"/>
          <w:szCs w:val="28"/>
          <w:highlight w:val="none"/>
        </w:rPr>
        <w:t>31.7中标候选人的经营、财务状况发生较大变化或者存在违法行为，招标人认为可能影响其履约能力的，应当在发出中标通知书前由原评标委员会按照招标文件规定的标准和方法审查确认。</w:t>
      </w:r>
    </w:p>
    <w:p>
      <w:pPr>
        <w:spacing w:line="360" w:lineRule="auto"/>
        <w:ind w:firstLine="523" w:firstLineChars="218"/>
        <w:rPr>
          <w:rFonts w:hint="eastAsia" w:ascii="宋体" w:hAnsi="宋体" w:cs="宋体"/>
          <w:color w:val="auto"/>
          <w:sz w:val="24"/>
          <w:szCs w:val="28"/>
          <w:highlight w:val="none"/>
        </w:rPr>
      </w:pPr>
      <w:r>
        <w:rPr>
          <w:rFonts w:hint="eastAsia" w:ascii="宋体" w:hAnsi="宋体" w:cs="宋体"/>
          <w:color w:val="auto"/>
          <w:sz w:val="24"/>
          <w:szCs w:val="28"/>
          <w:highlight w:val="none"/>
        </w:rPr>
        <w:t>31.8招标人不向未中标的投标人解释未中标原因。</w:t>
      </w:r>
    </w:p>
    <w:p>
      <w:pPr>
        <w:spacing w:line="360" w:lineRule="auto"/>
        <w:ind w:firstLine="523" w:firstLineChars="218"/>
        <w:rPr>
          <w:rFonts w:hint="eastAsia" w:ascii="宋体" w:hAnsi="宋体" w:cs="宋体"/>
          <w:color w:val="auto"/>
          <w:sz w:val="24"/>
          <w:szCs w:val="28"/>
          <w:highlight w:val="none"/>
        </w:rPr>
      </w:pPr>
      <w:r>
        <w:rPr>
          <w:rFonts w:hint="eastAsia" w:ascii="宋体" w:hAnsi="宋体" w:cs="宋体"/>
          <w:color w:val="auto"/>
          <w:sz w:val="24"/>
          <w:szCs w:val="28"/>
          <w:highlight w:val="none"/>
        </w:rPr>
        <w:t>31.9投标人或者其他利害关系人对本项目的评标结果有异议的，应当在中标候选人公示期间提出。招标人应当自收到异议之日起3日内作出答复；作出答复前，应当暂停招标投标活动。</w:t>
      </w:r>
    </w:p>
    <w:p>
      <w:pPr>
        <w:pStyle w:val="5"/>
        <w:tabs>
          <w:tab w:val="center" w:pos="4677"/>
          <w:tab w:val="left" w:pos="6240"/>
        </w:tabs>
        <w:rPr>
          <w:rFonts w:hint="eastAsia" w:ascii="宋体" w:hAnsi="宋体" w:eastAsia="宋体" w:cs="宋体"/>
          <w:b/>
          <w:color w:val="auto"/>
          <w:highlight w:val="none"/>
        </w:rPr>
      </w:pPr>
      <w:r>
        <w:rPr>
          <w:rFonts w:hint="eastAsia" w:ascii="宋体" w:hAnsi="宋体" w:eastAsia="宋体" w:cs="宋体"/>
          <w:b/>
          <w:color w:val="auto"/>
          <w:highlight w:val="none"/>
        </w:rPr>
        <w:t>（七）合同的授予</w:t>
      </w:r>
    </w:p>
    <w:p>
      <w:pPr>
        <w:pStyle w:val="6"/>
        <w:ind w:firstLine="0"/>
        <w:rPr>
          <w:rFonts w:hint="eastAsia" w:ascii="宋体" w:hAnsi="宋体" w:cs="宋体"/>
          <w:color w:val="auto"/>
          <w:highlight w:val="none"/>
        </w:rPr>
      </w:pPr>
      <w:r>
        <w:rPr>
          <w:rFonts w:hint="eastAsia" w:ascii="宋体" w:hAnsi="宋体" w:cs="宋体"/>
          <w:color w:val="auto"/>
          <w:highlight w:val="none"/>
        </w:rPr>
        <w:t>32、合同授予标准</w:t>
      </w:r>
    </w:p>
    <w:p>
      <w:pPr>
        <w:spacing w:line="360" w:lineRule="auto"/>
        <w:ind w:firstLine="500"/>
        <w:rPr>
          <w:rFonts w:hint="eastAsia" w:ascii="宋体" w:hAnsi="宋体" w:cs="宋体"/>
          <w:color w:val="auto"/>
          <w:sz w:val="24"/>
          <w:highlight w:val="none"/>
        </w:rPr>
      </w:pPr>
      <w:r>
        <w:rPr>
          <w:rFonts w:hint="eastAsia" w:ascii="宋体" w:hAnsi="宋体" w:cs="宋体"/>
          <w:color w:val="auto"/>
          <w:sz w:val="24"/>
          <w:highlight w:val="none"/>
        </w:rPr>
        <w:t>32.1本招标项目的服务合同将授予按本须知第31.6款所确定的中标人，招标人与中标人签订服务合同。</w:t>
      </w:r>
    </w:p>
    <w:p>
      <w:pPr>
        <w:spacing w:line="360" w:lineRule="auto"/>
        <w:ind w:firstLine="500"/>
        <w:rPr>
          <w:rFonts w:hint="eastAsia" w:ascii="宋体" w:hAnsi="宋体" w:cs="宋体"/>
          <w:color w:val="auto"/>
          <w:sz w:val="24"/>
          <w:highlight w:val="none"/>
        </w:rPr>
      </w:pPr>
      <w:r>
        <w:rPr>
          <w:rFonts w:hint="eastAsia" w:ascii="宋体" w:hAnsi="宋体" w:cs="宋体"/>
          <w:color w:val="auto"/>
          <w:sz w:val="24"/>
          <w:highlight w:val="none"/>
        </w:rPr>
        <w:t>32.2非招标人原因中标人在中标通知书发出后30日内不与招标人签订服务合同的，招标人将有充分理由取消中标资格，招标人有权按照评标推荐意见选择下一名中标候选人作为中标人或者重新招标。</w:t>
      </w:r>
    </w:p>
    <w:p>
      <w:pPr>
        <w:spacing w:line="360" w:lineRule="auto"/>
        <w:ind w:firstLine="500"/>
        <w:rPr>
          <w:rFonts w:hint="eastAsia" w:ascii="宋体" w:hAnsi="宋体" w:cs="宋体"/>
          <w:color w:val="auto"/>
          <w:sz w:val="24"/>
          <w:highlight w:val="none"/>
        </w:rPr>
      </w:pPr>
      <w:r>
        <w:rPr>
          <w:rFonts w:hint="eastAsia" w:ascii="宋体" w:hAnsi="宋体" w:cs="宋体"/>
          <w:color w:val="auto"/>
          <w:sz w:val="24"/>
          <w:highlight w:val="none"/>
        </w:rPr>
        <w:t>32.3在招标人与中标人签订下一次合同之前，由中标人按招标人的相关规定对成交人上一次合同执行情况进行评定，评定结果合格的续签下一次合同，评定结果不合格的取消中标人下一次合同执行权利。</w:t>
      </w:r>
    </w:p>
    <w:p>
      <w:pPr>
        <w:pStyle w:val="6"/>
        <w:ind w:firstLine="0"/>
        <w:rPr>
          <w:rFonts w:hint="eastAsia" w:ascii="宋体" w:hAnsi="宋体" w:cs="宋体"/>
          <w:color w:val="auto"/>
          <w:highlight w:val="none"/>
        </w:rPr>
      </w:pPr>
      <w:r>
        <w:rPr>
          <w:rFonts w:hint="eastAsia" w:ascii="宋体" w:hAnsi="宋体" w:cs="宋体"/>
          <w:color w:val="auto"/>
          <w:highlight w:val="none"/>
        </w:rPr>
        <w:t>33、招标人拒绝投标的权力</w:t>
      </w:r>
    </w:p>
    <w:p>
      <w:pPr>
        <w:spacing w:line="360" w:lineRule="auto"/>
        <w:ind w:firstLine="500"/>
        <w:rPr>
          <w:rFonts w:hint="eastAsia" w:ascii="宋体" w:hAnsi="宋体" w:cs="宋体"/>
          <w:color w:val="auto"/>
          <w:sz w:val="24"/>
          <w:highlight w:val="none"/>
        </w:rPr>
      </w:pPr>
      <w:r>
        <w:rPr>
          <w:rFonts w:hint="eastAsia" w:ascii="宋体" w:hAnsi="宋体" w:cs="宋体"/>
          <w:color w:val="auto"/>
          <w:sz w:val="24"/>
          <w:highlight w:val="none"/>
        </w:rPr>
        <w:t>33.1</w:t>
      </w:r>
      <w:r>
        <w:rPr>
          <w:rFonts w:hint="eastAsia" w:ascii="宋体" w:hAnsi="宋体" w:cs="宋体"/>
          <w:color w:val="auto"/>
          <w:spacing w:val="6"/>
          <w:kern w:val="0"/>
          <w:sz w:val="24"/>
          <w:highlight w:val="none"/>
        </w:rPr>
        <w:t>招标人在发出中标通知书前，有权依据评标委员会的评标报告拒绝不合格的投标。</w:t>
      </w:r>
    </w:p>
    <w:p>
      <w:pPr>
        <w:pStyle w:val="6"/>
        <w:ind w:firstLine="0"/>
        <w:rPr>
          <w:rFonts w:hint="eastAsia" w:ascii="宋体" w:hAnsi="宋体" w:cs="宋体"/>
          <w:color w:val="auto"/>
          <w:highlight w:val="none"/>
        </w:rPr>
      </w:pPr>
      <w:r>
        <w:rPr>
          <w:rFonts w:hint="eastAsia" w:ascii="宋体" w:hAnsi="宋体" w:cs="宋体"/>
          <w:color w:val="auto"/>
          <w:highlight w:val="none"/>
        </w:rPr>
        <w:t>34、中标通知书</w:t>
      </w:r>
    </w:p>
    <w:p>
      <w:pPr>
        <w:spacing w:line="360" w:lineRule="auto"/>
        <w:ind w:firstLine="500"/>
        <w:rPr>
          <w:rFonts w:hint="eastAsia" w:ascii="宋体" w:hAnsi="宋体" w:cs="宋体"/>
          <w:color w:val="auto"/>
          <w:sz w:val="24"/>
          <w:highlight w:val="none"/>
        </w:rPr>
      </w:pPr>
      <w:r>
        <w:rPr>
          <w:rFonts w:hint="eastAsia" w:ascii="宋体" w:hAnsi="宋体" w:cs="宋体"/>
          <w:color w:val="auto"/>
          <w:sz w:val="24"/>
          <w:highlight w:val="none"/>
        </w:rPr>
        <w:t>34.1中标单位确定后招标人向中标单位发出中标通知书，并将中标结果告知所有未中标的投标人。</w:t>
      </w:r>
    </w:p>
    <w:p>
      <w:pPr>
        <w:spacing w:line="360" w:lineRule="auto"/>
        <w:ind w:firstLine="500"/>
        <w:rPr>
          <w:rFonts w:hint="eastAsia" w:ascii="宋体" w:hAnsi="宋体" w:cs="宋体"/>
          <w:color w:val="auto"/>
          <w:sz w:val="24"/>
          <w:highlight w:val="none"/>
        </w:rPr>
      </w:pPr>
      <w:r>
        <w:rPr>
          <w:rFonts w:hint="eastAsia" w:ascii="宋体" w:hAnsi="宋体" w:cs="宋体"/>
          <w:color w:val="auto"/>
          <w:sz w:val="24"/>
          <w:highlight w:val="none"/>
        </w:rPr>
        <w:t>34.2中标通知书是合同的一个组成部分。</w:t>
      </w:r>
    </w:p>
    <w:p>
      <w:pPr>
        <w:pStyle w:val="6"/>
        <w:ind w:firstLine="0"/>
        <w:rPr>
          <w:rFonts w:hint="eastAsia" w:ascii="宋体" w:hAnsi="宋体" w:cs="宋体"/>
          <w:color w:val="auto"/>
          <w:highlight w:val="none"/>
        </w:rPr>
      </w:pPr>
      <w:r>
        <w:rPr>
          <w:rFonts w:hint="eastAsia" w:ascii="宋体" w:hAnsi="宋体" w:cs="宋体"/>
          <w:color w:val="auto"/>
          <w:highlight w:val="none"/>
        </w:rPr>
        <w:t>35、合同协议书的签订</w:t>
      </w:r>
    </w:p>
    <w:p>
      <w:pPr>
        <w:spacing w:line="360" w:lineRule="auto"/>
        <w:ind w:firstLine="500"/>
        <w:rPr>
          <w:rFonts w:hint="eastAsia" w:ascii="宋体" w:hAnsi="宋体" w:cs="宋体"/>
          <w:b/>
          <w:color w:val="auto"/>
          <w:sz w:val="24"/>
          <w:highlight w:val="none"/>
        </w:rPr>
      </w:pPr>
      <w:r>
        <w:rPr>
          <w:rFonts w:hint="eastAsia" w:ascii="宋体" w:hAnsi="宋体" w:cs="宋体"/>
          <w:b/>
          <w:color w:val="auto"/>
          <w:sz w:val="24"/>
          <w:highlight w:val="none"/>
        </w:rPr>
        <w:t>35.1 合同签订前，招标人有权对中标人投标文件中提供材料的真实性进行核查，若被查实存在影响中标结果的违法行为等情形，不符合中标条件的，取消其中标资格，且已交纳的投标保证金不予退还，招标人可以按照评标委员会推荐的中标候选人名单排序依次确定其他中标候选人为中标人，或重新组织招标。</w:t>
      </w:r>
    </w:p>
    <w:p>
      <w:pPr>
        <w:spacing w:line="360" w:lineRule="auto"/>
        <w:ind w:firstLine="500"/>
        <w:rPr>
          <w:rFonts w:hint="eastAsia" w:ascii="宋体" w:hAnsi="宋体" w:cs="宋体"/>
          <w:color w:val="auto"/>
          <w:sz w:val="24"/>
          <w:highlight w:val="none"/>
        </w:rPr>
      </w:pPr>
      <w:r>
        <w:rPr>
          <w:rFonts w:hint="eastAsia" w:ascii="宋体" w:hAnsi="宋体" w:cs="宋体"/>
          <w:color w:val="auto"/>
          <w:sz w:val="24"/>
          <w:highlight w:val="none"/>
        </w:rPr>
        <w:t>35.2招标人与中标人将于中标通知书发出之日起30日内，按照招标文件和中标人的投标文件订立书面服务合同，招标人和中标人不得再行订立背离合同实质性内容的其他协议。</w:t>
      </w:r>
    </w:p>
    <w:p>
      <w:pPr>
        <w:spacing w:line="360" w:lineRule="auto"/>
        <w:ind w:firstLine="500"/>
        <w:rPr>
          <w:rFonts w:hint="eastAsia" w:ascii="宋体" w:hAnsi="宋体" w:cs="宋体"/>
          <w:color w:val="auto"/>
          <w:sz w:val="24"/>
          <w:highlight w:val="none"/>
        </w:rPr>
      </w:pPr>
      <w:r>
        <w:rPr>
          <w:rFonts w:hint="eastAsia" w:ascii="宋体" w:hAnsi="宋体" w:cs="宋体"/>
          <w:color w:val="auto"/>
          <w:sz w:val="24"/>
          <w:highlight w:val="none"/>
        </w:rPr>
        <w:t>35.3招标人如不按本投标须知第35.1款的规定与中标人订立合同，或者招标人、中标人订立背离合同实质性内容的协议，应改正并按规定处予罚款。</w:t>
      </w:r>
    </w:p>
    <w:p>
      <w:pPr>
        <w:spacing w:line="360" w:lineRule="auto"/>
        <w:ind w:firstLine="500"/>
        <w:rPr>
          <w:rFonts w:hint="eastAsia" w:ascii="宋体" w:hAnsi="宋体" w:cs="宋体"/>
          <w:color w:val="auto"/>
          <w:sz w:val="24"/>
          <w:highlight w:val="none"/>
        </w:rPr>
      </w:pPr>
      <w:r>
        <w:rPr>
          <w:rFonts w:hint="eastAsia" w:ascii="宋体" w:hAnsi="宋体" w:cs="宋体"/>
          <w:color w:val="auto"/>
          <w:sz w:val="24"/>
          <w:highlight w:val="none"/>
        </w:rPr>
        <w:t>35.4在确定中标人之前，招标人应遵守《中华人民共和国招标投标法》和其它有关规定，不得无故调整招标文件规定的有关条款，不得与投标人就投标价格、投标承诺、投标方案等实质性内容进行谈判。</w:t>
      </w:r>
    </w:p>
    <w:p>
      <w:pPr>
        <w:spacing w:line="360" w:lineRule="auto"/>
        <w:ind w:firstLine="500"/>
        <w:rPr>
          <w:rFonts w:hint="eastAsia" w:ascii="宋体" w:hAnsi="宋体" w:cs="宋体"/>
          <w:color w:val="auto"/>
          <w:sz w:val="24"/>
          <w:highlight w:val="none"/>
        </w:rPr>
      </w:pPr>
      <w:r>
        <w:rPr>
          <w:rFonts w:hint="eastAsia" w:ascii="宋体" w:hAnsi="宋体" w:cs="宋体"/>
          <w:color w:val="auto"/>
          <w:sz w:val="24"/>
          <w:highlight w:val="none"/>
        </w:rPr>
        <w:t>35.5招标人、中标人双方在签定服务合同时，不得随意变更招标文件和投标书的实质性条款。</w:t>
      </w:r>
    </w:p>
    <w:p>
      <w:pPr>
        <w:spacing w:line="360" w:lineRule="auto"/>
        <w:ind w:firstLine="500"/>
        <w:rPr>
          <w:rFonts w:hint="eastAsia" w:ascii="宋体" w:hAnsi="宋体" w:cs="宋体"/>
          <w:color w:val="auto"/>
          <w:sz w:val="24"/>
          <w:highlight w:val="none"/>
        </w:rPr>
      </w:pPr>
      <w:r>
        <w:rPr>
          <w:rFonts w:hint="eastAsia" w:ascii="宋体" w:hAnsi="宋体" w:cs="宋体"/>
          <w:color w:val="auto"/>
          <w:sz w:val="24"/>
          <w:highlight w:val="none"/>
        </w:rPr>
        <w:t>35.6投标人的投标报价应本着科学、合理的原则进行。投标人一旦中标，若因报价过低致使合同无法签订和履行的，或在合同签订、履行中无故要求变更投标承诺和变更投标报价（含单价、合价和总价）的，按下列规定执行：</w:t>
      </w:r>
    </w:p>
    <w:p>
      <w:pPr>
        <w:spacing w:line="360" w:lineRule="auto"/>
        <w:ind w:firstLine="500"/>
        <w:rPr>
          <w:rFonts w:hint="eastAsia" w:ascii="宋体" w:hAnsi="宋体" w:cs="宋体"/>
          <w:color w:val="auto"/>
          <w:sz w:val="24"/>
          <w:highlight w:val="none"/>
        </w:rPr>
      </w:pPr>
      <w:r>
        <w:rPr>
          <w:rFonts w:hint="eastAsia" w:ascii="宋体" w:hAnsi="宋体" w:cs="宋体"/>
          <w:color w:val="auto"/>
          <w:sz w:val="24"/>
          <w:highlight w:val="none"/>
        </w:rPr>
        <w:t>35.6.1不与招标人签订服务合同的，或在合同签订时要求变更投标承诺和变更投标报价（含单价、合价和总价）的，招标人可取消其中标资格，其投标保证金不予退还；给招标人造成的损失超过投标保证金数额的，中标人应对超过部分予以赔偿；没有提交投标保证金的，应当对招标人的实际损失承担赔偿责任。</w:t>
      </w:r>
    </w:p>
    <w:p>
      <w:pPr>
        <w:spacing w:line="360" w:lineRule="auto"/>
        <w:ind w:firstLine="500"/>
        <w:rPr>
          <w:rFonts w:hint="eastAsia" w:ascii="宋体" w:hAnsi="宋体" w:cs="宋体"/>
          <w:color w:val="auto"/>
          <w:sz w:val="24"/>
          <w:highlight w:val="none"/>
        </w:rPr>
      </w:pPr>
      <w:r>
        <w:rPr>
          <w:rFonts w:hint="eastAsia" w:ascii="宋体" w:hAnsi="宋体" w:cs="宋体"/>
          <w:color w:val="auto"/>
          <w:sz w:val="24"/>
          <w:highlight w:val="none"/>
        </w:rPr>
        <w:t>35.6.2不全面履行合同的，应承担由此造成招标人的实际损失。此外，招标人可将有关情况报行政主管部门，由行政主管部门依据有关法律、法规给予相应处罚，并作不良市场行为记录；</w:t>
      </w:r>
    </w:p>
    <w:p>
      <w:pPr>
        <w:spacing w:line="360" w:lineRule="auto"/>
        <w:ind w:firstLine="500"/>
        <w:rPr>
          <w:rFonts w:hint="eastAsia" w:ascii="宋体" w:hAnsi="宋体" w:cs="宋体"/>
          <w:color w:val="auto"/>
          <w:sz w:val="24"/>
          <w:highlight w:val="none"/>
        </w:rPr>
      </w:pPr>
      <w:r>
        <w:rPr>
          <w:rFonts w:hint="eastAsia" w:ascii="宋体" w:hAnsi="宋体" w:cs="宋体"/>
          <w:color w:val="auto"/>
          <w:sz w:val="24"/>
          <w:highlight w:val="none"/>
        </w:rPr>
        <w:t>35.6.3在合同履行中，中标人无故要求变更投标承诺和变更投标报价（含单价、合价和总价）的，招标人不得给予调整，可视情况终止合同，由此造成招标人的实际损失由中标人承担赔偿责任。</w:t>
      </w:r>
    </w:p>
    <w:p>
      <w:pPr>
        <w:spacing w:line="360" w:lineRule="auto"/>
        <w:ind w:firstLine="500"/>
        <w:rPr>
          <w:rFonts w:hint="eastAsia" w:ascii="宋体" w:hAnsi="宋体" w:cs="宋体"/>
          <w:color w:val="auto"/>
          <w:sz w:val="24"/>
          <w:highlight w:val="none"/>
        </w:rPr>
      </w:pPr>
      <w:r>
        <w:rPr>
          <w:rFonts w:hint="eastAsia" w:ascii="宋体" w:hAnsi="宋体" w:cs="宋体"/>
          <w:color w:val="auto"/>
          <w:sz w:val="24"/>
          <w:highlight w:val="none"/>
        </w:rPr>
        <w:t>35.7中标人应当按照合同约定履行义务，完成中标项目服务，不得将中标项目转让（转包）给他人。</w:t>
      </w:r>
    </w:p>
    <w:p>
      <w:pPr>
        <w:pStyle w:val="6"/>
        <w:ind w:firstLine="0"/>
        <w:rPr>
          <w:rFonts w:hint="eastAsia" w:ascii="宋体" w:hAnsi="宋体" w:cs="宋体"/>
          <w:color w:val="auto"/>
          <w:highlight w:val="none"/>
        </w:rPr>
      </w:pPr>
      <w:r>
        <w:rPr>
          <w:rFonts w:hint="eastAsia" w:ascii="宋体" w:hAnsi="宋体" w:cs="宋体"/>
          <w:color w:val="auto"/>
          <w:highlight w:val="none"/>
        </w:rPr>
        <w:t>36、履约担保</w:t>
      </w:r>
    </w:p>
    <w:p>
      <w:pPr>
        <w:spacing w:line="360" w:lineRule="auto"/>
        <w:ind w:firstLine="500"/>
        <w:rPr>
          <w:rFonts w:hint="eastAsia" w:ascii="宋体" w:hAnsi="宋体" w:cs="宋体"/>
          <w:color w:val="auto"/>
          <w:sz w:val="24"/>
          <w:highlight w:val="none"/>
        </w:rPr>
      </w:pPr>
      <w:r>
        <w:rPr>
          <w:rFonts w:hint="eastAsia" w:ascii="宋体" w:hAnsi="宋体" w:cs="宋体"/>
          <w:color w:val="auto"/>
          <w:sz w:val="24"/>
          <w:szCs w:val="28"/>
          <w:highlight w:val="none"/>
        </w:rPr>
        <w:t>无。</w:t>
      </w:r>
    </w:p>
    <w:p>
      <w:pPr>
        <w:pStyle w:val="6"/>
        <w:ind w:firstLine="0"/>
        <w:rPr>
          <w:rFonts w:hint="eastAsia" w:ascii="宋体" w:hAnsi="宋体" w:cs="宋体"/>
          <w:color w:val="auto"/>
          <w:highlight w:val="none"/>
        </w:rPr>
      </w:pPr>
      <w:r>
        <w:rPr>
          <w:rFonts w:hint="eastAsia" w:ascii="宋体" w:hAnsi="宋体" w:cs="宋体"/>
          <w:color w:val="auto"/>
          <w:highlight w:val="none"/>
        </w:rPr>
        <w:t>37、知识产权</w:t>
      </w:r>
    </w:p>
    <w:p>
      <w:pPr>
        <w:pStyle w:val="6"/>
        <w:ind w:left="8" w:firstLine="412"/>
        <w:rPr>
          <w:rFonts w:hint="eastAsia" w:ascii="宋体" w:hAnsi="宋体" w:cs="宋体"/>
          <w:b w:val="0"/>
          <w:color w:val="auto"/>
          <w:kern w:val="2"/>
          <w:highlight w:val="none"/>
        </w:rPr>
      </w:pPr>
      <w:r>
        <w:rPr>
          <w:rFonts w:hint="eastAsia" w:ascii="宋体" w:hAnsi="宋体" w:cs="宋体"/>
          <w:b w:val="0"/>
          <w:color w:val="auto"/>
          <w:kern w:val="2"/>
          <w:highlight w:val="none"/>
        </w:rPr>
        <w:t>中标人应保证招标人在使用该服务或其任何一部分时不受第三方提出的侵犯专利权、商标权、著作权或其它知识产权的起诉。如果任何第三方提出侵权指控，中标人须与第三方交涉并承担可能发生的一切法律责任和费用。</w:t>
      </w:r>
    </w:p>
    <w:p>
      <w:pPr>
        <w:numPr>
          <w:ilvl w:val="0"/>
          <w:numId w:val="0"/>
        </w:numPr>
        <w:spacing w:line="360" w:lineRule="auto"/>
        <w:rPr>
          <w:rFonts w:hint="eastAsia" w:ascii="宋体" w:hAnsi="宋体" w:cs="宋体"/>
          <w:b/>
          <w:color w:val="auto"/>
          <w:kern w:val="0"/>
          <w:sz w:val="24"/>
          <w:highlight w:val="none"/>
        </w:rPr>
      </w:pPr>
      <w:r>
        <w:rPr>
          <w:rFonts w:hint="eastAsia" w:ascii="宋体" w:hAnsi="宋体" w:cs="宋体"/>
          <w:b/>
          <w:color w:val="auto"/>
          <w:kern w:val="0"/>
          <w:sz w:val="24"/>
          <w:highlight w:val="none"/>
        </w:rPr>
        <w:t>38、异议</w:t>
      </w:r>
    </w:p>
    <w:p>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38.1潜在投标人或者其他利害关系人对招标文件有异议的，应当在投标截止时间10日前提出。招标人应当自收到异议之日起3日内做出答复；做出答复前，应当暂停招标投标活动。</w:t>
      </w:r>
    </w:p>
    <w:p>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38.2投标人对开标有异议的，应当在开标现场提出，招标人应当当场做出答复，并制作记录。</w:t>
      </w:r>
    </w:p>
    <w:p>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38.3投标人或者其他利害关系人对依法必须招标项目的评标结果有异议的，应当在中标候选人公示期间提出。招标人应当自收到异议之日起3日内做出答复；做出答复前，应当暂停招标投标活动。</w:t>
      </w:r>
    </w:p>
    <w:p>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38.4提交异议函的方式：加盖单位公章的书面异议函，写明联系人、联系电话、通讯地址等信息，并附相关证明材料和依据，否则不予接收。</w:t>
      </w:r>
    </w:p>
    <w:p>
      <w:pPr>
        <w:spacing w:line="360" w:lineRule="auto"/>
        <w:rPr>
          <w:rFonts w:hint="eastAsia" w:ascii="宋体" w:hAnsi="宋体" w:eastAsia="宋体" w:cs="宋体"/>
          <w:color w:val="auto"/>
          <w:sz w:val="28"/>
          <w:szCs w:val="28"/>
          <w:highlight w:val="none"/>
        </w:rPr>
        <w:sectPr>
          <w:headerReference r:id="rId8" w:type="default"/>
          <w:pgSz w:w="11906" w:h="16838"/>
          <w:pgMar w:top="1134" w:right="1134" w:bottom="1134" w:left="1134" w:header="454" w:footer="454" w:gutter="0"/>
          <w:cols w:space="720" w:num="1"/>
          <w:docGrid w:linePitch="312" w:charSpace="0"/>
        </w:sectPr>
      </w:pPr>
    </w:p>
    <w:p>
      <w:pPr>
        <w:spacing w:line="360" w:lineRule="auto"/>
        <w:rPr>
          <w:rFonts w:hint="eastAsia" w:ascii="宋体" w:hAnsi="宋体" w:cs="宋体"/>
          <w:color w:val="auto"/>
          <w:sz w:val="28"/>
          <w:szCs w:val="28"/>
          <w:highlight w:val="none"/>
        </w:rPr>
      </w:pPr>
    </w:p>
    <w:p>
      <w:pPr>
        <w:spacing w:line="360" w:lineRule="auto"/>
        <w:rPr>
          <w:rFonts w:hint="eastAsia" w:ascii="宋体" w:hAnsi="宋体" w:cs="宋体"/>
          <w:color w:val="auto"/>
          <w:sz w:val="28"/>
          <w:szCs w:val="28"/>
          <w:highlight w:val="none"/>
        </w:rPr>
      </w:pPr>
    </w:p>
    <w:p>
      <w:pPr>
        <w:spacing w:line="360" w:lineRule="auto"/>
        <w:rPr>
          <w:rFonts w:hint="eastAsia" w:ascii="宋体" w:hAnsi="宋体" w:cs="宋体"/>
          <w:color w:val="auto"/>
          <w:sz w:val="28"/>
          <w:szCs w:val="28"/>
          <w:highlight w:val="none"/>
        </w:rPr>
      </w:pPr>
    </w:p>
    <w:p>
      <w:pPr>
        <w:spacing w:line="360" w:lineRule="auto"/>
        <w:rPr>
          <w:rFonts w:hint="eastAsia" w:ascii="宋体" w:hAnsi="宋体" w:cs="宋体"/>
          <w:color w:val="auto"/>
          <w:sz w:val="28"/>
          <w:szCs w:val="28"/>
          <w:highlight w:val="none"/>
        </w:rPr>
      </w:pPr>
    </w:p>
    <w:p>
      <w:pPr>
        <w:spacing w:line="360" w:lineRule="auto"/>
        <w:rPr>
          <w:rFonts w:hint="eastAsia" w:ascii="宋体" w:hAnsi="宋体" w:cs="宋体"/>
          <w:color w:val="auto"/>
          <w:sz w:val="28"/>
          <w:szCs w:val="28"/>
          <w:highlight w:val="none"/>
        </w:rPr>
      </w:pPr>
    </w:p>
    <w:p>
      <w:pPr>
        <w:spacing w:line="360" w:lineRule="auto"/>
        <w:rPr>
          <w:rFonts w:hint="eastAsia" w:ascii="宋体" w:hAnsi="宋体" w:cs="宋体"/>
          <w:color w:val="auto"/>
          <w:sz w:val="28"/>
          <w:szCs w:val="28"/>
          <w:highlight w:val="none"/>
        </w:rPr>
      </w:pPr>
    </w:p>
    <w:p>
      <w:pPr>
        <w:spacing w:line="360" w:lineRule="auto"/>
        <w:rPr>
          <w:rFonts w:hint="eastAsia" w:ascii="宋体" w:hAnsi="宋体" w:cs="宋体"/>
          <w:color w:val="auto"/>
          <w:sz w:val="28"/>
          <w:szCs w:val="28"/>
          <w:highlight w:val="none"/>
        </w:rPr>
      </w:pPr>
    </w:p>
    <w:p>
      <w:pPr>
        <w:spacing w:line="360" w:lineRule="auto"/>
        <w:rPr>
          <w:rFonts w:hint="eastAsia" w:ascii="宋体" w:hAnsi="宋体" w:cs="宋体"/>
          <w:color w:val="auto"/>
          <w:sz w:val="28"/>
          <w:szCs w:val="28"/>
          <w:highlight w:val="none"/>
        </w:rPr>
      </w:pPr>
    </w:p>
    <w:p>
      <w:pPr>
        <w:pStyle w:val="2"/>
        <w:numPr>
          <w:ilvl w:val="0"/>
          <w:numId w:val="2"/>
        </w:numPr>
        <w:spacing w:line="360" w:lineRule="auto"/>
        <w:jc w:val="center"/>
        <w:rPr>
          <w:rFonts w:hint="eastAsia" w:ascii="宋体" w:hAnsi="宋体" w:cs="宋体"/>
          <w:color w:val="auto"/>
          <w:w w:val="90"/>
          <w:highlight w:val="none"/>
        </w:rPr>
      </w:pPr>
      <w:bookmarkStart w:id="22" w:name="_Toc17991"/>
      <w:bookmarkEnd w:id="22"/>
      <w:bookmarkStart w:id="23" w:name="_Toc343510554"/>
      <w:bookmarkEnd w:id="23"/>
      <w:bookmarkStart w:id="24" w:name="_Toc350515649"/>
      <w:bookmarkEnd w:id="24"/>
      <w:bookmarkStart w:id="25" w:name="_Toc349568712"/>
      <w:bookmarkEnd w:id="25"/>
      <w:bookmarkStart w:id="26" w:name="_Toc344394140"/>
      <w:bookmarkEnd w:id="26"/>
      <w:bookmarkStart w:id="27" w:name="_Toc349568453"/>
      <w:bookmarkEnd w:id="27"/>
      <w:bookmarkStart w:id="28" w:name="_Toc10022"/>
      <w:bookmarkEnd w:id="28"/>
      <w:r>
        <w:rPr>
          <w:rFonts w:hint="eastAsia" w:ascii="宋体" w:hAnsi="宋体" w:cs="宋体"/>
          <w:color w:val="auto"/>
          <w:w w:val="90"/>
          <w:highlight w:val="none"/>
        </w:rPr>
        <w:t xml:space="preserve">  合同主要条款</w:t>
      </w:r>
    </w:p>
    <w:p>
      <w:pPr>
        <w:pStyle w:val="2"/>
        <w:spacing w:line="360" w:lineRule="auto"/>
        <w:jc w:val="center"/>
        <w:rPr>
          <w:rFonts w:hint="eastAsia" w:ascii="宋体" w:hAnsi="宋体" w:cs="宋体"/>
          <w:color w:val="auto"/>
          <w:w w:val="90"/>
          <w:sz w:val="28"/>
          <w:szCs w:val="28"/>
          <w:highlight w:val="none"/>
        </w:rPr>
      </w:pPr>
      <w:bookmarkStart w:id="29" w:name="_Toc23351"/>
      <w:bookmarkEnd w:id="29"/>
      <w:bookmarkStart w:id="30" w:name="_Toc20137"/>
      <w:bookmarkEnd w:id="30"/>
      <w:bookmarkStart w:id="31" w:name="_Toc14503"/>
      <w:bookmarkEnd w:id="31"/>
      <w:bookmarkStart w:id="32" w:name="_Toc19053"/>
      <w:bookmarkEnd w:id="32"/>
      <w:bookmarkStart w:id="33" w:name="_Toc12009"/>
      <w:bookmarkEnd w:id="33"/>
      <w:bookmarkStart w:id="34" w:name="_Toc13064"/>
      <w:bookmarkEnd w:id="34"/>
      <w:r>
        <w:rPr>
          <w:rFonts w:hint="eastAsia" w:ascii="宋体" w:hAnsi="宋体" w:cs="宋体"/>
          <w:color w:val="auto"/>
          <w:w w:val="90"/>
          <w:sz w:val="28"/>
          <w:szCs w:val="28"/>
          <w:highlight w:val="none"/>
        </w:rPr>
        <w:t>（以实际签订为准）</w:t>
      </w:r>
    </w:p>
    <w:p>
      <w:pPr>
        <w:spacing w:line="360" w:lineRule="auto"/>
        <w:rPr>
          <w:rFonts w:hint="eastAsia" w:ascii="宋体" w:hAnsi="宋体" w:cs="宋体"/>
          <w:color w:val="auto"/>
          <w:highlight w:val="none"/>
        </w:rPr>
      </w:pPr>
    </w:p>
    <w:p>
      <w:pPr>
        <w:rPr>
          <w:rFonts w:hint="eastAsia" w:ascii="宋体" w:hAnsi="宋体" w:cs="宋体"/>
          <w:b/>
          <w:color w:val="auto"/>
          <w:sz w:val="30"/>
          <w:szCs w:val="30"/>
          <w:highlight w:val="none"/>
          <w:u w:val="single"/>
        </w:rPr>
      </w:pPr>
      <w:r>
        <w:rPr>
          <w:rFonts w:hint="eastAsia" w:ascii="宋体" w:hAnsi="宋体" w:cs="宋体"/>
          <w:color w:val="auto"/>
          <w:highlight w:val="none"/>
        </w:rPr>
        <w:br w:type="page"/>
      </w:r>
      <w:r>
        <w:rPr>
          <w:rFonts w:hint="eastAsia" w:ascii="宋体" w:hAnsi="宋体" w:cs="宋体"/>
          <w:b/>
          <w:color w:val="auto"/>
          <w:sz w:val="30"/>
          <w:szCs w:val="30"/>
          <w:highlight w:val="none"/>
        </w:rPr>
        <w:t>合同编号：</w:t>
      </w:r>
    </w:p>
    <w:p>
      <w:pPr>
        <w:spacing w:line="160" w:lineRule="atLeast"/>
        <w:rPr>
          <w:rFonts w:hint="eastAsia" w:ascii="宋体" w:hAnsi="宋体" w:cs="宋体"/>
          <w:b/>
          <w:color w:val="auto"/>
          <w:sz w:val="72"/>
          <w:szCs w:val="72"/>
          <w:highlight w:val="none"/>
        </w:rPr>
      </w:pPr>
    </w:p>
    <w:p>
      <w:pPr>
        <w:spacing w:line="160" w:lineRule="atLeast"/>
        <w:jc w:val="center"/>
        <w:rPr>
          <w:rFonts w:hint="eastAsia" w:ascii="宋体" w:hAnsi="宋体" w:cs="宋体"/>
          <w:b/>
          <w:color w:val="auto"/>
          <w:sz w:val="52"/>
          <w:szCs w:val="52"/>
          <w:highlight w:val="none"/>
        </w:rPr>
      </w:pPr>
    </w:p>
    <w:p>
      <w:pPr>
        <w:spacing w:line="160" w:lineRule="atLeast"/>
        <w:jc w:val="center"/>
        <w:rPr>
          <w:rFonts w:hint="eastAsia" w:ascii="宋体" w:hAnsi="宋体" w:cs="宋体"/>
          <w:b/>
          <w:color w:val="auto"/>
          <w:sz w:val="52"/>
          <w:szCs w:val="52"/>
          <w:highlight w:val="none"/>
        </w:rPr>
      </w:pPr>
    </w:p>
    <w:p>
      <w:pPr>
        <w:spacing w:line="160" w:lineRule="atLeast"/>
        <w:jc w:val="center"/>
        <w:rPr>
          <w:rFonts w:hint="eastAsia" w:ascii="宋体" w:hAnsi="宋体" w:cs="宋体"/>
          <w:b/>
          <w:color w:val="auto"/>
          <w:sz w:val="110"/>
          <w:szCs w:val="110"/>
          <w:highlight w:val="none"/>
        </w:rPr>
      </w:pPr>
      <w:r>
        <w:rPr>
          <w:rFonts w:hint="eastAsia" w:ascii="宋体" w:hAnsi="宋体" w:cs="宋体"/>
          <w:b/>
          <w:color w:val="auto"/>
          <w:sz w:val="110"/>
          <w:szCs w:val="110"/>
          <w:highlight w:val="none"/>
        </w:rPr>
        <w:t>合  同  书</w:t>
      </w:r>
    </w:p>
    <w:p>
      <w:pPr>
        <w:spacing w:line="160" w:lineRule="atLeast"/>
        <w:jc w:val="center"/>
        <w:rPr>
          <w:rFonts w:hint="eastAsia" w:ascii="宋体" w:hAnsi="宋体" w:cs="宋体"/>
          <w:b/>
          <w:color w:val="auto"/>
          <w:highlight w:val="none"/>
        </w:rPr>
      </w:pPr>
    </w:p>
    <w:p>
      <w:pPr>
        <w:spacing w:line="160" w:lineRule="atLeast"/>
        <w:jc w:val="center"/>
        <w:rPr>
          <w:rFonts w:hint="eastAsia" w:ascii="宋体" w:hAnsi="宋体" w:cs="宋体"/>
          <w:b/>
          <w:color w:val="auto"/>
          <w:highlight w:val="none"/>
        </w:rPr>
      </w:pPr>
    </w:p>
    <w:p>
      <w:pPr>
        <w:spacing w:line="160" w:lineRule="atLeast"/>
        <w:jc w:val="center"/>
        <w:rPr>
          <w:rFonts w:hint="eastAsia" w:ascii="宋体" w:hAnsi="宋体" w:cs="宋体"/>
          <w:b/>
          <w:color w:val="auto"/>
          <w:highlight w:val="none"/>
        </w:rPr>
      </w:pPr>
    </w:p>
    <w:p>
      <w:pPr>
        <w:spacing w:line="160" w:lineRule="atLeast"/>
        <w:jc w:val="center"/>
        <w:rPr>
          <w:rFonts w:hint="eastAsia" w:ascii="宋体" w:hAnsi="宋体" w:cs="宋体"/>
          <w:b/>
          <w:color w:val="auto"/>
          <w:highlight w:val="none"/>
        </w:rPr>
      </w:pPr>
    </w:p>
    <w:p>
      <w:pPr>
        <w:spacing w:line="160" w:lineRule="atLeast"/>
        <w:ind w:firstLine="1044" w:firstLineChars="495"/>
        <w:rPr>
          <w:rFonts w:hint="eastAsia" w:ascii="宋体" w:hAnsi="宋体" w:cs="宋体"/>
          <w:b/>
          <w:color w:val="auto"/>
          <w:highlight w:val="none"/>
        </w:rPr>
      </w:pPr>
    </w:p>
    <w:p>
      <w:pPr>
        <w:spacing w:line="160" w:lineRule="atLeast"/>
        <w:rPr>
          <w:rFonts w:hint="eastAsia" w:ascii="宋体" w:hAnsi="宋体" w:cs="宋体"/>
          <w:b/>
          <w:color w:val="auto"/>
          <w:highlight w:val="none"/>
        </w:rPr>
      </w:pPr>
    </w:p>
    <w:p>
      <w:pPr>
        <w:tabs>
          <w:tab w:val="left" w:pos="1260"/>
          <w:tab w:val="left" w:pos="1620"/>
          <w:tab w:val="left" w:pos="6840"/>
          <w:tab w:val="left" w:pos="7020"/>
          <w:tab w:val="left" w:pos="7200"/>
        </w:tabs>
        <w:spacing w:line="160" w:lineRule="atLeast"/>
        <w:ind w:firstLine="1084" w:firstLineChars="300"/>
        <w:rPr>
          <w:rFonts w:hint="eastAsia" w:ascii="宋体" w:hAnsi="宋体" w:cs="宋体"/>
          <w:b/>
          <w:color w:val="auto"/>
          <w:sz w:val="36"/>
          <w:szCs w:val="36"/>
          <w:highlight w:val="none"/>
        </w:rPr>
      </w:pPr>
      <w:r>
        <w:rPr>
          <w:rFonts w:hint="eastAsia" w:ascii="宋体" w:hAnsi="宋体" w:cs="宋体"/>
          <w:b/>
          <w:color w:val="auto"/>
          <w:sz w:val="36"/>
          <w:szCs w:val="36"/>
          <w:highlight w:val="none"/>
        </w:rPr>
        <w:t xml:space="preserve">甲方： </w:t>
      </w:r>
    </w:p>
    <w:p>
      <w:pPr>
        <w:tabs>
          <w:tab w:val="left" w:pos="1260"/>
          <w:tab w:val="left" w:pos="1620"/>
          <w:tab w:val="left" w:pos="6840"/>
          <w:tab w:val="left" w:pos="7020"/>
          <w:tab w:val="left" w:pos="7200"/>
        </w:tabs>
        <w:spacing w:line="160" w:lineRule="atLeast"/>
        <w:ind w:firstLine="1084" w:firstLineChars="300"/>
        <w:rPr>
          <w:rFonts w:hint="eastAsia" w:ascii="宋体" w:hAnsi="宋体" w:cs="宋体"/>
          <w:b/>
          <w:color w:val="auto"/>
          <w:sz w:val="36"/>
          <w:szCs w:val="36"/>
          <w:highlight w:val="none"/>
        </w:rPr>
      </w:pPr>
      <w:r>
        <w:rPr>
          <w:rFonts w:hint="eastAsia" w:ascii="宋体" w:hAnsi="宋体" w:cs="宋体"/>
          <w:b/>
          <w:color w:val="auto"/>
          <w:sz w:val="36"/>
          <w:szCs w:val="36"/>
          <w:highlight w:val="none"/>
        </w:rPr>
        <w:t xml:space="preserve">乙方： </w:t>
      </w:r>
    </w:p>
    <w:p>
      <w:pPr>
        <w:spacing w:line="560" w:lineRule="exact"/>
        <w:ind w:right="640"/>
        <w:jc w:val="center"/>
        <w:rPr>
          <w:rFonts w:hint="eastAsia" w:ascii="宋体" w:hAnsi="宋体" w:cs="宋体"/>
          <w:b/>
          <w:color w:val="auto"/>
          <w:sz w:val="36"/>
          <w:szCs w:val="36"/>
          <w:highlight w:val="none"/>
        </w:rPr>
      </w:pPr>
    </w:p>
    <w:p>
      <w:pPr>
        <w:spacing w:line="560" w:lineRule="exact"/>
        <w:ind w:right="640"/>
        <w:jc w:val="center"/>
        <w:rPr>
          <w:rFonts w:hint="eastAsia" w:ascii="宋体" w:hAnsi="宋体" w:cs="宋体"/>
          <w:b/>
          <w:color w:val="auto"/>
          <w:sz w:val="36"/>
          <w:szCs w:val="36"/>
          <w:highlight w:val="none"/>
        </w:rPr>
      </w:pP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br w:type="page"/>
      </w:r>
      <w:r>
        <w:rPr>
          <w:rFonts w:hint="eastAsia" w:ascii="宋体" w:hAnsi="宋体" w:cs="宋体"/>
          <w:color w:val="auto"/>
          <w:sz w:val="24"/>
          <w:highlight w:val="none"/>
        </w:rPr>
        <w:t>甲乙双方根据《中华人民共和国民法典》和有关法律法规，遵循平等、自愿、公平和诚实信用原则，同意按照下面的条款和条件订立本合同，共同信守。</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w:t>
      </w:r>
      <w:r>
        <w:rPr>
          <w:rFonts w:hint="eastAsia" w:ascii="宋体" w:hAnsi="宋体" w:cs="宋体"/>
          <w:b/>
          <w:color w:val="auto"/>
          <w:sz w:val="24"/>
          <w:highlight w:val="none"/>
        </w:rPr>
        <w:t>合同标的</w:t>
      </w:r>
    </w:p>
    <w:p>
      <w:pPr>
        <w:spacing w:line="360" w:lineRule="auto"/>
        <w:ind w:firstLine="470" w:firstLineChars="196"/>
        <w:rPr>
          <w:rFonts w:hint="eastAsia" w:ascii="宋体" w:hAnsi="宋体" w:cs="宋体"/>
          <w:b/>
          <w:color w:val="auto"/>
          <w:sz w:val="24"/>
          <w:highlight w:val="none"/>
        </w:rPr>
      </w:pPr>
      <w:r>
        <w:rPr>
          <w:rFonts w:hint="eastAsia" w:ascii="宋体" w:hAnsi="宋体" w:cs="宋体"/>
          <w:color w:val="auto"/>
          <w:sz w:val="24"/>
          <w:highlight w:val="none"/>
        </w:rPr>
        <w:t>甲方委托乙方按照本合同约定，为甲方提供</w:t>
      </w:r>
      <w:r>
        <w:rPr>
          <w:rFonts w:hint="eastAsia" w:ascii="宋体" w:hAnsi="宋体" w:cs="宋体"/>
          <w:color w:val="auto"/>
          <w:highlight w:val="none"/>
          <w:u w:val="single"/>
        </w:rPr>
        <w:t xml:space="preserve">                </w:t>
      </w:r>
      <w:r>
        <w:rPr>
          <w:rFonts w:hint="eastAsia" w:ascii="宋体" w:hAnsi="宋体" w:cs="宋体"/>
          <w:color w:val="auto"/>
          <w:sz w:val="24"/>
          <w:highlight w:val="none"/>
        </w:rPr>
        <w:t>服务。</w:t>
      </w:r>
    </w:p>
    <w:p>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二.合同金额</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合同的总金额为人民币（大写）：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元，小写: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p>
    <w:p>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三.付款条件</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分</w:t>
      </w:r>
      <w:r>
        <w:rPr>
          <w:rFonts w:hint="eastAsia" w:ascii="宋体" w:hAnsi="宋体" w:cs="宋体"/>
          <w:color w:val="auto"/>
          <w:sz w:val="24"/>
          <w:highlight w:val="none"/>
          <w:lang w:eastAsia="zh-CN"/>
        </w:rPr>
        <w:t>四</w:t>
      </w:r>
      <w:r>
        <w:rPr>
          <w:rFonts w:hint="eastAsia" w:ascii="宋体" w:hAnsi="宋体" w:cs="宋体"/>
          <w:color w:val="auto"/>
          <w:sz w:val="24"/>
          <w:highlight w:val="none"/>
        </w:rPr>
        <w:t>次支付。第一次付款：提交</w:t>
      </w:r>
      <w:r>
        <w:rPr>
          <w:rFonts w:hint="eastAsia" w:ascii="宋体" w:hAnsi="宋体" w:cs="宋体"/>
          <w:color w:val="auto"/>
          <w:sz w:val="24"/>
          <w:highlight w:val="none"/>
          <w:lang w:val="en-US" w:eastAsia="zh-CN"/>
        </w:rPr>
        <w:t>跟踪监测</w:t>
      </w:r>
      <w:r>
        <w:rPr>
          <w:rFonts w:hint="eastAsia" w:ascii="宋体" w:hAnsi="宋体" w:cs="宋体"/>
          <w:color w:val="auto"/>
          <w:sz w:val="24"/>
          <w:highlight w:val="none"/>
        </w:rPr>
        <w:t>方案后20日内，支付至合同价款的30%；第二次付款：</w:t>
      </w:r>
      <w:r>
        <w:rPr>
          <w:rFonts w:hint="eastAsia" w:ascii="宋体" w:hAnsi="宋体" w:cs="宋体"/>
          <w:color w:val="auto"/>
          <w:sz w:val="24"/>
          <w:highlight w:val="none"/>
          <w:lang w:val="en-US" w:eastAsia="zh-CN"/>
        </w:rPr>
        <w:t>市级验收时</w:t>
      </w:r>
      <w:r>
        <w:rPr>
          <w:rFonts w:hint="eastAsia" w:ascii="宋体" w:hAnsi="宋体" w:cs="宋体"/>
          <w:color w:val="auto"/>
          <w:sz w:val="24"/>
          <w:highlight w:val="none"/>
        </w:rPr>
        <w:t>提交成果报告并通过专家评审后，支付至合同价款的75%；第三次付款：</w:t>
      </w:r>
      <w:r>
        <w:rPr>
          <w:rFonts w:hint="eastAsia" w:ascii="宋体" w:hAnsi="宋体" w:cs="宋体"/>
          <w:color w:val="auto"/>
          <w:sz w:val="24"/>
          <w:highlight w:val="none"/>
          <w:lang w:val="en-US" w:eastAsia="zh-CN"/>
        </w:rPr>
        <w:t>项目省级</w:t>
      </w:r>
      <w:r>
        <w:rPr>
          <w:rFonts w:hint="eastAsia" w:ascii="宋体" w:hAnsi="宋体" w:cs="宋体"/>
          <w:color w:val="auto"/>
          <w:sz w:val="24"/>
          <w:highlight w:val="none"/>
        </w:rPr>
        <w:t>验收后</w:t>
      </w:r>
      <w:r>
        <w:rPr>
          <w:rFonts w:hint="eastAsia" w:ascii="宋体" w:hAnsi="宋体" w:cs="宋体"/>
          <w:color w:val="auto"/>
          <w:sz w:val="24"/>
          <w:highlight w:val="none"/>
          <w:lang w:eastAsia="zh-CN"/>
        </w:rPr>
        <w:t>，</w:t>
      </w:r>
      <w:r>
        <w:rPr>
          <w:rFonts w:hint="eastAsia" w:ascii="宋体" w:hAnsi="宋体" w:cs="宋体"/>
          <w:color w:val="auto"/>
          <w:sz w:val="24"/>
          <w:highlight w:val="none"/>
        </w:rPr>
        <w:t>支付至合同价款的</w:t>
      </w:r>
      <w:r>
        <w:rPr>
          <w:rFonts w:hint="eastAsia" w:ascii="宋体" w:hAnsi="宋体" w:cs="宋体"/>
          <w:color w:val="auto"/>
          <w:sz w:val="24"/>
          <w:highlight w:val="none"/>
          <w:lang w:eastAsia="zh-CN"/>
        </w:rPr>
        <w:t>9</w:t>
      </w:r>
      <w:r>
        <w:rPr>
          <w:rFonts w:hint="eastAsia" w:ascii="宋体" w:hAnsi="宋体" w:cs="宋体"/>
          <w:color w:val="auto"/>
          <w:sz w:val="24"/>
          <w:highlight w:val="none"/>
        </w:rPr>
        <w:t>0%</w:t>
      </w:r>
      <w:r>
        <w:rPr>
          <w:rFonts w:hint="eastAsia" w:ascii="宋体" w:hAnsi="宋体" w:cs="宋体"/>
          <w:color w:val="auto"/>
          <w:sz w:val="24"/>
          <w:highlight w:val="none"/>
          <w:lang w:eastAsia="zh-CN"/>
        </w:rPr>
        <w:t>；</w:t>
      </w:r>
      <w:r>
        <w:rPr>
          <w:rFonts w:hint="eastAsia" w:ascii="宋体" w:hAnsi="宋体" w:cs="宋体"/>
          <w:color w:val="auto"/>
          <w:sz w:val="24"/>
          <w:highlight w:val="none"/>
        </w:rPr>
        <w:t>第</w:t>
      </w:r>
      <w:r>
        <w:rPr>
          <w:rFonts w:hint="eastAsia" w:ascii="宋体" w:hAnsi="宋体" w:cs="宋体"/>
          <w:color w:val="auto"/>
          <w:sz w:val="24"/>
          <w:highlight w:val="none"/>
          <w:lang w:val="en-US" w:eastAsia="zh-CN"/>
        </w:rPr>
        <w:t>四</w:t>
      </w:r>
      <w:r>
        <w:rPr>
          <w:rFonts w:hint="eastAsia" w:ascii="宋体" w:hAnsi="宋体" w:cs="宋体"/>
          <w:color w:val="auto"/>
          <w:sz w:val="24"/>
          <w:highlight w:val="none"/>
        </w:rPr>
        <w:t>次付款：</w:t>
      </w:r>
      <w:r>
        <w:rPr>
          <w:rFonts w:hint="eastAsia" w:ascii="宋体" w:hAnsi="宋体" w:cs="宋体"/>
          <w:color w:val="auto"/>
          <w:sz w:val="24"/>
          <w:highlight w:val="none"/>
          <w:lang w:val="en-US" w:eastAsia="zh-CN"/>
        </w:rPr>
        <w:t>验收通过后2年内提交监测报告，</w:t>
      </w:r>
      <w:r>
        <w:rPr>
          <w:rFonts w:hint="eastAsia" w:ascii="宋体" w:hAnsi="宋体" w:cs="宋体"/>
          <w:color w:val="auto"/>
          <w:sz w:val="24"/>
          <w:highlight w:val="none"/>
        </w:rPr>
        <w:t>支付至合同价款的</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0%。</w:t>
      </w:r>
      <w:r>
        <w:rPr>
          <w:rFonts w:hint="eastAsia" w:ascii="宋体" w:hAnsi="宋体" w:cs="宋体"/>
          <w:color w:val="auto"/>
          <w:sz w:val="24"/>
          <w:highlight w:val="none"/>
          <w:lang w:eastAsia="zh-CN"/>
        </w:rPr>
        <w:t>四</w:t>
      </w:r>
      <w:r>
        <w:rPr>
          <w:rFonts w:hint="eastAsia" w:ascii="宋体" w:hAnsi="宋体" w:cs="宋体"/>
          <w:color w:val="auto"/>
          <w:sz w:val="24"/>
          <w:highlight w:val="none"/>
        </w:rPr>
        <w:t>次付款均应提供有效发票。</w:t>
      </w:r>
    </w:p>
    <w:p>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四.服务期限</w:t>
      </w:r>
    </w:p>
    <w:p>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服务期限：</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，共计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日历天。</w:t>
      </w:r>
    </w:p>
    <w:p>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五.双方权利和义务</w:t>
      </w:r>
    </w:p>
    <w:p>
      <w:pPr>
        <w:pStyle w:val="23"/>
        <w:shd w:val="clear" w:color="auto" w:fill="FFFFFF"/>
        <w:spacing w:line="450" w:lineRule="atLeast"/>
        <w:ind w:right="300" w:firstLine="480" w:firstLineChars="200"/>
        <w:rPr>
          <w:rFonts w:hint="eastAsia" w:ascii="宋体" w:hAnsi="宋体" w:cs="宋体"/>
          <w:color w:val="auto"/>
          <w:szCs w:val="32"/>
          <w:highlight w:val="none"/>
        </w:rPr>
      </w:pPr>
      <w:r>
        <w:rPr>
          <w:rFonts w:hint="eastAsia" w:ascii="宋体" w:hAnsi="宋体" w:cs="宋体"/>
          <w:color w:val="auto"/>
          <w:szCs w:val="32"/>
          <w:highlight w:val="none"/>
        </w:rPr>
        <w:t>(一)甲方的权利和义务</w:t>
      </w:r>
    </w:p>
    <w:p>
      <w:pPr>
        <w:pStyle w:val="23"/>
        <w:shd w:val="clear" w:color="auto" w:fill="FFFFFF"/>
        <w:spacing w:line="450" w:lineRule="atLeast"/>
        <w:ind w:right="300" w:firstLine="480" w:firstLineChars="200"/>
        <w:rPr>
          <w:rFonts w:hint="eastAsia" w:ascii="宋体" w:hAnsi="宋体" w:cs="宋体"/>
          <w:color w:val="auto"/>
          <w:szCs w:val="32"/>
          <w:highlight w:val="none"/>
        </w:rPr>
      </w:pPr>
      <w:r>
        <w:rPr>
          <w:rFonts w:hint="eastAsia" w:ascii="宋体" w:hAnsi="宋体" w:cs="宋体"/>
          <w:color w:val="auto"/>
          <w:szCs w:val="32"/>
          <w:highlight w:val="none"/>
        </w:rPr>
        <w:t>1.甲方有权向乙方询问工作进展情况及相关的内容，有权阐述对具体问题的</w:t>
      </w:r>
      <w:r>
        <w:rPr>
          <w:rFonts w:hint="eastAsia" w:ascii="宋体" w:hAnsi="宋体" w:cs="宋体"/>
          <w:color w:val="auto"/>
          <w:highlight w:val="none"/>
        </w:rPr>
        <w:fldChar w:fldCharType="begin"/>
      </w:r>
      <w:r>
        <w:rPr>
          <w:rFonts w:hint="eastAsia" w:ascii="宋体" w:hAnsi="宋体" w:cs="宋体"/>
          <w:color w:val="auto"/>
          <w:highlight w:val="none"/>
        </w:rPr>
        <w:instrText xml:space="preserve">HYPERLINK "http://www.xuexila.com/fanwen/yijian/" \t "_blank"</w:instrText>
      </w:r>
      <w:r>
        <w:rPr>
          <w:rFonts w:hint="eastAsia" w:ascii="宋体" w:hAnsi="宋体" w:cs="宋体"/>
          <w:color w:val="auto"/>
          <w:highlight w:val="none"/>
        </w:rPr>
        <w:fldChar w:fldCharType="separate"/>
      </w:r>
      <w:r>
        <w:rPr>
          <w:rFonts w:hint="eastAsia" w:ascii="宋体" w:hAnsi="宋体" w:cs="宋体"/>
          <w:color w:val="auto"/>
          <w:szCs w:val="32"/>
          <w:highlight w:val="none"/>
        </w:rPr>
        <w:t>意见</w:t>
      </w:r>
      <w:r>
        <w:rPr>
          <w:rFonts w:hint="eastAsia" w:ascii="宋体" w:hAnsi="宋体" w:cs="宋体"/>
          <w:color w:val="auto"/>
          <w:szCs w:val="32"/>
          <w:highlight w:val="none"/>
        </w:rPr>
        <w:fldChar w:fldCharType="end"/>
      </w:r>
      <w:r>
        <w:rPr>
          <w:rFonts w:hint="eastAsia" w:ascii="宋体" w:hAnsi="宋体" w:cs="宋体"/>
          <w:color w:val="auto"/>
          <w:szCs w:val="32"/>
          <w:highlight w:val="none"/>
        </w:rPr>
        <w:t>和建议。</w:t>
      </w:r>
    </w:p>
    <w:p>
      <w:pPr>
        <w:pStyle w:val="23"/>
        <w:shd w:val="clear" w:color="auto" w:fill="FFFFFF"/>
        <w:spacing w:line="450" w:lineRule="atLeast"/>
        <w:ind w:right="300"/>
        <w:rPr>
          <w:rFonts w:hint="eastAsia" w:ascii="宋体" w:hAnsi="宋体" w:cs="宋体"/>
          <w:color w:val="auto"/>
          <w:szCs w:val="32"/>
          <w:highlight w:val="none"/>
        </w:rPr>
      </w:pPr>
      <w:r>
        <w:rPr>
          <w:rFonts w:hint="eastAsia" w:ascii="宋体" w:hAnsi="宋体" w:cs="宋体"/>
          <w:color w:val="auto"/>
          <w:szCs w:val="32"/>
          <w:highlight w:val="none"/>
        </w:rPr>
        <w:t>　　2.若乙方专业人员不按服务合同履行其职责，有权要求更换乙方专业人员，直至终止合同。</w:t>
      </w:r>
    </w:p>
    <w:p>
      <w:pPr>
        <w:pStyle w:val="23"/>
        <w:shd w:val="clear" w:color="auto" w:fill="FFFFFF"/>
        <w:spacing w:line="450" w:lineRule="atLeast"/>
        <w:ind w:right="300"/>
        <w:rPr>
          <w:rFonts w:hint="eastAsia" w:ascii="宋体" w:hAnsi="宋体" w:cs="宋体"/>
          <w:color w:val="auto"/>
          <w:szCs w:val="32"/>
          <w:highlight w:val="none"/>
        </w:rPr>
      </w:pPr>
      <w:r>
        <w:rPr>
          <w:rFonts w:hint="eastAsia" w:ascii="宋体" w:hAnsi="宋体" w:cs="宋体"/>
          <w:color w:val="auto"/>
          <w:szCs w:val="32"/>
          <w:highlight w:val="none"/>
        </w:rPr>
        <w:t>　　3.配合乙方工作，向乙方提供相关资料，并保证所提供资料真实、准确、完整、有效。</w:t>
      </w:r>
    </w:p>
    <w:p>
      <w:pPr>
        <w:pStyle w:val="23"/>
        <w:shd w:val="clear" w:color="auto" w:fill="FFFFFF"/>
        <w:spacing w:line="450" w:lineRule="atLeast"/>
        <w:ind w:right="300"/>
        <w:rPr>
          <w:rFonts w:hint="eastAsia" w:ascii="宋体" w:hAnsi="宋体" w:cs="宋体"/>
          <w:color w:val="auto"/>
          <w:szCs w:val="32"/>
          <w:highlight w:val="none"/>
        </w:rPr>
      </w:pPr>
      <w:r>
        <w:rPr>
          <w:rFonts w:hint="eastAsia" w:ascii="宋体" w:hAnsi="宋体" w:cs="宋体"/>
          <w:color w:val="auto"/>
          <w:szCs w:val="32"/>
          <w:highlight w:val="none"/>
        </w:rPr>
        <w:t>　　4.甲方应配合乙方现场访谈、勘察等事宜，并提供相关工作便利。</w:t>
      </w:r>
    </w:p>
    <w:p>
      <w:pPr>
        <w:pStyle w:val="23"/>
        <w:shd w:val="clear" w:color="auto" w:fill="FFFFFF"/>
        <w:spacing w:line="450" w:lineRule="atLeast"/>
        <w:ind w:right="300"/>
        <w:rPr>
          <w:rFonts w:hint="eastAsia" w:ascii="宋体" w:hAnsi="宋体" w:cs="宋体"/>
          <w:color w:val="auto"/>
          <w:szCs w:val="32"/>
          <w:highlight w:val="none"/>
        </w:rPr>
      </w:pPr>
      <w:r>
        <w:rPr>
          <w:rFonts w:hint="eastAsia" w:ascii="宋体" w:hAnsi="宋体" w:cs="宋体"/>
          <w:color w:val="auto"/>
          <w:szCs w:val="32"/>
          <w:highlight w:val="none"/>
        </w:rPr>
        <w:t>　　5.甲方应承担保密义务，未经乙方许可，甲方不得向第三方提供(包括但不限于披露、转载等)乙方提交给甲方的任何材料、文件、和乙方网站所提供的资料，及其上述材料、文件、资料所包含的任何信息。</w:t>
      </w:r>
    </w:p>
    <w:p>
      <w:pPr>
        <w:pStyle w:val="23"/>
        <w:shd w:val="clear" w:color="auto" w:fill="FFFFFF"/>
        <w:spacing w:line="450" w:lineRule="atLeast"/>
        <w:ind w:right="300"/>
        <w:rPr>
          <w:rFonts w:hint="eastAsia" w:ascii="宋体" w:hAnsi="宋体" w:cs="宋体"/>
          <w:color w:val="auto"/>
          <w:szCs w:val="32"/>
          <w:highlight w:val="none"/>
        </w:rPr>
      </w:pPr>
      <w:r>
        <w:rPr>
          <w:rFonts w:hint="eastAsia" w:ascii="宋体" w:hAnsi="宋体" w:cs="宋体"/>
          <w:color w:val="auto"/>
          <w:szCs w:val="32"/>
          <w:highlight w:val="none"/>
        </w:rPr>
        <w:t>　　6.依据本合同规定，向乙方支付服务费用 。</w:t>
      </w:r>
    </w:p>
    <w:p>
      <w:pPr>
        <w:pStyle w:val="23"/>
        <w:shd w:val="clear" w:color="auto" w:fill="FFFFFF"/>
        <w:spacing w:line="450" w:lineRule="atLeast"/>
        <w:ind w:right="300"/>
        <w:rPr>
          <w:rFonts w:hint="eastAsia" w:ascii="宋体" w:hAnsi="宋体" w:cs="宋体"/>
          <w:color w:val="auto"/>
          <w:szCs w:val="32"/>
          <w:highlight w:val="none"/>
        </w:rPr>
      </w:pPr>
      <w:r>
        <w:rPr>
          <w:rFonts w:hint="eastAsia" w:ascii="宋体" w:hAnsi="宋体" w:cs="宋体"/>
          <w:color w:val="auto"/>
          <w:szCs w:val="32"/>
          <w:highlight w:val="none"/>
        </w:rPr>
        <w:t>　　(二)乙方的权利和义务</w:t>
      </w:r>
    </w:p>
    <w:p>
      <w:pPr>
        <w:pStyle w:val="23"/>
        <w:shd w:val="clear" w:color="auto" w:fill="FFFFFF"/>
        <w:spacing w:line="450" w:lineRule="atLeast"/>
        <w:ind w:right="300"/>
        <w:rPr>
          <w:rFonts w:hint="eastAsia" w:ascii="宋体" w:hAnsi="宋体" w:cs="宋体"/>
          <w:color w:val="auto"/>
          <w:szCs w:val="32"/>
          <w:highlight w:val="none"/>
        </w:rPr>
      </w:pPr>
      <w:r>
        <w:rPr>
          <w:rFonts w:hint="eastAsia" w:ascii="宋体" w:hAnsi="宋体" w:cs="宋体"/>
          <w:color w:val="auto"/>
          <w:szCs w:val="32"/>
          <w:highlight w:val="none"/>
        </w:rPr>
        <w:t>　　1.根据甲方服务需要，乙方有权了解相关情况。</w:t>
      </w:r>
    </w:p>
    <w:p>
      <w:pPr>
        <w:pStyle w:val="23"/>
        <w:shd w:val="clear" w:color="auto" w:fill="FFFFFF"/>
        <w:spacing w:line="450" w:lineRule="atLeast"/>
        <w:ind w:right="300"/>
        <w:rPr>
          <w:rFonts w:hint="eastAsia" w:ascii="宋体" w:hAnsi="宋体" w:cs="宋体"/>
          <w:color w:val="auto"/>
          <w:szCs w:val="32"/>
          <w:highlight w:val="none"/>
        </w:rPr>
      </w:pPr>
      <w:r>
        <w:rPr>
          <w:rFonts w:hint="eastAsia" w:ascii="宋体" w:hAnsi="宋体" w:cs="宋体"/>
          <w:color w:val="auto"/>
          <w:szCs w:val="32"/>
          <w:highlight w:val="none"/>
        </w:rPr>
        <w:t>　　2.乙方在提供服务过程中有权要求甲方提供所需的资料。</w:t>
      </w:r>
    </w:p>
    <w:p>
      <w:pPr>
        <w:pStyle w:val="23"/>
        <w:shd w:val="clear" w:color="auto" w:fill="FFFFFF"/>
        <w:spacing w:line="450" w:lineRule="atLeast"/>
        <w:ind w:right="300"/>
        <w:rPr>
          <w:rFonts w:hint="eastAsia" w:ascii="宋体" w:hAnsi="宋体" w:cs="宋体"/>
          <w:color w:val="auto"/>
          <w:szCs w:val="32"/>
          <w:highlight w:val="none"/>
        </w:rPr>
      </w:pPr>
      <w:r>
        <w:rPr>
          <w:rFonts w:hint="eastAsia" w:ascii="宋体" w:hAnsi="宋体" w:cs="宋体"/>
          <w:color w:val="auto"/>
          <w:szCs w:val="32"/>
          <w:highlight w:val="none"/>
        </w:rPr>
        <w:t>　　3.乙方在提供服务过程中有到现场访谈、勘察的权利。</w:t>
      </w:r>
    </w:p>
    <w:p>
      <w:pPr>
        <w:pStyle w:val="23"/>
        <w:shd w:val="clear" w:color="auto" w:fill="FFFFFF"/>
        <w:spacing w:line="450" w:lineRule="atLeast"/>
        <w:ind w:right="300"/>
        <w:rPr>
          <w:rFonts w:hint="eastAsia" w:ascii="宋体" w:hAnsi="宋体" w:cs="宋体"/>
          <w:color w:val="auto"/>
          <w:szCs w:val="32"/>
          <w:highlight w:val="none"/>
        </w:rPr>
      </w:pPr>
      <w:r>
        <w:rPr>
          <w:rFonts w:hint="eastAsia" w:ascii="宋体" w:hAnsi="宋体" w:cs="宋体"/>
          <w:color w:val="auto"/>
          <w:szCs w:val="32"/>
          <w:highlight w:val="none"/>
        </w:rPr>
        <w:t>　　4.乙方在提供服务过程中有权对第三人提出的与本服务相关的问题进行核对和查问。</w:t>
      </w:r>
    </w:p>
    <w:p>
      <w:pPr>
        <w:pStyle w:val="23"/>
        <w:shd w:val="clear" w:color="auto" w:fill="FFFFFF"/>
        <w:spacing w:line="450" w:lineRule="atLeast"/>
        <w:ind w:right="300"/>
        <w:rPr>
          <w:rFonts w:hint="eastAsia" w:ascii="宋体" w:hAnsi="宋体" w:cs="宋体"/>
          <w:color w:val="auto"/>
          <w:szCs w:val="32"/>
          <w:highlight w:val="none"/>
        </w:rPr>
      </w:pPr>
      <w:r>
        <w:rPr>
          <w:rFonts w:hint="eastAsia" w:ascii="宋体" w:hAnsi="宋体" w:cs="宋体"/>
          <w:color w:val="auto"/>
          <w:szCs w:val="32"/>
          <w:highlight w:val="none"/>
        </w:rPr>
        <w:t>　　5.乙方在我国现行法律、政策允许的范围内，遵循诚实、勤勉、尽职的原则，按合同约定为甲方提供服务。</w:t>
      </w:r>
    </w:p>
    <w:p>
      <w:pPr>
        <w:pStyle w:val="23"/>
        <w:shd w:val="clear" w:color="auto" w:fill="FFFFFF"/>
        <w:spacing w:line="450" w:lineRule="atLeast"/>
        <w:ind w:right="300"/>
        <w:rPr>
          <w:rFonts w:hint="eastAsia" w:ascii="宋体" w:hAnsi="宋体" w:cs="宋体"/>
          <w:color w:val="auto"/>
          <w:szCs w:val="32"/>
          <w:highlight w:val="none"/>
        </w:rPr>
      </w:pPr>
      <w:r>
        <w:rPr>
          <w:rFonts w:hint="eastAsia" w:ascii="宋体" w:hAnsi="宋体" w:cs="宋体"/>
          <w:color w:val="auto"/>
          <w:szCs w:val="32"/>
          <w:highlight w:val="none"/>
        </w:rPr>
        <w:t>　　6.服务形式根据甲方需要而定，乙方可以为甲方提供书面的服务方案、建议、报告、信息服务等，也可以为甲方提供现场服务等形式的服务。</w:t>
      </w:r>
    </w:p>
    <w:p>
      <w:pPr>
        <w:pStyle w:val="23"/>
        <w:shd w:val="clear" w:color="auto" w:fill="FFFFFF"/>
        <w:spacing w:line="450" w:lineRule="atLeast"/>
        <w:ind w:right="300"/>
        <w:rPr>
          <w:rFonts w:hint="eastAsia" w:ascii="宋体" w:hAnsi="宋体" w:cs="宋体"/>
          <w:color w:val="auto"/>
          <w:szCs w:val="32"/>
          <w:highlight w:val="none"/>
        </w:rPr>
      </w:pPr>
      <w:r>
        <w:rPr>
          <w:rFonts w:hint="eastAsia" w:ascii="宋体" w:hAnsi="宋体" w:cs="宋体"/>
          <w:color w:val="auto"/>
          <w:szCs w:val="32"/>
          <w:highlight w:val="none"/>
        </w:rPr>
        <w:t>　　7.乙方应承担保密义务，未经甲方许可，乙方不得向第三方提供(披露)甲方提交乙方使用的、乙方通过其他渠道无法获得且尚未进入公共信息领域的材料与文件。</w:t>
      </w:r>
    </w:p>
    <w:p>
      <w:pPr>
        <w:pStyle w:val="23"/>
        <w:shd w:val="clear" w:color="auto" w:fill="FFFFFF"/>
        <w:spacing w:line="450" w:lineRule="atLeast"/>
        <w:ind w:right="300"/>
        <w:rPr>
          <w:rFonts w:hint="eastAsia" w:ascii="宋体" w:hAnsi="宋体" w:cs="宋体"/>
          <w:color w:val="auto"/>
          <w:szCs w:val="32"/>
          <w:highlight w:val="none"/>
        </w:rPr>
      </w:pPr>
      <w:r>
        <w:rPr>
          <w:rFonts w:hint="eastAsia" w:ascii="宋体" w:hAnsi="宋体" w:cs="宋体"/>
          <w:color w:val="auto"/>
          <w:szCs w:val="32"/>
          <w:highlight w:val="none"/>
        </w:rPr>
        <w:t>　　8.依据本合同约定，向甲方收取服务费用。</w:t>
      </w:r>
    </w:p>
    <w:p>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六. 违约责任</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如果乙方未按照合同规定的要求提供服务或乙方在收到甲方对服务存在问题的通知后10日内或在乙方在签署整改意见书后10日内，没有整改或整改仍不符合甲方要求，甲方有权向乙方发出违约通知书，乙方应按照甲方选择的下列一种或多种方式承担赔偿责任：</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1.在服务期限内因乙方管理或其它自身问题造成的服务期限内影响甲方正常工作，乙方承担由此给甲方造成的一切损失。</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2.在甲方规定的服务期限内，按照合同约定的范围、内容、要求，乙方应承担由此发生的一切费用和风险。</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3.根据甲方所遭受的损失，经双方商定降低标的的价格或赔偿甲方所遭受的损失。</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4.因乙方原因不能提供约定服务的，甲方有权要求乙方在一定期限内解决，逾期未解决的且严重违约的，甲方有权提前解除合同。造成甲方经济损失的，乙方应给予经济赔偿。</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5.乙方在服务期限内，由于管理、人为等因素造成的损失，经甲方认定后对乙方追究其责任，造成经济损失的，乙方应承担全部由此发生的一切费用及后果。</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6.甲方有权部分或全部解除合同并要求乙方赔偿由此造成的损失。此时甲方可采取必要的补救措施，相关费用由乙方承担。</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如果乙方在收到甲方的违约通知书后10日内未作答复也没有按照甲方选择的方式承担违约责任，则甲方有权从尚未支付的合同价款中扣回索赔金额。如果这些金额不足以补偿，甲方有权向乙方提出不足部分的赔偿要求。</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（三）服务延误的违约责任</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乙方未按合同规定的服务期限向甲方提供服务时，则每逾期一日，乙方应按逾期交付标的价款总值的2%计算，向甲方支付逾期提供服务的违约金，但不超过合同总金额的10%。乙方支付逾期提供服务的违约金并不免除乙方违约的责任。</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2.如乙方在合同规定的服务期限后10天内仍未能提供服务，则视为乙方不能提供服务，甲方有权解除合同，乙方除退还已收取的服务费用，还应向甲方偿付全部服务款10%的违约金。</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（四）以上各项交付的违约金并不影响违约方履行合同的其他义务。</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（五）因本合同产生的争议，双方应协商解决，如协商不成，应提交甲方所在地有管辖权的人民法院诉讼解决。</w:t>
      </w:r>
    </w:p>
    <w:p>
      <w:pPr>
        <w:widowControl/>
        <w:shd w:val="clear" w:color="auto" w:fill="FFFFFF"/>
        <w:tabs>
          <w:tab w:val="left" w:pos="420"/>
        </w:tabs>
        <w:spacing w:line="360" w:lineRule="auto"/>
        <w:ind w:firstLine="482" w:firstLineChars="200"/>
        <w:jc w:val="left"/>
        <w:outlineLvl w:val="0"/>
        <w:rPr>
          <w:rFonts w:hint="eastAsia" w:ascii="宋体" w:hAnsi="宋体" w:cs="宋体"/>
          <w:b/>
          <w:color w:val="auto"/>
          <w:sz w:val="24"/>
          <w:highlight w:val="none"/>
        </w:rPr>
      </w:pPr>
      <w:bookmarkStart w:id="35" w:name="_Toc31673"/>
      <w:bookmarkEnd w:id="35"/>
      <w:bookmarkStart w:id="36" w:name="_Toc2434"/>
      <w:bookmarkEnd w:id="36"/>
      <w:bookmarkStart w:id="37" w:name="_Toc10926"/>
      <w:bookmarkEnd w:id="37"/>
      <w:bookmarkStart w:id="38" w:name="_Toc11512"/>
      <w:bookmarkEnd w:id="38"/>
      <w:bookmarkStart w:id="39" w:name="_Toc6970"/>
      <w:bookmarkEnd w:id="39"/>
      <w:bookmarkStart w:id="40" w:name="_Toc26018"/>
      <w:bookmarkEnd w:id="40"/>
      <w:r>
        <w:rPr>
          <w:rFonts w:hint="eastAsia" w:ascii="宋体" w:hAnsi="宋体" w:cs="宋体"/>
          <w:b/>
          <w:color w:val="auto"/>
          <w:sz w:val="24"/>
          <w:highlight w:val="none"/>
        </w:rPr>
        <w:t>七、合同生效</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本合同经双方法人代表或授权代表签字盖章后生效。</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本合同一式四份，甲乙双方各二份。</w:t>
      </w:r>
    </w:p>
    <w:p>
      <w:pPr>
        <w:spacing w:line="360" w:lineRule="auto"/>
        <w:jc w:val="left"/>
        <w:rPr>
          <w:rFonts w:hint="eastAsia" w:ascii="宋体" w:hAnsi="宋体" w:cs="宋体"/>
          <w:color w:val="auto"/>
          <w:sz w:val="24"/>
          <w:highlight w:val="none"/>
        </w:rPr>
      </w:pP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甲方（公章）:                           乙方(公章):</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 xml:space="preserve">法定代表人(签字)：                      法定代表人(签字)：       </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委托代理人(签字):                       委托代理人(签字):</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联系电话：                              联系电话：</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日期：   年  月  日                     开户行：</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 xml:space="preserve">                                        账号：</w:t>
      </w:r>
    </w:p>
    <w:p>
      <w:pPr>
        <w:spacing w:line="360" w:lineRule="auto"/>
        <w:ind w:firstLine="480" w:firstLineChars="200"/>
        <w:jc w:val="left"/>
        <w:rPr>
          <w:rFonts w:hint="eastAsia" w:ascii="宋体" w:hAnsi="宋体" w:cs="宋体"/>
          <w:color w:val="auto"/>
          <w:szCs w:val="21"/>
          <w:highlight w:val="none"/>
        </w:rPr>
      </w:pPr>
      <w:r>
        <w:rPr>
          <w:rFonts w:hint="eastAsia" w:ascii="宋体" w:hAnsi="宋体" w:cs="宋体"/>
          <w:color w:val="auto"/>
          <w:sz w:val="24"/>
          <w:highlight w:val="none"/>
        </w:rPr>
        <w:t>日期：   年  月  日</w:t>
      </w:r>
    </w:p>
    <w:p>
      <w:pPr>
        <w:pStyle w:val="3"/>
        <w:rPr>
          <w:rFonts w:hint="eastAsia" w:ascii="宋体" w:hAnsi="宋体" w:eastAsia="宋体" w:cs="宋体"/>
          <w:color w:val="auto"/>
          <w:highlight w:val="none"/>
        </w:rPr>
      </w:pPr>
    </w:p>
    <w:p>
      <w:pPr>
        <w:spacing w:line="360" w:lineRule="auto"/>
        <w:rPr>
          <w:rFonts w:hint="eastAsia" w:ascii="宋体" w:hAnsi="宋体" w:cs="宋体"/>
          <w:color w:val="auto"/>
          <w:highlight w:val="none"/>
        </w:rPr>
      </w:pPr>
    </w:p>
    <w:p>
      <w:pPr>
        <w:spacing w:line="360" w:lineRule="auto"/>
        <w:rPr>
          <w:rFonts w:hint="eastAsia" w:ascii="宋体" w:hAnsi="宋体" w:cs="宋体"/>
          <w:color w:val="auto"/>
          <w:highlight w:val="none"/>
        </w:rPr>
      </w:pPr>
    </w:p>
    <w:p>
      <w:pPr>
        <w:spacing w:line="360" w:lineRule="auto"/>
        <w:rPr>
          <w:rFonts w:hint="eastAsia" w:ascii="宋体" w:hAnsi="宋体" w:cs="宋体"/>
          <w:color w:val="auto"/>
          <w:highlight w:val="none"/>
        </w:rPr>
      </w:pPr>
    </w:p>
    <w:p>
      <w:pPr>
        <w:spacing w:line="360" w:lineRule="auto"/>
        <w:rPr>
          <w:rFonts w:hint="eastAsia" w:ascii="宋体" w:hAnsi="宋体" w:cs="宋体"/>
          <w:color w:val="auto"/>
          <w:highlight w:val="none"/>
        </w:rPr>
      </w:pPr>
    </w:p>
    <w:p>
      <w:pPr>
        <w:spacing w:line="360" w:lineRule="auto"/>
        <w:rPr>
          <w:rFonts w:hint="eastAsia" w:ascii="宋体" w:hAnsi="宋体" w:cs="宋体"/>
          <w:color w:val="auto"/>
          <w:highlight w:val="none"/>
        </w:rPr>
      </w:pPr>
    </w:p>
    <w:p>
      <w:pPr>
        <w:spacing w:line="360" w:lineRule="auto"/>
        <w:rPr>
          <w:rFonts w:hint="eastAsia" w:ascii="宋体" w:hAnsi="宋体" w:cs="宋体"/>
          <w:color w:val="auto"/>
          <w:highlight w:val="none"/>
        </w:rPr>
      </w:pPr>
    </w:p>
    <w:p>
      <w:pPr>
        <w:spacing w:line="360" w:lineRule="auto"/>
        <w:rPr>
          <w:rFonts w:hint="eastAsia" w:ascii="宋体" w:hAnsi="宋体" w:cs="宋体"/>
          <w:color w:val="auto"/>
          <w:highlight w:val="none"/>
        </w:rPr>
      </w:pPr>
    </w:p>
    <w:p>
      <w:pPr>
        <w:spacing w:line="360" w:lineRule="auto"/>
        <w:rPr>
          <w:rFonts w:hint="eastAsia" w:ascii="宋体" w:hAnsi="宋体" w:cs="宋体"/>
          <w:color w:val="auto"/>
          <w:highlight w:val="none"/>
        </w:rPr>
      </w:pPr>
    </w:p>
    <w:p>
      <w:pPr>
        <w:spacing w:line="360" w:lineRule="auto"/>
        <w:rPr>
          <w:rFonts w:hint="eastAsia" w:ascii="宋体" w:hAnsi="宋体" w:cs="宋体"/>
          <w:color w:val="auto"/>
          <w:highlight w:val="none"/>
        </w:rPr>
      </w:pPr>
    </w:p>
    <w:p>
      <w:pPr>
        <w:spacing w:line="360" w:lineRule="auto"/>
        <w:rPr>
          <w:rFonts w:hint="eastAsia" w:ascii="宋体" w:hAnsi="宋体" w:cs="宋体"/>
          <w:color w:val="auto"/>
          <w:highlight w:val="none"/>
        </w:rPr>
      </w:pPr>
    </w:p>
    <w:p>
      <w:pPr>
        <w:spacing w:line="360" w:lineRule="auto"/>
        <w:rPr>
          <w:rFonts w:hint="eastAsia" w:ascii="宋体" w:hAnsi="宋体" w:cs="宋体"/>
          <w:color w:val="auto"/>
          <w:highlight w:val="none"/>
        </w:rPr>
      </w:pPr>
    </w:p>
    <w:p>
      <w:pPr>
        <w:spacing w:line="360" w:lineRule="auto"/>
        <w:rPr>
          <w:rFonts w:hint="eastAsia" w:ascii="宋体" w:hAnsi="宋体" w:cs="宋体"/>
          <w:color w:val="auto"/>
          <w:highlight w:val="none"/>
        </w:rPr>
      </w:pPr>
    </w:p>
    <w:p>
      <w:pPr>
        <w:spacing w:line="360" w:lineRule="auto"/>
        <w:rPr>
          <w:rFonts w:hint="eastAsia" w:ascii="宋体" w:hAnsi="宋体" w:cs="宋体"/>
          <w:color w:val="auto"/>
          <w:highlight w:val="none"/>
        </w:rPr>
      </w:pPr>
    </w:p>
    <w:p>
      <w:pPr>
        <w:spacing w:line="360" w:lineRule="auto"/>
        <w:ind w:right="-1233" w:rightChars="-587"/>
        <w:rPr>
          <w:rFonts w:hint="eastAsia" w:ascii="宋体" w:hAnsi="宋体" w:eastAsia="宋体" w:cs="宋体"/>
          <w:color w:val="auto"/>
          <w:sz w:val="20"/>
          <w:highlight w:val="none"/>
        </w:rPr>
        <w:sectPr>
          <w:headerReference r:id="rId10" w:type="first"/>
          <w:headerReference r:id="rId9" w:type="default"/>
          <w:footerReference r:id="rId11" w:type="default"/>
          <w:pgSz w:w="11906" w:h="16838"/>
          <w:pgMar w:top="1134" w:right="1202" w:bottom="1134" w:left="1418" w:header="454" w:footer="454" w:gutter="0"/>
          <w:cols w:space="720" w:num="1"/>
          <w:titlePg/>
          <w:docGrid w:linePitch="312" w:charSpace="0"/>
        </w:sectPr>
      </w:pPr>
      <w:r>
        <w:rPr>
          <w:rFonts w:hint="eastAsia" w:ascii="宋体" w:hAnsi="宋体" w:cs="宋体"/>
          <w:color w:val="auto"/>
          <w:highlight w:val="none"/>
        </w:rPr>
        <w:br w:type="page"/>
      </w:r>
    </w:p>
    <w:p>
      <w:pPr>
        <w:spacing w:line="360" w:lineRule="auto"/>
        <w:rPr>
          <w:rFonts w:hint="eastAsia" w:ascii="宋体" w:hAnsi="宋体" w:cs="宋体"/>
          <w:color w:val="auto"/>
          <w:highlight w:val="none"/>
        </w:rPr>
      </w:pPr>
    </w:p>
    <w:p>
      <w:pPr>
        <w:spacing w:line="360" w:lineRule="auto"/>
        <w:rPr>
          <w:rFonts w:hint="eastAsia" w:ascii="宋体" w:hAnsi="宋体" w:cs="宋体"/>
          <w:color w:val="auto"/>
          <w:highlight w:val="none"/>
        </w:rPr>
      </w:pPr>
    </w:p>
    <w:p>
      <w:pPr>
        <w:spacing w:line="360" w:lineRule="auto"/>
        <w:rPr>
          <w:rFonts w:hint="eastAsia" w:ascii="宋体" w:hAnsi="宋体" w:cs="宋体"/>
          <w:color w:val="auto"/>
          <w:highlight w:val="none"/>
        </w:rPr>
      </w:pPr>
    </w:p>
    <w:p>
      <w:pPr>
        <w:spacing w:line="360" w:lineRule="auto"/>
        <w:rPr>
          <w:rFonts w:hint="eastAsia" w:ascii="宋体" w:hAnsi="宋体" w:cs="宋体"/>
          <w:color w:val="auto"/>
          <w:highlight w:val="none"/>
        </w:rPr>
      </w:pPr>
    </w:p>
    <w:p>
      <w:pPr>
        <w:pStyle w:val="2"/>
        <w:numPr>
          <w:ilvl w:val="0"/>
          <w:numId w:val="2"/>
        </w:numPr>
        <w:spacing w:line="360" w:lineRule="auto"/>
        <w:jc w:val="center"/>
        <w:rPr>
          <w:rFonts w:hint="eastAsia" w:ascii="宋体" w:hAnsi="宋体" w:cs="宋体"/>
          <w:color w:val="auto"/>
          <w:w w:val="90"/>
          <w:highlight w:val="none"/>
        </w:rPr>
      </w:pPr>
      <w:bookmarkStart w:id="41" w:name="_Toc22813"/>
      <w:bookmarkEnd w:id="41"/>
      <w:bookmarkStart w:id="42" w:name="_Toc350515653"/>
      <w:bookmarkEnd w:id="42"/>
      <w:bookmarkStart w:id="43" w:name="_Toc1908"/>
      <w:bookmarkEnd w:id="43"/>
      <w:r>
        <w:rPr>
          <w:rFonts w:hint="eastAsia" w:ascii="宋体" w:hAnsi="宋体" w:cs="宋体"/>
          <w:color w:val="auto"/>
          <w:w w:val="90"/>
          <w:highlight w:val="none"/>
        </w:rPr>
        <w:tab/>
      </w:r>
      <w:r>
        <w:rPr>
          <w:rFonts w:hint="eastAsia" w:ascii="宋体" w:hAnsi="宋体" w:cs="宋体"/>
          <w:color w:val="auto"/>
          <w:w w:val="90"/>
          <w:highlight w:val="none"/>
        </w:rPr>
        <w:t xml:space="preserve"> 项目情况及服务需求</w:t>
      </w:r>
    </w:p>
    <w:p>
      <w:pPr>
        <w:tabs>
          <w:tab w:val="left" w:pos="9240"/>
        </w:tabs>
        <w:spacing w:line="360" w:lineRule="auto"/>
        <w:ind w:left="14" w:leftChars="0" w:right="46" w:rightChars="22" w:hanging="14" w:hangingChars="5"/>
        <w:jc w:val="center"/>
        <w:rPr>
          <w:rFonts w:hint="eastAsia" w:ascii="宋体" w:hAnsi="宋体" w:eastAsia="宋体" w:cs="宋体"/>
          <w:color w:val="auto"/>
          <w:spacing w:val="3"/>
          <w:sz w:val="28"/>
          <w:szCs w:val="28"/>
          <w:highlight w:val="none"/>
        </w:rPr>
      </w:pPr>
      <w:r>
        <w:rPr>
          <w:rFonts w:hint="eastAsia" w:ascii="宋体" w:hAnsi="宋体" w:eastAsia="宋体" w:cs="宋体"/>
          <w:color w:val="auto"/>
          <w:spacing w:val="3"/>
          <w:sz w:val="28"/>
          <w:szCs w:val="28"/>
          <w:highlight w:val="none"/>
        </w:rPr>
        <w:br w:type="page"/>
      </w:r>
      <w:r>
        <w:rPr>
          <w:rFonts w:hint="eastAsia" w:ascii="宋体" w:hAnsi="宋体" w:eastAsia="宋体" w:cs="宋体"/>
          <w:color w:val="auto"/>
          <w:spacing w:val="3"/>
          <w:sz w:val="28"/>
          <w:szCs w:val="28"/>
          <w:highlight w:val="none"/>
        </w:rPr>
        <w:t>辽宁省营口市海洋生态保护修复工程</w:t>
      </w:r>
    </w:p>
    <w:p>
      <w:pPr>
        <w:tabs>
          <w:tab w:val="left" w:pos="9240"/>
        </w:tabs>
        <w:spacing w:line="360" w:lineRule="auto"/>
        <w:ind w:left="14" w:leftChars="0" w:right="46" w:rightChars="22" w:hanging="14" w:hangingChars="5"/>
        <w:jc w:val="center"/>
        <w:rPr>
          <w:rFonts w:hint="eastAsia" w:ascii="宋体" w:hAnsi="宋体" w:eastAsia="宋体" w:cs="宋体"/>
          <w:color w:val="auto"/>
          <w:spacing w:val="3"/>
          <w:sz w:val="28"/>
          <w:szCs w:val="28"/>
          <w:highlight w:val="none"/>
        </w:rPr>
      </w:pPr>
      <w:r>
        <w:rPr>
          <w:rFonts w:hint="eastAsia" w:ascii="宋体" w:hAnsi="宋体" w:eastAsia="宋体" w:cs="宋体"/>
          <w:color w:val="auto"/>
          <w:spacing w:val="3"/>
          <w:sz w:val="28"/>
          <w:szCs w:val="28"/>
          <w:highlight w:val="none"/>
        </w:rPr>
        <w:t>项目基本情况</w:t>
      </w:r>
    </w:p>
    <w:p>
      <w:pPr>
        <w:tabs>
          <w:tab w:val="left" w:pos="9240"/>
        </w:tabs>
        <w:adjustRightInd w:val="0"/>
        <w:snapToGrid w:val="0"/>
        <w:spacing w:line="360" w:lineRule="auto"/>
        <w:ind w:left="0" w:leftChars="0" w:right="0" w:rightChars="0" w:firstLine="572" w:firstLineChars="200"/>
        <w:rPr>
          <w:rFonts w:hint="eastAsia" w:ascii="宋体" w:hAnsi="宋体" w:eastAsia="宋体" w:cs="宋体"/>
          <w:color w:val="auto"/>
          <w:spacing w:val="3"/>
          <w:sz w:val="28"/>
          <w:szCs w:val="28"/>
          <w:highlight w:val="none"/>
        </w:rPr>
      </w:pPr>
      <w:r>
        <w:rPr>
          <w:rFonts w:hint="eastAsia" w:ascii="宋体" w:hAnsi="宋体" w:eastAsia="宋体" w:cs="宋体"/>
          <w:color w:val="auto"/>
          <w:spacing w:val="3"/>
          <w:sz w:val="28"/>
          <w:szCs w:val="28"/>
          <w:highlight w:val="none"/>
        </w:rPr>
        <w:t>项目名称：辽宁省营口市海洋生态保护修复工程项目</w:t>
      </w:r>
    </w:p>
    <w:p>
      <w:pPr>
        <w:tabs>
          <w:tab w:val="left" w:pos="9240"/>
        </w:tabs>
        <w:adjustRightInd w:val="0"/>
        <w:snapToGrid w:val="0"/>
        <w:spacing w:line="360" w:lineRule="auto"/>
        <w:ind w:left="0" w:leftChars="0" w:right="0" w:rightChars="0" w:firstLine="572" w:firstLineChars="200"/>
        <w:rPr>
          <w:rFonts w:hint="eastAsia" w:ascii="宋体" w:hAnsi="宋体" w:eastAsia="宋体" w:cs="宋体"/>
          <w:color w:val="auto"/>
          <w:spacing w:val="3"/>
          <w:sz w:val="28"/>
          <w:szCs w:val="28"/>
          <w:highlight w:val="none"/>
        </w:rPr>
      </w:pPr>
      <w:r>
        <w:rPr>
          <w:rFonts w:hint="eastAsia" w:ascii="宋体" w:hAnsi="宋体" w:eastAsia="宋体" w:cs="宋体"/>
          <w:color w:val="auto"/>
          <w:spacing w:val="3"/>
          <w:sz w:val="28"/>
          <w:szCs w:val="28"/>
          <w:highlight w:val="none"/>
        </w:rPr>
        <w:t>建设单位：营口市自然资源局</w:t>
      </w:r>
    </w:p>
    <w:p>
      <w:pPr>
        <w:tabs>
          <w:tab w:val="left" w:pos="9240"/>
        </w:tabs>
        <w:adjustRightInd w:val="0"/>
        <w:snapToGrid w:val="0"/>
        <w:spacing w:line="360" w:lineRule="auto"/>
        <w:ind w:left="0" w:leftChars="0" w:right="0" w:rightChars="0" w:firstLine="572" w:firstLineChars="200"/>
        <w:rPr>
          <w:rFonts w:hint="eastAsia" w:ascii="宋体" w:hAnsi="宋体" w:eastAsia="宋体" w:cs="宋体"/>
          <w:color w:val="auto"/>
          <w:spacing w:val="3"/>
          <w:sz w:val="28"/>
          <w:szCs w:val="28"/>
          <w:highlight w:val="none"/>
        </w:rPr>
      </w:pPr>
      <w:r>
        <w:rPr>
          <w:rFonts w:hint="eastAsia" w:ascii="宋体" w:hAnsi="宋体" w:eastAsia="宋体" w:cs="宋体"/>
          <w:color w:val="auto"/>
          <w:spacing w:val="3"/>
          <w:sz w:val="28"/>
          <w:szCs w:val="28"/>
          <w:highlight w:val="none"/>
        </w:rPr>
        <w:t>建设地点：辽宁省营口市</w:t>
      </w:r>
    </w:p>
    <w:p>
      <w:pPr>
        <w:tabs>
          <w:tab w:val="left" w:pos="9240"/>
        </w:tabs>
        <w:adjustRightInd w:val="0"/>
        <w:snapToGrid w:val="0"/>
        <w:spacing w:line="360" w:lineRule="auto"/>
        <w:ind w:left="0" w:leftChars="0" w:right="0" w:rightChars="0" w:firstLine="572" w:firstLineChars="200"/>
        <w:rPr>
          <w:rFonts w:hint="eastAsia" w:ascii="宋体" w:hAnsi="宋体" w:eastAsia="宋体" w:cs="宋体"/>
          <w:color w:val="auto"/>
          <w:spacing w:val="3"/>
          <w:sz w:val="28"/>
          <w:szCs w:val="28"/>
          <w:highlight w:val="none"/>
        </w:rPr>
      </w:pPr>
      <w:r>
        <w:rPr>
          <w:rFonts w:hint="eastAsia" w:ascii="宋体" w:hAnsi="宋体" w:eastAsia="宋体" w:cs="宋体"/>
          <w:color w:val="auto"/>
          <w:spacing w:val="3"/>
          <w:sz w:val="28"/>
          <w:szCs w:val="28"/>
          <w:highlight w:val="none"/>
        </w:rPr>
        <w:t>建设范围：北起大辽河口湿地，南至熊岳河口。围绕“一带、一滩、一湾”总体布局，拟开展大辽河口滨海湿地带保护修复、团山国家级自然保护地生态修复、月亮湾综合治理，实施滨海湿地保护修复、生态护岸建设、沙滩侵蚀修复、水动力环境改善、浒苔防治等保护修复措施。</w:t>
      </w:r>
    </w:p>
    <w:p>
      <w:pPr>
        <w:tabs>
          <w:tab w:val="left" w:pos="9240"/>
        </w:tabs>
        <w:adjustRightInd w:val="0"/>
        <w:snapToGrid w:val="0"/>
        <w:spacing w:line="360" w:lineRule="auto"/>
        <w:ind w:left="0" w:leftChars="0" w:right="0" w:rightChars="0" w:firstLine="572" w:firstLineChars="200"/>
        <w:rPr>
          <w:rFonts w:hint="eastAsia" w:ascii="宋体" w:hAnsi="宋体" w:eastAsia="宋体" w:cs="宋体"/>
          <w:color w:val="auto"/>
          <w:spacing w:val="3"/>
          <w:sz w:val="28"/>
          <w:szCs w:val="28"/>
          <w:highlight w:val="none"/>
        </w:rPr>
      </w:pPr>
      <w:r>
        <w:rPr>
          <w:rFonts w:hint="eastAsia" w:ascii="宋体" w:hAnsi="宋体" w:eastAsia="宋体" w:cs="宋体"/>
          <w:color w:val="auto"/>
          <w:spacing w:val="3"/>
          <w:sz w:val="28"/>
          <w:szCs w:val="28"/>
          <w:highlight w:val="none"/>
        </w:rPr>
        <w:t xml:space="preserve">建设内容：“一带”为大辽河口滨海湿地带保护修复，以大辽河口盐沼湿地为主要保护修复对象，开展盐沼保育修复、生态护岸建设、水动力条件改善等措施，保护候鸟迁飞生态廊道重要节点，构建基于自然解决方案（NbS）的海岸带防灾减灾能力，巩固提升盐沼生态系统碳汇功能；“一滩”为团山国家级海洋自然保护地修复，通过沙滩修复、沙生植被种植、生态缓冲带建设，修复保护地受侵蚀自然岸线，提升团山国家级自然保护地整体生态功能；“一湾”为月亮湾综合治理，通过实施浒苔防治、熊岳河河口水动力改善、熊岳河滨海湿地修复等措施恢复海湾生态健康和陆海生态廊道。 </w:t>
      </w:r>
    </w:p>
    <w:p>
      <w:pPr>
        <w:tabs>
          <w:tab w:val="left" w:pos="9240"/>
        </w:tabs>
        <w:adjustRightInd w:val="0"/>
        <w:snapToGrid w:val="0"/>
        <w:spacing w:line="360" w:lineRule="auto"/>
        <w:ind w:left="0" w:leftChars="0" w:right="0" w:rightChars="0" w:firstLine="572" w:firstLineChars="200"/>
        <w:rPr>
          <w:rFonts w:hint="eastAsia" w:ascii="宋体" w:hAnsi="宋体" w:eastAsia="宋体" w:cs="宋体"/>
          <w:color w:val="auto"/>
          <w:spacing w:val="3"/>
          <w:sz w:val="28"/>
          <w:szCs w:val="28"/>
          <w:highlight w:val="none"/>
        </w:rPr>
      </w:pPr>
      <w:r>
        <w:rPr>
          <w:rFonts w:hint="eastAsia" w:ascii="宋体" w:hAnsi="宋体" w:eastAsia="宋体" w:cs="宋体"/>
          <w:color w:val="auto"/>
          <w:spacing w:val="3"/>
          <w:sz w:val="28"/>
          <w:szCs w:val="28"/>
          <w:highlight w:val="none"/>
        </w:rPr>
        <w:t>工程规模：本项目拟完成修复总面积 1630.34ha,整治修复岸线长度 2951.90m，其中修复砂质岸线 1287m、生态护岸 1664.90m；整治修复滨海湿地面积1555.22ha，其中保育和种植盐沼植被面积269.69ha、浒苔防治面积1006.83ha。</w:t>
      </w:r>
    </w:p>
    <w:p>
      <w:pPr>
        <w:tabs>
          <w:tab w:val="left" w:pos="9240"/>
        </w:tabs>
        <w:adjustRightInd w:val="0"/>
        <w:snapToGrid w:val="0"/>
        <w:spacing w:line="360" w:lineRule="auto"/>
        <w:ind w:left="0" w:leftChars="0" w:right="0" w:rightChars="0" w:firstLine="572" w:firstLineChars="200"/>
        <w:rPr>
          <w:rFonts w:hint="eastAsia" w:ascii="宋体" w:hAnsi="宋体" w:eastAsia="宋体" w:cs="宋体"/>
          <w:color w:val="auto"/>
          <w:spacing w:val="3"/>
          <w:sz w:val="28"/>
          <w:szCs w:val="28"/>
          <w:highlight w:val="none"/>
        </w:rPr>
      </w:pPr>
      <w:r>
        <w:rPr>
          <w:rFonts w:hint="eastAsia" w:ascii="宋体" w:hAnsi="宋体" w:eastAsia="宋体" w:cs="宋体"/>
          <w:color w:val="auto"/>
          <w:spacing w:val="3"/>
          <w:sz w:val="28"/>
          <w:szCs w:val="28"/>
          <w:highlight w:val="none"/>
        </w:rPr>
        <w:t>招标范围：针对上述内容拟委托服务机构</w:t>
      </w:r>
      <w:r>
        <w:rPr>
          <w:rFonts w:hint="eastAsia" w:ascii="宋体" w:hAnsi="宋体" w:eastAsia="宋体" w:cs="宋体"/>
          <w:color w:val="auto"/>
          <w:spacing w:val="3"/>
          <w:sz w:val="28"/>
          <w:szCs w:val="28"/>
          <w:highlight w:val="none"/>
          <w:lang w:eastAsia="zh-CN"/>
        </w:rPr>
        <w:t>（</w:t>
      </w:r>
      <w:r>
        <w:rPr>
          <w:rFonts w:hint="eastAsia" w:ascii="宋体" w:hAnsi="宋体" w:eastAsia="宋体" w:cs="宋体"/>
          <w:color w:val="auto"/>
          <w:spacing w:val="3"/>
          <w:sz w:val="28"/>
          <w:szCs w:val="28"/>
          <w:highlight w:val="none"/>
          <w:lang w:val="en-US" w:eastAsia="zh-CN"/>
        </w:rPr>
        <w:t>或联合体</w:t>
      </w:r>
      <w:r>
        <w:rPr>
          <w:rFonts w:hint="eastAsia" w:ascii="宋体" w:hAnsi="宋体" w:eastAsia="宋体" w:cs="宋体"/>
          <w:color w:val="auto"/>
          <w:spacing w:val="3"/>
          <w:sz w:val="28"/>
          <w:szCs w:val="28"/>
          <w:highlight w:val="none"/>
          <w:lang w:eastAsia="zh-CN"/>
        </w:rPr>
        <w:t>）</w:t>
      </w:r>
      <w:r>
        <w:rPr>
          <w:rFonts w:hint="eastAsia" w:ascii="宋体" w:hAnsi="宋体" w:eastAsia="宋体" w:cs="宋体"/>
          <w:color w:val="auto"/>
          <w:spacing w:val="3"/>
          <w:sz w:val="28"/>
          <w:szCs w:val="28"/>
          <w:highlight w:val="none"/>
        </w:rPr>
        <w:t>提供项目跟踪监测服务。（服务内容包括但不限于资料收集和整理、跟踪监测方案编制及实施、成果报告编制及提交审核、报告内容修改、资料归档、过程技术咨询及根据招标人对项目的要求所进行的其他工作。所编制的成果报告须遵照法规及规范要求）。</w:t>
      </w:r>
    </w:p>
    <w:p>
      <w:pPr>
        <w:tabs>
          <w:tab w:val="left" w:pos="9240"/>
        </w:tabs>
        <w:adjustRightInd w:val="0"/>
        <w:snapToGrid w:val="0"/>
        <w:spacing w:line="360" w:lineRule="auto"/>
        <w:ind w:left="0" w:leftChars="0" w:right="0" w:rightChars="0" w:firstLine="572" w:firstLineChars="200"/>
        <w:outlineLvl w:val="9"/>
        <w:rPr>
          <w:rFonts w:hint="eastAsia" w:ascii="宋体" w:hAnsi="宋体" w:cs="宋体"/>
          <w:color w:val="auto"/>
          <w:spacing w:val="3"/>
          <w:sz w:val="28"/>
          <w:szCs w:val="28"/>
          <w:highlight w:val="none"/>
          <w:lang w:val="en-US" w:eastAsia="zh-CN"/>
        </w:rPr>
      </w:pPr>
      <w:r>
        <w:rPr>
          <w:rFonts w:hint="eastAsia" w:ascii="宋体" w:hAnsi="宋体" w:eastAsia="宋体" w:cs="宋体"/>
          <w:color w:val="auto"/>
          <w:spacing w:val="3"/>
          <w:sz w:val="28"/>
          <w:szCs w:val="28"/>
          <w:highlight w:val="none"/>
          <w:lang w:val="en-US" w:eastAsia="zh-CN"/>
        </w:rPr>
        <w:t>1.</w:t>
      </w:r>
      <w:r>
        <w:rPr>
          <w:rFonts w:hint="eastAsia" w:ascii="宋体" w:hAnsi="宋体" w:eastAsia="宋体" w:cs="宋体"/>
          <w:color w:val="auto"/>
          <w:spacing w:val="3"/>
          <w:sz w:val="28"/>
          <w:szCs w:val="28"/>
          <w:highlight w:val="none"/>
        </w:rPr>
        <w:t>服务内容</w:t>
      </w:r>
      <w:r>
        <w:rPr>
          <w:rFonts w:hint="eastAsia" w:ascii="宋体" w:hAnsi="宋体" w:cs="宋体"/>
          <w:color w:val="auto"/>
          <w:spacing w:val="3"/>
          <w:sz w:val="28"/>
          <w:szCs w:val="28"/>
          <w:highlight w:val="none"/>
          <w:lang w:eastAsia="zh-CN"/>
        </w:rPr>
        <w:t>与</w:t>
      </w:r>
      <w:r>
        <w:rPr>
          <w:rFonts w:hint="eastAsia" w:ascii="宋体" w:hAnsi="宋体" w:cs="宋体"/>
          <w:color w:val="auto"/>
          <w:spacing w:val="3"/>
          <w:sz w:val="28"/>
          <w:szCs w:val="28"/>
          <w:highlight w:val="none"/>
          <w:lang w:val="en-US" w:eastAsia="zh-CN"/>
        </w:rPr>
        <w:t>要求</w:t>
      </w:r>
    </w:p>
    <w:p>
      <w:pPr>
        <w:tabs>
          <w:tab w:val="left" w:pos="9240"/>
        </w:tabs>
        <w:adjustRightInd w:val="0"/>
        <w:snapToGrid w:val="0"/>
        <w:spacing w:line="360" w:lineRule="auto"/>
        <w:ind w:left="0" w:leftChars="0" w:right="0" w:rightChars="0" w:firstLine="572" w:firstLineChars="200"/>
        <w:outlineLvl w:val="9"/>
        <w:rPr>
          <w:rFonts w:hint="eastAsia" w:ascii="宋体" w:hAnsi="宋体" w:eastAsia="宋体" w:cs="宋体"/>
          <w:color w:val="auto"/>
          <w:spacing w:val="3"/>
          <w:sz w:val="28"/>
          <w:szCs w:val="28"/>
          <w:highlight w:val="none"/>
        </w:rPr>
      </w:pPr>
      <w:r>
        <w:rPr>
          <w:rFonts w:hint="eastAsia" w:ascii="宋体" w:hAnsi="宋体" w:eastAsia="宋体" w:cs="宋体"/>
          <w:color w:val="auto"/>
          <w:spacing w:val="3"/>
          <w:sz w:val="28"/>
          <w:szCs w:val="28"/>
          <w:highlight w:val="none"/>
        </w:rPr>
        <w:t>在实施生态修复的过程中以及生态修复工程结束后，需要根据预先制订的修复目标和评价指标进行跟踪监测。生态修复过程中的跟踪监测可以及时反映当前的修复现状和工程进度，同时，也可以反映出预先设计的修复与管理方案是否合理，从而及时地对生态修复工程进行调整。在生态修复竣工后，应开展调查监测，全面掌握监测项目实施区域内水质、水文、气象、生物等变化情况，</w:t>
      </w:r>
      <w:r>
        <w:rPr>
          <w:rFonts w:hint="eastAsia" w:ascii="宋体" w:hAnsi="宋体" w:cs="宋体"/>
          <w:color w:val="auto"/>
          <w:spacing w:val="3"/>
          <w:sz w:val="28"/>
          <w:szCs w:val="28"/>
          <w:highlight w:val="none"/>
          <w:lang w:val="en-US" w:eastAsia="zh-CN"/>
        </w:rPr>
        <w:t>并为</w:t>
      </w:r>
      <w:r>
        <w:rPr>
          <w:rFonts w:hint="eastAsia" w:ascii="宋体" w:hAnsi="宋体" w:eastAsia="宋体" w:cs="宋体"/>
          <w:color w:val="auto"/>
          <w:spacing w:val="3"/>
          <w:sz w:val="28"/>
          <w:szCs w:val="28"/>
          <w:highlight w:val="none"/>
        </w:rPr>
        <w:t>生态修复成效评估</w:t>
      </w:r>
      <w:r>
        <w:rPr>
          <w:rFonts w:hint="eastAsia" w:ascii="宋体" w:hAnsi="宋体" w:cs="宋体"/>
          <w:color w:val="auto"/>
          <w:spacing w:val="3"/>
          <w:sz w:val="28"/>
          <w:szCs w:val="28"/>
          <w:highlight w:val="none"/>
          <w:lang w:val="en-US" w:eastAsia="zh-CN"/>
        </w:rPr>
        <w:t>提供基础监测数据</w:t>
      </w:r>
      <w:r>
        <w:rPr>
          <w:rFonts w:hint="eastAsia" w:ascii="宋体" w:hAnsi="宋体" w:eastAsia="宋体" w:cs="宋体"/>
          <w:color w:val="auto"/>
          <w:spacing w:val="3"/>
          <w:sz w:val="28"/>
          <w:szCs w:val="28"/>
          <w:highlight w:val="none"/>
        </w:rPr>
        <w:t>，并可及时发现存在的问题，及时管护，确保修复效果。</w:t>
      </w:r>
    </w:p>
    <w:p>
      <w:pPr>
        <w:tabs>
          <w:tab w:val="left" w:pos="9240"/>
        </w:tabs>
        <w:adjustRightInd w:val="0"/>
        <w:snapToGrid w:val="0"/>
        <w:spacing w:line="360" w:lineRule="auto"/>
        <w:ind w:left="0" w:leftChars="0" w:right="0" w:rightChars="0" w:firstLine="572" w:firstLineChars="200"/>
        <w:outlineLvl w:val="9"/>
        <w:rPr>
          <w:rFonts w:hint="eastAsia" w:ascii="宋体" w:hAnsi="宋体" w:eastAsia="宋体" w:cs="宋体"/>
          <w:color w:val="auto"/>
          <w:spacing w:val="3"/>
          <w:sz w:val="28"/>
          <w:szCs w:val="28"/>
          <w:highlight w:val="none"/>
          <w:lang w:val="en-US" w:eastAsia="zh-CN"/>
        </w:rPr>
      </w:pPr>
      <w:r>
        <w:rPr>
          <w:rFonts w:hint="eastAsia" w:ascii="宋体" w:hAnsi="宋体" w:eastAsia="宋体" w:cs="宋体"/>
          <w:color w:val="auto"/>
          <w:spacing w:val="3"/>
          <w:sz w:val="28"/>
          <w:szCs w:val="28"/>
          <w:highlight w:val="none"/>
          <w:lang w:val="en-US" w:eastAsia="zh-CN"/>
        </w:rPr>
        <w:t>按照《</w:t>
      </w:r>
      <w:r>
        <w:rPr>
          <w:rFonts w:hint="eastAsia" w:ascii="宋体" w:hAnsi="宋体" w:eastAsia="宋体" w:cs="宋体"/>
          <w:color w:val="auto"/>
          <w:spacing w:val="3"/>
          <w:sz w:val="28"/>
          <w:szCs w:val="28"/>
          <w:highlight w:val="none"/>
        </w:rPr>
        <w:t>海洋生态保护修复项目监管工作指南（试行）</w:t>
      </w:r>
      <w:r>
        <w:rPr>
          <w:rFonts w:hint="eastAsia" w:ascii="宋体" w:hAnsi="宋体" w:eastAsia="宋体" w:cs="宋体"/>
          <w:color w:val="auto"/>
          <w:spacing w:val="3"/>
          <w:sz w:val="28"/>
          <w:szCs w:val="28"/>
          <w:highlight w:val="none"/>
          <w:lang w:val="en-US" w:eastAsia="zh-CN"/>
        </w:rPr>
        <w:t>》《北海区海洋生态保护修复项目监管工作细则</w:t>
      </w:r>
      <w:r>
        <w:rPr>
          <w:rFonts w:hint="eastAsia" w:ascii="宋体" w:hAnsi="宋体" w:eastAsia="宋体" w:cs="宋体"/>
          <w:color w:val="auto"/>
          <w:spacing w:val="3"/>
          <w:sz w:val="28"/>
          <w:szCs w:val="28"/>
          <w:highlight w:val="none"/>
        </w:rPr>
        <w:t>（试行）</w:t>
      </w:r>
      <w:r>
        <w:rPr>
          <w:rFonts w:hint="eastAsia" w:ascii="宋体" w:hAnsi="宋体" w:eastAsia="宋体" w:cs="宋体"/>
          <w:color w:val="auto"/>
          <w:spacing w:val="3"/>
          <w:sz w:val="28"/>
          <w:szCs w:val="28"/>
          <w:highlight w:val="none"/>
          <w:lang w:val="en-US" w:eastAsia="zh-CN"/>
        </w:rPr>
        <w:t>》及相关技术规范</w:t>
      </w:r>
      <w:r>
        <w:rPr>
          <w:rFonts w:hint="eastAsia" w:ascii="宋体" w:hAnsi="宋体" w:cs="宋体"/>
          <w:color w:val="auto"/>
          <w:spacing w:val="3"/>
          <w:sz w:val="28"/>
          <w:szCs w:val="28"/>
          <w:highlight w:val="none"/>
          <w:lang w:val="en-US" w:eastAsia="zh-CN"/>
        </w:rPr>
        <w:t>（包括在合同履约中相关部门发布的新的技术规范）</w:t>
      </w:r>
      <w:r>
        <w:rPr>
          <w:rFonts w:hint="eastAsia" w:ascii="宋体" w:hAnsi="宋体" w:eastAsia="宋体" w:cs="宋体"/>
          <w:color w:val="auto"/>
          <w:spacing w:val="3"/>
          <w:sz w:val="28"/>
          <w:szCs w:val="28"/>
          <w:highlight w:val="none"/>
          <w:lang w:val="en-US" w:eastAsia="zh-CN"/>
        </w:rPr>
        <w:t>开展跟踪监测，科学合理设置监测范围、监测站位、监测要素。</w:t>
      </w:r>
      <w:r>
        <w:rPr>
          <w:rFonts w:hint="eastAsia" w:ascii="宋体" w:hAnsi="宋体" w:eastAsia="宋体" w:cs="宋体"/>
          <w:color w:val="auto"/>
          <w:spacing w:val="3"/>
          <w:sz w:val="28"/>
          <w:szCs w:val="28"/>
          <w:highlight w:val="none"/>
        </w:rPr>
        <w:t>监测内容包括</w:t>
      </w:r>
      <w:r>
        <w:rPr>
          <w:rFonts w:hint="eastAsia" w:ascii="宋体" w:hAnsi="宋体" w:cs="宋体"/>
          <w:color w:val="auto"/>
          <w:spacing w:val="3"/>
          <w:sz w:val="28"/>
          <w:szCs w:val="28"/>
          <w:highlight w:val="none"/>
          <w:lang w:val="en-US" w:eastAsia="zh-CN"/>
        </w:rPr>
        <w:t>项目工程内容涉及的</w:t>
      </w:r>
      <w:r>
        <w:rPr>
          <w:rFonts w:hint="eastAsia" w:ascii="宋体" w:hAnsi="宋体" w:eastAsia="宋体" w:cs="宋体"/>
          <w:color w:val="auto"/>
          <w:spacing w:val="3"/>
          <w:sz w:val="28"/>
          <w:szCs w:val="28"/>
          <w:highlight w:val="none"/>
        </w:rPr>
        <w:t>地形地貌、沉积环境、水动力、</w:t>
      </w:r>
      <w:r>
        <w:rPr>
          <w:rFonts w:hint="eastAsia" w:ascii="宋体" w:hAnsi="宋体" w:cs="宋体"/>
          <w:color w:val="auto"/>
          <w:spacing w:val="3"/>
          <w:sz w:val="28"/>
          <w:szCs w:val="28"/>
          <w:highlight w:val="none"/>
          <w:lang w:val="en-US" w:eastAsia="zh-CN"/>
        </w:rPr>
        <w:t>碳储量、</w:t>
      </w:r>
      <w:r>
        <w:rPr>
          <w:rFonts w:hint="eastAsia" w:ascii="宋体" w:hAnsi="宋体" w:eastAsia="宋体" w:cs="宋体"/>
          <w:color w:val="auto"/>
          <w:spacing w:val="3"/>
          <w:sz w:val="28"/>
          <w:szCs w:val="28"/>
          <w:highlight w:val="none"/>
        </w:rPr>
        <w:t>底栖生物、植被、鸟类以及遥感对比监测。</w:t>
      </w:r>
    </w:p>
    <w:p>
      <w:pPr>
        <w:tabs>
          <w:tab w:val="left" w:pos="9240"/>
        </w:tabs>
        <w:adjustRightInd w:val="0"/>
        <w:snapToGrid w:val="0"/>
        <w:spacing w:line="360" w:lineRule="auto"/>
        <w:ind w:left="0" w:leftChars="0" w:right="0" w:rightChars="0" w:firstLine="572" w:firstLineChars="200"/>
        <w:outlineLvl w:val="9"/>
        <w:rPr>
          <w:rFonts w:hint="eastAsia" w:ascii="宋体" w:hAnsi="宋体" w:cs="宋体"/>
          <w:color w:val="auto"/>
          <w:spacing w:val="3"/>
          <w:sz w:val="28"/>
          <w:szCs w:val="28"/>
          <w:highlight w:val="none"/>
          <w:lang w:val="en-US" w:eastAsia="zh-CN"/>
        </w:rPr>
      </w:pPr>
      <w:r>
        <w:rPr>
          <w:rFonts w:hint="eastAsia" w:ascii="宋体" w:hAnsi="宋体" w:eastAsia="宋体" w:cs="宋体"/>
          <w:color w:val="auto"/>
          <w:spacing w:val="3"/>
          <w:sz w:val="28"/>
          <w:szCs w:val="28"/>
          <w:highlight w:val="none"/>
          <w:lang w:val="en-US" w:eastAsia="zh-CN"/>
        </w:rPr>
        <w:t>监测频次：实施中开展2次，工程完工后市级验收前开展1次，省级验收后2年内开展1次，共计4次。具体监测时间根据现场情况确定。</w:t>
      </w:r>
    </w:p>
    <w:p>
      <w:pPr>
        <w:numPr>
          <w:ilvl w:val="-1"/>
          <w:numId w:val="0"/>
        </w:numPr>
        <w:tabs>
          <w:tab w:val="left" w:pos="9240"/>
        </w:tabs>
        <w:adjustRightInd w:val="0"/>
        <w:snapToGrid w:val="0"/>
        <w:spacing w:line="360" w:lineRule="auto"/>
        <w:ind w:left="0" w:leftChars="0" w:right="0" w:rightChars="0" w:firstLine="572" w:firstLineChars="200"/>
        <w:jc w:val="left"/>
        <w:outlineLvl w:val="9"/>
        <w:rPr>
          <w:rFonts w:hint="eastAsia" w:ascii="宋体" w:hAnsi="宋体" w:eastAsia="宋体" w:cs="宋体"/>
          <w:color w:val="auto"/>
          <w:spacing w:val="3"/>
          <w:sz w:val="28"/>
          <w:szCs w:val="28"/>
          <w:highlight w:val="none"/>
          <w:lang w:val="en-US" w:eastAsia="zh-CN"/>
        </w:rPr>
      </w:pPr>
      <w:r>
        <w:rPr>
          <w:rFonts w:hint="eastAsia" w:ascii="宋体" w:hAnsi="宋体" w:eastAsia="宋体" w:cs="宋体"/>
          <w:color w:val="auto"/>
          <w:spacing w:val="3"/>
          <w:sz w:val="28"/>
          <w:szCs w:val="28"/>
          <w:highlight w:val="none"/>
          <w:lang w:val="en-US" w:eastAsia="zh-CN"/>
        </w:rPr>
        <w:t>2.1、</w:t>
      </w:r>
      <w:r>
        <w:rPr>
          <w:rFonts w:hint="eastAsia" w:ascii="宋体" w:hAnsi="宋体" w:eastAsia="宋体" w:cs="宋体"/>
          <w:color w:val="auto"/>
          <w:spacing w:val="3"/>
          <w:sz w:val="28"/>
          <w:szCs w:val="28"/>
          <w:highlight w:val="none"/>
        </w:rPr>
        <w:t>大辽河滨海湿地带保护修复生态监测</w:t>
      </w:r>
      <w:r>
        <w:rPr>
          <w:rFonts w:hint="eastAsia" w:ascii="宋体" w:hAnsi="宋体" w:eastAsia="宋体" w:cs="宋体"/>
          <w:color w:val="auto"/>
          <w:spacing w:val="3"/>
          <w:sz w:val="28"/>
          <w:szCs w:val="28"/>
          <w:highlight w:val="none"/>
          <w:lang w:val="en-US" w:eastAsia="zh-CN"/>
        </w:rPr>
        <w:t>应包括但不限于以下内容：</w:t>
      </w:r>
    </w:p>
    <w:p>
      <w:pPr>
        <w:numPr>
          <w:ilvl w:val="0"/>
          <w:numId w:val="0"/>
        </w:numPr>
        <w:tabs>
          <w:tab w:val="left" w:pos="9240"/>
        </w:tabs>
        <w:adjustRightInd w:val="0"/>
        <w:snapToGrid w:val="0"/>
        <w:spacing w:line="360" w:lineRule="auto"/>
        <w:ind w:left="0" w:leftChars="0" w:right="0" w:rightChars="0" w:firstLine="572" w:firstLineChars="200"/>
        <w:jc w:val="left"/>
        <w:outlineLvl w:val="9"/>
        <w:rPr>
          <w:rFonts w:hint="eastAsia" w:ascii="宋体" w:hAnsi="宋体" w:eastAsia="宋体" w:cs="宋体"/>
          <w:color w:val="auto"/>
          <w:spacing w:val="3"/>
          <w:sz w:val="28"/>
          <w:szCs w:val="28"/>
          <w:highlight w:val="none"/>
          <w:lang w:eastAsia="zh-CN"/>
        </w:rPr>
      </w:pPr>
      <w:r>
        <w:rPr>
          <w:rFonts w:hint="eastAsia" w:ascii="宋体" w:hAnsi="宋体" w:eastAsia="宋体" w:cs="宋体"/>
          <w:color w:val="auto"/>
          <w:spacing w:val="3"/>
          <w:sz w:val="28"/>
          <w:szCs w:val="28"/>
          <w:highlight w:val="none"/>
        </w:rPr>
        <w:t>①地形地貌监测</w:t>
      </w:r>
      <w:r>
        <w:rPr>
          <w:rFonts w:hint="eastAsia" w:ascii="宋体" w:hAnsi="宋体" w:eastAsia="宋体" w:cs="宋体"/>
          <w:color w:val="auto"/>
          <w:spacing w:val="3"/>
          <w:sz w:val="28"/>
          <w:szCs w:val="28"/>
          <w:highlight w:val="none"/>
          <w:lang w:eastAsia="zh-CN"/>
        </w:rPr>
        <w:t>；</w:t>
      </w:r>
    </w:p>
    <w:p>
      <w:pPr>
        <w:numPr>
          <w:ilvl w:val="0"/>
          <w:numId w:val="0"/>
        </w:numPr>
        <w:tabs>
          <w:tab w:val="left" w:pos="9240"/>
        </w:tabs>
        <w:adjustRightInd w:val="0"/>
        <w:snapToGrid w:val="0"/>
        <w:spacing w:line="360" w:lineRule="auto"/>
        <w:ind w:left="0" w:leftChars="0" w:right="0" w:rightChars="0" w:firstLine="572" w:firstLineChars="200"/>
        <w:jc w:val="left"/>
        <w:outlineLvl w:val="9"/>
        <w:rPr>
          <w:rFonts w:hint="eastAsia" w:ascii="宋体" w:hAnsi="宋体" w:eastAsia="宋体" w:cs="宋体"/>
          <w:color w:val="auto"/>
          <w:spacing w:val="3"/>
          <w:sz w:val="28"/>
          <w:szCs w:val="28"/>
          <w:highlight w:val="none"/>
          <w:lang w:eastAsia="zh-CN"/>
        </w:rPr>
      </w:pPr>
      <w:r>
        <w:rPr>
          <w:rFonts w:hint="eastAsia" w:ascii="宋体" w:hAnsi="宋体" w:eastAsia="宋体" w:cs="宋体"/>
          <w:color w:val="auto"/>
          <w:spacing w:val="3"/>
          <w:sz w:val="28"/>
          <w:szCs w:val="28"/>
          <w:highlight w:val="none"/>
        </w:rPr>
        <w:t>②水体环境监测</w:t>
      </w:r>
      <w:r>
        <w:rPr>
          <w:rFonts w:hint="eastAsia" w:ascii="宋体" w:hAnsi="宋体" w:eastAsia="宋体" w:cs="宋体"/>
          <w:color w:val="auto"/>
          <w:spacing w:val="3"/>
          <w:sz w:val="28"/>
          <w:szCs w:val="28"/>
          <w:highlight w:val="none"/>
          <w:lang w:eastAsia="zh-CN"/>
        </w:rPr>
        <w:t>；</w:t>
      </w:r>
    </w:p>
    <w:p>
      <w:pPr>
        <w:tabs>
          <w:tab w:val="left" w:pos="9240"/>
        </w:tabs>
        <w:adjustRightInd w:val="0"/>
        <w:snapToGrid w:val="0"/>
        <w:spacing w:line="360" w:lineRule="auto"/>
        <w:ind w:left="0" w:leftChars="0" w:right="0" w:rightChars="0" w:firstLine="572" w:firstLineChars="200"/>
        <w:jc w:val="left"/>
        <w:outlineLvl w:val="9"/>
        <w:rPr>
          <w:rFonts w:hint="eastAsia" w:ascii="宋体" w:hAnsi="宋体" w:eastAsia="宋体" w:cs="宋体"/>
          <w:color w:val="auto"/>
          <w:spacing w:val="3"/>
          <w:sz w:val="28"/>
          <w:szCs w:val="28"/>
          <w:highlight w:val="none"/>
          <w:lang w:eastAsia="zh-CN"/>
        </w:rPr>
      </w:pPr>
      <w:r>
        <w:rPr>
          <w:rFonts w:hint="eastAsia" w:ascii="宋体" w:hAnsi="宋体" w:eastAsia="宋体" w:cs="宋体"/>
          <w:color w:val="auto"/>
          <w:spacing w:val="3"/>
          <w:sz w:val="28"/>
          <w:szCs w:val="28"/>
          <w:highlight w:val="none"/>
        </w:rPr>
        <w:t>③沉积环境监测</w:t>
      </w:r>
      <w:r>
        <w:rPr>
          <w:rFonts w:hint="eastAsia" w:ascii="宋体" w:hAnsi="宋体" w:eastAsia="宋体" w:cs="宋体"/>
          <w:color w:val="auto"/>
          <w:spacing w:val="3"/>
          <w:sz w:val="28"/>
          <w:szCs w:val="28"/>
          <w:highlight w:val="none"/>
          <w:lang w:eastAsia="zh-CN"/>
        </w:rPr>
        <w:t>；</w:t>
      </w:r>
    </w:p>
    <w:p>
      <w:pPr>
        <w:tabs>
          <w:tab w:val="left" w:pos="9240"/>
        </w:tabs>
        <w:adjustRightInd w:val="0"/>
        <w:snapToGrid w:val="0"/>
        <w:spacing w:line="360" w:lineRule="auto"/>
        <w:ind w:left="0" w:leftChars="0" w:right="0" w:rightChars="0" w:firstLine="572" w:firstLineChars="200"/>
        <w:jc w:val="left"/>
        <w:outlineLvl w:val="9"/>
        <w:rPr>
          <w:rFonts w:hint="eastAsia" w:ascii="宋体" w:hAnsi="宋体" w:eastAsia="宋体" w:cs="宋体"/>
          <w:color w:val="auto"/>
          <w:spacing w:val="3"/>
          <w:sz w:val="28"/>
          <w:szCs w:val="28"/>
          <w:highlight w:val="none"/>
          <w:lang w:eastAsia="zh-CN"/>
        </w:rPr>
      </w:pPr>
      <w:r>
        <w:rPr>
          <w:rFonts w:hint="eastAsia" w:ascii="宋体" w:hAnsi="宋体" w:eastAsia="宋体" w:cs="宋体"/>
          <w:color w:val="auto"/>
          <w:spacing w:val="3"/>
          <w:sz w:val="28"/>
          <w:szCs w:val="28"/>
          <w:highlight w:val="none"/>
        </w:rPr>
        <w:t>④水动力监测</w:t>
      </w:r>
      <w:r>
        <w:rPr>
          <w:rFonts w:hint="eastAsia" w:ascii="宋体" w:hAnsi="宋体" w:eastAsia="宋体" w:cs="宋体"/>
          <w:color w:val="auto"/>
          <w:spacing w:val="3"/>
          <w:sz w:val="28"/>
          <w:szCs w:val="28"/>
          <w:highlight w:val="none"/>
          <w:lang w:eastAsia="zh-CN"/>
        </w:rPr>
        <w:t>；</w:t>
      </w:r>
    </w:p>
    <w:p>
      <w:pPr>
        <w:tabs>
          <w:tab w:val="left" w:pos="9240"/>
        </w:tabs>
        <w:adjustRightInd w:val="0"/>
        <w:snapToGrid w:val="0"/>
        <w:spacing w:line="360" w:lineRule="auto"/>
        <w:ind w:left="0" w:leftChars="0" w:right="0" w:rightChars="0" w:firstLine="572" w:firstLineChars="200"/>
        <w:jc w:val="left"/>
        <w:outlineLvl w:val="9"/>
        <w:rPr>
          <w:rFonts w:hint="eastAsia" w:ascii="宋体" w:hAnsi="宋体" w:eastAsia="宋体" w:cs="宋体"/>
          <w:color w:val="auto"/>
          <w:spacing w:val="3"/>
          <w:sz w:val="28"/>
          <w:szCs w:val="28"/>
          <w:highlight w:val="none"/>
        </w:rPr>
      </w:pPr>
      <w:r>
        <w:rPr>
          <w:rFonts w:hint="eastAsia" w:ascii="宋体" w:hAnsi="宋体" w:eastAsia="宋体" w:cs="宋体"/>
          <w:color w:val="auto"/>
          <w:spacing w:val="3"/>
          <w:sz w:val="28"/>
          <w:szCs w:val="28"/>
          <w:highlight w:val="none"/>
        </w:rPr>
        <w:t>⑤底栖生物监测</w:t>
      </w:r>
      <w:r>
        <w:rPr>
          <w:rFonts w:hint="eastAsia" w:ascii="宋体" w:hAnsi="宋体" w:eastAsia="宋体" w:cs="宋体"/>
          <w:color w:val="auto"/>
          <w:spacing w:val="3"/>
          <w:sz w:val="28"/>
          <w:szCs w:val="28"/>
          <w:highlight w:val="none"/>
          <w:lang w:eastAsia="zh-CN"/>
        </w:rPr>
        <w:t>；</w:t>
      </w:r>
    </w:p>
    <w:p>
      <w:pPr>
        <w:tabs>
          <w:tab w:val="left" w:pos="9240"/>
        </w:tabs>
        <w:adjustRightInd w:val="0"/>
        <w:snapToGrid w:val="0"/>
        <w:spacing w:line="360" w:lineRule="auto"/>
        <w:ind w:left="0" w:leftChars="0" w:right="0" w:rightChars="0" w:firstLine="572" w:firstLineChars="200"/>
        <w:jc w:val="left"/>
        <w:outlineLvl w:val="9"/>
        <w:rPr>
          <w:rFonts w:hint="eastAsia" w:ascii="宋体" w:hAnsi="宋体" w:eastAsia="宋体" w:cs="宋体"/>
          <w:color w:val="auto"/>
          <w:spacing w:val="3"/>
          <w:sz w:val="28"/>
          <w:szCs w:val="28"/>
          <w:highlight w:val="none"/>
          <w:lang w:eastAsia="zh-CN"/>
        </w:rPr>
      </w:pPr>
      <w:r>
        <w:rPr>
          <w:rFonts w:hint="eastAsia" w:ascii="宋体" w:hAnsi="宋体" w:eastAsia="宋体" w:cs="宋体"/>
          <w:color w:val="auto"/>
          <w:spacing w:val="3"/>
          <w:sz w:val="28"/>
          <w:szCs w:val="28"/>
          <w:highlight w:val="none"/>
        </w:rPr>
        <w:t>⑥植被监测</w:t>
      </w:r>
      <w:r>
        <w:rPr>
          <w:rFonts w:hint="eastAsia" w:ascii="宋体" w:hAnsi="宋体" w:eastAsia="宋体" w:cs="宋体"/>
          <w:color w:val="auto"/>
          <w:spacing w:val="3"/>
          <w:sz w:val="28"/>
          <w:szCs w:val="28"/>
          <w:highlight w:val="none"/>
          <w:lang w:eastAsia="zh-CN"/>
        </w:rPr>
        <w:t>；</w:t>
      </w:r>
    </w:p>
    <w:p>
      <w:pPr>
        <w:tabs>
          <w:tab w:val="left" w:pos="9240"/>
        </w:tabs>
        <w:adjustRightInd w:val="0"/>
        <w:snapToGrid w:val="0"/>
        <w:spacing w:line="360" w:lineRule="auto"/>
        <w:ind w:left="0" w:leftChars="0" w:right="0" w:rightChars="0" w:firstLine="572" w:firstLineChars="200"/>
        <w:jc w:val="left"/>
        <w:outlineLvl w:val="9"/>
        <w:rPr>
          <w:rFonts w:hint="eastAsia" w:ascii="宋体" w:hAnsi="宋体" w:eastAsia="宋体" w:cs="宋体"/>
          <w:color w:val="auto"/>
          <w:spacing w:val="3"/>
          <w:sz w:val="28"/>
          <w:szCs w:val="28"/>
          <w:highlight w:val="none"/>
        </w:rPr>
      </w:pPr>
      <w:r>
        <w:rPr>
          <w:rFonts w:hint="eastAsia" w:ascii="宋体" w:hAnsi="宋体" w:eastAsia="宋体" w:cs="宋体"/>
          <w:color w:val="auto"/>
          <w:spacing w:val="3"/>
          <w:sz w:val="28"/>
          <w:szCs w:val="28"/>
          <w:highlight w:val="none"/>
        </w:rPr>
        <w:t>⑦鸟类监测</w:t>
      </w:r>
      <w:r>
        <w:rPr>
          <w:rFonts w:hint="eastAsia" w:ascii="宋体" w:hAnsi="宋体" w:eastAsia="宋体" w:cs="宋体"/>
          <w:color w:val="auto"/>
          <w:spacing w:val="3"/>
          <w:sz w:val="28"/>
          <w:szCs w:val="28"/>
          <w:highlight w:val="none"/>
          <w:lang w:eastAsia="zh-CN"/>
        </w:rPr>
        <w:t>；</w:t>
      </w:r>
    </w:p>
    <w:p>
      <w:pPr>
        <w:tabs>
          <w:tab w:val="left" w:pos="9240"/>
        </w:tabs>
        <w:adjustRightInd w:val="0"/>
        <w:snapToGrid w:val="0"/>
        <w:spacing w:line="360" w:lineRule="auto"/>
        <w:ind w:left="0" w:leftChars="0" w:right="0" w:rightChars="0" w:firstLine="572" w:firstLineChars="200"/>
        <w:jc w:val="left"/>
        <w:outlineLvl w:val="9"/>
        <w:rPr>
          <w:rFonts w:hint="eastAsia" w:ascii="宋体" w:hAnsi="宋体" w:eastAsia="宋体" w:cs="宋体"/>
          <w:color w:val="auto"/>
          <w:spacing w:val="3"/>
          <w:sz w:val="28"/>
          <w:szCs w:val="28"/>
          <w:highlight w:val="none"/>
          <w:lang w:eastAsia="zh-CN"/>
        </w:rPr>
      </w:pPr>
      <w:r>
        <w:rPr>
          <w:rFonts w:hint="eastAsia" w:ascii="宋体" w:hAnsi="宋体" w:eastAsia="宋体" w:cs="宋体"/>
          <w:color w:val="auto"/>
          <w:spacing w:val="3"/>
          <w:sz w:val="28"/>
          <w:szCs w:val="28"/>
          <w:highlight w:val="none"/>
        </w:rPr>
        <w:t>⑧湿地面积遥感对比分析监测</w:t>
      </w:r>
      <w:r>
        <w:rPr>
          <w:rFonts w:hint="eastAsia" w:ascii="宋体" w:hAnsi="宋体" w:eastAsia="宋体" w:cs="宋体"/>
          <w:color w:val="auto"/>
          <w:spacing w:val="3"/>
          <w:sz w:val="28"/>
          <w:szCs w:val="28"/>
          <w:highlight w:val="none"/>
          <w:lang w:eastAsia="zh-CN"/>
        </w:rPr>
        <w:t>；</w:t>
      </w:r>
    </w:p>
    <w:p>
      <w:pPr>
        <w:tabs>
          <w:tab w:val="left" w:pos="9240"/>
        </w:tabs>
        <w:adjustRightInd w:val="0"/>
        <w:snapToGrid w:val="0"/>
        <w:spacing w:line="360" w:lineRule="auto"/>
        <w:ind w:left="0" w:leftChars="0" w:right="0" w:rightChars="0" w:firstLine="572" w:firstLineChars="200"/>
        <w:jc w:val="left"/>
        <w:outlineLvl w:val="9"/>
        <w:rPr>
          <w:rFonts w:hint="eastAsia" w:ascii="宋体" w:hAnsi="宋体" w:eastAsia="宋体" w:cs="宋体"/>
          <w:color w:val="auto"/>
          <w:spacing w:val="3"/>
          <w:sz w:val="28"/>
          <w:szCs w:val="28"/>
          <w:highlight w:val="none"/>
        </w:rPr>
      </w:pPr>
      <w:r>
        <w:rPr>
          <w:rFonts w:hint="eastAsia" w:ascii="宋体" w:hAnsi="宋体" w:eastAsia="宋体" w:cs="宋体"/>
          <w:color w:val="auto"/>
          <w:spacing w:val="3"/>
          <w:sz w:val="28"/>
          <w:szCs w:val="28"/>
          <w:highlight w:val="none"/>
        </w:rPr>
        <w:t>⑨碳储量监测。</w:t>
      </w:r>
    </w:p>
    <w:p>
      <w:pPr>
        <w:tabs>
          <w:tab w:val="left" w:pos="9240"/>
        </w:tabs>
        <w:adjustRightInd w:val="0"/>
        <w:snapToGrid w:val="0"/>
        <w:spacing w:line="360" w:lineRule="auto"/>
        <w:ind w:left="0" w:leftChars="0" w:right="0" w:rightChars="0" w:firstLine="572" w:firstLineChars="200"/>
        <w:jc w:val="left"/>
        <w:outlineLvl w:val="9"/>
        <w:rPr>
          <w:rFonts w:hint="eastAsia" w:ascii="宋体" w:hAnsi="宋体" w:eastAsia="宋体" w:cs="宋体"/>
          <w:color w:val="auto"/>
          <w:spacing w:val="3"/>
          <w:sz w:val="28"/>
          <w:szCs w:val="28"/>
          <w:highlight w:val="none"/>
        </w:rPr>
      </w:pPr>
      <w:r>
        <w:rPr>
          <w:rFonts w:hint="eastAsia" w:ascii="宋体" w:hAnsi="宋体" w:eastAsia="宋体" w:cs="宋体"/>
          <w:color w:val="auto"/>
          <w:spacing w:val="3"/>
          <w:sz w:val="28"/>
          <w:szCs w:val="28"/>
          <w:highlight w:val="none"/>
          <w:lang w:val="en-US" w:eastAsia="zh-CN"/>
        </w:rPr>
        <w:t>2.2、</w:t>
      </w:r>
      <w:r>
        <w:rPr>
          <w:rFonts w:hint="eastAsia" w:ascii="宋体" w:hAnsi="宋体" w:eastAsia="宋体" w:cs="宋体"/>
          <w:color w:val="auto"/>
          <w:spacing w:val="3"/>
          <w:sz w:val="28"/>
          <w:szCs w:val="28"/>
          <w:highlight w:val="none"/>
        </w:rPr>
        <w:t>团山国家级自然保护地生态修复</w:t>
      </w:r>
      <w:r>
        <w:rPr>
          <w:rFonts w:hint="eastAsia" w:ascii="宋体" w:hAnsi="宋体" w:eastAsia="宋体" w:cs="宋体"/>
          <w:color w:val="auto"/>
          <w:spacing w:val="3"/>
          <w:sz w:val="28"/>
          <w:szCs w:val="28"/>
          <w:highlight w:val="none"/>
          <w:lang w:val="en-US" w:eastAsia="zh-CN"/>
        </w:rPr>
        <w:t>应包括但不限于以下内容：</w:t>
      </w:r>
    </w:p>
    <w:p>
      <w:pPr>
        <w:tabs>
          <w:tab w:val="left" w:pos="9240"/>
        </w:tabs>
        <w:adjustRightInd w:val="0"/>
        <w:snapToGrid w:val="0"/>
        <w:spacing w:line="360" w:lineRule="auto"/>
        <w:ind w:left="0" w:leftChars="0" w:right="0" w:rightChars="0" w:firstLine="572" w:firstLineChars="200"/>
        <w:jc w:val="left"/>
        <w:outlineLvl w:val="9"/>
        <w:rPr>
          <w:rFonts w:hint="eastAsia" w:ascii="宋体" w:hAnsi="宋体" w:eastAsia="宋体" w:cs="宋体"/>
          <w:color w:val="auto"/>
          <w:spacing w:val="3"/>
          <w:sz w:val="28"/>
          <w:szCs w:val="28"/>
          <w:highlight w:val="none"/>
        </w:rPr>
      </w:pPr>
      <w:r>
        <w:rPr>
          <w:rFonts w:hint="eastAsia" w:ascii="宋体" w:hAnsi="宋体" w:eastAsia="宋体" w:cs="宋体"/>
          <w:color w:val="auto"/>
          <w:spacing w:val="3"/>
          <w:sz w:val="28"/>
          <w:szCs w:val="28"/>
          <w:highlight w:val="none"/>
        </w:rPr>
        <w:t>①地形地貌监测</w:t>
      </w:r>
      <w:r>
        <w:rPr>
          <w:rFonts w:hint="eastAsia" w:ascii="宋体" w:hAnsi="宋体" w:eastAsia="宋体" w:cs="宋体"/>
          <w:color w:val="auto"/>
          <w:spacing w:val="3"/>
          <w:sz w:val="28"/>
          <w:szCs w:val="28"/>
          <w:highlight w:val="none"/>
          <w:lang w:eastAsia="zh-CN"/>
        </w:rPr>
        <w:t>；</w:t>
      </w:r>
    </w:p>
    <w:p>
      <w:pPr>
        <w:tabs>
          <w:tab w:val="left" w:pos="9240"/>
        </w:tabs>
        <w:adjustRightInd w:val="0"/>
        <w:snapToGrid w:val="0"/>
        <w:spacing w:line="360" w:lineRule="auto"/>
        <w:ind w:left="0" w:leftChars="0" w:right="0" w:rightChars="0" w:firstLine="572" w:firstLineChars="200"/>
        <w:jc w:val="left"/>
        <w:outlineLvl w:val="9"/>
        <w:rPr>
          <w:rFonts w:hint="eastAsia" w:ascii="宋体" w:hAnsi="宋体" w:eastAsia="宋体" w:cs="宋体"/>
          <w:color w:val="auto"/>
          <w:spacing w:val="3"/>
          <w:sz w:val="28"/>
          <w:szCs w:val="28"/>
          <w:highlight w:val="none"/>
        </w:rPr>
      </w:pPr>
      <w:r>
        <w:rPr>
          <w:rFonts w:hint="eastAsia" w:ascii="宋体" w:hAnsi="宋体" w:eastAsia="宋体" w:cs="宋体"/>
          <w:color w:val="auto"/>
          <w:spacing w:val="3"/>
          <w:sz w:val="28"/>
          <w:szCs w:val="28"/>
          <w:highlight w:val="none"/>
        </w:rPr>
        <w:t>②水体环境监测</w:t>
      </w:r>
      <w:r>
        <w:rPr>
          <w:rFonts w:hint="eastAsia" w:ascii="宋体" w:hAnsi="宋体" w:eastAsia="宋体" w:cs="宋体"/>
          <w:color w:val="auto"/>
          <w:spacing w:val="3"/>
          <w:sz w:val="28"/>
          <w:szCs w:val="28"/>
          <w:highlight w:val="none"/>
          <w:lang w:eastAsia="zh-CN"/>
        </w:rPr>
        <w:t>；</w:t>
      </w:r>
    </w:p>
    <w:p>
      <w:pPr>
        <w:tabs>
          <w:tab w:val="left" w:pos="9240"/>
        </w:tabs>
        <w:adjustRightInd w:val="0"/>
        <w:snapToGrid w:val="0"/>
        <w:spacing w:line="360" w:lineRule="auto"/>
        <w:ind w:left="0" w:leftChars="0" w:right="0" w:rightChars="0" w:firstLine="572" w:firstLineChars="200"/>
        <w:jc w:val="left"/>
        <w:outlineLvl w:val="9"/>
        <w:rPr>
          <w:rFonts w:hint="eastAsia" w:ascii="宋体" w:hAnsi="宋体" w:eastAsia="宋体" w:cs="宋体"/>
          <w:color w:val="auto"/>
          <w:spacing w:val="3"/>
          <w:sz w:val="28"/>
          <w:szCs w:val="28"/>
          <w:highlight w:val="none"/>
          <w:lang w:eastAsia="zh-CN"/>
        </w:rPr>
      </w:pPr>
      <w:r>
        <w:rPr>
          <w:rFonts w:hint="eastAsia" w:ascii="宋体" w:hAnsi="宋体" w:eastAsia="宋体" w:cs="宋体"/>
          <w:color w:val="auto"/>
          <w:spacing w:val="3"/>
          <w:sz w:val="28"/>
          <w:szCs w:val="28"/>
          <w:highlight w:val="none"/>
        </w:rPr>
        <w:t>③水动力监测</w:t>
      </w:r>
      <w:r>
        <w:rPr>
          <w:rFonts w:hint="eastAsia" w:ascii="宋体" w:hAnsi="宋体" w:eastAsia="宋体" w:cs="宋体"/>
          <w:color w:val="auto"/>
          <w:spacing w:val="3"/>
          <w:sz w:val="28"/>
          <w:szCs w:val="28"/>
          <w:highlight w:val="none"/>
          <w:lang w:eastAsia="zh-CN"/>
        </w:rPr>
        <w:t>；</w:t>
      </w:r>
    </w:p>
    <w:p>
      <w:pPr>
        <w:tabs>
          <w:tab w:val="left" w:pos="9240"/>
        </w:tabs>
        <w:adjustRightInd w:val="0"/>
        <w:snapToGrid w:val="0"/>
        <w:spacing w:line="360" w:lineRule="auto"/>
        <w:ind w:left="0" w:leftChars="0" w:right="0" w:rightChars="0" w:firstLine="572" w:firstLineChars="200"/>
        <w:jc w:val="left"/>
        <w:outlineLvl w:val="9"/>
        <w:rPr>
          <w:rFonts w:hint="eastAsia" w:ascii="宋体" w:hAnsi="宋体" w:eastAsia="宋体" w:cs="宋体"/>
          <w:color w:val="auto"/>
          <w:spacing w:val="3"/>
          <w:sz w:val="28"/>
          <w:szCs w:val="28"/>
          <w:highlight w:val="none"/>
          <w:lang w:eastAsia="zh-CN"/>
        </w:rPr>
      </w:pPr>
      <w:r>
        <w:rPr>
          <w:rFonts w:hint="eastAsia" w:ascii="宋体" w:hAnsi="宋体" w:eastAsia="宋体" w:cs="宋体"/>
          <w:color w:val="auto"/>
          <w:spacing w:val="3"/>
          <w:sz w:val="28"/>
          <w:szCs w:val="28"/>
          <w:highlight w:val="none"/>
        </w:rPr>
        <w:t>④植被监测</w:t>
      </w:r>
      <w:r>
        <w:rPr>
          <w:rFonts w:hint="eastAsia" w:ascii="宋体" w:hAnsi="宋体" w:eastAsia="宋体" w:cs="宋体"/>
          <w:color w:val="auto"/>
          <w:spacing w:val="3"/>
          <w:sz w:val="28"/>
          <w:szCs w:val="28"/>
          <w:highlight w:val="none"/>
          <w:lang w:eastAsia="zh-CN"/>
        </w:rPr>
        <w:t>；</w:t>
      </w:r>
    </w:p>
    <w:p>
      <w:pPr>
        <w:tabs>
          <w:tab w:val="left" w:pos="9240"/>
        </w:tabs>
        <w:adjustRightInd w:val="0"/>
        <w:snapToGrid w:val="0"/>
        <w:spacing w:line="360" w:lineRule="auto"/>
        <w:ind w:left="0" w:leftChars="0" w:right="0" w:rightChars="0" w:firstLine="572" w:firstLineChars="200"/>
        <w:jc w:val="left"/>
        <w:outlineLvl w:val="9"/>
        <w:rPr>
          <w:rFonts w:hint="eastAsia" w:ascii="宋体" w:hAnsi="宋体" w:eastAsia="宋体" w:cs="宋体"/>
          <w:color w:val="auto"/>
          <w:spacing w:val="3"/>
          <w:sz w:val="28"/>
          <w:szCs w:val="28"/>
          <w:highlight w:val="none"/>
        </w:rPr>
      </w:pPr>
      <w:r>
        <w:rPr>
          <w:rFonts w:hint="eastAsia" w:ascii="宋体" w:hAnsi="宋体" w:eastAsia="宋体" w:cs="宋体"/>
          <w:color w:val="auto"/>
          <w:spacing w:val="3"/>
          <w:sz w:val="28"/>
          <w:szCs w:val="28"/>
          <w:highlight w:val="none"/>
        </w:rPr>
        <w:t>⑤沙滩修复情况、植被情况遥感对比分析监测</w:t>
      </w:r>
      <w:r>
        <w:rPr>
          <w:rFonts w:hint="eastAsia" w:ascii="宋体" w:hAnsi="宋体" w:eastAsia="宋体" w:cs="宋体"/>
          <w:color w:val="auto"/>
          <w:spacing w:val="3"/>
          <w:sz w:val="28"/>
          <w:szCs w:val="28"/>
          <w:highlight w:val="none"/>
          <w:lang w:eastAsia="zh-CN"/>
        </w:rPr>
        <w:t>；</w:t>
      </w:r>
    </w:p>
    <w:p>
      <w:pPr>
        <w:tabs>
          <w:tab w:val="left" w:pos="9240"/>
        </w:tabs>
        <w:adjustRightInd w:val="0"/>
        <w:snapToGrid w:val="0"/>
        <w:spacing w:line="360" w:lineRule="auto"/>
        <w:ind w:left="0" w:leftChars="0" w:right="0" w:rightChars="0" w:firstLine="572" w:firstLineChars="200"/>
        <w:jc w:val="left"/>
        <w:outlineLvl w:val="9"/>
        <w:rPr>
          <w:rFonts w:hint="eastAsia" w:ascii="宋体" w:hAnsi="宋体" w:eastAsia="宋体" w:cs="宋体"/>
          <w:color w:val="auto"/>
          <w:spacing w:val="3"/>
          <w:sz w:val="28"/>
          <w:szCs w:val="28"/>
          <w:highlight w:val="none"/>
        </w:rPr>
      </w:pPr>
      <w:r>
        <w:rPr>
          <w:rFonts w:hint="eastAsia" w:ascii="宋体" w:hAnsi="宋体" w:eastAsia="宋体" w:cs="宋体"/>
          <w:color w:val="auto"/>
          <w:spacing w:val="3"/>
          <w:sz w:val="28"/>
          <w:szCs w:val="28"/>
          <w:highlight w:val="none"/>
        </w:rPr>
        <w:t>⑥海滩干滩宽度、潮间带宽度、潮间带坡度、沉积物类型、沉积物分选度、海滩地貌特征、岸线长度、向海开阔度、相对潮差、海岸侵蚀强度；潮间带底栖生物生物量、后滨植被总面积、盖度</w:t>
      </w:r>
      <w:r>
        <w:rPr>
          <w:rFonts w:hint="eastAsia" w:ascii="宋体" w:hAnsi="宋体" w:eastAsia="宋体" w:cs="宋体"/>
          <w:color w:val="auto"/>
          <w:spacing w:val="3"/>
          <w:sz w:val="28"/>
          <w:szCs w:val="28"/>
          <w:highlight w:val="none"/>
          <w:lang w:eastAsia="zh-CN"/>
        </w:rPr>
        <w:t>，</w:t>
      </w:r>
      <w:r>
        <w:rPr>
          <w:rFonts w:hint="eastAsia" w:ascii="宋体" w:hAnsi="宋体" w:eastAsia="宋体" w:cs="宋体"/>
          <w:color w:val="auto"/>
          <w:spacing w:val="3"/>
          <w:sz w:val="28"/>
          <w:szCs w:val="28"/>
          <w:highlight w:val="none"/>
        </w:rPr>
        <w:t>潮间带沉积物质量等级</w:t>
      </w:r>
      <w:r>
        <w:rPr>
          <w:rFonts w:hint="eastAsia" w:ascii="宋体" w:hAnsi="宋体" w:eastAsia="宋体" w:cs="宋体"/>
          <w:color w:val="auto"/>
          <w:spacing w:val="3"/>
          <w:sz w:val="28"/>
          <w:szCs w:val="28"/>
          <w:highlight w:val="none"/>
          <w:lang w:eastAsia="zh-CN"/>
        </w:rPr>
        <w:t>。</w:t>
      </w:r>
    </w:p>
    <w:p>
      <w:pPr>
        <w:tabs>
          <w:tab w:val="left" w:pos="9240"/>
        </w:tabs>
        <w:adjustRightInd w:val="0"/>
        <w:snapToGrid w:val="0"/>
        <w:spacing w:before="63" w:line="360" w:lineRule="auto"/>
        <w:ind w:left="0" w:leftChars="0" w:right="0" w:rightChars="0" w:firstLine="572" w:firstLineChars="200"/>
        <w:jc w:val="left"/>
        <w:outlineLvl w:val="9"/>
        <w:rPr>
          <w:rFonts w:hint="eastAsia" w:ascii="宋体" w:hAnsi="宋体" w:eastAsia="宋体" w:cs="宋体"/>
          <w:color w:val="auto"/>
          <w:spacing w:val="3"/>
          <w:sz w:val="28"/>
          <w:szCs w:val="28"/>
          <w:highlight w:val="none"/>
        </w:rPr>
      </w:pPr>
      <w:r>
        <w:rPr>
          <w:rFonts w:hint="eastAsia" w:ascii="宋体" w:hAnsi="宋体" w:eastAsia="宋体" w:cs="宋体"/>
          <w:color w:val="auto"/>
          <w:spacing w:val="3"/>
          <w:sz w:val="28"/>
          <w:szCs w:val="28"/>
          <w:highlight w:val="none"/>
          <w:lang w:val="en-US" w:eastAsia="zh-CN"/>
        </w:rPr>
        <w:t>2.</w:t>
      </w:r>
      <w:r>
        <w:rPr>
          <w:rFonts w:hint="eastAsia" w:ascii="宋体" w:hAnsi="宋体" w:eastAsia="宋体" w:cs="宋体"/>
          <w:color w:val="auto"/>
          <w:spacing w:val="3"/>
          <w:sz w:val="28"/>
          <w:szCs w:val="28"/>
          <w:highlight w:val="none"/>
        </w:rPr>
        <w:t>3月亮湾综合治理监测</w:t>
      </w:r>
      <w:r>
        <w:rPr>
          <w:rFonts w:hint="eastAsia" w:ascii="宋体" w:hAnsi="宋体" w:eastAsia="宋体" w:cs="宋体"/>
          <w:color w:val="auto"/>
          <w:spacing w:val="3"/>
          <w:sz w:val="28"/>
          <w:szCs w:val="28"/>
          <w:highlight w:val="none"/>
          <w:lang w:val="en-US" w:eastAsia="zh-CN"/>
        </w:rPr>
        <w:t>应包括但不限于以下内容：</w:t>
      </w:r>
    </w:p>
    <w:p>
      <w:pPr>
        <w:tabs>
          <w:tab w:val="left" w:pos="9240"/>
        </w:tabs>
        <w:adjustRightInd w:val="0"/>
        <w:snapToGrid w:val="0"/>
        <w:spacing w:line="360" w:lineRule="auto"/>
        <w:ind w:left="0" w:leftChars="0" w:right="0" w:rightChars="0" w:firstLine="572" w:firstLineChars="200"/>
        <w:jc w:val="left"/>
        <w:outlineLvl w:val="9"/>
        <w:rPr>
          <w:rFonts w:hint="eastAsia" w:ascii="宋体" w:hAnsi="宋体" w:eastAsia="宋体" w:cs="宋体"/>
          <w:color w:val="auto"/>
          <w:spacing w:val="3"/>
          <w:sz w:val="28"/>
          <w:szCs w:val="28"/>
          <w:highlight w:val="none"/>
        </w:rPr>
      </w:pPr>
      <w:r>
        <w:rPr>
          <w:rFonts w:hint="eastAsia" w:ascii="宋体" w:hAnsi="宋体" w:eastAsia="宋体" w:cs="宋体"/>
          <w:color w:val="auto"/>
          <w:spacing w:val="3"/>
          <w:sz w:val="28"/>
          <w:szCs w:val="28"/>
          <w:highlight w:val="none"/>
        </w:rPr>
        <w:t>①地形地貌监测</w:t>
      </w:r>
      <w:r>
        <w:rPr>
          <w:rFonts w:hint="eastAsia" w:ascii="宋体" w:hAnsi="宋体" w:eastAsia="宋体" w:cs="宋体"/>
          <w:color w:val="auto"/>
          <w:spacing w:val="3"/>
          <w:sz w:val="28"/>
          <w:szCs w:val="28"/>
          <w:highlight w:val="none"/>
          <w:lang w:eastAsia="zh-CN"/>
        </w:rPr>
        <w:t>；</w:t>
      </w:r>
    </w:p>
    <w:p>
      <w:pPr>
        <w:tabs>
          <w:tab w:val="left" w:pos="9240"/>
        </w:tabs>
        <w:adjustRightInd w:val="0"/>
        <w:snapToGrid w:val="0"/>
        <w:spacing w:line="360" w:lineRule="auto"/>
        <w:ind w:left="0" w:leftChars="0" w:right="0" w:rightChars="0" w:firstLine="572" w:firstLineChars="200"/>
        <w:jc w:val="left"/>
        <w:outlineLvl w:val="9"/>
        <w:rPr>
          <w:rFonts w:hint="eastAsia" w:ascii="宋体" w:hAnsi="宋体" w:eastAsia="宋体" w:cs="宋体"/>
          <w:color w:val="auto"/>
          <w:spacing w:val="3"/>
          <w:sz w:val="28"/>
          <w:szCs w:val="28"/>
          <w:highlight w:val="none"/>
        </w:rPr>
      </w:pPr>
      <w:r>
        <w:rPr>
          <w:rFonts w:hint="eastAsia" w:ascii="宋体" w:hAnsi="宋体" w:eastAsia="宋体" w:cs="宋体"/>
          <w:color w:val="auto"/>
          <w:spacing w:val="3"/>
          <w:sz w:val="28"/>
          <w:szCs w:val="28"/>
          <w:highlight w:val="none"/>
        </w:rPr>
        <w:t>②水体环境监测</w:t>
      </w:r>
      <w:r>
        <w:rPr>
          <w:rFonts w:hint="eastAsia" w:ascii="宋体" w:hAnsi="宋体" w:eastAsia="宋体" w:cs="宋体"/>
          <w:color w:val="auto"/>
          <w:spacing w:val="3"/>
          <w:sz w:val="28"/>
          <w:szCs w:val="28"/>
          <w:highlight w:val="none"/>
          <w:lang w:eastAsia="zh-CN"/>
        </w:rPr>
        <w:t>；</w:t>
      </w:r>
    </w:p>
    <w:p>
      <w:pPr>
        <w:tabs>
          <w:tab w:val="left" w:pos="9240"/>
        </w:tabs>
        <w:adjustRightInd w:val="0"/>
        <w:snapToGrid w:val="0"/>
        <w:spacing w:line="360" w:lineRule="auto"/>
        <w:ind w:left="0" w:leftChars="0" w:right="0" w:rightChars="0" w:firstLine="572" w:firstLineChars="200"/>
        <w:jc w:val="left"/>
        <w:outlineLvl w:val="9"/>
        <w:rPr>
          <w:rFonts w:hint="eastAsia" w:ascii="宋体" w:hAnsi="宋体" w:eastAsia="宋体" w:cs="宋体"/>
          <w:color w:val="auto"/>
          <w:spacing w:val="3"/>
          <w:sz w:val="28"/>
          <w:szCs w:val="28"/>
          <w:highlight w:val="none"/>
          <w:lang w:eastAsia="zh-CN"/>
        </w:rPr>
      </w:pPr>
      <w:r>
        <w:rPr>
          <w:rFonts w:hint="eastAsia" w:ascii="宋体" w:hAnsi="宋体" w:eastAsia="宋体" w:cs="宋体"/>
          <w:color w:val="auto"/>
          <w:spacing w:val="3"/>
          <w:sz w:val="28"/>
          <w:szCs w:val="28"/>
          <w:highlight w:val="none"/>
        </w:rPr>
        <w:t>③沉积环境监测</w:t>
      </w:r>
      <w:r>
        <w:rPr>
          <w:rFonts w:hint="eastAsia" w:ascii="宋体" w:hAnsi="宋体" w:eastAsia="宋体" w:cs="宋体"/>
          <w:color w:val="auto"/>
          <w:spacing w:val="3"/>
          <w:sz w:val="28"/>
          <w:szCs w:val="28"/>
          <w:highlight w:val="none"/>
          <w:lang w:eastAsia="zh-CN"/>
        </w:rPr>
        <w:t>；</w:t>
      </w:r>
    </w:p>
    <w:p>
      <w:pPr>
        <w:tabs>
          <w:tab w:val="left" w:pos="9240"/>
        </w:tabs>
        <w:adjustRightInd w:val="0"/>
        <w:snapToGrid w:val="0"/>
        <w:spacing w:line="360" w:lineRule="auto"/>
        <w:ind w:left="0" w:leftChars="0" w:right="0" w:rightChars="0" w:firstLine="572" w:firstLineChars="200"/>
        <w:jc w:val="left"/>
        <w:outlineLvl w:val="9"/>
        <w:rPr>
          <w:rFonts w:hint="eastAsia" w:ascii="宋体" w:hAnsi="宋体" w:eastAsia="宋体" w:cs="宋体"/>
          <w:color w:val="auto"/>
          <w:spacing w:val="3"/>
          <w:sz w:val="28"/>
          <w:szCs w:val="28"/>
          <w:highlight w:val="none"/>
          <w:lang w:eastAsia="zh-CN"/>
        </w:rPr>
      </w:pPr>
      <w:r>
        <w:rPr>
          <w:rFonts w:hint="eastAsia" w:ascii="宋体" w:hAnsi="宋体" w:eastAsia="宋体" w:cs="宋体"/>
          <w:color w:val="auto"/>
          <w:spacing w:val="3"/>
          <w:sz w:val="28"/>
          <w:szCs w:val="28"/>
          <w:highlight w:val="none"/>
        </w:rPr>
        <w:t>④水动力监测</w:t>
      </w:r>
      <w:r>
        <w:rPr>
          <w:rFonts w:hint="eastAsia" w:ascii="宋体" w:hAnsi="宋体" w:eastAsia="宋体" w:cs="宋体"/>
          <w:color w:val="auto"/>
          <w:spacing w:val="3"/>
          <w:sz w:val="28"/>
          <w:szCs w:val="28"/>
          <w:highlight w:val="none"/>
          <w:lang w:eastAsia="zh-CN"/>
        </w:rPr>
        <w:t>；</w:t>
      </w:r>
    </w:p>
    <w:p>
      <w:pPr>
        <w:tabs>
          <w:tab w:val="left" w:pos="9240"/>
        </w:tabs>
        <w:adjustRightInd w:val="0"/>
        <w:snapToGrid w:val="0"/>
        <w:spacing w:line="360" w:lineRule="auto"/>
        <w:ind w:left="0" w:leftChars="0" w:right="0" w:rightChars="0" w:firstLine="572" w:firstLineChars="200"/>
        <w:jc w:val="left"/>
        <w:outlineLvl w:val="9"/>
        <w:rPr>
          <w:rFonts w:hint="eastAsia" w:ascii="宋体" w:hAnsi="宋体" w:eastAsia="宋体" w:cs="宋体"/>
          <w:color w:val="auto"/>
          <w:spacing w:val="3"/>
          <w:sz w:val="28"/>
          <w:szCs w:val="28"/>
          <w:highlight w:val="none"/>
        </w:rPr>
      </w:pPr>
      <w:r>
        <w:rPr>
          <w:rFonts w:hint="eastAsia" w:ascii="宋体" w:hAnsi="宋体" w:eastAsia="宋体" w:cs="宋体"/>
          <w:color w:val="auto"/>
          <w:spacing w:val="3"/>
          <w:sz w:val="28"/>
          <w:szCs w:val="28"/>
          <w:highlight w:val="none"/>
        </w:rPr>
        <w:t>⑤底栖生物监测</w:t>
      </w:r>
      <w:r>
        <w:rPr>
          <w:rFonts w:hint="eastAsia" w:ascii="宋体" w:hAnsi="宋体" w:eastAsia="宋体" w:cs="宋体"/>
          <w:color w:val="auto"/>
          <w:spacing w:val="3"/>
          <w:sz w:val="28"/>
          <w:szCs w:val="28"/>
          <w:highlight w:val="none"/>
          <w:lang w:eastAsia="zh-CN"/>
        </w:rPr>
        <w:t>；</w:t>
      </w:r>
    </w:p>
    <w:p>
      <w:pPr>
        <w:tabs>
          <w:tab w:val="left" w:pos="9240"/>
        </w:tabs>
        <w:adjustRightInd w:val="0"/>
        <w:snapToGrid w:val="0"/>
        <w:spacing w:line="360" w:lineRule="auto"/>
        <w:ind w:left="0" w:leftChars="0" w:right="0" w:rightChars="0" w:firstLine="572" w:firstLineChars="200"/>
        <w:jc w:val="left"/>
        <w:outlineLvl w:val="9"/>
        <w:rPr>
          <w:rFonts w:hint="eastAsia" w:ascii="宋体" w:hAnsi="宋体" w:eastAsia="宋体" w:cs="宋体"/>
          <w:color w:val="auto"/>
          <w:spacing w:val="3"/>
          <w:sz w:val="28"/>
          <w:szCs w:val="28"/>
          <w:highlight w:val="none"/>
          <w:lang w:eastAsia="zh-CN"/>
        </w:rPr>
      </w:pPr>
      <w:r>
        <w:rPr>
          <w:rFonts w:hint="eastAsia" w:ascii="宋体" w:hAnsi="宋体" w:eastAsia="宋体" w:cs="宋体"/>
          <w:color w:val="auto"/>
          <w:spacing w:val="3"/>
          <w:sz w:val="28"/>
          <w:szCs w:val="28"/>
          <w:highlight w:val="none"/>
        </w:rPr>
        <w:t>⑥植被监测</w:t>
      </w:r>
      <w:r>
        <w:rPr>
          <w:rFonts w:hint="eastAsia" w:ascii="宋体" w:hAnsi="宋体" w:eastAsia="宋体" w:cs="宋体"/>
          <w:color w:val="auto"/>
          <w:spacing w:val="3"/>
          <w:sz w:val="28"/>
          <w:szCs w:val="28"/>
          <w:highlight w:val="none"/>
          <w:lang w:eastAsia="zh-CN"/>
        </w:rPr>
        <w:t>；</w:t>
      </w:r>
    </w:p>
    <w:p>
      <w:pPr>
        <w:tabs>
          <w:tab w:val="left" w:pos="9240"/>
        </w:tabs>
        <w:adjustRightInd w:val="0"/>
        <w:snapToGrid w:val="0"/>
        <w:spacing w:line="360" w:lineRule="auto"/>
        <w:ind w:left="0" w:leftChars="0" w:right="0" w:rightChars="0" w:firstLine="572" w:firstLineChars="200"/>
        <w:jc w:val="left"/>
        <w:outlineLvl w:val="9"/>
        <w:rPr>
          <w:rFonts w:hint="eastAsia" w:ascii="宋体" w:hAnsi="宋体" w:eastAsia="宋体" w:cs="宋体"/>
          <w:color w:val="auto"/>
          <w:spacing w:val="3"/>
          <w:sz w:val="28"/>
          <w:szCs w:val="28"/>
          <w:highlight w:val="none"/>
        </w:rPr>
      </w:pPr>
      <w:r>
        <w:rPr>
          <w:rFonts w:hint="eastAsia" w:ascii="宋体" w:hAnsi="宋体" w:eastAsia="宋体" w:cs="宋体"/>
          <w:color w:val="auto"/>
          <w:spacing w:val="3"/>
          <w:sz w:val="28"/>
          <w:szCs w:val="28"/>
          <w:highlight w:val="none"/>
        </w:rPr>
        <w:t>⑦鸟类监测</w:t>
      </w:r>
      <w:r>
        <w:rPr>
          <w:rFonts w:hint="eastAsia" w:ascii="宋体" w:hAnsi="宋体" w:eastAsia="宋体" w:cs="宋体"/>
          <w:color w:val="auto"/>
          <w:spacing w:val="3"/>
          <w:sz w:val="28"/>
          <w:szCs w:val="28"/>
          <w:highlight w:val="none"/>
          <w:lang w:eastAsia="zh-CN"/>
        </w:rPr>
        <w:t>；</w:t>
      </w:r>
    </w:p>
    <w:p>
      <w:pPr>
        <w:tabs>
          <w:tab w:val="left" w:pos="9240"/>
        </w:tabs>
        <w:adjustRightInd w:val="0"/>
        <w:snapToGrid w:val="0"/>
        <w:spacing w:line="360" w:lineRule="auto"/>
        <w:ind w:left="0" w:leftChars="0" w:right="0" w:rightChars="0" w:firstLine="572" w:firstLineChars="200"/>
        <w:jc w:val="left"/>
        <w:outlineLvl w:val="9"/>
        <w:rPr>
          <w:rFonts w:hint="eastAsia" w:ascii="宋体" w:hAnsi="宋体" w:eastAsia="宋体" w:cs="宋体"/>
          <w:color w:val="auto"/>
          <w:spacing w:val="3"/>
          <w:sz w:val="28"/>
          <w:szCs w:val="28"/>
          <w:highlight w:val="none"/>
          <w:lang w:eastAsia="zh-CN"/>
        </w:rPr>
      </w:pPr>
      <w:r>
        <w:rPr>
          <w:rFonts w:hint="eastAsia" w:ascii="宋体" w:hAnsi="宋体" w:eastAsia="宋体" w:cs="宋体"/>
          <w:color w:val="auto"/>
          <w:spacing w:val="3"/>
          <w:sz w:val="28"/>
          <w:szCs w:val="28"/>
          <w:highlight w:val="none"/>
        </w:rPr>
        <w:t>⑧</w:t>
      </w:r>
      <w:r>
        <w:rPr>
          <w:rFonts w:hint="eastAsia" w:ascii="宋体" w:hAnsi="宋体" w:eastAsia="宋体" w:cs="宋体"/>
          <w:color w:val="auto"/>
          <w:spacing w:val="3"/>
          <w:sz w:val="28"/>
          <w:szCs w:val="28"/>
          <w:highlight w:val="none"/>
          <w:lang w:val="en-US" w:eastAsia="zh-CN"/>
        </w:rPr>
        <w:t>湿地面积</w:t>
      </w:r>
      <w:r>
        <w:rPr>
          <w:rFonts w:hint="eastAsia" w:ascii="宋体" w:hAnsi="宋体" w:eastAsia="宋体" w:cs="宋体"/>
          <w:color w:val="auto"/>
          <w:spacing w:val="3"/>
          <w:sz w:val="28"/>
          <w:szCs w:val="28"/>
          <w:highlight w:val="none"/>
        </w:rPr>
        <w:t>遥感对比分析监测</w:t>
      </w:r>
      <w:r>
        <w:rPr>
          <w:rFonts w:hint="eastAsia" w:ascii="宋体" w:hAnsi="宋体" w:eastAsia="宋体" w:cs="宋体"/>
          <w:color w:val="auto"/>
          <w:spacing w:val="3"/>
          <w:sz w:val="28"/>
          <w:szCs w:val="28"/>
          <w:highlight w:val="none"/>
          <w:lang w:eastAsia="zh-CN"/>
        </w:rPr>
        <w:t>；</w:t>
      </w:r>
    </w:p>
    <w:p>
      <w:pPr>
        <w:tabs>
          <w:tab w:val="left" w:pos="9240"/>
        </w:tabs>
        <w:adjustRightInd w:val="0"/>
        <w:snapToGrid w:val="0"/>
        <w:spacing w:line="360" w:lineRule="auto"/>
        <w:ind w:left="0" w:leftChars="0" w:right="0" w:rightChars="0" w:firstLine="572" w:firstLineChars="200"/>
        <w:jc w:val="left"/>
        <w:outlineLvl w:val="9"/>
        <w:rPr>
          <w:rFonts w:hint="eastAsia" w:ascii="宋体" w:hAnsi="宋体" w:eastAsia="宋体" w:cs="宋体"/>
          <w:color w:val="auto"/>
          <w:spacing w:val="3"/>
          <w:sz w:val="28"/>
          <w:szCs w:val="28"/>
          <w:highlight w:val="none"/>
        </w:rPr>
      </w:pPr>
      <w:r>
        <w:rPr>
          <w:rFonts w:hint="eastAsia" w:ascii="宋体" w:hAnsi="宋体" w:eastAsia="宋体" w:cs="宋体"/>
          <w:color w:val="auto"/>
          <w:spacing w:val="3"/>
          <w:sz w:val="28"/>
          <w:szCs w:val="28"/>
          <w:highlight w:val="none"/>
        </w:rPr>
        <w:t>⑨浮游生物监测。</w:t>
      </w:r>
    </w:p>
    <w:p>
      <w:pPr>
        <w:tabs>
          <w:tab w:val="left" w:pos="9240"/>
        </w:tabs>
        <w:adjustRightInd w:val="0"/>
        <w:snapToGrid w:val="0"/>
        <w:spacing w:line="360" w:lineRule="auto"/>
        <w:ind w:left="0" w:leftChars="0" w:right="0" w:rightChars="0" w:firstLine="572" w:firstLineChars="200"/>
        <w:jc w:val="left"/>
        <w:outlineLvl w:val="9"/>
        <w:rPr>
          <w:rFonts w:hint="eastAsia" w:ascii="宋体" w:hAnsi="宋体" w:eastAsia="宋体" w:cs="宋体"/>
          <w:color w:val="auto"/>
          <w:spacing w:val="3"/>
          <w:sz w:val="28"/>
          <w:szCs w:val="28"/>
          <w:highlight w:val="none"/>
        </w:rPr>
      </w:pPr>
      <w:r>
        <w:rPr>
          <w:rFonts w:hint="eastAsia" w:ascii="宋体" w:hAnsi="宋体" w:eastAsia="宋体" w:cs="宋体"/>
          <w:color w:val="auto"/>
          <w:spacing w:val="3"/>
          <w:sz w:val="28"/>
          <w:szCs w:val="28"/>
          <w:highlight w:val="none"/>
        </w:rPr>
        <w:t>⑩碳储量监测。</w:t>
      </w:r>
    </w:p>
    <w:p>
      <w:pPr>
        <w:tabs>
          <w:tab w:val="left" w:pos="9240"/>
        </w:tabs>
        <w:adjustRightInd w:val="0"/>
        <w:snapToGrid w:val="0"/>
        <w:spacing w:line="222" w:lineRule="auto"/>
        <w:ind w:left="0" w:leftChars="0" w:right="0" w:rightChars="0" w:firstLine="558" w:firstLineChars="200"/>
        <w:outlineLvl w:val="2"/>
        <w:rPr>
          <w:rFonts w:hint="eastAsia" w:ascii="宋体" w:hAnsi="宋体" w:eastAsia="宋体" w:cs="宋体"/>
          <w:color w:val="auto"/>
          <w:sz w:val="28"/>
          <w:szCs w:val="28"/>
          <w:highlight w:val="none"/>
        </w:rPr>
      </w:pPr>
      <w:r>
        <w:rPr>
          <w:rFonts w:hint="eastAsia" w:ascii="宋体" w:hAnsi="宋体" w:cs="宋体"/>
          <w:b/>
          <w:bCs/>
          <w:color w:val="auto"/>
          <w:spacing w:val="-1"/>
          <w:sz w:val="28"/>
          <w:szCs w:val="28"/>
          <w:highlight w:val="none"/>
          <w:lang w:val="en-US" w:eastAsia="zh-CN"/>
        </w:rPr>
        <w:t>2</w:t>
      </w:r>
      <w:r>
        <w:rPr>
          <w:rFonts w:hint="eastAsia" w:ascii="宋体" w:hAnsi="宋体" w:eastAsia="宋体" w:cs="宋体"/>
          <w:b/>
          <w:bCs/>
          <w:color w:val="auto"/>
          <w:spacing w:val="-1"/>
          <w:sz w:val="28"/>
          <w:szCs w:val="28"/>
          <w:highlight w:val="none"/>
        </w:rPr>
        <w:t>.</w:t>
      </w:r>
      <w:r>
        <w:rPr>
          <w:rFonts w:hint="eastAsia" w:ascii="宋体" w:hAnsi="宋体" w:eastAsia="宋体" w:cs="宋体"/>
          <w:color w:val="auto"/>
          <w:sz w:val="28"/>
          <w:szCs w:val="28"/>
          <w:highlight w:val="none"/>
        </w:rPr>
        <w:t>成果</w:t>
      </w:r>
      <w:r>
        <w:rPr>
          <w:rFonts w:hint="eastAsia" w:ascii="宋体" w:hAnsi="宋体" w:cs="宋体"/>
          <w:color w:val="auto"/>
          <w:sz w:val="28"/>
          <w:szCs w:val="28"/>
          <w:highlight w:val="none"/>
          <w:lang w:val="en-US" w:eastAsia="zh-CN"/>
        </w:rPr>
        <w:t>要求</w:t>
      </w:r>
    </w:p>
    <w:p>
      <w:pPr>
        <w:tabs>
          <w:tab w:val="left" w:pos="9240"/>
        </w:tabs>
        <w:adjustRightInd w:val="0"/>
        <w:snapToGrid w:val="0"/>
        <w:spacing w:before="286" w:line="212" w:lineRule="auto"/>
        <w:ind w:left="0" w:leftChars="0" w:right="0" w:rightChars="0" w:firstLine="552" w:firstLineChars="200"/>
        <w:rPr>
          <w:rFonts w:hint="eastAsia" w:ascii="宋体" w:hAnsi="宋体" w:eastAsia="宋体" w:cs="宋体"/>
          <w:color w:val="auto"/>
          <w:sz w:val="28"/>
          <w:highlight w:val="none"/>
        </w:rPr>
      </w:pPr>
      <w:r>
        <w:rPr>
          <w:rFonts w:hint="eastAsia" w:ascii="宋体" w:hAnsi="宋体" w:eastAsia="宋体" w:cs="宋体"/>
          <w:color w:val="auto"/>
          <w:spacing w:val="-2"/>
          <w:sz w:val="28"/>
          <w:szCs w:val="28"/>
          <w:highlight w:val="none"/>
          <w:lang w:eastAsia="zh-CN"/>
        </w:rPr>
        <w:t>（</w:t>
      </w:r>
      <w:r>
        <w:rPr>
          <w:rFonts w:hint="eastAsia" w:ascii="宋体" w:hAnsi="宋体" w:eastAsia="宋体" w:cs="宋体"/>
          <w:color w:val="auto"/>
          <w:spacing w:val="-2"/>
          <w:sz w:val="28"/>
          <w:szCs w:val="28"/>
          <w:highlight w:val="none"/>
          <w:lang w:val="en-US" w:eastAsia="zh-CN"/>
        </w:rPr>
        <w:t>1</w:t>
      </w:r>
      <w:r>
        <w:rPr>
          <w:rFonts w:hint="eastAsia" w:ascii="宋体" w:hAnsi="宋体" w:eastAsia="宋体" w:cs="宋体"/>
          <w:color w:val="auto"/>
          <w:spacing w:val="-2"/>
          <w:sz w:val="28"/>
          <w:szCs w:val="28"/>
          <w:highlight w:val="none"/>
          <w:lang w:eastAsia="zh-CN"/>
        </w:rPr>
        <w:t>）</w:t>
      </w:r>
      <w:r>
        <w:rPr>
          <w:rFonts w:hint="eastAsia" w:ascii="宋体" w:hAnsi="宋体" w:eastAsia="宋体" w:cs="宋体"/>
          <w:color w:val="auto"/>
          <w:spacing w:val="-2"/>
          <w:sz w:val="28"/>
          <w:szCs w:val="28"/>
          <w:highlight w:val="none"/>
        </w:rPr>
        <w:t>辽宁</w:t>
      </w:r>
      <w:r>
        <w:rPr>
          <w:rFonts w:hint="eastAsia" w:ascii="宋体" w:hAnsi="宋体" w:cs="宋体"/>
          <w:color w:val="auto"/>
          <w:spacing w:val="-2"/>
          <w:sz w:val="28"/>
          <w:szCs w:val="28"/>
          <w:highlight w:val="none"/>
          <w:lang w:val="en-US" w:eastAsia="zh-CN"/>
        </w:rPr>
        <w:t>省</w:t>
      </w:r>
      <w:r>
        <w:rPr>
          <w:rFonts w:hint="eastAsia" w:ascii="宋体" w:hAnsi="宋体" w:eastAsia="宋体" w:cs="宋体"/>
          <w:color w:val="auto"/>
          <w:spacing w:val="-2"/>
          <w:sz w:val="28"/>
          <w:szCs w:val="28"/>
          <w:highlight w:val="none"/>
        </w:rPr>
        <w:t>营口市海洋生态保护修复工程项目跟踪监测方案；</w:t>
      </w:r>
    </w:p>
    <w:p>
      <w:pPr>
        <w:tabs>
          <w:tab w:val="left" w:pos="9240"/>
        </w:tabs>
        <w:adjustRightInd w:val="0"/>
        <w:snapToGrid w:val="0"/>
        <w:spacing w:before="286" w:line="212" w:lineRule="auto"/>
        <w:ind w:left="0" w:leftChars="0" w:right="0" w:rightChars="0" w:firstLine="564" w:firstLineChars="200"/>
        <w:rPr>
          <w:rFonts w:hint="eastAsia" w:ascii="宋体" w:hAnsi="宋体" w:eastAsia="宋体" w:cs="宋体"/>
          <w:color w:val="auto"/>
          <w:sz w:val="28"/>
          <w:highlight w:val="none"/>
        </w:rPr>
      </w:pPr>
      <w:r>
        <w:rPr>
          <w:rFonts w:hint="eastAsia" w:ascii="宋体" w:hAnsi="宋体" w:eastAsia="宋体" w:cs="宋体"/>
          <w:color w:val="auto"/>
          <w:spacing w:val="1"/>
          <w:sz w:val="28"/>
          <w:szCs w:val="28"/>
          <w:highlight w:val="none"/>
          <w:lang w:eastAsia="zh-CN"/>
        </w:rPr>
        <w:t>（</w:t>
      </w:r>
      <w:r>
        <w:rPr>
          <w:rFonts w:hint="eastAsia" w:ascii="宋体" w:hAnsi="宋体" w:eastAsia="宋体" w:cs="宋体"/>
          <w:color w:val="auto"/>
          <w:spacing w:val="1"/>
          <w:sz w:val="28"/>
          <w:szCs w:val="28"/>
          <w:highlight w:val="none"/>
          <w:lang w:val="en-US" w:eastAsia="zh-CN"/>
        </w:rPr>
        <w:t>2</w:t>
      </w:r>
      <w:r>
        <w:rPr>
          <w:rFonts w:hint="eastAsia" w:ascii="宋体" w:hAnsi="宋体" w:eastAsia="宋体" w:cs="宋体"/>
          <w:color w:val="auto"/>
          <w:spacing w:val="1"/>
          <w:sz w:val="28"/>
          <w:szCs w:val="28"/>
          <w:highlight w:val="none"/>
          <w:lang w:eastAsia="zh-CN"/>
        </w:rPr>
        <w:t>）</w:t>
      </w:r>
      <w:r>
        <w:rPr>
          <w:rFonts w:hint="eastAsia" w:ascii="宋体" w:hAnsi="宋体" w:eastAsia="宋体" w:cs="宋体"/>
          <w:color w:val="auto"/>
          <w:spacing w:val="-2"/>
          <w:sz w:val="28"/>
          <w:szCs w:val="28"/>
          <w:highlight w:val="none"/>
        </w:rPr>
        <w:t>辽宁</w:t>
      </w:r>
      <w:r>
        <w:rPr>
          <w:rFonts w:hint="eastAsia" w:ascii="宋体" w:hAnsi="宋体" w:cs="宋体"/>
          <w:color w:val="auto"/>
          <w:spacing w:val="-2"/>
          <w:sz w:val="28"/>
          <w:szCs w:val="28"/>
          <w:highlight w:val="none"/>
          <w:lang w:val="en-US" w:eastAsia="zh-CN"/>
        </w:rPr>
        <w:t>省</w:t>
      </w:r>
      <w:r>
        <w:rPr>
          <w:rFonts w:hint="eastAsia" w:ascii="宋体" w:hAnsi="宋体" w:eastAsia="宋体" w:cs="宋体"/>
          <w:color w:val="auto"/>
          <w:spacing w:val="-2"/>
          <w:sz w:val="28"/>
          <w:szCs w:val="28"/>
          <w:highlight w:val="none"/>
        </w:rPr>
        <w:t>营口市</w:t>
      </w:r>
      <w:r>
        <w:rPr>
          <w:rFonts w:hint="eastAsia" w:ascii="宋体" w:hAnsi="宋体" w:eastAsia="宋体" w:cs="宋体"/>
          <w:color w:val="auto"/>
          <w:sz w:val="28"/>
          <w:szCs w:val="28"/>
          <w:highlight w:val="none"/>
        </w:rPr>
        <w:t>海洋生态保护修复工程项目施工中跟踪监测报告;</w:t>
      </w:r>
    </w:p>
    <w:p>
      <w:pPr>
        <w:tabs>
          <w:tab w:val="left" w:pos="9240"/>
        </w:tabs>
        <w:adjustRightInd w:val="0"/>
        <w:snapToGrid w:val="0"/>
        <w:spacing w:before="286" w:line="212" w:lineRule="auto"/>
        <w:ind w:left="0" w:leftChars="0" w:right="0" w:rightChars="0" w:firstLine="564" w:firstLineChars="200"/>
        <w:rPr>
          <w:rFonts w:hint="eastAsia" w:ascii="宋体" w:hAnsi="宋体" w:eastAsia="宋体" w:cs="宋体"/>
          <w:color w:val="auto"/>
          <w:sz w:val="28"/>
          <w:szCs w:val="28"/>
          <w:highlight w:val="none"/>
        </w:rPr>
      </w:pPr>
      <w:r>
        <w:rPr>
          <w:rFonts w:hint="eastAsia" w:ascii="宋体" w:hAnsi="宋体" w:eastAsia="宋体" w:cs="宋体"/>
          <w:color w:val="auto"/>
          <w:spacing w:val="1"/>
          <w:sz w:val="28"/>
          <w:szCs w:val="28"/>
          <w:highlight w:val="none"/>
          <w:lang w:eastAsia="zh-CN"/>
        </w:rPr>
        <w:t>（</w:t>
      </w:r>
      <w:r>
        <w:rPr>
          <w:rFonts w:hint="eastAsia" w:ascii="宋体" w:hAnsi="宋体" w:eastAsia="宋体" w:cs="宋体"/>
          <w:color w:val="auto"/>
          <w:spacing w:val="1"/>
          <w:sz w:val="28"/>
          <w:szCs w:val="28"/>
          <w:highlight w:val="none"/>
          <w:lang w:val="en-US" w:eastAsia="zh-CN"/>
        </w:rPr>
        <w:t>3</w:t>
      </w:r>
      <w:r>
        <w:rPr>
          <w:rFonts w:hint="eastAsia" w:ascii="宋体" w:hAnsi="宋体" w:eastAsia="宋体" w:cs="宋体"/>
          <w:color w:val="auto"/>
          <w:spacing w:val="1"/>
          <w:sz w:val="28"/>
          <w:szCs w:val="28"/>
          <w:highlight w:val="none"/>
          <w:lang w:eastAsia="zh-CN"/>
        </w:rPr>
        <w:t>）</w:t>
      </w:r>
      <w:r>
        <w:rPr>
          <w:rFonts w:hint="eastAsia" w:ascii="宋体" w:hAnsi="宋体" w:eastAsia="宋体" w:cs="宋体"/>
          <w:color w:val="auto"/>
          <w:spacing w:val="-2"/>
          <w:sz w:val="28"/>
          <w:szCs w:val="28"/>
          <w:highlight w:val="none"/>
        </w:rPr>
        <w:t>辽宁</w:t>
      </w:r>
      <w:r>
        <w:rPr>
          <w:rFonts w:hint="eastAsia" w:ascii="宋体" w:hAnsi="宋体" w:cs="宋体"/>
          <w:color w:val="auto"/>
          <w:spacing w:val="-2"/>
          <w:sz w:val="28"/>
          <w:szCs w:val="28"/>
          <w:highlight w:val="none"/>
          <w:lang w:val="en-US" w:eastAsia="zh-CN"/>
        </w:rPr>
        <w:t>省</w:t>
      </w:r>
      <w:r>
        <w:rPr>
          <w:rFonts w:hint="eastAsia" w:ascii="宋体" w:hAnsi="宋体" w:eastAsia="宋体" w:cs="宋体"/>
          <w:color w:val="auto"/>
          <w:spacing w:val="-2"/>
          <w:sz w:val="28"/>
          <w:szCs w:val="28"/>
          <w:highlight w:val="none"/>
        </w:rPr>
        <w:t>营口市</w:t>
      </w:r>
      <w:r>
        <w:rPr>
          <w:rFonts w:hint="eastAsia" w:ascii="宋体" w:hAnsi="宋体" w:eastAsia="宋体" w:cs="宋体"/>
          <w:color w:val="auto"/>
          <w:sz w:val="28"/>
          <w:szCs w:val="28"/>
          <w:highlight w:val="none"/>
        </w:rPr>
        <w:t>海洋生态保护修复工程项目</w:t>
      </w:r>
      <w:r>
        <w:rPr>
          <w:rFonts w:hint="eastAsia" w:ascii="宋体" w:hAnsi="宋体" w:cs="宋体"/>
          <w:color w:val="auto"/>
          <w:sz w:val="28"/>
          <w:szCs w:val="28"/>
          <w:highlight w:val="none"/>
          <w:lang w:val="en-US" w:eastAsia="zh-CN"/>
        </w:rPr>
        <w:t>验收前</w:t>
      </w:r>
      <w:r>
        <w:rPr>
          <w:rFonts w:hint="eastAsia" w:ascii="宋体" w:hAnsi="宋体" w:eastAsia="宋体" w:cs="宋体"/>
          <w:color w:val="auto"/>
          <w:sz w:val="28"/>
          <w:szCs w:val="28"/>
          <w:highlight w:val="none"/>
        </w:rPr>
        <w:t>跟踪监测报告;</w:t>
      </w:r>
    </w:p>
    <w:p>
      <w:pPr>
        <w:tabs>
          <w:tab w:val="left" w:pos="9240"/>
        </w:tabs>
        <w:adjustRightInd w:val="0"/>
        <w:snapToGrid w:val="0"/>
        <w:spacing w:before="286" w:line="212" w:lineRule="auto"/>
        <w:ind w:left="0" w:leftChars="0" w:right="0" w:rightChars="0" w:firstLine="560" w:firstLineChars="200"/>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4</w:t>
      </w:r>
      <w:r>
        <w:rPr>
          <w:rFonts w:hint="eastAsia" w:ascii="宋体" w:hAnsi="宋体" w:cs="宋体"/>
          <w:color w:val="auto"/>
          <w:sz w:val="28"/>
          <w:szCs w:val="28"/>
          <w:highlight w:val="none"/>
          <w:lang w:eastAsia="zh-CN"/>
        </w:rPr>
        <w:t>）</w:t>
      </w:r>
      <w:r>
        <w:rPr>
          <w:rFonts w:hint="eastAsia" w:ascii="宋体" w:hAnsi="宋体" w:eastAsia="宋体" w:cs="宋体"/>
          <w:color w:val="auto"/>
          <w:spacing w:val="-2"/>
          <w:sz w:val="28"/>
          <w:szCs w:val="28"/>
          <w:highlight w:val="none"/>
        </w:rPr>
        <w:t>辽宁</w:t>
      </w:r>
      <w:r>
        <w:rPr>
          <w:rFonts w:hint="eastAsia" w:ascii="宋体" w:hAnsi="宋体" w:cs="宋体"/>
          <w:color w:val="auto"/>
          <w:spacing w:val="-2"/>
          <w:sz w:val="28"/>
          <w:szCs w:val="28"/>
          <w:highlight w:val="none"/>
          <w:lang w:val="en-US" w:eastAsia="zh-CN"/>
        </w:rPr>
        <w:t>省</w:t>
      </w:r>
      <w:r>
        <w:rPr>
          <w:rFonts w:hint="eastAsia" w:ascii="宋体" w:hAnsi="宋体" w:eastAsia="宋体" w:cs="宋体"/>
          <w:color w:val="auto"/>
          <w:spacing w:val="-2"/>
          <w:sz w:val="28"/>
          <w:szCs w:val="28"/>
          <w:highlight w:val="none"/>
        </w:rPr>
        <w:t>营口市</w:t>
      </w:r>
      <w:r>
        <w:rPr>
          <w:rFonts w:hint="eastAsia" w:ascii="宋体" w:hAnsi="宋体" w:eastAsia="宋体" w:cs="宋体"/>
          <w:color w:val="auto"/>
          <w:sz w:val="28"/>
          <w:szCs w:val="28"/>
          <w:highlight w:val="none"/>
        </w:rPr>
        <w:t>海洋生态保护修复工程项目</w:t>
      </w:r>
      <w:r>
        <w:rPr>
          <w:rFonts w:hint="eastAsia" w:ascii="宋体" w:hAnsi="宋体" w:eastAsia="宋体" w:cs="宋体"/>
          <w:color w:val="auto"/>
          <w:sz w:val="28"/>
          <w:szCs w:val="28"/>
          <w:highlight w:val="none"/>
          <w:lang w:val="en-US" w:eastAsia="zh-CN"/>
        </w:rPr>
        <w:t>验收后</w:t>
      </w:r>
      <w:r>
        <w:rPr>
          <w:rFonts w:hint="eastAsia" w:ascii="宋体" w:hAnsi="宋体" w:eastAsia="宋体" w:cs="宋体"/>
          <w:color w:val="auto"/>
          <w:sz w:val="28"/>
          <w:szCs w:val="28"/>
          <w:highlight w:val="none"/>
        </w:rPr>
        <w:t>跟踪监测报告;</w:t>
      </w:r>
    </w:p>
    <w:p>
      <w:pPr>
        <w:tabs>
          <w:tab w:val="left" w:pos="9240"/>
        </w:tabs>
        <w:adjustRightInd w:val="0"/>
        <w:snapToGrid w:val="0"/>
        <w:spacing w:before="303" w:line="212" w:lineRule="auto"/>
        <w:ind w:left="0" w:leftChars="0" w:right="0" w:rightChars="0" w:firstLine="552" w:firstLineChars="200"/>
        <w:rPr>
          <w:rFonts w:hint="eastAsia" w:ascii="宋体" w:hAnsi="宋体" w:cs="宋体"/>
          <w:color w:val="auto"/>
          <w:spacing w:val="-2"/>
          <w:sz w:val="28"/>
          <w:szCs w:val="28"/>
          <w:highlight w:val="none"/>
          <w:lang w:val="en-US" w:eastAsia="zh-CN"/>
        </w:rPr>
      </w:pPr>
      <w:r>
        <w:rPr>
          <w:rFonts w:hint="eastAsia" w:ascii="宋体" w:hAnsi="宋体" w:eastAsia="宋体" w:cs="宋体"/>
          <w:color w:val="auto"/>
          <w:spacing w:val="-2"/>
          <w:sz w:val="28"/>
          <w:szCs w:val="28"/>
          <w:highlight w:val="none"/>
          <w:lang w:eastAsia="zh-CN"/>
        </w:rPr>
        <w:t>（</w:t>
      </w:r>
      <w:r>
        <w:rPr>
          <w:rFonts w:hint="eastAsia" w:ascii="宋体" w:hAnsi="宋体" w:eastAsia="宋体" w:cs="宋体"/>
          <w:color w:val="auto"/>
          <w:spacing w:val="-2"/>
          <w:sz w:val="28"/>
          <w:szCs w:val="28"/>
          <w:highlight w:val="none"/>
          <w:lang w:val="en-US" w:eastAsia="zh-CN"/>
        </w:rPr>
        <w:t>5</w:t>
      </w:r>
      <w:r>
        <w:rPr>
          <w:rFonts w:hint="eastAsia" w:ascii="宋体" w:hAnsi="宋体" w:eastAsia="宋体" w:cs="宋体"/>
          <w:color w:val="auto"/>
          <w:spacing w:val="-2"/>
          <w:sz w:val="28"/>
          <w:szCs w:val="28"/>
          <w:highlight w:val="none"/>
          <w:lang w:eastAsia="zh-CN"/>
        </w:rPr>
        <w:t>）</w:t>
      </w:r>
      <w:r>
        <w:rPr>
          <w:rFonts w:hint="eastAsia" w:ascii="宋体" w:hAnsi="宋体" w:eastAsia="宋体" w:cs="宋体"/>
          <w:color w:val="auto"/>
          <w:spacing w:val="-2"/>
          <w:sz w:val="28"/>
          <w:szCs w:val="28"/>
          <w:highlight w:val="none"/>
        </w:rPr>
        <w:t>辽宁</w:t>
      </w:r>
      <w:r>
        <w:rPr>
          <w:rFonts w:hint="eastAsia" w:ascii="宋体" w:hAnsi="宋体" w:cs="宋体"/>
          <w:color w:val="auto"/>
          <w:spacing w:val="-2"/>
          <w:sz w:val="28"/>
          <w:szCs w:val="28"/>
          <w:highlight w:val="none"/>
          <w:lang w:val="en-US" w:eastAsia="zh-CN"/>
        </w:rPr>
        <w:t>省</w:t>
      </w:r>
      <w:r>
        <w:rPr>
          <w:rFonts w:hint="eastAsia" w:ascii="宋体" w:hAnsi="宋体" w:eastAsia="宋体" w:cs="宋体"/>
          <w:color w:val="auto"/>
          <w:spacing w:val="-2"/>
          <w:sz w:val="28"/>
          <w:szCs w:val="28"/>
          <w:highlight w:val="none"/>
        </w:rPr>
        <w:t>营口市</w:t>
      </w:r>
      <w:r>
        <w:rPr>
          <w:rFonts w:hint="eastAsia" w:ascii="宋体" w:hAnsi="宋体" w:eastAsia="宋体" w:cs="宋体"/>
          <w:color w:val="auto"/>
          <w:sz w:val="28"/>
          <w:szCs w:val="28"/>
          <w:highlight w:val="none"/>
        </w:rPr>
        <w:t>海洋生态保护修复工程项目</w:t>
      </w:r>
      <w:r>
        <w:rPr>
          <w:rFonts w:hint="eastAsia" w:ascii="宋体" w:hAnsi="宋体" w:cs="宋体"/>
          <w:color w:val="auto"/>
          <w:spacing w:val="-2"/>
          <w:sz w:val="28"/>
          <w:szCs w:val="28"/>
          <w:highlight w:val="none"/>
          <w:lang w:val="en-US" w:eastAsia="zh-CN"/>
        </w:rPr>
        <w:t>修复岸线认定与测量报告；</w:t>
      </w:r>
    </w:p>
    <w:p>
      <w:pPr>
        <w:tabs>
          <w:tab w:val="left" w:pos="9240"/>
        </w:tabs>
        <w:adjustRightInd w:val="0"/>
        <w:snapToGrid w:val="0"/>
        <w:spacing w:before="303" w:line="212" w:lineRule="auto"/>
        <w:ind w:left="0" w:leftChars="0" w:right="0" w:rightChars="0" w:firstLine="552" w:firstLineChars="200"/>
        <w:rPr>
          <w:rFonts w:hint="eastAsia" w:ascii="宋体" w:hAnsi="宋体" w:cs="宋体"/>
          <w:color w:val="auto"/>
          <w:spacing w:val="-2"/>
          <w:sz w:val="28"/>
          <w:szCs w:val="28"/>
          <w:highlight w:val="none"/>
          <w:lang w:val="en-US" w:eastAsia="zh-CN"/>
        </w:rPr>
      </w:pPr>
      <w:r>
        <w:rPr>
          <w:rFonts w:hint="eastAsia" w:ascii="宋体" w:hAnsi="宋体" w:cs="宋体"/>
          <w:color w:val="auto"/>
          <w:spacing w:val="-2"/>
          <w:sz w:val="28"/>
          <w:szCs w:val="28"/>
          <w:highlight w:val="none"/>
          <w:lang w:val="en-US" w:eastAsia="zh-CN"/>
        </w:rPr>
        <w:t>（6）</w:t>
      </w:r>
      <w:r>
        <w:rPr>
          <w:rFonts w:hint="eastAsia" w:ascii="宋体" w:hAnsi="宋体" w:eastAsia="宋体" w:cs="宋体"/>
          <w:color w:val="auto"/>
          <w:spacing w:val="-2"/>
          <w:sz w:val="28"/>
          <w:szCs w:val="28"/>
          <w:highlight w:val="none"/>
        </w:rPr>
        <w:t>辽宁</w:t>
      </w:r>
      <w:r>
        <w:rPr>
          <w:rFonts w:hint="eastAsia" w:ascii="宋体" w:hAnsi="宋体" w:cs="宋体"/>
          <w:color w:val="auto"/>
          <w:spacing w:val="-2"/>
          <w:sz w:val="28"/>
          <w:szCs w:val="28"/>
          <w:highlight w:val="none"/>
          <w:lang w:val="en-US" w:eastAsia="zh-CN"/>
        </w:rPr>
        <w:t>省</w:t>
      </w:r>
      <w:r>
        <w:rPr>
          <w:rFonts w:hint="eastAsia" w:ascii="宋体" w:hAnsi="宋体" w:eastAsia="宋体" w:cs="宋体"/>
          <w:color w:val="auto"/>
          <w:spacing w:val="-2"/>
          <w:sz w:val="28"/>
          <w:szCs w:val="28"/>
          <w:highlight w:val="none"/>
        </w:rPr>
        <w:t>营口市</w:t>
      </w:r>
      <w:r>
        <w:rPr>
          <w:rFonts w:hint="eastAsia" w:ascii="宋体" w:hAnsi="宋体" w:eastAsia="宋体" w:cs="宋体"/>
          <w:color w:val="auto"/>
          <w:sz w:val="28"/>
          <w:szCs w:val="28"/>
          <w:highlight w:val="none"/>
        </w:rPr>
        <w:t>海洋生态保护修复工程项目</w:t>
      </w:r>
      <w:r>
        <w:rPr>
          <w:rFonts w:hint="eastAsia" w:ascii="宋体" w:hAnsi="宋体" w:cs="宋体"/>
          <w:color w:val="auto"/>
          <w:spacing w:val="-2"/>
          <w:sz w:val="28"/>
          <w:szCs w:val="28"/>
          <w:highlight w:val="none"/>
          <w:lang w:val="en-US" w:eastAsia="zh-CN"/>
        </w:rPr>
        <w:t>修复湿地认定与测量报告；</w:t>
      </w:r>
    </w:p>
    <w:p>
      <w:pPr>
        <w:tabs>
          <w:tab w:val="left" w:pos="9240"/>
        </w:tabs>
        <w:adjustRightInd w:val="0"/>
        <w:snapToGrid w:val="0"/>
        <w:spacing w:before="303" w:line="212" w:lineRule="auto"/>
        <w:ind w:left="0" w:leftChars="0" w:right="0" w:rightChars="0" w:firstLine="552" w:firstLineChars="200"/>
        <w:rPr>
          <w:rFonts w:hint="eastAsia" w:ascii="宋体" w:hAnsi="宋体" w:eastAsia="宋体" w:cs="宋体"/>
          <w:color w:val="auto"/>
          <w:sz w:val="28"/>
          <w:szCs w:val="28"/>
          <w:highlight w:val="none"/>
        </w:rPr>
      </w:pPr>
      <w:r>
        <w:rPr>
          <w:rFonts w:hint="eastAsia" w:ascii="宋体" w:hAnsi="宋体" w:cs="宋体"/>
          <w:color w:val="auto"/>
          <w:spacing w:val="-2"/>
          <w:sz w:val="28"/>
          <w:szCs w:val="28"/>
          <w:highlight w:val="none"/>
          <w:lang w:val="en-US" w:eastAsia="zh-CN"/>
        </w:rPr>
        <w:t>（7）</w:t>
      </w:r>
      <w:r>
        <w:rPr>
          <w:rFonts w:hint="eastAsia" w:ascii="宋体" w:hAnsi="宋体" w:eastAsia="宋体" w:cs="宋体"/>
          <w:color w:val="auto"/>
          <w:spacing w:val="-1"/>
          <w:sz w:val="28"/>
          <w:szCs w:val="28"/>
          <w:highlight w:val="none"/>
        </w:rPr>
        <w:t>CMA数据集；</w:t>
      </w:r>
    </w:p>
    <w:p>
      <w:pPr>
        <w:tabs>
          <w:tab w:val="left" w:pos="9240"/>
        </w:tabs>
        <w:adjustRightInd w:val="0"/>
        <w:snapToGrid w:val="0"/>
        <w:spacing w:before="302" w:line="212" w:lineRule="auto"/>
        <w:ind w:left="0" w:leftChars="0" w:right="0" w:rightChars="0" w:firstLine="552" w:firstLineChars="200"/>
        <w:rPr>
          <w:rFonts w:hint="eastAsia" w:ascii="宋体" w:hAnsi="宋体" w:eastAsia="宋体" w:cs="宋体"/>
          <w:color w:val="auto"/>
          <w:sz w:val="28"/>
          <w:szCs w:val="28"/>
          <w:highlight w:val="none"/>
        </w:rPr>
      </w:pPr>
      <w:r>
        <w:rPr>
          <w:rFonts w:hint="eastAsia" w:ascii="宋体" w:hAnsi="宋体" w:eastAsia="宋体" w:cs="宋体"/>
          <w:color w:val="auto"/>
          <w:spacing w:val="-2"/>
          <w:sz w:val="28"/>
          <w:szCs w:val="28"/>
          <w:highlight w:val="none"/>
          <w:lang w:eastAsia="zh-CN"/>
        </w:rPr>
        <w:t>（</w:t>
      </w:r>
      <w:r>
        <w:rPr>
          <w:rFonts w:hint="eastAsia" w:ascii="宋体" w:hAnsi="宋体" w:cs="宋体"/>
          <w:color w:val="auto"/>
          <w:spacing w:val="-2"/>
          <w:sz w:val="28"/>
          <w:szCs w:val="28"/>
          <w:highlight w:val="none"/>
          <w:lang w:val="en-US" w:eastAsia="zh-CN"/>
        </w:rPr>
        <w:t>8</w:t>
      </w:r>
      <w:r>
        <w:rPr>
          <w:rFonts w:hint="eastAsia" w:ascii="宋体" w:hAnsi="宋体" w:eastAsia="宋体" w:cs="宋体"/>
          <w:color w:val="auto"/>
          <w:spacing w:val="-2"/>
          <w:sz w:val="28"/>
          <w:szCs w:val="28"/>
          <w:highlight w:val="none"/>
          <w:lang w:eastAsia="zh-CN"/>
        </w:rPr>
        <w:t>）</w:t>
      </w:r>
      <w:r>
        <w:rPr>
          <w:rFonts w:hint="eastAsia" w:ascii="宋体" w:hAnsi="宋体" w:eastAsia="宋体" w:cs="宋体"/>
          <w:color w:val="auto"/>
          <w:spacing w:val="-1"/>
          <w:sz w:val="28"/>
          <w:szCs w:val="28"/>
          <w:highlight w:val="none"/>
        </w:rPr>
        <w:t>现场影像资料</w:t>
      </w:r>
      <w:r>
        <w:rPr>
          <w:rFonts w:hint="eastAsia" w:ascii="宋体" w:hAnsi="宋体" w:cs="宋体"/>
          <w:color w:val="auto"/>
          <w:spacing w:val="-1"/>
          <w:sz w:val="28"/>
          <w:szCs w:val="28"/>
          <w:highlight w:val="none"/>
          <w:lang w:val="en-US" w:eastAsia="zh-CN"/>
        </w:rPr>
        <w:t>(应包含典型区域4次监测同一位置前后对比影像）</w:t>
      </w:r>
      <w:r>
        <w:rPr>
          <w:rFonts w:hint="eastAsia" w:ascii="宋体" w:hAnsi="宋体" w:eastAsia="宋体" w:cs="宋体"/>
          <w:color w:val="auto"/>
          <w:spacing w:val="-1"/>
          <w:sz w:val="28"/>
          <w:szCs w:val="28"/>
          <w:highlight w:val="none"/>
        </w:rPr>
        <w:t>。</w:t>
      </w:r>
    </w:p>
    <w:p>
      <w:pPr>
        <w:tabs>
          <w:tab w:val="left" w:pos="9240"/>
        </w:tabs>
        <w:adjustRightInd w:val="0"/>
        <w:snapToGrid w:val="0"/>
        <w:spacing w:before="301" w:line="406" w:lineRule="auto"/>
        <w:ind w:left="0" w:leftChars="0" w:right="0" w:rightChars="0" w:firstLine="556" w:firstLineChars="200"/>
        <w:rPr>
          <w:rFonts w:hint="eastAsia" w:ascii="宋体" w:hAnsi="宋体" w:eastAsia="宋体" w:cs="宋体"/>
          <w:color w:val="auto"/>
          <w:sz w:val="28"/>
          <w:highlight w:val="none"/>
        </w:rPr>
      </w:pPr>
      <w:r>
        <w:rPr>
          <w:rFonts w:hint="eastAsia" w:ascii="宋体" w:hAnsi="宋体" w:eastAsia="宋体" w:cs="宋体"/>
          <w:color w:val="auto"/>
          <w:spacing w:val="-1"/>
          <w:sz w:val="28"/>
          <w:szCs w:val="28"/>
          <w:highlight w:val="none"/>
        </w:rPr>
        <w:t>说明:上述涉及海水、海洋沉积物、海洋生物</w:t>
      </w:r>
      <w:r>
        <w:rPr>
          <w:rFonts w:hint="eastAsia" w:ascii="宋体" w:hAnsi="宋体" w:eastAsia="宋体" w:cs="宋体"/>
          <w:color w:val="auto"/>
          <w:sz w:val="28"/>
          <w:szCs w:val="28"/>
          <w:highlight w:val="none"/>
        </w:rPr>
        <w:t>生态等现场调查的，应提</w:t>
      </w:r>
      <w:r>
        <w:rPr>
          <w:rFonts w:hint="eastAsia" w:ascii="宋体" w:hAnsi="宋体" w:eastAsia="宋体" w:cs="宋体"/>
          <w:color w:val="auto"/>
          <w:spacing w:val="2"/>
          <w:sz w:val="28"/>
          <w:szCs w:val="28"/>
          <w:highlight w:val="none"/>
        </w:rPr>
        <w:t>供以计量认证形式出具的各分项分析报告(即有</w:t>
      </w:r>
      <w:r>
        <w:rPr>
          <w:rFonts w:hint="eastAsia" w:ascii="宋体" w:hAnsi="宋体" w:eastAsia="宋体" w:cs="宋体"/>
          <w:color w:val="auto"/>
          <w:sz w:val="28"/>
          <w:szCs w:val="28"/>
          <w:highlight w:val="none"/>
        </w:rPr>
        <w:t>CMA</w:t>
      </w:r>
      <w:r>
        <w:rPr>
          <w:rFonts w:hint="eastAsia" w:ascii="宋体" w:hAnsi="宋体" w:eastAsia="宋体" w:cs="宋体"/>
          <w:color w:val="auto"/>
          <w:spacing w:val="2"/>
          <w:sz w:val="28"/>
          <w:szCs w:val="28"/>
          <w:highlight w:val="none"/>
        </w:rPr>
        <w:t>字样的分析测量报</w:t>
      </w:r>
      <w:r>
        <w:rPr>
          <w:rFonts w:hint="eastAsia" w:ascii="宋体" w:hAnsi="宋体" w:eastAsia="宋体" w:cs="宋体"/>
          <w:color w:val="auto"/>
          <w:spacing w:val="1"/>
          <w:sz w:val="28"/>
          <w:szCs w:val="28"/>
          <w:highlight w:val="none"/>
        </w:rPr>
        <w:t>告</w:t>
      </w:r>
      <w:r>
        <w:rPr>
          <w:rFonts w:hint="eastAsia" w:ascii="宋体" w:hAnsi="宋体" w:eastAsia="宋体" w:cs="宋体"/>
          <w:color w:val="auto"/>
          <w:sz w:val="28"/>
          <w:szCs w:val="28"/>
          <w:highlight w:val="none"/>
        </w:rPr>
        <w:t>)。</w:t>
      </w:r>
    </w:p>
    <w:p>
      <w:pPr>
        <w:widowControl/>
        <w:adjustRightInd w:val="0"/>
        <w:snapToGrid w:val="0"/>
        <w:spacing w:line="360" w:lineRule="auto"/>
        <w:jc w:val="left"/>
        <w:rPr>
          <w:rFonts w:hint="eastAsia" w:ascii="宋体" w:hAnsi="宋体" w:cs="宋体"/>
          <w:color w:val="auto"/>
          <w:sz w:val="32"/>
          <w:szCs w:val="32"/>
          <w:highlight w:val="none"/>
        </w:rPr>
      </w:pPr>
      <w:r>
        <w:rPr>
          <w:rFonts w:hint="eastAsia" w:ascii="宋体" w:hAnsi="宋体" w:eastAsia="宋体" w:cs="宋体"/>
          <w:color w:val="auto"/>
          <w:spacing w:val="-1"/>
          <w:sz w:val="28"/>
          <w:szCs w:val="28"/>
          <w:highlight w:val="none"/>
        </w:rPr>
        <w:t>监测成果包括但不限于监测站位数据、测量数据、现场照片视</w:t>
      </w:r>
      <w:r>
        <w:rPr>
          <w:rFonts w:hint="eastAsia" w:ascii="宋体" w:hAnsi="宋体" w:eastAsia="宋体" w:cs="宋体"/>
          <w:color w:val="auto"/>
          <w:sz w:val="28"/>
          <w:szCs w:val="28"/>
          <w:highlight w:val="none"/>
        </w:rPr>
        <w:t>频、无</w:t>
      </w:r>
      <w:r>
        <w:rPr>
          <w:rFonts w:hint="eastAsia" w:ascii="宋体" w:hAnsi="宋体" w:eastAsia="宋体" w:cs="宋体"/>
          <w:color w:val="auto"/>
          <w:spacing w:val="-8"/>
          <w:sz w:val="28"/>
          <w:szCs w:val="28"/>
          <w:highlight w:val="none"/>
        </w:rPr>
        <w:t>人机原始照片、正射影像、全景影像等上述报告需提供电子版</w:t>
      </w:r>
      <w:r>
        <w:rPr>
          <w:rFonts w:hint="eastAsia" w:ascii="宋体" w:hAnsi="宋体" w:eastAsia="宋体" w:cs="宋体"/>
          <w:color w:val="auto"/>
          <w:spacing w:val="-8"/>
          <w:sz w:val="28"/>
          <w:szCs w:val="28"/>
          <w:highlight w:val="none"/>
          <w:lang w:val="en-US" w:eastAsia="zh-CN"/>
        </w:rPr>
        <w:t>各</w:t>
      </w:r>
      <w:r>
        <w:rPr>
          <w:rFonts w:hint="eastAsia" w:ascii="宋体" w:hAnsi="宋体" w:eastAsia="宋体" w:cs="宋体"/>
          <w:color w:val="auto"/>
          <w:spacing w:val="-8"/>
          <w:sz w:val="28"/>
          <w:szCs w:val="28"/>
          <w:highlight w:val="none"/>
        </w:rPr>
        <w:t>1</w:t>
      </w:r>
      <w:r>
        <w:rPr>
          <w:rFonts w:hint="eastAsia" w:ascii="宋体" w:hAnsi="宋体" w:eastAsia="宋体" w:cs="宋体"/>
          <w:color w:val="auto"/>
          <w:spacing w:val="-4"/>
          <w:sz w:val="28"/>
          <w:szCs w:val="28"/>
          <w:highlight w:val="none"/>
        </w:rPr>
        <w:t>份(矢量格式:</w:t>
      </w:r>
      <w:r>
        <w:rPr>
          <w:rFonts w:hint="eastAsia" w:ascii="宋体" w:hAnsi="宋体" w:eastAsia="宋体" w:cs="宋体"/>
          <w:color w:val="auto"/>
          <w:spacing w:val="-2"/>
          <w:sz w:val="28"/>
          <w:szCs w:val="28"/>
          <w:highlight w:val="none"/>
        </w:rPr>
        <w:t>ArCGIS</w:t>
      </w:r>
      <w:r>
        <w:rPr>
          <w:rFonts w:hint="eastAsia" w:ascii="宋体" w:hAnsi="宋体" w:eastAsia="宋体" w:cs="宋体"/>
          <w:color w:val="auto"/>
          <w:spacing w:val="-4"/>
          <w:sz w:val="28"/>
          <w:szCs w:val="28"/>
          <w:highlight w:val="none"/>
        </w:rPr>
        <w:t>格式</w:t>
      </w:r>
      <w:r>
        <w:rPr>
          <w:rFonts w:hint="eastAsia" w:ascii="宋体" w:hAnsi="宋体" w:eastAsia="宋体" w:cs="宋体"/>
          <w:color w:val="auto"/>
          <w:spacing w:val="-3"/>
          <w:sz w:val="28"/>
          <w:szCs w:val="28"/>
          <w:highlight w:val="none"/>
        </w:rPr>
        <w:t>，</w:t>
      </w:r>
      <w:r>
        <w:rPr>
          <w:rFonts w:hint="eastAsia" w:ascii="宋体" w:hAnsi="宋体" w:eastAsia="宋体" w:cs="宋体"/>
          <w:color w:val="auto"/>
          <w:spacing w:val="-2"/>
          <w:sz w:val="28"/>
          <w:szCs w:val="28"/>
          <w:highlight w:val="none"/>
        </w:rPr>
        <w:t>图片格式:jpg、png等，文字格式:word)，纸质</w:t>
      </w:r>
      <w:r>
        <w:rPr>
          <w:rFonts w:hint="eastAsia" w:ascii="宋体" w:hAnsi="宋体" w:eastAsia="宋体" w:cs="宋体"/>
          <w:color w:val="auto"/>
          <w:spacing w:val="-8"/>
          <w:sz w:val="28"/>
          <w:szCs w:val="28"/>
          <w:highlight w:val="none"/>
        </w:rPr>
        <w:t>版各</w:t>
      </w:r>
      <w:r>
        <w:rPr>
          <w:rFonts w:hint="eastAsia" w:ascii="宋体" w:hAnsi="宋体" w:eastAsia="宋体" w:cs="宋体"/>
          <w:color w:val="auto"/>
          <w:spacing w:val="-4"/>
          <w:sz w:val="28"/>
          <w:szCs w:val="28"/>
          <w:highlight w:val="none"/>
        </w:rPr>
        <w:t>8份;项目跟踪监测严格执行国家、省有关要求，监测成果按照采购人要求时间频次提交。</w:t>
      </w:r>
      <w:r>
        <w:rPr>
          <w:rFonts w:hint="eastAsia" w:ascii="宋体" w:hAnsi="宋体" w:cs="宋体"/>
          <w:color w:val="auto"/>
          <w:spacing w:val="-4"/>
          <w:sz w:val="28"/>
          <w:szCs w:val="28"/>
          <w:highlight w:val="none"/>
          <w:lang w:val="en-US" w:eastAsia="zh-CN"/>
        </w:rPr>
        <w:t>在合同履约过程中如遇国家政策调整或工程现场变化等可按甲方要求调整监测和合同，但不增加合同额度。</w:t>
      </w:r>
    </w:p>
    <w:p>
      <w:pPr>
        <w:pStyle w:val="34"/>
        <w:widowControl/>
        <w:adjustRightInd w:val="0"/>
        <w:snapToGrid w:val="0"/>
        <w:spacing w:line="360" w:lineRule="auto"/>
        <w:ind w:firstLine="640"/>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最高限价：1580万元，高于此限价的投标无效。</w:t>
      </w:r>
    </w:p>
    <w:p>
      <w:pPr>
        <w:pStyle w:val="34"/>
        <w:widowControl/>
        <w:adjustRightInd w:val="0"/>
        <w:snapToGrid w:val="0"/>
        <w:spacing w:line="360" w:lineRule="auto"/>
        <w:ind w:firstLine="640"/>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服务期限：2024年08月01日至202</w:t>
      </w:r>
      <w:r>
        <w:rPr>
          <w:rFonts w:hint="eastAsia" w:ascii="宋体" w:hAnsi="宋体" w:cs="宋体"/>
          <w:color w:val="auto"/>
          <w:sz w:val="28"/>
          <w:szCs w:val="28"/>
          <w:highlight w:val="none"/>
          <w:lang w:val="en-US" w:eastAsia="zh-CN"/>
        </w:rPr>
        <w:t>8</w:t>
      </w:r>
      <w:r>
        <w:rPr>
          <w:rFonts w:hint="eastAsia" w:ascii="宋体" w:hAnsi="宋体" w:cs="宋体"/>
          <w:color w:val="auto"/>
          <w:sz w:val="28"/>
          <w:szCs w:val="28"/>
          <w:highlight w:val="none"/>
        </w:rPr>
        <w:t>年12月31日。（具体时间以合同签订为准）。</w:t>
      </w:r>
    </w:p>
    <w:p>
      <w:pPr>
        <w:pStyle w:val="34"/>
        <w:widowControl/>
        <w:adjustRightInd w:val="0"/>
        <w:snapToGrid w:val="0"/>
        <w:spacing w:line="360" w:lineRule="auto"/>
        <w:ind w:firstLine="640"/>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质量要求：合格</w:t>
      </w:r>
    </w:p>
    <w:p>
      <w:pPr>
        <w:pStyle w:val="34"/>
        <w:widowControl/>
        <w:adjustRightInd w:val="0"/>
        <w:snapToGrid w:val="0"/>
        <w:spacing w:line="360" w:lineRule="auto"/>
        <w:ind w:firstLine="640"/>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付款方式：1. 分四次支付。第一次付款：提交跟踪监测方案后20日内，支付至合同价款的30%；第二次付款：市级验收时提交成果报告并通过专家评审后，支付至合同价款的75%；第三次付款：项目省级验收后，支付至合同价款的90%；第四次付款：验收通过后2年内提交监测报告，支付至合同价款的100%。四次付款均应提供有效发票。</w:t>
      </w:r>
    </w:p>
    <w:p>
      <w:pPr>
        <w:rPr>
          <w:rFonts w:hint="eastAsia" w:ascii="宋体" w:hAnsi="宋体" w:cs="宋体"/>
          <w:color w:val="auto"/>
          <w:w w:val="90"/>
          <w:highlight w:val="none"/>
        </w:rPr>
      </w:pPr>
    </w:p>
    <w:p>
      <w:pPr>
        <w:spacing w:line="360" w:lineRule="auto"/>
        <w:jc w:val="center"/>
        <w:rPr>
          <w:rFonts w:hint="eastAsia" w:ascii="宋体" w:hAnsi="宋体" w:eastAsia="宋体" w:cs="宋体"/>
          <w:color w:val="auto"/>
          <w:w w:val="90"/>
          <w:highlight w:val="none"/>
        </w:rPr>
      </w:pPr>
      <w:bookmarkStart w:id="44" w:name="_Toc343510609"/>
      <w:bookmarkEnd w:id="44"/>
      <w:bookmarkStart w:id="45" w:name="_Toc29388"/>
      <w:bookmarkEnd w:id="45"/>
      <w:bookmarkStart w:id="46" w:name="_Toc28352"/>
      <w:bookmarkEnd w:id="46"/>
      <w:bookmarkStart w:id="47" w:name="_Toc350515663"/>
      <w:bookmarkEnd w:id="47"/>
      <w:bookmarkStart w:id="48" w:name="_Toc344394210"/>
      <w:bookmarkEnd w:id="48"/>
      <w:bookmarkStart w:id="49" w:name="_Toc349568733"/>
      <w:bookmarkEnd w:id="49"/>
      <w:r>
        <w:rPr>
          <w:rFonts w:hint="eastAsia" w:ascii="宋体" w:hAnsi="宋体" w:eastAsia="宋体" w:cs="宋体"/>
          <w:color w:val="auto"/>
          <w:w w:val="90"/>
          <w:highlight w:val="none"/>
        </w:rPr>
        <w:br w:type="page"/>
      </w:r>
    </w:p>
    <w:p>
      <w:pPr>
        <w:spacing w:line="360" w:lineRule="auto"/>
        <w:rPr>
          <w:rFonts w:hint="eastAsia" w:ascii="宋体" w:hAnsi="宋体" w:eastAsia="宋体" w:cs="宋体"/>
          <w:color w:val="auto"/>
          <w:sz w:val="24"/>
          <w:szCs w:val="24"/>
          <w:highlight w:val="none"/>
        </w:rPr>
      </w:pPr>
      <w:r>
        <w:rPr>
          <w:rFonts w:hint="eastAsia" w:ascii="宋体" w:hAnsi="宋体" w:cs="宋体"/>
          <w:color w:val="auto"/>
          <w:w w:val="90"/>
          <w:highlight w:val="none"/>
        </w:rPr>
        <w:t xml:space="preserve">  </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pStyle w:val="2"/>
        <w:numPr>
          <w:ilvl w:val="0"/>
          <w:numId w:val="2"/>
        </w:numPr>
        <w:spacing w:line="360" w:lineRule="auto"/>
        <w:jc w:val="center"/>
        <w:rPr>
          <w:rFonts w:hint="eastAsia" w:ascii="宋体" w:hAnsi="宋体" w:cs="宋体"/>
          <w:color w:val="auto"/>
          <w:w w:val="90"/>
          <w:highlight w:val="none"/>
        </w:rPr>
      </w:pPr>
      <w:r>
        <w:rPr>
          <w:rFonts w:hint="eastAsia" w:ascii="宋体" w:hAnsi="宋体" w:cs="宋体"/>
          <w:color w:val="auto"/>
          <w:w w:val="90"/>
          <w:highlight w:val="none"/>
        </w:rPr>
        <w:t>附件（投标文件格式）</w:t>
      </w:r>
    </w:p>
    <w:p>
      <w:pPr>
        <w:spacing w:line="360" w:lineRule="auto"/>
        <w:rPr>
          <w:rFonts w:hint="eastAsia" w:ascii="宋体" w:hAnsi="宋体" w:cs="宋体"/>
          <w:color w:val="auto"/>
          <w:highlight w:val="none"/>
        </w:rPr>
      </w:pPr>
    </w:p>
    <w:p>
      <w:pPr>
        <w:spacing w:line="360" w:lineRule="auto"/>
        <w:rPr>
          <w:rFonts w:hint="eastAsia" w:ascii="宋体" w:hAnsi="宋体" w:cs="宋体"/>
          <w:color w:val="auto"/>
          <w:w w:val="90"/>
          <w:highlight w:val="none"/>
        </w:rPr>
      </w:pPr>
      <w:r>
        <w:rPr>
          <w:rFonts w:hint="eastAsia" w:ascii="宋体" w:hAnsi="宋体" w:cs="宋体"/>
          <w:color w:val="auto"/>
          <w:w w:val="90"/>
          <w:highlight w:val="none"/>
        </w:rPr>
        <w:t xml:space="preserve"> </w:t>
      </w:r>
    </w:p>
    <w:p>
      <w:pPr>
        <w:spacing w:line="360" w:lineRule="auto"/>
        <w:rPr>
          <w:rFonts w:hint="eastAsia" w:ascii="宋体" w:hAnsi="宋体" w:cs="宋体"/>
          <w:b/>
          <w:color w:val="auto"/>
          <w:sz w:val="30"/>
          <w:szCs w:val="30"/>
          <w:highlight w:val="none"/>
        </w:rPr>
      </w:pPr>
      <w:r>
        <w:rPr>
          <w:rFonts w:hint="eastAsia" w:ascii="宋体" w:hAnsi="宋体" w:cs="宋体"/>
          <w:color w:val="auto"/>
          <w:highlight w:val="none"/>
        </w:rPr>
        <w:br w:type="page"/>
      </w:r>
      <w:r>
        <w:rPr>
          <w:rFonts w:hint="eastAsia" w:ascii="宋体" w:hAnsi="宋体" w:cs="宋体"/>
          <w:b/>
          <w:color w:val="auto"/>
          <w:sz w:val="30"/>
          <w:szCs w:val="30"/>
          <w:highlight w:val="none"/>
        </w:rPr>
        <w:t>封面格式：</w:t>
      </w:r>
    </w:p>
    <w:p>
      <w:pPr>
        <w:tabs>
          <w:tab w:val="left" w:pos="720"/>
          <w:tab w:val="left" w:pos="8295"/>
        </w:tabs>
        <w:spacing w:before="240" w:line="360" w:lineRule="auto"/>
        <w:jc w:val="center"/>
        <w:rPr>
          <w:rFonts w:hint="eastAsia" w:ascii="宋体" w:hAnsi="宋体" w:cs="宋体"/>
          <w:b/>
          <w:color w:val="auto"/>
          <w:kern w:val="0"/>
          <w:sz w:val="84"/>
          <w:szCs w:val="84"/>
          <w:highlight w:val="none"/>
        </w:rPr>
      </w:pPr>
    </w:p>
    <w:p>
      <w:pPr>
        <w:tabs>
          <w:tab w:val="left" w:pos="720"/>
          <w:tab w:val="left" w:pos="8295"/>
        </w:tabs>
        <w:spacing w:before="240" w:line="360" w:lineRule="auto"/>
        <w:jc w:val="center"/>
        <w:rPr>
          <w:rFonts w:hint="eastAsia" w:ascii="宋体" w:hAnsi="宋体" w:cs="宋体"/>
          <w:b/>
          <w:color w:val="auto"/>
          <w:kern w:val="0"/>
          <w:sz w:val="84"/>
          <w:szCs w:val="84"/>
          <w:highlight w:val="none"/>
        </w:rPr>
      </w:pPr>
      <w:r>
        <w:rPr>
          <w:rFonts w:hint="eastAsia" w:ascii="宋体" w:hAnsi="宋体" w:cs="宋体"/>
          <w:b/>
          <w:color w:val="auto"/>
          <w:kern w:val="0"/>
          <w:sz w:val="84"/>
          <w:szCs w:val="84"/>
          <w:highlight w:val="none"/>
        </w:rPr>
        <w:t>投 标 文 件</w:t>
      </w:r>
    </w:p>
    <w:p>
      <w:pPr>
        <w:spacing w:before="100" w:beforeAutospacing="1" w:after="100" w:afterAutospacing="1" w:line="360" w:lineRule="auto"/>
        <w:jc w:val="center"/>
        <w:rPr>
          <w:rFonts w:hint="eastAsia" w:ascii="宋体" w:hAnsi="宋体" w:cs="宋体"/>
          <w:b/>
          <w:bCs/>
          <w:color w:val="auto"/>
          <w:sz w:val="32"/>
          <w:szCs w:val="32"/>
          <w:highlight w:val="none"/>
        </w:rPr>
      </w:pPr>
    </w:p>
    <w:p>
      <w:pPr>
        <w:spacing w:line="360" w:lineRule="auto"/>
        <w:ind w:firstLine="1108" w:firstLineChars="345"/>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招标编号：</w:t>
      </w:r>
    </w:p>
    <w:p>
      <w:pPr>
        <w:spacing w:line="360" w:lineRule="auto"/>
        <w:ind w:firstLine="1108" w:firstLineChars="345"/>
        <w:rPr>
          <w:rFonts w:hint="eastAsia" w:ascii="宋体" w:hAnsi="宋体" w:cs="宋体"/>
          <w:b/>
          <w:bCs/>
          <w:color w:val="auto"/>
          <w:sz w:val="32"/>
          <w:szCs w:val="32"/>
          <w:highlight w:val="none"/>
        </w:rPr>
      </w:pPr>
    </w:p>
    <w:p>
      <w:pPr>
        <w:spacing w:line="360" w:lineRule="auto"/>
        <w:ind w:firstLine="1108" w:firstLineChars="345"/>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项目名称：</w:t>
      </w:r>
    </w:p>
    <w:p>
      <w:pPr>
        <w:spacing w:line="360" w:lineRule="auto"/>
        <w:ind w:firstLine="1108" w:firstLineChars="345"/>
        <w:rPr>
          <w:rFonts w:hint="eastAsia" w:ascii="宋体" w:hAnsi="宋体" w:cs="宋体"/>
          <w:b/>
          <w:color w:val="auto"/>
          <w:kern w:val="0"/>
          <w:sz w:val="32"/>
          <w:szCs w:val="32"/>
          <w:highlight w:val="none"/>
        </w:rPr>
      </w:pPr>
    </w:p>
    <w:p>
      <w:pPr>
        <w:spacing w:line="360" w:lineRule="auto"/>
        <w:ind w:firstLine="1108" w:firstLineChars="345"/>
        <w:rPr>
          <w:rFonts w:hint="eastAsia" w:ascii="宋体" w:hAnsi="宋体" w:cs="宋体"/>
          <w:b/>
          <w:color w:val="auto"/>
          <w:kern w:val="0"/>
          <w:sz w:val="32"/>
          <w:szCs w:val="32"/>
          <w:highlight w:val="none"/>
        </w:rPr>
      </w:pPr>
    </w:p>
    <w:p>
      <w:pPr>
        <w:spacing w:line="360" w:lineRule="auto"/>
        <w:ind w:firstLine="141" w:firstLineChars="44"/>
        <w:rPr>
          <w:rFonts w:hint="eastAsia" w:ascii="宋体" w:hAnsi="宋体" w:cs="宋体"/>
          <w:b/>
          <w:color w:val="auto"/>
          <w:kern w:val="0"/>
          <w:sz w:val="32"/>
          <w:szCs w:val="32"/>
          <w:highlight w:val="none"/>
          <w:u w:val="single"/>
        </w:rPr>
      </w:pPr>
      <w:r>
        <w:rPr>
          <w:rFonts w:hint="eastAsia" w:ascii="宋体" w:hAnsi="宋体" w:cs="宋体"/>
          <w:b/>
          <w:color w:val="auto"/>
          <w:kern w:val="0"/>
          <w:sz w:val="32"/>
          <w:szCs w:val="32"/>
          <w:highlight w:val="none"/>
        </w:rPr>
        <w:t>投标人名称：</w:t>
      </w:r>
      <w:r>
        <w:rPr>
          <w:rFonts w:hint="eastAsia" w:ascii="宋体" w:hAnsi="宋体" w:cs="宋体"/>
          <w:b/>
          <w:color w:val="auto"/>
          <w:kern w:val="0"/>
          <w:sz w:val="32"/>
          <w:szCs w:val="32"/>
          <w:highlight w:val="none"/>
          <w:u w:val="single"/>
        </w:rPr>
        <w:t xml:space="preserve">                             （盖公章） </w:t>
      </w:r>
    </w:p>
    <w:p>
      <w:pPr>
        <w:spacing w:line="360" w:lineRule="auto"/>
        <w:ind w:firstLine="141" w:firstLineChars="44"/>
        <w:rPr>
          <w:rFonts w:hint="eastAsia" w:ascii="宋体" w:hAnsi="宋体" w:cs="宋体"/>
          <w:b/>
          <w:color w:val="auto"/>
          <w:kern w:val="0"/>
          <w:sz w:val="32"/>
          <w:szCs w:val="32"/>
          <w:highlight w:val="none"/>
          <w:u w:val="single"/>
        </w:rPr>
      </w:pPr>
      <w:r>
        <w:rPr>
          <w:rFonts w:hint="eastAsia" w:ascii="宋体" w:hAnsi="宋体" w:cs="宋体"/>
          <w:b/>
          <w:color w:val="auto"/>
          <w:kern w:val="0"/>
          <w:sz w:val="32"/>
          <w:szCs w:val="32"/>
          <w:highlight w:val="none"/>
        </w:rPr>
        <w:t>法定代表人或负责人或授权委托人：</w:t>
      </w:r>
      <w:r>
        <w:rPr>
          <w:rFonts w:hint="eastAsia" w:ascii="宋体" w:hAnsi="宋体" w:cs="宋体"/>
          <w:b/>
          <w:color w:val="auto"/>
          <w:kern w:val="0"/>
          <w:sz w:val="32"/>
          <w:szCs w:val="32"/>
          <w:highlight w:val="none"/>
          <w:u w:val="single"/>
        </w:rPr>
        <w:t xml:space="preserve">           （签字或盖章） </w:t>
      </w:r>
    </w:p>
    <w:p>
      <w:pPr>
        <w:spacing w:line="360" w:lineRule="auto"/>
        <w:ind w:firstLine="141" w:firstLineChars="44"/>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公司地址：</w:t>
      </w:r>
      <w:r>
        <w:rPr>
          <w:rFonts w:hint="eastAsia" w:ascii="宋体" w:hAnsi="宋体" w:cs="宋体"/>
          <w:b/>
          <w:color w:val="auto"/>
          <w:kern w:val="0"/>
          <w:sz w:val="32"/>
          <w:szCs w:val="32"/>
          <w:highlight w:val="none"/>
          <w:u w:val="single"/>
        </w:rPr>
        <w:t xml:space="preserve">                                        </w:t>
      </w:r>
    </w:p>
    <w:p>
      <w:pPr>
        <w:spacing w:line="360" w:lineRule="auto"/>
        <w:ind w:firstLine="141" w:firstLineChars="44"/>
        <w:rPr>
          <w:rFonts w:hint="eastAsia" w:ascii="宋体" w:hAnsi="宋体" w:cs="宋体"/>
          <w:b/>
          <w:color w:val="auto"/>
          <w:kern w:val="0"/>
          <w:sz w:val="32"/>
          <w:szCs w:val="32"/>
          <w:highlight w:val="none"/>
          <w:u w:val="single"/>
        </w:rPr>
      </w:pPr>
      <w:r>
        <w:rPr>
          <w:rFonts w:hint="eastAsia" w:ascii="宋体" w:hAnsi="宋体" w:cs="宋体"/>
          <w:b/>
          <w:color w:val="auto"/>
          <w:kern w:val="0"/>
          <w:sz w:val="32"/>
          <w:szCs w:val="32"/>
          <w:highlight w:val="none"/>
        </w:rPr>
        <w:t>日      期：</w:t>
      </w:r>
      <w:r>
        <w:rPr>
          <w:rFonts w:hint="eastAsia" w:ascii="宋体" w:hAnsi="宋体" w:cs="宋体"/>
          <w:b/>
          <w:color w:val="auto"/>
          <w:kern w:val="0"/>
          <w:sz w:val="32"/>
          <w:szCs w:val="32"/>
          <w:highlight w:val="none"/>
          <w:u w:val="single"/>
        </w:rPr>
        <w:t xml:space="preserve">                                      </w:t>
      </w:r>
    </w:p>
    <w:p>
      <w:pPr>
        <w:spacing w:line="360" w:lineRule="auto"/>
        <w:rPr>
          <w:rFonts w:hint="eastAsia" w:ascii="宋体" w:hAnsi="宋体" w:cs="宋体"/>
          <w:b/>
          <w:color w:val="auto"/>
          <w:spacing w:val="60"/>
          <w:sz w:val="24"/>
          <w:szCs w:val="24"/>
          <w:highlight w:val="none"/>
          <w:u w:val="single"/>
        </w:rPr>
      </w:pPr>
    </w:p>
    <w:p>
      <w:pPr>
        <w:pStyle w:val="4"/>
        <w:spacing w:line="360" w:lineRule="auto"/>
        <w:jc w:val="center"/>
        <w:rPr>
          <w:rFonts w:hint="eastAsia" w:ascii="宋体" w:hAnsi="宋体" w:cs="宋体"/>
          <w:color w:val="auto"/>
          <w:sz w:val="28"/>
          <w:szCs w:val="28"/>
          <w:highlight w:val="none"/>
        </w:rPr>
      </w:pPr>
      <w:bookmarkStart w:id="50" w:name="_Toc344394211"/>
      <w:bookmarkEnd w:id="50"/>
      <w:bookmarkStart w:id="51" w:name="_Toc350516678"/>
      <w:bookmarkEnd w:id="51"/>
      <w:bookmarkStart w:id="52" w:name="_Toc16092"/>
      <w:bookmarkEnd w:id="52"/>
      <w:bookmarkStart w:id="53" w:name="_Toc16137"/>
      <w:bookmarkEnd w:id="53"/>
      <w:bookmarkStart w:id="54" w:name="_Toc344397377"/>
      <w:bookmarkEnd w:id="54"/>
      <w:bookmarkStart w:id="55" w:name="_Toc343510610"/>
      <w:bookmarkEnd w:id="55"/>
      <w:bookmarkStart w:id="56" w:name="_Toc349914539"/>
      <w:bookmarkEnd w:id="56"/>
      <w:bookmarkStart w:id="57" w:name="_Toc369353506"/>
      <w:bookmarkEnd w:id="57"/>
      <w:bookmarkStart w:id="58" w:name="_Toc330342807"/>
      <w:bookmarkEnd w:id="58"/>
      <w:bookmarkStart w:id="59" w:name="_Toc350515664"/>
      <w:bookmarkEnd w:id="59"/>
      <w:bookmarkStart w:id="60" w:name="_Toc8520"/>
      <w:bookmarkEnd w:id="60"/>
      <w:bookmarkStart w:id="61" w:name="_Toc349568734"/>
      <w:bookmarkEnd w:id="61"/>
      <w:bookmarkStart w:id="62" w:name="_Toc24222"/>
      <w:bookmarkEnd w:id="62"/>
      <w:bookmarkStart w:id="63" w:name="_Toc47418724"/>
      <w:bookmarkStart w:id="64" w:name="_Toc47418931"/>
      <w:bookmarkStart w:id="65" w:name="_Toc47261683"/>
      <w:bookmarkStart w:id="66" w:name="_Toc49019229"/>
      <w:bookmarkStart w:id="67" w:name="_Toc198021513"/>
      <w:bookmarkStart w:id="68" w:name="_Toc47262062"/>
      <w:bookmarkStart w:id="69" w:name="_Toc48791228"/>
      <w:bookmarkStart w:id="70" w:name="_Toc47418248"/>
      <w:bookmarkStart w:id="71" w:name="_Toc47261878"/>
      <w:bookmarkStart w:id="72" w:name="_Toc48995844"/>
      <w:r>
        <w:rPr>
          <w:rFonts w:hint="eastAsia" w:ascii="宋体" w:hAnsi="宋体" w:cs="宋体"/>
          <w:color w:val="auto"/>
          <w:sz w:val="28"/>
          <w:szCs w:val="28"/>
          <w:highlight w:val="none"/>
        </w:rPr>
        <w:br w:type="page"/>
      </w:r>
      <w:r>
        <w:rPr>
          <w:rFonts w:hint="eastAsia" w:ascii="宋体" w:hAnsi="宋体" w:cs="宋体"/>
          <w:color w:val="auto"/>
          <w:highlight w:val="none"/>
        </w:rPr>
        <w:t>第一部分 投标函部分</w:t>
      </w:r>
    </w:p>
    <w:bookmarkEnd w:id="63"/>
    <w:bookmarkEnd w:id="64"/>
    <w:bookmarkEnd w:id="65"/>
    <w:bookmarkEnd w:id="66"/>
    <w:bookmarkEnd w:id="67"/>
    <w:bookmarkEnd w:id="68"/>
    <w:bookmarkEnd w:id="69"/>
    <w:bookmarkEnd w:id="70"/>
    <w:bookmarkEnd w:id="71"/>
    <w:bookmarkEnd w:id="72"/>
    <w:p>
      <w:pPr>
        <w:pStyle w:val="4"/>
        <w:spacing w:line="360" w:lineRule="auto"/>
        <w:rPr>
          <w:rFonts w:hint="eastAsia" w:ascii="宋体" w:hAnsi="宋体" w:cs="宋体"/>
          <w:color w:val="auto"/>
          <w:sz w:val="28"/>
          <w:szCs w:val="28"/>
          <w:highlight w:val="none"/>
        </w:rPr>
      </w:pPr>
      <w:bookmarkStart w:id="73" w:name="_Toc28002"/>
      <w:bookmarkEnd w:id="73"/>
      <w:bookmarkStart w:id="74" w:name="_Toc350515665"/>
      <w:bookmarkEnd w:id="74"/>
      <w:bookmarkStart w:id="75" w:name="_Toc343510611"/>
      <w:bookmarkEnd w:id="75"/>
      <w:bookmarkStart w:id="76" w:name="_Toc369353507"/>
      <w:bookmarkEnd w:id="76"/>
      <w:bookmarkStart w:id="77" w:name="_Toc349914540"/>
      <w:bookmarkEnd w:id="77"/>
      <w:bookmarkStart w:id="78" w:name="_Toc350516679"/>
      <w:bookmarkEnd w:id="78"/>
      <w:bookmarkStart w:id="79" w:name="_Toc32757"/>
      <w:bookmarkEnd w:id="79"/>
      <w:bookmarkStart w:id="80" w:name="_Toc25016"/>
      <w:bookmarkEnd w:id="80"/>
      <w:bookmarkStart w:id="81" w:name="_Toc330342557"/>
      <w:bookmarkEnd w:id="81"/>
      <w:bookmarkStart w:id="82" w:name="_Toc344397378"/>
      <w:bookmarkEnd w:id="82"/>
      <w:bookmarkStart w:id="83" w:name="_Toc10045"/>
      <w:bookmarkEnd w:id="83"/>
      <w:bookmarkStart w:id="84" w:name="_Toc344394212"/>
      <w:bookmarkEnd w:id="84"/>
      <w:bookmarkStart w:id="85" w:name="_Toc330342808"/>
      <w:bookmarkEnd w:id="85"/>
      <w:bookmarkStart w:id="86" w:name="_Toc349568735"/>
      <w:bookmarkEnd w:id="86"/>
      <w:r>
        <w:rPr>
          <w:rFonts w:hint="eastAsia" w:ascii="宋体" w:hAnsi="宋体" w:cs="宋体"/>
          <w:color w:val="auto"/>
          <w:sz w:val="28"/>
          <w:szCs w:val="28"/>
          <w:highlight w:val="none"/>
        </w:rPr>
        <w:t>1、投标函(格式)</w:t>
      </w:r>
    </w:p>
    <w:p>
      <w:pPr>
        <w:spacing w:line="360" w:lineRule="auto"/>
        <w:jc w:val="center"/>
        <w:rPr>
          <w:rFonts w:hint="eastAsia" w:ascii="宋体" w:hAnsi="宋体" w:cs="宋体"/>
          <w:b/>
          <w:color w:val="auto"/>
          <w:sz w:val="32"/>
          <w:highlight w:val="none"/>
        </w:rPr>
      </w:pPr>
      <w:r>
        <w:rPr>
          <w:rFonts w:hint="eastAsia" w:ascii="宋体" w:hAnsi="宋体" w:cs="宋体"/>
          <w:b/>
          <w:color w:val="auto"/>
          <w:sz w:val="42"/>
          <w:highlight w:val="none"/>
        </w:rPr>
        <w:t>投  标  函</w:t>
      </w:r>
      <w:r>
        <w:rPr>
          <w:rFonts w:hint="eastAsia" w:ascii="宋体" w:hAnsi="宋体" w:cs="宋体"/>
          <w:b/>
          <w:color w:val="auto"/>
          <w:sz w:val="32"/>
          <w:highlight w:val="none"/>
        </w:rPr>
        <w:t xml:space="preserve"> </w:t>
      </w:r>
    </w:p>
    <w:p>
      <w:pPr>
        <w:spacing w:after="120" w:line="360" w:lineRule="auto"/>
        <w:rPr>
          <w:rFonts w:hint="eastAsia" w:ascii="宋体" w:hAnsi="宋体" w:cs="宋体"/>
          <w:color w:val="auto"/>
          <w:sz w:val="24"/>
          <w:highlight w:val="none"/>
        </w:rPr>
      </w:pPr>
      <w:r>
        <w:rPr>
          <w:rFonts w:hint="eastAsia" w:ascii="宋体" w:hAnsi="宋体" w:cs="宋体"/>
          <w:b/>
          <w:color w:val="auto"/>
          <w:spacing w:val="10"/>
          <w:sz w:val="24"/>
          <w:highlight w:val="none"/>
        </w:rPr>
        <w:t>致 营口市自然资源局:</w:t>
      </w:r>
    </w:p>
    <w:p>
      <w:pPr>
        <w:spacing w:after="120" w:line="360" w:lineRule="auto"/>
        <w:ind w:firstLine="391" w:firstLineChars="150"/>
        <w:rPr>
          <w:rFonts w:hint="eastAsia" w:ascii="宋体" w:hAnsi="宋体" w:cs="宋体"/>
          <w:b/>
          <w:color w:val="auto"/>
          <w:spacing w:val="10"/>
          <w:sz w:val="24"/>
          <w:highlight w:val="none"/>
        </w:rPr>
      </w:pPr>
      <w:r>
        <w:rPr>
          <w:rFonts w:hint="eastAsia" w:ascii="宋体" w:hAnsi="宋体" w:cs="宋体"/>
          <w:b/>
          <w:color w:val="auto"/>
          <w:spacing w:val="10"/>
          <w:sz w:val="24"/>
          <w:highlight w:val="none"/>
        </w:rPr>
        <w:t>辽宁国信建设工程管理有限公司：</w:t>
      </w:r>
    </w:p>
    <w:p>
      <w:pPr>
        <w:tabs>
          <w:tab w:val="left" w:pos="0"/>
          <w:tab w:val="left" w:pos="1155"/>
        </w:tabs>
        <w:snapToGrid w:val="0"/>
        <w:spacing w:line="360" w:lineRule="auto"/>
        <w:ind w:firstLine="523" w:firstLineChars="218"/>
        <w:rPr>
          <w:rFonts w:hint="eastAsia" w:ascii="宋体" w:hAnsi="宋体" w:cs="宋体"/>
          <w:color w:val="auto"/>
          <w:sz w:val="24"/>
          <w:highlight w:val="none"/>
        </w:rPr>
      </w:pPr>
      <w:r>
        <w:rPr>
          <w:rFonts w:hint="eastAsia" w:ascii="宋体" w:hAnsi="宋体" w:cs="宋体"/>
          <w:color w:val="auto"/>
          <w:sz w:val="24"/>
          <w:highlight w:val="none"/>
        </w:rPr>
        <w:t>根据贵单位“辽宁省营口市海洋生态保护修复工程项目跟踪监测服务”的招标文件，我单位（或公司）决定参加本项目的投标，我单位（或公司）同意以下事项：</w:t>
      </w:r>
    </w:p>
    <w:p>
      <w:pPr>
        <w:snapToGrid w:val="0"/>
        <w:spacing w:line="360" w:lineRule="auto"/>
        <w:ind w:left="420"/>
        <w:rPr>
          <w:rFonts w:hint="eastAsia" w:ascii="宋体" w:hAnsi="宋体" w:cs="宋体"/>
          <w:color w:val="auto"/>
          <w:sz w:val="24"/>
          <w:highlight w:val="none"/>
        </w:rPr>
      </w:pPr>
      <w:r>
        <w:rPr>
          <w:rFonts w:hint="eastAsia" w:ascii="宋体" w:hAnsi="宋体" w:cs="宋体"/>
          <w:color w:val="auto"/>
          <w:sz w:val="24"/>
          <w:highlight w:val="none"/>
        </w:rPr>
        <w:t>1.我方愿以</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元承包上述项目的服务工作，并承担任何质量缺陷保障责任：</w:t>
      </w:r>
    </w:p>
    <w:p>
      <w:pPr>
        <w:snapToGrid w:val="0"/>
        <w:spacing w:line="360" w:lineRule="auto"/>
        <w:ind w:left="420"/>
        <w:rPr>
          <w:rFonts w:hint="eastAsia" w:ascii="宋体" w:hAnsi="宋体" w:cs="宋体"/>
          <w:color w:val="auto"/>
          <w:sz w:val="24"/>
          <w:szCs w:val="24"/>
          <w:highlight w:val="none"/>
        </w:rPr>
      </w:pPr>
      <w:r>
        <w:rPr>
          <w:rFonts w:hint="eastAsia" w:ascii="宋体" w:hAnsi="宋体" w:cs="宋体"/>
          <w:color w:val="auto"/>
          <w:sz w:val="24"/>
          <w:szCs w:val="24"/>
          <w:highlight w:val="none"/>
        </w:rPr>
        <w:t>2.投标人</w:t>
      </w:r>
      <w:r>
        <w:rPr>
          <w:rFonts w:hint="eastAsia" w:ascii="宋体" w:hAnsi="宋体" w:cs="宋体"/>
          <w:color w:val="auto"/>
          <w:sz w:val="24"/>
          <w:highlight w:val="none"/>
        </w:rPr>
        <w:t>遵守招标文件的各项条款及一切有关规定，同时</w:t>
      </w:r>
      <w:r>
        <w:rPr>
          <w:rFonts w:hint="eastAsia" w:ascii="宋体" w:hAnsi="宋体" w:cs="宋体"/>
          <w:color w:val="auto"/>
          <w:sz w:val="24"/>
          <w:szCs w:val="24"/>
          <w:highlight w:val="none"/>
        </w:rPr>
        <w:t>将按招标文件的规定履行合同责任和义务。</w:t>
      </w:r>
    </w:p>
    <w:p>
      <w:pPr>
        <w:snapToGrid w:val="0"/>
        <w:spacing w:line="360" w:lineRule="auto"/>
        <w:ind w:left="420"/>
        <w:rPr>
          <w:rFonts w:hint="eastAsia" w:ascii="宋体" w:hAnsi="宋体" w:cs="宋体"/>
          <w:color w:val="auto"/>
          <w:sz w:val="24"/>
          <w:szCs w:val="24"/>
          <w:highlight w:val="none"/>
        </w:rPr>
      </w:pPr>
      <w:r>
        <w:rPr>
          <w:rFonts w:hint="eastAsia" w:ascii="宋体" w:hAnsi="宋体" w:cs="宋体"/>
          <w:color w:val="auto"/>
          <w:sz w:val="24"/>
          <w:szCs w:val="24"/>
          <w:highlight w:val="none"/>
        </w:rPr>
        <w:t>3.服务期限：</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pPr>
        <w:snapToGrid w:val="0"/>
        <w:spacing w:line="360" w:lineRule="auto"/>
        <w:ind w:left="420"/>
        <w:rPr>
          <w:rFonts w:hint="eastAsia" w:ascii="宋体" w:hAnsi="宋体" w:cs="宋体"/>
          <w:color w:val="auto"/>
          <w:sz w:val="24"/>
          <w:szCs w:val="24"/>
          <w:highlight w:val="none"/>
        </w:rPr>
      </w:pPr>
      <w:r>
        <w:rPr>
          <w:rFonts w:hint="eastAsia" w:ascii="宋体" w:hAnsi="宋体" w:cs="宋体"/>
          <w:color w:val="auto"/>
          <w:sz w:val="24"/>
          <w:szCs w:val="24"/>
          <w:highlight w:val="none"/>
        </w:rPr>
        <w:t>4.服务地点：</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pPr>
        <w:snapToGrid w:val="0"/>
        <w:spacing w:line="360" w:lineRule="auto"/>
        <w:ind w:left="420"/>
        <w:rPr>
          <w:rFonts w:hint="eastAsia" w:ascii="宋体" w:hAnsi="宋体" w:cs="宋体"/>
          <w:color w:val="auto"/>
          <w:sz w:val="24"/>
          <w:szCs w:val="24"/>
          <w:highlight w:val="none"/>
        </w:rPr>
      </w:pPr>
    </w:p>
    <w:p>
      <w:pPr>
        <w:snapToGrid w:val="0"/>
        <w:spacing w:line="360" w:lineRule="auto"/>
        <w:ind w:left="420"/>
        <w:rPr>
          <w:rFonts w:hint="eastAsia" w:ascii="宋体" w:hAnsi="宋体" w:cs="宋体"/>
          <w:color w:val="auto"/>
          <w:sz w:val="24"/>
          <w:szCs w:val="24"/>
          <w:highlight w:val="none"/>
        </w:rPr>
      </w:pPr>
    </w:p>
    <w:p>
      <w:pPr>
        <w:snapToGrid w:val="0"/>
        <w:spacing w:line="360" w:lineRule="auto"/>
        <w:ind w:left="420"/>
        <w:rPr>
          <w:rFonts w:hint="eastAsia" w:ascii="宋体" w:hAnsi="宋体" w:cs="宋体"/>
          <w:color w:val="auto"/>
          <w:highlight w:val="none"/>
        </w:rPr>
      </w:pPr>
      <w:r>
        <w:rPr>
          <w:rFonts w:hint="eastAsia" w:ascii="宋体" w:hAnsi="宋体" w:cs="宋体"/>
          <w:color w:val="auto"/>
          <w:sz w:val="24"/>
          <w:szCs w:val="24"/>
          <w:highlight w:val="none"/>
        </w:rPr>
        <w:t>5.质量要求：</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pPr>
        <w:snapToGrid w:val="0"/>
        <w:spacing w:line="360" w:lineRule="auto"/>
        <w:ind w:left="420"/>
        <w:rPr>
          <w:rFonts w:hint="eastAsia" w:ascii="宋体" w:hAnsi="宋体" w:cs="宋体"/>
          <w:color w:val="auto"/>
          <w:sz w:val="24"/>
          <w:szCs w:val="24"/>
          <w:highlight w:val="none"/>
        </w:rPr>
      </w:pPr>
      <w:r>
        <w:rPr>
          <w:rFonts w:hint="eastAsia" w:ascii="宋体" w:hAnsi="宋体" w:cs="宋体"/>
          <w:color w:val="auto"/>
          <w:sz w:val="24"/>
          <w:highlight w:val="none"/>
        </w:rPr>
        <w:t>6.向贵方提供所有与投标项有关的真实有效的数据、情况和技术资料。</w:t>
      </w:r>
    </w:p>
    <w:p>
      <w:pPr>
        <w:snapToGrid w:val="0"/>
        <w:spacing w:line="360" w:lineRule="auto"/>
        <w:ind w:left="420"/>
        <w:rPr>
          <w:rFonts w:hint="eastAsia" w:ascii="宋体" w:hAnsi="宋体" w:cs="宋体"/>
          <w:color w:val="auto"/>
          <w:sz w:val="24"/>
          <w:szCs w:val="24"/>
          <w:highlight w:val="none"/>
        </w:rPr>
      </w:pPr>
      <w:r>
        <w:rPr>
          <w:rFonts w:hint="eastAsia" w:ascii="宋体" w:hAnsi="宋体" w:cs="宋体"/>
          <w:color w:val="auto"/>
          <w:sz w:val="24"/>
          <w:szCs w:val="24"/>
          <w:highlight w:val="none"/>
        </w:rPr>
        <w:t>7.投标人已详细审查全部招标文件。我们完全理解并同意放弃对这方面有不明及误解的权力。</w:t>
      </w:r>
    </w:p>
    <w:p>
      <w:pPr>
        <w:snapToGrid w:val="0"/>
        <w:spacing w:line="360" w:lineRule="auto"/>
        <w:ind w:left="420"/>
        <w:rPr>
          <w:rFonts w:hint="eastAsia" w:ascii="宋体" w:hAnsi="宋体" w:cs="宋体"/>
          <w:color w:val="auto"/>
          <w:sz w:val="24"/>
          <w:szCs w:val="24"/>
          <w:highlight w:val="none"/>
        </w:rPr>
      </w:pPr>
      <w:r>
        <w:rPr>
          <w:rFonts w:hint="eastAsia" w:ascii="宋体" w:hAnsi="宋体" w:cs="宋体"/>
          <w:color w:val="auto"/>
          <w:sz w:val="24"/>
          <w:szCs w:val="24"/>
          <w:highlight w:val="none"/>
        </w:rPr>
        <w:t>8.本投标文件自贵方收到之日生效，有效期至开标后90个日历天，在此期间本投标文件之规定对我方具有约束力。</w:t>
      </w:r>
    </w:p>
    <w:p>
      <w:pPr>
        <w:snapToGrid w:val="0"/>
        <w:spacing w:line="360" w:lineRule="auto"/>
        <w:ind w:left="420"/>
        <w:rPr>
          <w:rFonts w:hint="eastAsia" w:ascii="宋体" w:hAnsi="宋体" w:cs="宋体"/>
          <w:color w:val="auto"/>
          <w:sz w:val="24"/>
          <w:szCs w:val="24"/>
          <w:highlight w:val="none"/>
        </w:rPr>
      </w:pPr>
      <w:r>
        <w:rPr>
          <w:rFonts w:hint="eastAsia" w:ascii="宋体" w:hAnsi="宋体" w:cs="宋体"/>
          <w:color w:val="auto"/>
          <w:sz w:val="24"/>
          <w:highlight w:val="none"/>
        </w:rPr>
        <w:t>9.如果我方投标被接受，则至合同履行完成和质量保证期满为止，本投标文件保持有效。</w:t>
      </w:r>
    </w:p>
    <w:p>
      <w:pPr>
        <w:spacing w:line="360" w:lineRule="auto"/>
        <w:ind w:firstLine="510"/>
        <w:rPr>
          <w:rFonts w:hint="eastAsia" w:ascii="宋体" w:hAnsi="宋体" w:cs="宋体"/>
          <w:color w:val="auto"/>
          <w:sz w:val="24"/>
          <w:highlight w:val="none"/>
        </w:rPr>
      </w:pPr>
      <w:r>
        <w:rPr>
          <w:rFonts w:hint="eastAsia" w:ascii="宋体" w:hAnsi="宋体" w:cs="宋体"/>
          <w:color w:val="auto"/>
          <w:sz w:val="24"/>
          <w:highlight w:val="none"/>
        </w:rPr>
        <w:t>投标人全称（盖公章）：</w:t>
      </w:r>
    </w:p>
    <w:p>
      <w:pPr>
        <w:spacing w:line="360" w:lineRule="auto"/>
        <w:ind w:firstLine="510"/>
        <w:rPr>
          <w:rFonts w:hint="eastAsia"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 xml:space="preserve">   电  话：</w:t>
      </w:r>
    </w:p>
    <w:p>
      <w:pPr>
        <w:spacing w:line="360" w:lineRule="auto"/>
        <w:ind w:firstLine="510"/>
        <w:rPr>
          <w:rFonts w:hint="eastAsia" w:ascii="宋体" w:hAnsi="宋体" w:cs="宋体"/>
          <w:color w:val="auto"/>
          <w:sz w:val="24"/>
          <w:highlight w:val="none"/>
        </w:rPr>
      </w:pPr>
      <w:r>
        <w:rPr>
          <w:rFonts w:hint="eastAsia" w:ascii="宋体" w:hAnsi="宋体" w:cs="宋体"/>
          <w:color w:val="auto"/>
          <w:sz w:val="24"/>
          <w:highlight w:val="none"/>
        </w:rPr>
        <w:t>邮  编：</w:t>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 xml:space="preserve">   传  真：</w:t>
      </w:r>
    </w:p>
    <w:p>
      <w:pPr>
        <w:spacing w:line="360" w:lineRule="auto"/>
        <w:ind w:firstLine="510"/>
        <w:rPr>
          <w:rFonts w:hint="eastAsia" w:ascii="宋体" w:hAnsi="宋体" w:cs="宋体"/>
          <w:color w:val="auto"/>
          <w:sz w:val="24"/>
          <w:highlight w:val="none"/>
        </w:rPr>
      </w:pPr>
      <w:r>
        <w:rPr>
          <w:rFonts w:hint="eastAsia" w:ascii="宋体" w:hAnsi="宋体" w:cs="宋体"/>
          <w:color w:val="auto"/>
          <w:sz w:val="24"/>
          <w:highlight w:val="none"/>
        </w:rPr>
        <w:t>法定代表人或负责人或授权委托代理人（签字或盖章）：</w:t>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 xml:space="preserve">     </w:t>
      </w:r>
      <w:r>
        <w:rPr>
          <w:rFonts w:hint="eastAsia" w:ascii="宋体" w:hAnsi="宋体" w:cs="宋体"/>
          <w:color w:val="auto"/>
          <w:sz w:val="24"/>
          <w:highlight w:val="none"/>
        </w:rPr>
        <w:tab/>
      </w:r>
      <w:r>
        <w:rPr>
          <w:rFonts w:hint="eastAsia" w:ascii="宋体" w:hAnsi="宋体" w:cs="宋体"/>
          <w:color w:val="auto"/>
          <w:sz w:val="24"/>
          <w:highlight w:val="none"/>
        </w:rPr>
        <w:t xml:space="preserve">   </w:t>
      </w:r>
    </w:p>
    <w:p>
      <w:pPr>
        <w:spacing w:line="360" w:lineRule="auto"/>
        <w:ind w:firstLine="510"/>
        <w:rPr>
          <w:rFonts w:hint="eastAsia" w:ascii="宋体" w:hAnsi="宋体" w:cs="宋体"/>
          <w:color w:val="auto"/>
          <w:sz w:val="24"/>
          <w:highlight w:val="none"/>
        </w:rPr>
      </w:pPr>
      <w:r>
        <w:rPr>
          <w:rFonts w:hint="eastAsia" w:ascii="宋体" w:hAnsi="宋体" w:cs="宋体"/>
          <w:color w:val="auto"/>
          <w:sz w:val="24"/>
          <w:highlight w:val="none"/>
        </w:rPr>
        <w:t>日  期：</w:t>
      </w:r>
    </w:p>
    <w:p>
      <w:pPr>
        <w:rPr>
          <w:rFonts w:hint="eastAsia" w:ascii="宋体" w:hAnsi="宋体" w:cs="宋体"/>
          <w:color w:val="auto"/>
          <w:sz w:val="28"/>
          <w:szCs w:val="28"/>
          <w:highlight w:val="none"/>
        </w:rPr>
      </w:pPr>
      <w:r>
        <w:rPr>
          <w:rFonts w:hint="eastAsia" w:ascii="宋体" w:hAnsi="宋体" w:cs="宋体"/>
          <w:color w:val="auto"/>
          <w:sz w:val="28"/>
          <w:szCs w:val="28"/>
          <w:highlight w:val="none"/>
        </w:rPr>
        <w:br w:type="page"/>
      </w:r>
    </w:p>
    <w:p>
      <w:pPr>
        <w:pStyle w:val="4"/>
        <w:spacing w:line="360" w:lineRule="auto"/>
        <w:rPr>
          <w:rFonts w:hint="eastAsia" w:ascii="宋体" w:hAnsi="宋体" w:cs="宋体"/>
          <w:color w:val="auto"/>
          <w:sz w:val="28"/>
          <w:szCs w:val="28"/>
          <w:highlight w:val="none"/>
        </w:rPr>
      </w:pPr>
      <w:bookmarkStart w:id="87" w:name="_Toc19545"/>
      <w:bookmarkEnd w:id="87"/>
      <w:r>
        <w:rPr>
          <w:rFonts w:hint="eastAsia" w:ascii="宋体" w:hAnsi="宋体" w:cs="宋体"/>
          <w:color w:val="auto"/>
          <w:sz w:val="28"/>
          <w:szCs w:val="28"/>
          <w:highlight w:val="none"/>
        </w:rPr>
        <w:t>2、投标函附录格式</w:t>
      </w:r>
    </w:p>
    <w:p>
      <w:pPr>
        <w:spacing w:line="360" w:lineRule="auto"/>
        <w:jc w:val="center"/>
        <w:rPr>
          <w:rFonts w:hint="eastAsia" w:ascii="宋体" w:hAnsi="宋体" w:cs="宋体"/>
          <w:b/>
          <w:color w:val="auto"/>
          <w:sz w:val="42"/>
          <w:highlight w:val="none"/>
        </w:rPr>
      </w:pPr>
      <w:r>
        <w:rPr>
          <w:rFonts w:hint="eastAsia" w:ascii="宋体" w:hAnsi="宋体" w:cs="宋体"/>
          <w:b/>
          <w:color w:val="auto"/>
          <w:sz w:val="42"/>
          <w:highlight w:val="none"/>
        </w:rPr>
        <w:t>投 标 函 附 录</w:t>
      </w:r>
    </w:p>
    <w:tbl>
      <w:tblPr>
        <w:tblStyle w:val="26"/>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6"/>
        <w:gridCol w:w="7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2786" w:type="dxa"/>
            <w:vAlign w:val="center"/>
          </w:tcPr>
          <w:p>
            <w:pPr>
              <w:snapToGrid w:val="0"/>
              <w:spacing w:before="48" w:beforeLines="20"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招标编号</w:t>
            </w:r>
          </w:p>
        </w:tc>
        <w:tc>
          <w:tcPr>
            <w:tcW w:w="7176" w:type="dxa"/>
            <w:vAlign w:val="center"/>
          </w:tcPr>
          <w:p>
            <w:pPr>
              <w:snapToGrid w:val="0"/>
              <w:spacing w:before="48" w:beforeLines="20" w:line="560" w:lineRule="exact"/>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786" w:type="dxa"/>
            <w:vAlign w:val="center"/>
          </w:tcPr>
          <w:p>
            <w:pPr>
              <w:snapToGrid w:val="0"/>
              <w:spacing w:before="48" w:beforeLines="20"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项目名称</w:t>
            </w:r>
          </w:p>
        </w:tc>
        <w:tc>
          <w:tcPr>
            <w:tcW w:w="7176" w:type="dxa"/>
            <w:vAlign w:val="center"/>
          </w:tcPr>
          <w:p>
            <w:pPr>
              <w:snapToGrid w:val="0"/>
              <w:spacing w:before="48" w:beforeLines="20" w:line="560" w:lineRule="exact"/>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2786" w:type="dxa"/>
            <w:vAlign w:val="center"/>
          </w:tcPr>
          <w:p>
            <w:pPr>
              <w:snapToGrid w:val="0"/>
              <w:spacing w:before="48" w:beforeLines="20"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投标总价</w:t>
            </w:r>
          </w:p>
          <w:p>
            <w:pPr>
              <w:snapToGrid w:val="0"/>
              <w:spacing w:before="48" w:beforeLines="20"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（单位：元）</w:t>
            </w:r>
          </w:p>
        </w:tc>
        <w:tc>
          <w:tcPr>
            <w:tcW w:w="7176" w:type="dxa"/>
            <w:vAlign w:val="center"/>
          </w:tcPr>
          <w:p>
            <w:pPr>
              <w:snapToGrid w:val="0"/>
              <w:spacing w:before="48" w:beforeLines="20" w:line="560" w:lineRule="exact"/>
              <w:jc w:val="left"/>
              <w:rPr>
                <w:rFonts w:hint="eastAsia" w:ascii="宋体" w:hAnsi="宋体" w:cs="宋体"/>
                <w:color w:val="auto"/>
                <w:sz w:val="24"/>
                <w:highlight w:val="none"/>
              </w:rPr>
            </w:pPr>
            <w:r>
              <w:rPr>
                <w:rFonts w:hint="eastAsia" w:ascii="宋体" w:hAnsi="宋体" w:cs="宋体"/>
                <w:color w:val="auto"/>
                <w:sz w:val="24"/>
                <w:highlight w:val="none"/>
              </w:rPr>
              <w:t>小写：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p>
          <w:p>
            <w:pPr>
              <w:snapToGrid w:val="0"/>
              <w:spacing w:before="48" w:beforeLines="20" w:line="560" w:lineRule="exact"/>
              <w:jc w:val="left"/>
              <w:rPr>
                <w:rFonts w:hint="eastAsia" w:ascii="宋体" w:hAnsi="宋体" w:cs="宋体"/>
                <w:color w:val="auto"/>
                <w:highlight w:val="none"/>
              </w:rPr>
            </w:pPr>
            <w:r>
              <w:rPr>
                <w:rFonts w:hint="eastAsia" w:ascii="宋体" w:hAnsi="宋体" w:cs="宋体"/>
                <w:color w:val="auto"/>
                <w:sz w:val="24"/>
                <w:highlight w:val="none"/>
              </w:rPr>
              <w:t xml:space="preserve">大写：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786" w:type="dxa"/>
            <w:vAlign w:val="center"/>
          </w:tcPr>
          <w:p>
            <w:pPr>
              <w:snapToGrid w:val="0"/>
              <w:spacing w:before="48" w:beforeLines="20"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服务期限</w:t>
            </w:r>
          </w:p>
        </w:tc>
        <w:tc>
          <w:tcPr>
            <w:tcW w:w="7176" w:type="dxa"/>
            <w:vAlign w:val="center"/>
          </w:tcPr>
          <w:p>
            <w:pPr>
              <w:snapToGrid w:val="0"/>
              <w:spacing w:before="48" w:beforeLines="20" w:line="560" w:lineRule="exact"/>
              <w:jc w:val="center"/>
              <w:rPr>
                <w:rFonts w:hint="eastAsia" w:ascii="宋体" w:hAnsi="宋体" w:cs="宋体"/>
                <w:color w:val="auto"/>
                <w:sz w:val="24"/>
                <w:highlight w:val="none"/>
              </w:rPr>
            </w:pPr>
            <w:r>
              <w:rPr>
                <w:rFonts w:hint="eastAsia" w:ascii="宋体" w:hAnsi="宋体" w:cs="宋体"/>
                <w:bCs/>
                <w:color w:val="auto"/>
                <w:sz w:val="24"/>
                <w:szCs w:val="24"/>
                <w:highlight w:val="none"/>
              </w:rPr>
              <w:t>2024年08月01日</w:t>
            </w:r>
            <w:r>
              <w:rPr>
                <w:rFonts w:hint="eastAsia" w:ascii="宋体" w:hAnsi="宋体" w:cs="宋体"/>
                <w:color w:val="auto"/>
                <w:sz w:val="24"/>
                <w:szCs w:val="24"/>
                <w:highlight w:val="none"/>
              </w:rPr>
              <w:t>至2026年12月31日。（具体时间以合同签订为准）。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786" w:type="dxa"/>
            <w:vAlign w:val="center"/>
          </w:tcPr>
          <w:p>
            <w:pPr>
              <w:snapToGrid w:val="0"/>
              <w:spacing w:before="48" w:beforeLines="20"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服务地点</w:t>
            </w:r>
          </w:p>
        </w:tc>
        <w:tc>
          <w:tcPr>
            <w:tcW w:w="7176" w:type="dxa"/>
            <w:vAlign w:val="center"/>
          </w:tcPr>
          <w:p>
            <w:pPr>
              <w:snapToGrid w:val="0"/>
              <w:spacing w:before="48" w:beforeLines="20" w:line="560" w:lineRule="exact"/>
              <w:jc w:val="center"/>
              <w:rPr>
                <w:rFonts w:hint="eastAsia" w:ascii="宋体" w:hAnsi="宋体" w:cs="宋体"/>
                <w:color w:val="auto"/>
                <w:sz w:val="24"/>
                <w:highlight w:val="none"/>
              </w:rPr>
            </w:pPr>
            <w:r>
              <w:rPr>
                <w:rFonts w:hint="eastAsia" w:ascii="宋体" w:hAnsi="宋体" w:cs="宋体"/>
                <w:color w:val="auto"/>
                <w:sz w:val="24"/>
                <w:szCs w:val="24"/>
                <w:highlight w:val="none"/>
              </w:rPr>
              <w:t>招标人</w:t>
            </w:r>
            <w:r>
              <w:rPr>
                <w:rFonts w:hint="eastAsia" w:ascii="宋体" w:hAnsi="宋体" w:cs="宋体"/>
                <w:color w:val="auto"/>
                <w:kern w:val="0"/>
                <w:sz w:val="24"/>
                <w:highlight w:val="none"/>
              </w:rPr>
              <w:t>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2786" w:type="dxa"/>
            <w:vAlign w:val="center"/>
          </w:tcPr>
          <w:p>
            <w:pPr>
              <w:snapToGrid w:val="0"/>
              <w:spacing w:before="48" w:beforeLines="20"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质量要求</w:t>
            </w:r>
          </w:p>
        </w:tc>
        <w:tc>
          <w:tcPr>
            <w:tcW w:w="7176" w:type="dxa"/>
            <w:vAlign w:val="center"/>
          </w:tcPr>
          <w:p>
            <w:pPr>
              <w:snapToGrid w:val="0"/>
              <w:spacing w:before="48" w:beforeLines="20"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786" w:type="dxa"/>
            <w:vAlign w:val="center"/>
          </w:tcPr>
          <w:p>
            <w:pPr>
              <w:snapToGrid w:val="0"/>
              <w:spacing w:before="48" w:beforeLines="20"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备注</w:t>
            </w:r>
          </w:p>
        </w:tc>
        <w:tc>
          <w:tcPr>
            <w:tcW w:w="7176" w:type="dxa"/>
            <w:vAlign w:val="center"/>
          </w:tcPr>
          <w:p>
            <w:pPr>
              <w:snapToGrid w:val="0"/>
              <w:spacing w:before="48" w:beforeLines="20" w:line="560" w:lineRule="exact"/>
              <w:jc w:val="center"/>
              <w:rPr>
                <w:rFonts w:hint="eastAsia" w:ascii="宋体" w:hAnsi="宋体" w:cs="宋体"/>
                <w:color w:val="auto"/>
                <w:sz w:val="24"/>
                <w:highlight w:val="none"/>
              </w:rPr>
            </w:pPr>
          </w:p>
        </w:tc>
      </w:tr>
    </w:tbl>
    <w:p>
      <w:pPr>
        <w:spacing w:line="360" w:lineRule="auto"/>
        <w:ind w:firstLine="510"/>
        <w:rPr>
          <w:rFonts w:hint="eastAsia" w:ascii="宋体" w:hAnsi="宋体" w:cs="宋体"/>
          <w:color w:val="auto"/>
          <w:highlight w:val="none"/>
        </w:rPr>
      </w:pPr>
    </w:p>
    <w:p>
      <w:pPr>
        <w:spacing w:line="360" w:lineRule="auto"/>
        <w:ind w:firstLine="510"/>
        <w:rPr>
          <w:rFonts w:hint="eastAsia" w:ascii="宋体" w:hAnsi="宋体" w:cs="宋体"/>
          <w:color w:val="auto"/>
          <w:highlight w:val="none"/>
        </w:rPr>
      </w:pPr>
    </w:p>
    <w:p>
      <w:pPr>
        <w:spacing w:line="360" w:lineRule="auto"/>
        <w:ind w:firstLine="510"/>
        <w:rPr>
          <w:rFonts w:hint="eastAsia" w:ascii="宋体" w:hAnsi="宋体" w:cs="宋体"/>
          <w:color w:val="auto"/>
          <w:highlight w:val="none"/>
        </w:rPr>
      </w:pPr>
    </w:p>
    <w:p>
      <w:pPr>
        <w:spacing w:before="60" w:after="60" w:line="360" w:lineRule="auto"/>
        <w:ind w:firstLine="510"/>
        <w:rPr>
          <w:rFonts w:hint="eastAsia" w:ascii="宋体" w:hAnsi="宋体" w:cs="宋体"/>
          <w:color w:val="auto"/>
          <w:sz w:val="24"/>
          <w:highlight w:val="none"/>
        </w:rPr>
      </w:pPr>
      <w:r>
        <w:rPr>
          <w:rFonts w:hint="eastAsia" w:ascii="宋体" w:hAnsi="宋体" w:cs="宋体"/>
          <w:color w:val="auto"/>
          <w:sz w:val="24"/>
          <w:highlight w:val="none"/>
        </w:rPr>
        <w:t>投标人全称（盖公章）：________________________</w:t>
      </w:r>
    </w:p>
    <w:p>
      <w:pPr>
        <w:spacing w:before="60" w:after="60" w:line="360" w:lineRule="auto"/>
        <w:ind w:firstLine="510"/>
        <w:rPr>
          <w:rFonts w:hint="eastAsia" w:ascii="宋体" w:hAnsi="宋体" w:cs="宋体"/>
          <w:color w:val="auto"/>
          <w:sz w:val="24"/>
          <w:highlight w:val="none"/>
        </w:rPr>
      </w:pPr>
      <w:r>
        <w:rPr>
          <w:rFonts w:hint="eastAsia" w:ascii="宋体" w:hAnsi="宋体" w:cs="宋体"/>
          <w:color w:val="auto"/>
          <w:sz w:val="24"/>
          <w:highlight w:val="none"/>
        </w:rPr>
        <w:t>法定代表人或负责人或授权委托代理人（签字或盖章）：__________</w:t>
      </w:r>
    </w:p>
    <w:p>
      <w:pPr>
        <w:spacing w:before="60" w:after="60" w:line="360" w:lineRule="auto"/>
        <w:ind w:firstLine="510"/>
        <w:rPr>
          <w:rFonts w:hint="eastAsia" w:ascii="宋体" w:hAnsi="宋体" w:cs="宋体"/>
          <w:color w:val="auto"/>
          <w:sz w:val="24"/>
          <w:highlight w:val="none"/>
        </w:rPr>
      </w:pPr>
      <w:r>
        <w:rPr>
          <w:rFonts w:hint="eastAsia" w:ascii="宋体" w:hAnsi="宋体" w:cs="宋体"/>
          <w:color w:val="auto"/>
          <w:sz w:val="24"/>
          <w:highlight w:val="none"/>
        </w:rPr>
        <w:t>日期：_______年____月_____日</w:t>
      </w:r>
    </w:p>
    <w:p>
      <w:pPr>
        <w:spacing w:line="360" w:lineRule="auto"/>
        <w:rPr>
          <w:rFonts w:hint="eastAsia" w:ascii="宋体" w:hAnsi="宋体" w:cs="宋体"/>
          <w:color w:val="auto"/>
          <w:highlight w:val="none"/>
        </w:rPr>
      </w:pPr>
      <w:r>
        <w:rPr>
          <w:rFonts w:hint="eastAsia" w:ascii="宋体" w:hAnsi="宋体" w:cs="宋体"/>
          <w:color w:val="auto"/>
          <w:highlight w:val="none"/>
        </w:rPr>
        <w:br w:type="page"/>
      </w:r>
    </w:p>
    <w:p>
      <w:pPr>
        <w:pStyle w:val="4"/>
        <w:spacing w:line="360" w:lineRule="auto"/>
        <w:jc w:val="center"/>
        <w:rPr>
          <w:rFonts w:hint="eastAsia" w:ascii="宋体" w:hAnsi="宋体" w:cs="宋体"/>
          <w:color w:val="auto"/>
          <w:sz w:val="24"/>
          <w:szCs w:val="20"/>
          <w:highlight w:val="none"/>
        </w:rPr>
      </w:pPr>
      <w:bookmarkStart w:id="88" w:name="_Toc350515676"/>
      <w:bookmarkEnd w:id="88"/>
      <w:bookmarkStart w:id="89" w:name="_Toc8914"/>
      <w:bookmarkEnd w:id="89"/>
      <w:bookmarkStart w:id="90" w:name="_Toc349568751"/>
      <w:bookmarkEnd w:id="90"/>
      <w:bookmarkStart w:id="91" w:name="_Toc344397393"/>
      <w:bookmarkEnd w:id="91"/>
      <w:bookmarkStart w:id="92" w:name="_Toc343510626"/>
      <w:bookmarkEnd w:id="92"/>
      <w:bookmarkStart w:id="93" w:name="_Toc344394227"/>
      <w:bookmarkEnd w:id="93"/>
      <w:bookmarkStart w:id="94" w:name="_Toc350516690"/>
      <w:bookmarkEnd w:id="94"/>
      <w:bookmarkStart w:id="95" w:name="_Toc15703"/>
      <w:bookmarkEnd w:id="95"/>
      <w:bookmarkStart w:id="96" w:name="_Toc18397"/>
      <w:bookmarkEnd w:id="96"/>
      <w:bookmarkStart w:id="97" w:name="_Toc330342823"/>
      <w:bookmarkEnd w:id="97"/>
      <w:bookmarkStart w:id="98" w:name="_Toc25856"/>
      <w:bookmarkEnd w:id="98"/>
      <w:bookmarkStart w:id="99" w:name="_Toc20714"/>
      <w:bookmarkEnd w:id="99"/>
      <w:bookmarkStart w:id="100" w:name="_Toc349914551"/>
      <w:bookmarkEnd w:id="100"/>
      <w:bookmarkStart w:id="101" w:name="_Toc369353514"/>
      <w:bookmarkEnd w:id="101"/>
      <w:bookmarkStart w:id="102" w:name="_Toc49019236"/>
      <w:bookmarkStart w:id="103" w:name="_Toc47261690"/>
      <w:bookmarkStart w:id="104" w:name="_Toc47418731"/>
      <w:bookmarkStart w:id="105" w:name="_Toc47418938"/>
      <w:bookmarkStart w:id="106" w:name="_Toc47262069"/>
      <w:bookmarkStart w:id="107" w:name="_Toc47261885"/>
      <w:bookmarkStart w:id="108" w:name="_Toc47418255"/>
      <w:bookmarkStart w:id="109" w:name="_Toc48791235"/>
      <w:bookmarkStart w:id="110" w:name="_Toc198021519"/>
      <w:bookmarkStart w:id="111" w:name="_Toc48995851"/>
      <w:r>
        <w:rPr>
          <w:rFonts w:hint="eastAsia" w:ascii="宋体" w:hAnsi="宋体" w:cs="宋体"/>
          <w:bCs w:val="0"/>
          <w:color w:val="auto"/>
          <w:highlight w:val="none"/>
        </w:rPr>
        <w:t>第二部分 资格审查部分</w:t>
      </w:r>
    </w:p>
    <w:p>
      <w:pPr>
        <w:pStyle w:val="4"/>
        <w:spacing w:line="360" w:lineRule="auto"/>
        <w:rPr>
          <w:rFonts w:hint="eastAsia" w:ascii="宋体" w:hAnsi="宋体" w:cs="宋体"/>
          <w:color w:val="auto"/>
          <w:sz w:val="28"/>
          <w:szCs w:val="28"/>
          <w:highlight w:val="none"/>
        </w:rPr>
      </w:pPr>
      <w:bookmarkStart w:id="112" w:name="_Toc10088"/>
      <w:bookmarkEnd w:id="112"/>
      <w:bookmarkStart w:id="113" w:name="_Toc256765556"/>
      <w:bookmarkEnd w:id="113"/>
      <w:bookmarkStart w:id="114" w:name="_Toc330342825"/>
      <w:bookmarkEnd w:id="114"/>
      <w:bookmarkStart w:id="115" w:name="_Toc24996"/>
      <w:bookmarkEnd w:id="115"/>
      <w:bookmarkStart w:id="116" w:name="_Toc330342574"/>
      <w:bookmarkEnd w:id="116"/>
      <w:bookmarkStart w:id="117" w:name="_Toc255161212"/>
      <w:bookmarkEnd w:id="117"/>
      <w:bookmarkStart w:id="118" w:name="_Toc369353516"/>
      <w:bookmarkEnd w:id="118"/>
      <w:bookmarkStart w:id="119" w:name="_Toc349914553"/>
      <w:bookmarkEnd w:id="119"/>
      <w:bookmarkStart w:id="120" w:name="_Toc18633"/>
      <w:bookmarkEnd w:id="120"/>
      <w:bookmarkStart w:id="121" w:name="_Toc343510628"/>
      <w:bookmarkEnd w:id="121"/>
      <w:bookmarkStart w:id="122" w:name="_Toc344394229"/>
      <w:bookmarkEnd w:id="122"/>
      <w:bookmarkStart w:id="123" w:name="_Toc13827"/>
      <w:bookmarkEnd w:id="123"/>
      <w:bookmarkStart w:id="124" w:name="_Toc350516692"/>
      <w:bookmarkEnd w:id="124"/>
      <w:bookmarkStart w:id="125" w:name="_Toc29974"/>
      <w:bookmarkEnd w:id="125"/>
      <w:bookmarkStart w:id="126" w:name="_Toc296292781"/>
      <w:bookmarkEnd w:id="126"/>
      <w:bookmarkStart w:id="127" w:name="_Toc344397395"/>
      <w:bookmarkEnd w:id="127"/>
      <w:bookmarkStart w:id="128" w:name="_Toc350515678"/>
      <w:bookmarkEnd w:id="128"/>
      <w:bookmarkStart w:id="129" w:name="_Toc349568753"/>
      <w:bookmarkEnd w:id="129"/>
      <w:bookmarkStart w:id="130" w:name="_Toc255559500"/>
      <w:bookmarkEnd w:id="130"/>
      <w:r>
        <w:rPr>
          <w:rFonts w:hint="eastAsia" w:ascii="宋体" w:hAnsi="宋体" w:cs="宋体"/>
          <w:color w:val="auto"/>
          <w:sz w:val="28"/>
          <w:szCs w:val="28"/>
          <w:highlight w:val="none"/>
        </w:rPr>
        <w:t>1、投标人一般情况（格式）</w:t>
      </w:r>
    </w:p>
    <w:p>
      <w:pPr>
        <w:spacing w:line="360" w:lineRule="auto"/>
        <w:jc w:val="center"/>
        <w:rPr>
          <w:rFonts w:hint="eastAsia" w:ascii="宋体" w:hAnsi="宋体" w:cs="宋体"/>
          <w:b/>
          <w:color w:val="auto"/>
          <w:highlight w:val="none"/>
        </w:rPr>
      </w:pPr>
      <w:r>
        <w:rPr>
          <w:rFonts w:hint="eastAsia" w:ascii="宋体" w:hAnsi="宋体" w:cs="宋体"/>
          <w:b/>
          <w:color w:val="auto"/>
          <w:sz w:val="28"/>
          <w:szCs w:val="28"/>
          <w:highlight w:val="none"/>
        </w:rPr>
        <w:t>投标人一般情况</w:t>
      </w:r>
    </w:p>
    <w:tbl>
      <w:tblPr>
        <w:tblStyle w:val="26"/>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
        <w:gridCol w:w="4233"/>
        <w:gridCol w:w="4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584" w:type="dxa"/>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9055" w:type="dxa"/>
            <w:gridSpan w:val="2"/>
            <w:vAlign w:val="center"/>
          </w:tcPr>
          <w:p>
            <w:pPr>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584" w:type="dxa"/>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w:t>
            </w:r>
          </w:p>
        </w:tc>
        <w:tc>
          <w:tcPr>
            <w:tcW w:w="9055" w:type="dxa"/>
            <w:gridSpan w:val="2"/>
            <w:vAlign w:val="center"/>
          </w:tcPr>
          <w:p>
            <w:pPr>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注册地址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584" w:type="dxa"/>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w:t>
            </w:r>
          </w:p>
        </w:tc>
        <w:tc>
          <w:tcPr>
            <w:tcW w:w="4233" w:type="dxa"/>
            <w:vAlign w:val="center"/>
          </w:tcPr>
          <w:p>
            <w:pPr>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电话</w:t>
            </w:r>
          </w:p>
        </w:tc>
        <w:tc>
          <w:tcPr>
            <w:tcW w:w="4822" w:type="dxa"/>
            <w:vAlign w:val="center"/>
          </w:tcPr>
          <w:p>
            <w:pPr>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84" w:type="dxa"/>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4</w:t>
            </w:r>
          </w:p>
        </w:tc>
        <w:tc>
          <w:tcPr>
            <w:tcW w:w="4233" w:type="dxa"/>
            <w:vAlign w:val="center"/>
          </w:tcPr>
          <w:p>
            <w:pPr>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传真</w:t>
            </w:r>
          </w:p>
        </w:tc>
        <w:tc>
          <w:tcPr>
            <w:tcW w:w="4822" w:type="dxa"/>
            <w:vAlign w:val="center"/>
          </w:tcPr>
          <w:p>
            <w:pPr>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584" w:type="dxa"/>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5</w:t>
            </w:r>
          </w:p>
        </w:tc>
        <w:tc>
          <w:tcPr>
            <w:tcW w:w="4233" w:type="dxa"/>
            <w:vAlign w:val="center"/>
          </w:tcPr>
          <w:p>
            <w:pPr>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注册地</w:t>
            </w:r>
          </w:p>
        </w:tc>
        <w:tc>
          <w:tcPr>
            <w:tcW w:w="4822" w:type="dxa"/>
            <w:vAlign w:val="center"/>
          </w:tcPr>
          <w:p>
            <w:pPr>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注册年份（请附营业执照扫描件）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84" w:type="dxa"/>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6</w:t>
            </w:r>
          </w:p>
        </w:tc>
        <w:tc>
          <w:tcPr>
            <w:tcW w:w="9055" w:type="dxa"/>
            <w:gridSpan w:val="2"/>
            <w:vAlign w:val="center"/>
          </w:tcPr>
          <w:p>
            <w:pPr>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单位（或公司）有关证书            （请附有关证书的扫描件）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584" w:type="dxa"/>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7</w:t>
            </w:r>
          </w:p>
        </w:tc>
        <w:tc>
          <w:tcPr>
            <w:tcW w:w="9055" w:type="dxa"/>
            <w:gridSpan w:val="2"/>
            <w:vAlign w:val="center"/>
          </w:tcPr>
          <w:p>
            <w:pPr>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单位（或公司）（是否通过，何种） 质量保证体系认证（如通过请附相关证书扫描件，并提供认证机构年审监督报告（如有时）。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84" w:type="dxa"/>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8</w:t>
            </w:r>
          </w:p>
        </w:tc>
        <w:tc>
          <w:tcPr>
            <w:tcW w:w="9055" w:type="dxa"/>
            <w:gridSpan w:val="2"/>
            <w:vAlign w:val="center"/>
          </w:tcPr>
          <w:p>
            <w:pPr>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主营范围</w:t>
            </w:r>
          </w:p>
          <w:p>
            <w:pPr>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w:t>
            </w:r>
          </w:p>
          <w:p>
            <w:pPr>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w:t>
            </w:r>
          </w:p>
          <w:p>
            <w:pPr>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w:t>
            </w:r>
          </w:p>
          <w:p>
            <w:pPr>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584" w:type="dxa"/>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9</w:t>
            </w:r>
          </w:p>
        </w:tc>
        <w:tc>
          <w:tcPr>
            <w:tcW w:w="9055" w:type="dxa"/>
            <w:gridSpan w:val="2"/>
            <w:vAlign w:val="center"/>
          </w:tcPr>
          <w:p>
            <w:pPr>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其他要求说明的情况</w:t>
            </w:r>
          </w:p>
        </w:tc>
      </w:tr>
    </w:tbl>
    <w:p>
      <w:pPr>
        <w:spacing w:line="360" w:lineRule="auto"/>
        <w:rPr>
          <w:rFonts w:hint="eastAsia" w:ascii="宋体" w:hAnsi="宋体" w:cs="宋体"/>
          <w:b/>
          <w:color w:val="auto"/>
          <w:kern w:val="0"/>
          <w:szCs w:val="21"/>
          <w:highlight w:val="none"/>
        </w:rPr>
      </w:pPr>
      <w:r>
        <w:rPr>
          <w:rFonts w:hint="eastAsia" w:ascii="宋体" w:hAnsi="宋体" w:cs="宋体"/>
          <w:color w:val="auto"/>
          <w:sz w:val="24"/>
          <w:highlight w:val="none"/>
        </w:rPr>
        <w:t>附：</w:t>
      </w:r>
      <w:r>
        <w:rPr>
          <w:rFonts w:hint="eastAsia" w:ascii="宋体" w:hAnsi="宋体" w:cs="宋体"/>
          <w:b/>
          <w:color w:val="auto"/>
          <w:kern w:val="0"/>
          <w:szCs w:val="21"/>
          <w:highlight w:val="none"/>
        </w:rPr>
        <w:t>附企业营业执照、组织机构代码证、税务登记证（已登记办理“三证合一”的单位（或公司）仅须提供印有统一社会信用代码的营业执照）以及CMA认证证书</w:t>
      </w:r>
    </w:p>
    <w:p>
      <w:pPr>
        <w:autoSpaceDE w:val="0"/>
        <w:autoSpaceDN w:val="0"/>
        <w:adjustRightInd w:val="0"/>
        <w:spacing w:line="360" w:lineRule="auto"/>
        <w:rPr>
          <w:rFonts w:hint="eastAsia" w:ascii="宋体" w:hAnsi="宋体" w:cs="宋体"/>
          <w:color w:val="auto"/>
          <w:kern w:val="0"/>
          <w:sz w:val="24"/>
          <w:highlight w:val="none"/>
          <w:u w:val="single"/>
          <w:lang w:val="zh-CN"/>
        </w:rPr>
      </w:pPr>
      <w:r>
        <w:rPr>
          <w:rFonts w:hint="eastAsia" w:ascii="宋体" w:hAnsi="宋体" w:cs="宋体"/>
          <w:color w:val="auto"/>
          <w:kern w:val="0"/>
          <w:sz w:val="24"/>
          <w:highlight w:val="none"/>
          <w:lang w:val="zh-CN"/>
        </w:rPr>
        <w:t>投标人(盖公章)：</w:t>
      </w:r>
      <w:r>
        <w:rPr>
          <w:rFonts w:hint="eastAsia" w:ascii="宋体" w:hAnsi="宋体" w:cs="宋体"/>
          <w:color w:val="auto"/>
          <w:kern w:val="0"/>
          <w:sz w:val="24"/>
          <w:highlight w:val="none"/>
          <w:u w:val="single"/>
          <w:lang w:val="zh-CN"/>
        </w:rPr>
        <w:t xml:space="preserve">                         </w:t>
      </w:r>
    </w:p>
    <w:p>
      <w:pPr>
        <w:autoSpaceDE w:val="0"/>
        <w:autoSpaceDN w:val="0"/>
        <w:adjustRightIn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法定代表人或授权委托人(签字或盖章)：</w:t>
      </w:r>
      <w:r>
        <w:rPr>
          <w:rFonts w:hint="eastAsia" w:ascii="宋体" w:hAnsi="宋体" w:cs="宋体"/>
          <w:color w:val="auto"/>
          <w:kern w:val="0"/>
          <w:sz w:val="24"/>
          <w:highlight w:val="none"/>
          <w:u w:val="single"/>
          <w:lang w:val="zh-CN"/>
        </w:rPr>
        <w:t xml:space="preserve">                          </w:t>
      </w:r>
    </w:p>
    <w:p>
      <w:pPr>
        <w:pStyle w:val="15"/>
        <w:ind w:firstLine="0"/>
        <w:rPr>
          <w:rFonts w:hint="eastAsia" w:ascii="宋体" w:hAnsi="宋体" w:cs="宋体"/>
          <w:color w:val="auto"/>
          <w:highlight w:val="none"/>
          <w:lang w:val="zh-CN"/>
        </w:rPr>
      </w:pPr>
      <w:r>
        <w:rPr>
          <w:rFonts w:hint="eastAsia" w:ascii="宋体" w:hAnsi="宋体" w:cs="宋体"/>
          <w:color w:val="auto"/>
          <w:highlight w:val="none"/>
          <w:lang w:val="zh-CN"/>
        </w:rPr>
        <w:t>日期：      年   月   日</w:t>
      </w:r>
    </w:p>
    <w:p>
      <w:pPr>
        <w:pStyle w:val="15"/>
        <w:ind w:firstLine="0"/>
        <w:rPr>
          <w:rFonts w:hint="eastAsia" w:ascii="宋体" w:hAnsi="宋体" w:cs="宋体"/>
          <w:color w:val="auto"/>
          <w:highlight w:val="none"/>
          <w:lang w:val="zh-CN"/>
        </w:rPr>
      </w:pPr>
    </w:p>
    <w:p>
      <w:pPr>
        <w:pStyle w:val="15"/>
        <w:ind w:firstLine="0"/>
        <w:rPr>
          <w:rFonts w:hint="eastAsia" w:ascii="宋体" w:hAnsi="宋体" w:cs="宋体"/>
          <w:color w:val="auto"/>
          <w:highlight w:val="none"/>
          <w:lang w:val="zh-CN"/>
        </w:rPr>
      </w:pPr>
    </w:p>
    <w:p>
      <w:pPr>
        <w:autoSpaceDE w:val="0"/>
        <w:autoSpaceDN w:val="0"/>
        <w:adjustRightInd w:val="0"/>
        <w:spacing w:line="360" w:lineRule="auto"/>
        <w:rPr>
          <w:rFonts w:hint="eastAsia" w:ascii="宋体" w:hAnsi="宋体" w:cs="宋体"/>
          <w:color w:val="auto"/>
          <w:kern w:val="0"/>
          <w:sz w:val="24"/>
          <w:highlight w:val="none"/>
          <w:u w:val="single"/>
          <w:lang w:val="zh-CN"/>
        </w:rPr>
      </w:pPr>
    </w:p>
    <w:p>
      <w:pPr>
        <w:autoSpaceDE w:val="0"/>
        <w:autoSpaceDN w:val="0"/>
        <w:adjustRightInd w:val="0"/>
        <w:spacing w:line="360" w:lineRule="auto"/>
        <w:rPr>
          <w:rFonts w:hint="eastAsia" w:ascii="宋体" w:hAnsi="宋体" w:eastAsia="宋体" w:cs="宋体"/>
          <w:color w:val="auto"/>
          <w:kern w:val="0"/>
          <w:sz w:val="24"/>
          <w:highlight w:val="none"/>
          <w:lang w:val="zh-CN"/>
        </w:rPr>
        <w:sectPr>
          <w:headerReference r:id="rId12" w:type="default"/>
          <w:footerReference r:id="rId13" w:type="default"/>
          <w:pgSz w:w="11906" w:h="16838"/>
          <w:pgMar w:top="1134" w:right="1134" w:bottom="993" w:left="1134" w:header="454" w:footer="454" w:gutter="0"/>
          <w:cols w:space="720" w:num="1"/>
          <w:docGrid w:linePitch="312" w:charSpace="0"/>
        </w:sectPr>
      </w:pPr>
    </w:p>
    <w:p>
      <w:pPr>
        <w:pStyle w:val="4"/>
        <w:spacing w:line="360" w:lineRule="auto"/>
        <w:rPr>
          <w:rFonts w:hint="eastAsia" w:ascii="宋体" w:hAnsi="宋体" w:cs="宋体"/>
          <w:b w:val="0"/>
          <w:bCs w:val="0"/>
          <w:color w:val="auto"/>
          <w:sz w:val="28"/>
          <w:highlight w:val="none"/>
        </w:rPr>
      </w:pPr>
      <w:bookmarkStart w:id="131" w:name="_Toc330342831"/>
      <w:bookmarkEnd w:id="131"/>
      <w:bookmarkStart w:id="132" w:name="_Toc350516697"/>
      <w:bookmarkEnd w:id="132"/>
      <w:bookmarkStart w:id="133" w:name="_Toc349914558"/>
      <w:bookmarkEnd w:id="133"/>
      <w:bookmarkStart w:id="134" w:name="_Toc344394234"/>
      <w:bookmarkEnd w:id="134"/>
      <w:bookmarkStart w:id="135" w:name="_Toc25660"/>
      <w:bookmarkEnd w:id="135"/>
      <w:bookmarkStart w:id="136" w:name="_Toc350515683"/>
      <w:bookmarkEnd w:id="136"/>
      <w:bookmarkStart w:id="137" w:name="_Toc330342580"/>
      <w:bookmarkEnd w:id="137"/>
      <w:bookmarkStart w:id="138" w:name="_Toc369353521"/>
      <w:bookmarkEnd w:id="138"/>
      <w:bookmarkStart w:id="139" w:name="_Toc343510633"/>
      <w:bookmarkEnd w:id="139"/>
      <w:bookmarkStart w:id="140" w:name="_Toc349568758"/>
      <w:bookmarkEnd w:id="140"/>
      <w:bookmarkStart w:id="141" w:name="_Toc30089"/>
      <w:bookmarkEnd w:id="141"/>
      <w:bookmarkStart w:id="142" w:name="_Toc31473"/>
      <w:bookmarkEnd w:id="142"/>
      <w:bookmarkStart w:id="143" w:name="_Toc19970"/>
      <w:bookmarkEnd w:id="143"/>
      <w:bookmarkStart w:id="144" w:name="_Toc344397400"/>
      <w:bookmarkEnd w:id="144"/>
      <w:bookmarkStart w:id="145" w:name="_Toc12848"/>
      <w:bookmarkEnd w:id="145"/>
      <w:r>
        <w:rPr>
          <w:rFonts w:hint="eastAsia" w:ascii="宋体" w:hAnsi="宋体" w:cs="宋体"/>
          <w:color w:val="auto"/>
          <w:sz w:val="28"/>
          <w:szCs w:val="28"/>
          <w:highlight w:val="none"/>
        </w:rPr>
        <w:t>2、法定代表人身份证明书</w:t>
      </w:r>
      <w:r>
        <w:rPr>
          <w:rFonts w:hint="eastAsia" w:ascii="宋体" w:hAnsi="宋体" w:cs="宋体"/>
          <w:bCs w:val="0"/>
          <w:color w:val="auto"/>
          <w:sz w:val="28"/>
          <w:szCs w:val="28"/>
          <w:highlight w:val="none"/>
        </w:rPr>
        <w:t>（格式）</w:t>
      </w:r>
    </w:p>
    <w:p>
      <w:pPr>
        <w:spacing w:before="240" w:line="360" w:lineRule="auto"/>
        <w:jc w:val="center"/>
        <w:rPr>
          <w:rFonts w:hint="eastAsia" w:ascii="宋体" w:hAnsi="宋体" w:cs="宋体"/>
          <w:b/>
          <w:color w:val="auto"/>
          <w:kern w:val="0"/>
          <w:sz w:val="28"/>
          <w:highlight w:val="none"/>
        </w:rPr>
      </w:pPr>
      <w:r>
        <w:rPr>
          <w:rFonts w:hint="eastAsia" w:ascii="宋体" w:hAnsi="宋体" w:cs="宋体"/>
          <w:b/>
          <w:bCs/>
          <w:color w:val="auto"/>
          <w:sz w:val="28"/>
          <w:szCs w:val="32"/>
          <w:highlight w:val="none"/>
        </w:rPr>
        <w:t>法定代表人身份证明书</w:t>
      </w:r>
    </w:p>
    <w:p>
      <w:pPr>
        <w:autoSpaceDE w:val="0"/>
        <w:autoSpaceDN w:val="0"/>
        <w:adjustRightInd w:val="0"/>
        <w:spacing w:before="240" w:line="360" w:lineRule="auto"/>
        <w:jc w:val="center"/>
        <w:rPr>
          <w:rFonts w:hint="eastAsia" w:ascii="宋体" w:hAnsi="宋体" w:cs="宋体"/>
          <w:color w:val="auto"/>
          <w:spacing w:val="6"/>
          <w:kern w:val="0"/>
          <w:sz w:val="26"/>
          <w:highlight w:val="none"/>
        </w:rPr>
      </w:pPr>
    </w:p>
    <w:p>
      <w:pPr>
        <w:spacing w:line="360" w:lineRule="auto"/>
        <w:rPr>
          <w:rFonts w:hint="eastAsia" w:ascii="宋体" w:hAnsi="宋体" w:cs="宋体"/>
          <w:bCs/>
          <w:color w:val="auto"/>
          <w:sz w:val="28"/>
          <w:szCs w:val="32"/>
          <w:highlight w:val="none"/>
          <w:u w:val="single"/>
        </w:rPr>
      </w:pPr>
      <w:r>
        <w:rPr>
          <w:rFonts w:hint="eastAsia" w:ascii="宋体" w:hAnsi="宋体" w:cs="宋体"/>
          <w:bCs/>
          <w:color w:val="auto"/>
          <w:sz w:val="28"/>
          <w:szCs w:val="32"/>
          <w:highlight w:val="none"/>
        </w:rPr>
        <w:t>单位名称：</w:t>
      </w:r>
      <w:r>
        <w:rPr>
          <w:rFonts w:hint="eastAsia" w:ascii="宋体" w:hAnsi="宋体" w:cs="宋体"/>
          <w:bCs/>
          <w:color w:val="auto"/>
          <w:sz w:val="28"/>
          <w:szCs w:val="32"/>
          <w:highlight w:val="none"/>
          <w:u w:val="single"/>
        </w:rPr>
        <w:t xml:space="preserve">                         </w:t>
      </w:r>
    </w:p>
    <w:p>
      <w:pPr>
        <w:spacing w:line="360" w:lineRule="auto"/>
        <w:rPr>
          <w:rFonts w:hint="eastAsia" w:ascii="宋体" w:hAnsi="宋体" w:cs="宋体"/>
          <w:bCs/>
          <w:color w:val="auto"/>
          <w:sz w:val="28"/>
          <w:szCs w:val="32"/>
          <w:highlight w:val="none"/>
          <w:u w:val="single"/>
        </w:rPr>
      </w:pPr>
      <w:r>
        <w:rPr>
          <w:rFonts w:hint="eastAsia" w:ascii="宋体" w:hAnsi="宋体" w:cs="宋体"/>
          <w:bCs/>
          <w:color w:val="auto"/>
          <w:sz w:val="28"/>
          <w:szCs w:val="32"/>
          <w:highlight w:val="none"/>
        </w:rPr>
        <w:t>单位性质：</w:t>
      </w:r>
      <w:r>
        <w:rPr>
          <w:rFonts w:hint="eastAsia" w:ascii="宋体" w:hAnsi="宋体" w:cs="宋体"/>
          <w:bCs/>
          <w:color w:val="auto"/>
          <w:sz w:val="28"/>
          <w:szCs w:val="32"/>
          <w:highlight w:val="none"/>
          <w:u w:val="single"/>
        </w:rPr>
        <w:t xml:space="preserve">                         </w:t>
      </w:r>
    </w:p>
    <w:p>
      <w:pPr>
        <w:spacing w:line="360" w:lineRule="auto"/>
        <w:rPr>
          <w:rFonts w:hint="eastAsia" w:ascii="宋体" w:hAnsi="宋体" w:cs="宋体"/>
          <w:bCs/>
          <w:color w:val="auto"/>
          <w:sz w:val="28"/>
          <w:szCs w:val="32"/>
          <w:highlight w:val="none"/>
          <w:u w:val="single"/>
        </w:rPr>
      </w:pPr>
      <w:r>
        <w:rPr>
          <w:rFonts w:hint="eastAsia" w:ascii="宋体" w:hAnsi="宋体" w:cs="宋体"/>
          <w:bCs/>
          <w:color w:val="auto"/>
          <w:sz w:val="28"/>
          <w:szCs w:val="32"/>
          <w:highlight w:val="none"/>
        </w:rPr>
        <w:t>地    址：</w:t>
      </w:r>
      <w:r>
        <w:rPr>
          <w:rFonts w:hint="eastAsia" w:ascii="宋体" w:hAnsi="宋体" w:cs="宋体"/>
          <w:bCs/>
          <w:color w:val="auto"/>
          <w:sz w:val="28"/>
          <w:szCs w:val="32"/>
          <w:highlight w:val="none"/>
          <w:u w:val="single"/>
        </w:rPr>
        <w:t xml:space="preserve">                         </w:t>
      </w:r>
    </w:p>
    <w:p>
      <w:pPr>
        <w:spacing w:line="360" w:lineRule="auto"/>
        <w:rPr>
          <w:rFonts w:hint="eastAsia" w:ascii="宋体" w:hAnsi="宋体" w:cs="宋体"/>
          <w:bCs/>
          <w:color w:val="auto"/>
          <w:sz w:val="28"/>
          <w:szCs w:val="32"/>
          <w:highlight w:val="none"/>
        </w:rPr>
      </w:pPr>
      <w:r>
        <w:rPr>
          <w:rFonts w:hint="eastAsia" w:ascii="宋体" w:hAnsi="宋体" w:cs="宋体"/>
          <w:bCs/>
          <w:color w:val="auto"/>
          <w:sz w:val="28"/>
          <w:szCs w:val="32"/>
          <w:highlight w:val="none"/>
        </w:rPr>
        <w:t>成立时间：</w:t>
      </w:r>
      <w:r>
        <w:rPr>
          <w:rFonts w:hint="eastAsia" w:ascii="宋体" w:hAnsi="宋体" w:cs="宋体"/>
          <w:bCs/>
          <w:color w:val="auto"/>
          <w:sz w:val="28"/>
          <w:szCs w:val="32"/>
          <w:highlight w:val="none"/>
          <w:u w:val="single"/>
        </w:rPr>
        <w:t xml:space="preserve">                         </w:t>
      </w:r>
    </w:p>
    <w:p>
      <w:pPr>
        <w:spacing w:line="360" w:lineRule="auto"/>
        <w:rPr>
          <w:rFonts w:hint="eastAsia" w:ascii="宋体" w:hAnsi="宋体" w:cs="宋体"/>
          <w:bCs/>
          <w:color w:val="auto"/>
          <w:sz w:val="28"/>
          <w:szCs w:val="32"/>
          <w:highlight w:val="none"/>
          <w:u w:val="single"/>
        </w:rPr>
      </w:pPr>
      <w:r>
        <w:rPr>
          <w:rFonts w:hint="eastAsia" w:ascii="宋体" w:hAnsi="宋体" w:cs="宋体"/>
          <w:bCs/>
          <w:color w:val="auto"/>
          <w:sz w:val="28"/>
          <w:szCs w:val="32"/>
          <w:highlight w:val="none"/>
        </w:rPr>
        <w:t>经营期限：</w:t>
      </w:r>
      <w:r>
        <w:rPr>
          <w:rFonts w:hint="eastAsia" w:ascii="宋体" w:hAnsi="宋体" w:cs="宋体"/>
          <w:bCs/>
          <w:color w:val="auto"/>
          <w:sz w:val="28"/>
          <w:szCs w:val="32"/>
          <w:highlight w:val="none"/>
          <w:u w:val="single"/>
        </w:rPr>
        <w:t xml:space="preserve">                          </w:t>
      </w:r>
    </w:p>
    <w:p>
      <w:pPr>
        <w:spacing w:line="360" w:lineRule="auto"/>
        <w:rPr>
          <w:rFonts w:hint="eastAsia" w:ascii="宋体" w:hAnsi="宋体" w:cs="宋体"/>
          <w:bCs/>
          <w:color w:val="auto"/>
          <w:sz w:val="28"/>
          <w:szCs w:val="32"/>
          <w:highlight w:val="none"/>
          <w:u w:val="single"/>
        </w:rPr>
      </w:pPr>
      <w:r>
        <w:rPr>
          <w:rFonts w:hint="eastAsia" w:ascii="宋体" w:hAnsi="宋体" w:cs="宋体"/>
          <w:bCs/>
          <w:color w:val="auto"/>
          <w:sz w:val="28"/>
          <w:szCs w:val="32"/>
          <w:highlight w:val="none"/>
        </w:rPr>
        <w:t>姓名：</w:t>
      </w:r>
      <w:r>
        <w:rPr>
          <w:rFonts w:hint="eastAsia" w:ascii="宋体" w:hAnsi="宋体" w:cs="宋体"/>
          <w:bCs/>
          <w:color w:val="auto"/>
          <w:sz w:val="28"/>
          <w:szCs w:val="32"/>
          <w:highlight w:val="none"/>
          <w:u w:val="single"/>
        </w:rPr>
        <w:t xml:space="preserve">           </w:t>
      </w:r>
      <w:r>
        <w:rPr>
          <w:rFonts w:hint="eastAsia" w:ascii="宋体" w:hAnsi="宋体" w:cs="宋体"/>
          <w:bCs/>
          <w:color w:val="auto"/>
          <w:sz w:val="28"/>
          <w:szCs w:val="32"/>
          <w:highlight w:val="none"/>
        </w:rPr>
        <w:t xml:space="preserve">   性别：</w:t>
      </w:r>
      <w:r>
        <w:rPr>
          <w:rFonts w:hint="eastAsia" w:ascii="宋体" w:hAnsi="宋体" w:cs="宋体"/>
          <w:bCs/>
          <w:color w:val="auto"/>
          <w:sz w:val="28"/>
          <w:szCs w:val="32"/>
          <w:highlight w:val="none"/>
          <w:u w:val="single"/>
        </w:rPr>
        <w:t xml:space="preserve">             </w:t>
      </w:r>
      <w:r>
        <w:rPr>
          <w:rFonts w:hint="eastAsia" w:ascii="宋体" w:hAnsi="宋体" w:cs="宋体"/>
          <w:bCs/>
          <w:color w:val="auto"/>
          <w:sz w:val="28"/>
          <w:szCs w:val="32"/>
          <w:highlight w:val="none"/>
        </w:rPr>
        <w:t xml:space="preserve">  年龄：</w:t>
      </w:r>
      <w:r>
        <w:rPr>
          <w:rFonts w:hint="eastAsia" w:ascii="宋体" w:hAnsi="宋体" w:cs="宋体"/>
          <w:bCs/>
          <w:color w:val="auto"/>
          <w:sz w:val="28"/>
          <w:szCs w:val="32"/>
          <w:highlight w:val="none"/>
          <w:u w:val="single"/>
        </w:rPr>
        <w:t xml:space="preserve">             </w:t>
      </w:r>
    </w:p>
    <w:p>
      <w:pPr>
        <w:spacing w:line="360" w:lineRule="auto"/>
        <w:rPr>
          <w:rFonts w:hint="eastAsia" w:ascii="宋体" w:hAnsi="宋体" w:cs="宋体"/>
          <w:bCs/>
          <w:color w:val="auto"/>
          <w:sz w:val="28"/>
          <w:szCs w:val="32"/>
          <w:highlight w:val="none"/>
        </w:rPr>
      </w:pPr>
      <w:r>
        <w:rPr>
          <w:rFonts w:hint="eastAsia" w:ascii="宋体" w:hAnsi="宋体" w:cs="宋体"/>
          <w:bCs/>
          <w:color w:val="auto"/>
          <w:sz w:val="28"/>
          <w:szCs w:val="32"/>
          <w:highlight w:val="none"/>
        </w:rPr>
        <w:t>职务：</w:t>
      </w:r>
      <w:r>
        <w:rPr>
          <w:rFonts w:hint="eastAsia" w:ascii="宋体" w:hAnsi="宋体" w:cs="宋体"/>
          <w:bCs/>
          <w:color w:val="auto"/>
          <w:sz w:val="28"/>
          <w:szCs w:val="32"/>
          <w:highlight w:val="none"/>
          <w:u w:val="single"/>
        </w:rPr>
        <w:t xml:space="preserve">            </w:t>
      </w:r>
      <w:r>
        <w:rPr>
          <w:rFonts w:hint="eastAsia" w:ascii="宋体" w:hAnsi="宋体" w:cs="宋体"/>
          <w:bCs/>
          <w:color w:val="auto"/>
          <w:sz w:val="28"/>
          <w:szCs w:val="32"/>
          <w:highlight w:val="none"/>
        </w:rPr>
        <w:t>系</w:t>
      </w:r>
      <w:r>
        <w:rPr>
          <w:rFonts w:hint="eastAsia" w:ascii="宋体" w:hAnsi="宋体" w:cs="宋体"/>
          <w:bCs/>
          <w:color w:val="auto"/>
          <w:sz w:val="28"/>
          <w:szCs w:val="32"/>
          <w:highlight w:val="none"/>
          <w:u w:val="single"/>
        </w:rPr>
        <w:t xml:space="preserve">        （投标人单位名称）         </w:t>
      </w:r>
      <w:r>
        <w:rPr>
          <w:rFonts w:hint="eastAsia" w:ascii="宋体" w:hAnsi="宋体" w:cs="宋体"/>
          <w:bCs/>
          <w:color w:val="auto"/>
          <w:sz w:val="28"/>
          <w:szCs w:val="32"/>
          <w:highlight w:val="none"/>
        </w:rPr>
        <w:t>的法定代表人。</w:t>
      </w:r>
    </w:p>
    <w:p>
      <w:pPr>
        <w:spacing w:line="360" w:lineRule="auto"/>
        <w:rPr>
          <w:rFonts w:hint="eastAsia" w:ascii="宋体" w:hAnsi="宋体" w:cs="宋体"/>
          <w:bCs/>
          <w:color w:val="auto"/>
          <w:sz w:val="28"/>
          <w:szCs w:val="32"/>
          <w:highlight w:val="none"/>
        </w:rPr>
      </w:pPr>
      <w:r>
        <w:rPr>
          <w:rFonts w:hint="eastAsia" w:ascii="宋体" w:hAnsi="宋体" w:cs="宋体"/>
          <w:bCs/>
          <w:color w:val="auto"/>
          <w:sz w:val="28"/>
          <w:szCs w:val="32"/>
          <w:highlight w:val="none"/>
        </w:rPr>
        <w:t>特此证明。</w:t>
      </w:r>
    </w:p>
    <w:p>
      <w:pPr>
        <w:spacing w:line="360" w:lineRule="auto"/>
        <w:ind w:right="600"/>
        <w:jc w:val="left"/>
        <w:rPr>
          <w:rFonts w:hint="eastAsia" w:ascii="宋体" w:hAnsi="宋体" w:cs="宋体"/>
          <w:bCs/>
          <w:color w:val="auto"/>
          <w:sz w:val="28"/>
          <w:szCs w:val="32"/>
          <w:highlight w:val="none"/>
          <w:u w:val="single"/>
        </w:rPr>
      </w:pPr>
      <w:r>
        <w:rPr>
          <w:rFonts w:hint="eastAsia" w:ascii="宋体" w:hAnsi="宋体" w:cs="宋体"/>
          <w:bCs/>
          <w:color w:val="auto"/>
          <w:sz w:val="28"/>
          <w:szCs w:val="32"/>
          <w:highlight w:val="none"/>
        </w:rPr>
        <w:t xml:space="preserve">                                      投标人：</w:t>
      </w:r>
      <w:r>
        <w:rPr>
          <w:rFonts w:hint="eastAsia" w:ascii="宋体" w:hAnsi="宋体" w:cs="宋体"/>
          <w:bCs/>
          <w:color w:val="auto"/>
          <w:sz w:val="28"/>
          <w:szCs w:val="32"/>
          <w:highlight w:val="none"/>
          <w:u w:val="single"/>
        </w:rPr>
        <w:t xml:space="preserve">（盖公章）              </w:t>
      </w:r>
    </w:p>
    <w:p>
      <w:pPr>
        <w:spacing w:line="360" w:lineRule="auto"/>
        <w:ind w:right="600"/>
        <w:jc w:val="center"/>
        <w:rPr>
          <w:rFonts w:hint="eastAsia" w:ascii="宋体" w:hAnsi="宋体" w:cs="宋体"/>
          <w:bCs/>
          <w:color w:val="auto"/>
          <w:sz w:val="28"/>
          <w:szCs w:val="32"/>
          <w:highlight w:val="none"/>
        </w:rPr>
      </w:pPr>
      <w:r>
        <w:rPr>
          <w:rFonts w:hint="eastAsia" w:ascii="宋体" w:hAnsi="宋体" w:cs="宋体"/>
          <w:bCs/>
          <w:color w:val="auto"/>
          <w:sz w:val="28"/>
          <w:szCs w:val="32"/>
          <w:highlight w:val="none"/>
        </w:rPr>
        <w:t xml:space="preserve">                                  日期：  年    月     日</w:t>
      </w:r>
    </w:p>
    <w:p>
      <w:pPr>
        <w:spacing w:line="360" w:lineRule="auto"/>
        <w:ind w:right="600"/>
        <w:jc w:val="center"/>
        <w:rPr>
          <w:rFonts w:hint="eastAsia" w:ascii="宋体" w:hAnsi="宋体" w:cs="宋体"/>
          <w:bCs/>
          <w:color w:val="auto"/>
          <w:sz w:val="28"/>
          <w:szCs w:val="32"/>
          <w:highlight w:val="none"/>
        </w:rPr>
      </w:pPr>
    </w:p>
    <w:p>
      <w:pPr>
        <w:spacing w:line="360" w:lineRule="auto"/>
        <w:ind w:right="600"/>
        <w:rPr>
          <w:rFonts w:hint="eastAsia" w:ascii="宋体" w:hAnsi="宋体" w:cs="宋体"/>
          <w:bCs/>
          <w:color w:val="auto"/>
          <w:sz w:val="28"/>
          <w:szCs w:val="32"/>
          <w:highlight w:val="none"/>
        </w:rPr>
      </w:pPr>
      <w:r>
        <w:rPr>
          <w:rFonts w:hint="eastAsia" w:ascii="宋体" w:hAnsi="宋体" w:cs="宋体"/>
          <w:bCs/>
          <w:color w:val="auto"/>
          <w:sz w:val="28"/>
          <w:szCs w:val="32"/>
          <w:highlight w:val="none"/>
        </w:rPr>
        <w:t>备注:附法定代表人身份证扫描件（正、反面）</w:t>
      </w:r>
    </w:p>
    <w:bookmarkEnd w:id="102"/>
    <w:bookmarkEnd w:id="103"/>
    <w:bookmarkEnd w:id="104"/>
    <w:bookmarkEnd w:id="105"/>
    <w:bookmarkEnd w:id="106"/>
    <w:bookmarkEnd w:id="107"/>
    <w:bookmarkEnd w:id="108"/>
    <w:bookmarkEnd w:id="109"/>
    <w:bookmarkEnd w:id="110"/>
    <w:bookmarkEnd w:id="111"/>
    <w:p>
      <w:pPr>
        <w:pStyle w:val="4"/>
        <w:spacing w:line="360" w:lineRule="auto"/>
        <w:rPr>
          <w:rFonts w:hint="eastAsia" w:ascii="宋体" w:hAnsi="宋体" w:cs="宋体"/>
          <w:color w:val="auto"/>
          <w:sz w:val="28"/>
          <w:szCs w:val="28"/>
          <w:highlight w:val="none"/>
        </w:rPr>
      </w:pPr>
      <w:bookmarkStart w:id="146" w:name="_Toc349914559"/>
      <w:bookmarkEnd w:id="146"/>
      <w:bookmarkStart w:id="147" w:name="_Toc330342832"/>
      <w:bookmarkEnd w:id="147"/>
      <w:bookmarkStart w:id="148" w:name="_Toc752"/>
      <w:bookmarkEnd w:id="148"/>
      <w:bookmarkStart w:id="149" w:name="_Toc344397401"/>
      <w:bookmarkEnd w:id="149"/>
      <w:bookmarkStart w:id="150" w:name="_Toc8017"/>
      <w:bookmarkEnd w:id="150"/>
      <w:bookmarkStart w:id="151" w:name="_Toc344394235"/>
      <w:bookmarkEnd w:id="151"/>
      <w:bookmarkStart w:id="152" w:name="_Toc350516698"/>
      <w:bookmarkEnd w:id="152"/>
      <w:bookmarkStart w:id="153" w:name="_Toc330342581"/>
      <w:bookmarkEnd w:id="153"/>
      <w:bookmarkStart w:id="154" w:name="_Toc343510634"/>
      <w:bookmarkEnd w:id="154"/>
      <w:bookmarkStart w:id="155" w:name="_Toc369353522"/>
      <w:bookmarkEnd w:id="155"/>
      <w:bookmarkStart w:id="156" w:name="_Toc350515684"/>
      <w:bookmarkEnd w:id="156"/>
      <w:bookmarkStart w:id="157" w:name="_Toc349568759"/>
      <w:bookmarkEnd w:id="157"/>
      <w:bookmarkStart w:id="158" w:name="_Toc16122"/>
      <w:bookmarkEnd w:id="158"/>
      <w:bookmarkStart w:id="159" w:name="_Toc5113"/>
      <w:bookmarkEnd w:id="159"/>
      <w:bookmarkStart w:id="160" w:name="_Toc27450"/>
      <w:bookmarkEnd w:id="160"/>
      <w:r>
        <w:rPr>
          <w:rFonts w:hint="eastAsia" w:ascii="宋体" w:hAnsi="宋体" w:cs="宋体"/>
          <w:color w:val="auto"/>
          <w:sz w:val="28"/>
          <w:szCs w:val="28"/>
          <w:highlight w:val="none"/>
        </w:rPr>
        <w:br w:type="page"/>
      </w:r>
      <w:r>
        <w:rPr>
          <w:rFonts w:hint="eastAsia" w:ascii="宋体" w:hAnsi="宋体" w:cs="宋体"/>
          <w:color w:val="auto"/>
          <w:sz w:val="28"/>
          <w:szCs w:val="28"/>
          <w:highlight w:val="none"/>
        </w:rPr>
        <w:t>3、法定代表人授权书</w:t>
      </w:r>
      <w:r>
        <w:rPr>
          <w:rFonts w:hint="eastAsia" w:ascii="宋体" w:hAnsi="宋体" w:cs="宋体"/>
          <w:bCs w:val="0"/>
          <w:color w:val="auto"/>
          <w:sz w:val="28"/>
          <w:szCs w:val="28"/>
          <w:highlight w:val="none"/>
        </w:rPr>
        <w:t>（格式）（如法定代表人投标不需此项）</w:t>
      </w:r>
    </w:p>
    <w:p>
      <w:pPr>
        <w:spacing w:line="360" w:lineRule="auto"/>
        <w:rPr>
          <w:rFonts w:hint="eastAsia" w:ascii="宋体" w:hAnsi="宋体" w:cs="宋体"/>
          <w:color w:val="auto"/>
          <w:sz w:val="24"/>
          <w:szCs w:val="24"/>
          <w:highlight w:val="none"/>
        </w:rPr>
      </w:pPr>
    </w:p>
    <w:p>
      <w:pPr>
        <w:pStyle w:val="3"/>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法定代表人授权书（非联合体）</w:t>
      </w:r>
    </w:p>
    <w:p>
      <w:pPr>
        <w:spacing w:line="440" w:lineRule="exact"/>
        <w:rPr>
          <w:rFonts w:hint="eastAsia" w:ascii="宋体" w:hAnsi="宋体" w:eastAsia="宋体" w:cs="宋体"/>
          <w:color w:val="auto"/>
          <w:sz w:val="28"/>
          <w:szCs w:val="28"/>
          <w:highlight w:val="none"/>
        </w:rPr>
      </w:pPr>
    </w:p>
    <w:p>
      <w:pPr>
        <w:topLinePunct/>
        <w:spacing w:line="44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本人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（姓名）系</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（投标人名称）的法定代表人，现委托</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（姓名）为我方代理人。代理人根据授权，以我方名义签署、澄清、说明、补正、递交、撤回、修改</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（项目名称）设计施工总承包投标文件、签订合同和处理有关事宜，其法律后果由我方承担。</w:t>
      </w:r>
    </w:p>
    <w:p>
      <w:pPr>
        <w:spacing w:line="440" w:lineRule="exact"/>
        <w:rPr>
          <w:rFonts w:hint="eastAsia" w:ascii="宋体" w:hAnsi="宋体" w:cs="宋体"/>
          <w:color w:val="auto"/>
          <w:sz w:val="28"/>
          <w:szCs w:val="28"/>
          <w:highlight w:val="none"/>
        </w:rPr>
      </w:pPr>
      <w:r>
        <w:rPr>
          <w:rFonts w:hint="eastAsia" w:ascii="宋体" w:hAnsi="宋体" w:cs="宋体"/>
          <w:color w:val="auto"/>
          <w:sz w:val="28"/>
          <w:szCs w:val="28"/>
          <w:highlight w:val="none"/>
        </w:rPr>
        <w:t xml:space="preserve">   </w:t>
      </w:r>
      <w:bookmarkStart w:id="161" w:name="_Hlk93935300"/>
      <w:r>
        <w:rPr>
          <w:rFonts w:hint="eastAsia" w:ascii="宋体" w:hAnsi="宋体" w:cs="宋体"/>
          <w:color w:val="auto"/>
          <w:sz w:val="28"/>
          <w:szCs w:val="28"/>
          <w:highlight w:val="none"/>
        </w:rPr>
        <w:t xml:space="preserve"> 委托期限：</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w:t>
      </w:r>
      <w:bookmarkEnd w:id="161"/>
    </w:p>
    <w:p>
      <w:pPr>
        <w:spacing w:line="44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代理人无转委托权。</w:t>
      </w:r>
    </w:p>
    <w:p>
      <w:pPr>
        <w:spacing w:line="440" w:lineRule="exact"/>
        <w:rPr>
          <w:rFonts w:hint="eastAsia" w:ascii="宋体" w:hAnsi="宋体" w:cs="宋体"/>
          <w:color w:val="auto"/>
          <w:sz w:val="28"/>
          <w:szCs w:val="28"/>
          <w:highlight w:val="none"/>
        </w:rPr>
      </w:pPr>
    </w:p>
    <w:p>
      <w:pPr>
        <w:spacing w:line="440" w:lineRule="exact"/>
        <w:rPr>
          <w:rFonts w:hint="eastAsia" w:ascii="宋体" w:hAnsi="宋体" w:cs="宋体"/>
          <w:color w:val="auto"/>
          <w:sz w:val="28"/>
          <w:szCs w:val="28"/>
          <w:highlight w:val="none"/>
        </w:rPr>
      </w:pPr>
      <w:r>
        <w:rPr>
          <w:rFonts w:hint="eastAsia" w:ascii="宋体" w:hAnsi="宋体" w:cs="宋体"/>
          <w:color w:val="auto"/>
          <w:sz w:val="28"/>
          <w:szCs w:val="28"/>
          <w:highlight w:val="none"/>
        </w:rPr>
        <w:t>附：法定代表人身份证和委托代理人身份证复印件或扫描件。</w:t>
      </w:r>
    </w:p>
    <w:p>
      <w:pPr>
        <w:spacing w:line="440" w:lineRule="exact"/>
        <w:rPr>
          <w:rFonts w:hint="eastAsia" w:ascii="宋体" w:hAnsi="宋体" w:cs="宋体"/>
          <w:color w:val="auto"/>
          <w:sz w:val="28"/>
          <w:szCs w:val="28"/>
          <w:highlight w:val="none"/>
        </w:rPr>
      </w:pPr>
    </w:p>
    <w:p>
      <w:pPr>
        <w:spacing w:line="440" w:lineRule="exact"/>
        <w:rPr>
          <w:rFonts w:hint="eastAsia" w:ascii="宋体" w:hAnsi="宋体" w:cs="宋体"/>
          <w:color w:val="auto"/>
          <w:sz w:val="28"/>
          <w:szCs w:val="28"/>
          <w:highlight w:val="none"/>
        </w:rPr>
      </w:pPr>
      <w:r>
        <w:rPr>
          <w:rFonts w:hint="eastAsia" w:ascii="宋体" w:hAnsi="宋体" w:cs="宋体"/>
          <w:color w:val="auto"/>
          <w:sz w:val="28"/>
          <w:szCs w:val="28"/>
          <w:highlight w:val="none"/>
        </w:rPr>
        <w:t>投标人：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（盖单位章）</w:t>
      </w:r>
    </w:p>
    <w:p>
      <w:pPr>
        <w:spacing w:line="440" w:lineRule="exact"/>
        <w:rPr>
          <w:rFonts w:hint="eastAsia" w:ascii="宋体" w:hAnsi="宋体" w:cs="宋体"/>
          <w:color w:val="auto"/>
          <w:sz w:val="28"/>
          <w:szCs w:val="28"/>
          <w:highlight w:val="none"/>
        </w:rPr>
      </w:pPr>
    </w:p>
    <w:p>
      <w:pPr>
        <w:spacing w:line="440" w:lineRule="exact"/>
        <w:rPr>
          <w:rFonts w:hint="eastAsia" w:ascii="宋体" w:hAnsi="宋体" w:cs="宋体"/>
          <w:color w:val="auto"/>
          <w:sz w:val="28"/>
          <w:szCs w:val="28"/>
          <w:highlight w:val="none"/>
        </w:rPr>
      </w:pPr>
      <w:r>
        <w:rPr>
          <w:rFonts w:hint="eastAsia" w:ascii="宋体" w:hAnsi="宋体" w:cs="宋体"/>
          <w:color w:val="auto"/>
          <w:sz w:val="28"/>
          <w:szCs w:val="28"/>
          <w:highlight w:val="none"/>
        </w:rPr>
        <w:t>法定代表人：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（签字）</w:t>
      </w:r>
    </w:p>
    <w:p>
      <w:pPr>
        <w:spacing w:line="440" w:lineRule="exact"/>
        <w:rPr>
          <w:rFonts w:hint="eastAsia" w:ascii="宋体" w:hAnsi="宋体" w:cs="宋体"/>
          <w:color w:val="auto"/>
          <w:sz w:val="28"/>
          <w:szCs w:val="28"/>
          <w:highlight w:val="none"/>
        </w:rPr>
      </w:pPr>
    </w:p>
    <w:p>
      <w:pPr>
        <w:spacing w:line="440" w:lineRule="exact"/>
        <w:rPr>
          <w:rFonts w:hint="eastAsia" w:ascii="宋体" w:hAnsi="宋体" w:cs="宋体"/>
          <w:color w:val="auto"/>
          <w:sz w:val="28"/>
          <w:szCs w:val="28"/>
          <w:highlight w:val="none"/>
        </w:rPr>
      </w:pPr>
      <w:r>
        <w:rPr>
          <w:rFonts w:hint="eastAsia" w:ascii="宋体" w:hAnsi="宋体" w:cs="宋体"/>
          <w:color w:val="auto"/>
          <w:sz w:val="28"/>
          <w:szCs w:val="28"/>
          <w:highlight w:val="none"/>
        </w:rPr>
        <w:t>身份证号码：</w:t>
      </w:r>
      <w:r>
        <w:rPr>
          <w:rFonts w:hint="eastAsia" w:ascii="宋体" w:hAnsi="宋体" w:cs="宋体"/>
          <w:color w:val="auto"/>
          <w:sz w:val="28"/>
          <w:szCs w:val="28"/>
          <w:highlight w:val="none"/>
          <w:u w:val="single"/>
        </w:rPr>
        <w:t xml:space="preserve">                               </w:t>
      </w:r>
    </w:p>
    <w:p>
      <w:pPr>
        <w:spacing w:line="440" w:lineRule="exact"/>
        <w:rPr>
          <w:rFonts w:hint="eastAsia" w:ascii="宋体" w:hAnsi="宋体" w:cs="宋体"/>
          <w:color w:val="auto"/>
          <w:sz w:val="28"/>
          <w:szCs w:val="28"/>
          <w:highlight w:val="none"/>
        </w:rPr>
      </w:pPr>
    </w:p>
    <w:p>
      <w:pPr>
        <w:spacing w:line="440" w:lineRule="exact"/>
        <w:rPr>
          <w:rFonts w:hint="eastAsia" w:ascii="宋体" w:hAnsi="宋体" w:cs="宋体"/>
          <w:color w:val="auto"/>
          <w:sz w:val="28"/>
          <w:szCs w:val="28"/>
          <w:highlight w:val="none"/>
        </w:rPr>
      </w:pPr>
      <w:r>
        <w:rPr>
          <w:rFonts w:hint="eastAsia" w:ascii="宋体" w:hAnsi="宋体" w:cs="宋体"/>
          <w:color w:val="auto"/>
          <w:sz w:val="28"/>
          <w:szCs w:val="28"/>
          <w:highlight w:val="none"/>
        </w:rPr>
        <w:t>委托代理人：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 xml:space="preserve">（签字） </w:t>
      </w:r>
    </w:p>
    <w:p>
      <w:pPr>
        <w:spacing w:line="440" w:lineRule="exact"/>
        <w:rPr>
          <w:rFonts w:hint="eastAsia" w:ascii="宋体" w:hAnsi="宋体" w:cs="宋体"/>
          <w:color w:val="auto"/>
          <w:sz w:val="28"/>
          <w:szCs w:val="28"/>
          <w:highlight w:val="none"/>
        </w:rPr>
      </w:pPr>
    </w:p>
    <w:p>
      <w:pPr>
        <w:spacing w:line="440" w:lineRule="exact"/>
        <w:rPr>
          <w:rFonts w:hint="eastAsia" w:ascii="宋体" w:hAnsi="宋体" w:cs="宋体"/>
          <w:color w:val="auto"/>
          <w:sz w:val="28"/>
          <w:szCs w:val="28"/>
          <w:highlight w:val="none"/>
          <w:u w:val="single"/>
        </w:rPr>
      </w:pPr>
      <w:r>
        <w:rPr>
          <w:rFonts w:hint="eastAsia" w:ascii="宋体" w:hAnsi="宋体" w:cs="宋体"/>
          <w:color w:val="auto"/>
          <w:sz w:val="28"/>
          <w:szCs w:val="28"/>
          <w:highlight w:val="none"/>
        </w:rPr>
        <w:t>身份证号码：</w:t>
      </w:r>
      <w:r>
        <w:rPr>
          <w:rFonts w:hint="eastAsia" w:ascii="宋体" w:hAnsi="宋体" w:cs="宋体"/>
          <w:color w:val="auto"/>
          <w:sz w:val="28"/>
          <w:szCs w:val="28"/>
          <w:highlight w:val="none"/>
          <w:u w:val="single"/>
        </w:rPr>
        <w:t xml:space="preserve">                               </w:t>
      </w:r>
    </w:p>
    <w:p>
      <w:pPr>
        <w:spacing w:line="440" w:lineRule="exact"/>
        <w:rPr>
          <w:rFonts w:hint="eastAsia" w:ascii="宋体" w:hAnsi="宋体" w:cs="宋体"/>
          <w:color w:val="auto"/>
          <w:sz w:val="28"/>
          <w:szCs w:val="28"/>
          <w:highlight w:val="none"/>
        </w:rPr>
      </w:pPr>
    </w:p>
    <w:p>
      <w:pPr>
        <w:spacing w:line="440" w:lineRule="exact"/>
        <w:ind w:firstLine="2100" w:firstLineChars="750"/>
        <w:rPr>
          <w:rFonts w:hint="eastAsia" w:ascii="宋体" w:hAnsi="宋体" w:eastAsia="宋体" w:cs="宋体"/>
          <w:color w:val="auto"/>
          <w:sz w:val="28"/>
          <w:szCs w:val="28"/>
          <w:highlight w:val="none"/>
        </w:rPr>
      </w:pP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pPr>
        <w:spacing w:line="440" w:lineRule="exact"/>
        <w:rPr>
          <w:rFonts w:hint="eastAsia" w:ascii="宋体" w:hAnsi="宋体" w:cs="宋体"/>
          <w:color w:val="auto"/>
          <w:sz w:val="28"/>
          <w:szCs w:val="28"/>
          <w:highlight w:val="none"/>
        </w:rPr>
      </w:pPr>
    </w:p>
    <w:p>
      <w:pPr>
        <w:spacing w:line="440" w:lineRule="exact"/>
        <w:rPr>
          <w:rFonts w:hint="eastAsia" w:ascii="宋体" w:hAnsi="宋体" w:cs="宋体"/>
          <w:color w:val="auto"/>
          <w:sz w:val="28"/>
          <w:szCs w:val="28"/>
          <w:highlight w:val="none"/>
        </w:rPr>
      </w:pPr>
    </w:p>
    <w:p>
      <w:pPr>
        <w:spacing w:line="440" w:lineRule="exact"/>
        <w:rPr>
          <w:rFonts w:hint="eastAsia" w:ascii="宋体" w:hAnsi="宋体" w:cs="宋体"/>
          <w:color w:val="auto"/>
          <w:sz w:val="28"/>
          <w:szCs w:val="28"/>
          <w:highlight w:val="none"/>
        </w:rPr>
      </w:pPr>
    </w:p>
    <w:p>
      <w:pPr>
        <w:spacing w:line="440" w:lineRule="exact"/>
        <w:rPr>
          <w:rFonts w:hint="eastAsia" w:ascii="宋体" w:hAnsi="宋体" w:cs="宋体"/>
          <w:color w:val="auto"/>
          <w:sz w:val="28"/>
          <w:szCs w:val="28"/>
          <w:highlight w:val="none"/>
        </w:rPr>
      </w:pPr>
    </w:p>
    <w:p>
      <w:pPr>
        <w:spacing w:line="440" w:lineRule="exact"/>
        <w:rPr>
          <w:rFonts w:hint="eastAsia" w:ascii="宋体" w:hAnsi="宋体" w:cs="宋体"/>
          <w:color w:val="auto"/>
          <w:sz w:val="28"/>
          <w:szCs w:val="28"/>
          <w:highlight w:val="none"/>
        </w:rPr>
      </w:pPr>
    </w:p>
    <w:p>
      <w:pPr>
        <w:spacing w:line="440" w:lineRule="exact"/>
        <w:rPr>
          <w:rFonts w:hint="eastAsia" w:ascii="宋体" w:hAnsi="宋体" w:cs="宋体"/>
          <w:color w:val="auto"/>
          <w:sz w:val="28"/>
          <w:szCs w:val="28"/>
          <w:highlight w:val="none"/>
        </w:rPr>
      </w:pPr>
    </w:p>
    <w:p>
      <w:pPr>
        <w:spacing w:line="440" w:lineRule="exact"/>
        <w:rPr>
          <w:rFonts w:hint="eastAsia" w:ascii="宋体" w:hAnsi="宋体" w:cs="宋体"/>
          <w:color w:val="auto"/>
          <w:sz w:val="28"/>
          <w:szCs w:val="28"/>
          <w:highlight w:val="none"/>
        </w:rPr>
      </w:pPr>
    </w:p>
    <w:p>
      <w:pPr>
        <w:spacing w:line="360" w:lineRule="auto"/>
        <w:jc w:val="center"/>
        <w:outlineLvl w:val="1"/>
        <w:rPr>
          <w:rFonts w:hint="eastAsia" w:ascii="宋体" w:hAnsi="宋体" w:cs="宋体"/>
          <w:b/>
          <w:bCs/>
          <w:color w:val="auto"/>
          <w:sz w:val="28"/>
          <w:szCs w:val="28"/>
          <w:highlight w:val="none"/>
        </w:rPr>
      </w:pPr>
      <w:bookmarkStart w:id="162" w:name="_Toc447829947"/>
      <w:bookmarkStart w:id="163" w:name="_Toc264033205"/>
      <w:bookmarkStart w:id="164" w:name="_Toc262118363"/>
      <w:bookmarkStart w:id="165" w:name="_Toc231218865"/>
      <w:bookmarkStart w:id="166" w:name="_Toc262119853"/>
      <w:bookmarkStart w:id="167" w:name="_Toc231112803"/>
      <w:bookmarkStart w:id="168" w:name="_Toc185047520"/>
      <w:r>
        <w:rPr>
          <w:rFonts w:hint="eastAsia" w:ascii="宋体" w:hAnsi="宋体" w:cs="宋体"/>
          <w:b/>
          <w:bCs/>
          <w:color w:val="auto"/>
          <w:sz w:val="28"/>
          <w:szCs w:val="28"/>
          <w:highlight w:val="none"/>
        </w:rPr>
        <w:br w:type="page"/>
      </w:r>
      <w:r>
        <w:rPr>
          <w:rFonts w:hint="eastAsia" w:ascii="宋体" w:hAnsi="宋体" w:cs="宋体"/>
          <w:b/>
          <w:bCs/>
          <w:color w:val="auto"/>
          <w:sz w:val="28"/>
          <w:szCs w:val="28"/>
          <w:highlight w:val="none"/>
        </w:rPr>
        <w:t>法定代表人授权书</w:t>
      </w:r>
      <w:bookmarkEnd w:id="162"/>
      <w:bookmarkEnd w:id="163"/>
      <w:bookmarkEnd w:id="164"/>
      <w:bookmarkEnd w:id="165"/>
      <w:bookmarkEnd w:id="166"/>
      <w:bookmarkEnd w:id="167"/>
      <w:r>
        <w:rPr>
          <w:rFonts w:hint="eastAsia" w:ascii="宋体" w:hAnsi="宋体" w:cs="宋体"/>
          <w:b/>
          <w:bCs/>
          <w:color w:val="auto"/>
          <w:sz w:val="28"/>
          <w:szCs w:val="28"/>
          <w:highlight w:val="none"/>
        </w:rPr>
        <w:t>（联合体）</w:t>
      </w:r>
    </w:p>
    <w:p>
      <w:pPr>
        <w:tabs>
          <w:tab w:val="left" w:pos="0"/>
          <w:tab w:val="left" w:pos="1843"/>
        </w:tabs>
        <w:autoSpaceDE w:val="0"/>
        <w:autoSpaceDN w:val="0"/>
        <w:spacing w:line="360" w:lineRule="auto"/>
        <w:ind w:right="2" w:rightChars="1"/>
        <w:textAlignment w:val="bottom"/>
        <w:rPr>
          <w:rFonts w:hint="eastAsia" w:ascii="宋体" w:hAnsi="宋体" w:cs="宋体"/>
          <w:color w:val="auto"/>
          <w:sz w:val="28"/>
          <w:szCs w:val="28"/>
          <w:highlight w:val="none"/>
        </w:rPr>
      </w:pPr>
    </w:p>
    <w:p>
      <w:pPr>
        <w:tabs>
          <w:tab w:val="left" w:pos="0"/>
          <w:tab w:val="left" w:pos="1843"/>
        </w:tabs>
        <w:autoSpaceDE w:val="0"/>
        <w:autoSpaceDN w:val="0"/>
        <w:spacing w:line="360" w:lineRule="auto"/>
        <w:ind w:right="2" w:rightChars="1" w:firstLine="840" w:firstLineChars="300"/>
        <w:textAlignment w:val="bottom"/>
        <w:rPr>
          <w:rFonts w:hint="eastAsia" w:ascii="宋体" w:hAnsi="宋体" w:cs="宋体"/>
          <w:color w:val="auto"/>
          <w:sz w:val="28"/>
          <w:szCs w:val="28"/>
          <w:highlight w:val="none"/>
        </w:rPr>
      </w:pPr>
      <w:r>
        <w:rPr>
          <w:rFonts w:hint="eastAsia" w:ascii="宋体" w:hAnsi="宋体" w:cs="宋体"/>
          <w:color w:val="auto"/>
          <w:sz w:val="28"/>
          <w:szCs w:val="28"/>
          <w:highlight w:val="none"/>
        </w:rPr>
        <w:t>本授权委托书声明：我</w:t>
      </w:r>
      <w:r>
        <w:rPr>
          <w:rFonts w:hint="eastAsia" w:ascii="宋体" w:hAnsi="宋体" w:cs="宋体"/>
          <w:color w:val="auto"/>
          <w:sz w:val="28"/>
          <w:szCs w:val="28"/>
          <w:highlight w:val="none"/>
          <w:u w:val="single"/>
        </w:rPr>
        <w:t xml:space="preserve">  </w:t>
      </w:r>
      <w:r>
        <w:rPr>
          <w:rFonts w:hint="eastAsia" w:ascii="宋体" w:hAnsi="宋体" w:cs="宋体"/>
          <w:b/>
          <w:color w:val="auto"/>
          <w:sz w:val="28"/>
          <w:szCs w:val="28"/>
          <w:highlight w:val="none"/>
          <w:u w:val="single"/>
        </w:rPr>
        <w:t xml:space="preserve">  </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 xml:space="preserve">系 </w:t>
      </w:r>
      <w:r>
        <w:rPr>
          <w:rFonts w:hint="eastAsia" w:ascii="宋体" w:hAnsi="宋体" w:cs="宋体"/>
          <w:color w:val="auto"/>
          <w:sz w:val="28"/>
          <w:szCs w:val="28"/>
          <w:highlight w:val="none"/>
          <w:u w:val="single"/>
        </w:rPr>
        <w:t xml:space="preserve">   </w:t>
      </w:r>
      <w:r>
        <w:rPr>
          <w:rFonts w:hint="eastAsia" w:ascii="宋体" w:hAnsi="宋体" w:cs="宋体"/>
          <w:b/>
          <w:color w:val="auto"/>
          <w:sz w:val="28"/>
          <w:szCs w:val="28"/>
          <w:highlight w:val="none"/>
          <w:u w:val="single"/>
        </w:rPr>
        <w:t xml:space="preserve">   </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（联合体牵头人）的法定代表人，我</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系</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 xml:space="preserve">（联合体成员二名称）的法定代表人，现共同授权委托 </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 xml:space="preserve">（联合体牵头人）的  </w:t>
      </w:r>
      <w:r>
        <w:rPr>
          <w:rFonts w:hint="eastAsia" w:ascii="宋体" w:hAnsi="宋体" w:cs="宋体"/>
          <w:color w:val="auto"/>
          <w:sz w:val="28"/>
          <w:szCs w:val="28"/>
          <w:highlight w:val="none"/>
          <w:u w:val="single"/>
        </w:rPr>
        <w:t xml:space="preserve"> </w:t>
      </w:r>
      <w:r>
        <w:rPr>
          <w:rFonts w:hint="eastAsia" w:ascii="宋体" w:hAnsi="宋体" w:cs="宋体"/>
          <w:b/>
          <w:color w:val="auto"/>
          <w:sz w:val="28"/>
          <w:szCs w:val="28"/>
          <w:highlight w:val="none"/>
          <w:u w:val="single"/>
        </w:rPr>
        <w:t xml:space="preserve">  </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（法定代表人或委托代理人）为我们所组成投标联合体参加</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项目名称）项目投标的委托代理人。委托代理人在本项目招标、投标、评标、合同签署等活动过程中所签署的一切文件和处理与之有关的一切事务，均为代表本联合体的行为，本联合体将承担委托代理人行为的一切法律责任和后果。</w:t>
      </w:r>
    </w:p>
    <w:p>
      <w:pPr>
        <w:tabs>
          <w:tab w:val="left" w:pos="0"/>
          <w:tab w:val="left" w:pos="1843"/>
        </w:tabs>
        <w:autoSpaceDE w:val="0"/>
        <w:autoSpaceDN w:val="0"/>
        <w:spacing w:line="360" w:lineRule="auto"/>
        <w:ind w:right="2" w:rightChars="1" w:firstLine="560" w:firstLineChars="200"/>
        <w:textAlignment w:val="bottom"/>
        <w:rPr>
          <w:rFonts w:hint="eastAsia" w:ascii="宋体" w:hAnsi="宋体" w:cs="宋体"/>
          <w:color w:val="auto"/>
          <w:sz w:val="28"/>
          <w:szCs w:val="28"/>
          <w:highlight w:val="none"/>
        </w:rPr>
      </w:pPr>
      <w:r>
        <w:rPr>
          <w:rFonts w:hint="eastAsia" w:ascii="宋体" w:hAnsi="宋体" w:cs="宋体"/>
          <w:color w:val="auto"/>
          <w:sz w:val="28"/>
          <w:szCs w:val="28"/>
          <w:highlight w:val="none"/>
        </w:rPr>
        <w:t>委托期限：</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w:t>
      </w:r>
    </w:p>
    <w:p>
      <w:pPr>
        <w:tabs>
          <w:tab w:val="left" w:pos="0"/>
          <w:tab w:val="left" w:pos="1843"/>
        </w:tabs>
        <w:autoSpaceDE w:val="0"/>
        <w:autoSpaceDN w:val="0"/>
        <w:spacing w:line="360" w:lineRule="auto"/>
        <w:ind w:right="2" w:rightChars="1" w:firstLine="560" w:firstLineChars="200"/>
        <w:textAlignment w:val="bottom"/>
        <w:rPr>
          <w:rFonts w:hint="eastAsia" w:ascii="宋体" w:hAnsi="宋体" w:cs="宋体"/>
          <w:color w:val="auto"/>
          <w:kern w:val="0"/>
          <w:sz w:val="28"/>
          <w:szCs w:val="28"/>
          <w:highlight w:val="none"/>
        </w:rPr>
      </w:pPr>
      <w:r>
        <w:rPr>
          <w:rFonts w:hint="eastAsia" w:ascii="宋体" w:hAnsi="宋体" w:cs="宋体"/>
          <w:color w:val="auto"/>
          <w:sz w:val="28"/>
          <w:szCs w:val="28"/>
          <w:highlight w:val="none"/>
        </w:rPr>
        <w:t>委托代理人无转委托权。</w:t>
      </w:r>
    </w:p>
    <w:p>
      <w:pPr>
        <w:tabs>
          <w:tab w:val="left" w:pos="0"/>
          <w:tab w:val="left" w:pos="1843"/>
        </w:tabs>
        <w:autoSpaceDE w:val="0"/>
        <w:autoSpaceDN w:val="0"/>
        <w:spacing w:before="156" w:beforeLines="50" w:after="156" w:afterLines="50" w:line="360" w:lineRule="auto"/>
        <w:ind w:right="2" w:rightChars="1"/>
        <w:textAlignment w:val="bottom"/>
        <w:rPr>
          <w:rFonts w:hint="eastAsia" w:ascii="宋体" w:hAnsi="宋体" w:cs="宋体"/>
          <w:color w:val="auto"/>
          <w:sz w:val="28"/>
          <w:szCs w:val="28"/>
          <w:highlight w:val="none"/>
        </w:rPr>
      </w:pPr>
      <w:r>
        <w:rPr>
          <w:rFonts w:hint="eastAsia" w:ascii="宋体" w:hAnsi="宋体" w:cs="宋体"/>
          <w:color w:val="auto"/>
          <w:sz w:val="28"/>
          <w:szCs w:val="28"/>
          <w:highlight w:val="none"/>
        </w:rPr>
        <w:t>附：法定代表人身份证和委托代理人身份证复印件或扫描件。</w:t>
      </w:r>
    </w:p>
    <w:p>
      <w:pPr>
        <w:tabs>
          <w:tab w:val="left" w:pos="0"/>
          <w:tab w:val="left" w:pos="1843"/>
        </w:tabs>
        <w:autoSpaceDE w:val="0"/>
        <w:autoSpaceDN w:val="0"/>
        <w:spacing w:before="156" w:beforeLines="50" w:after="156" w:afterLines="50" w:line="360" w:lineRule="auto"/>
        <w:ind w:right="2" w:rightChars="1" w:firstLine="2800" w:firstLineChars="1000"/>
        <w:textAlignment w:val="bottom"/>
        <w:rPr>
          <w:rFonts w:hint="eastAsia" w:ascii="宋体" w:hAnsi="宋体" w:cs="宋体"/>
          <w:color w:val="auto"/>
          <w:sz w:val="28"/>
          <w:szCs w:val="28"/>
          <w:highlight w:val="none"/>
        </w:rPr>
      </w:pPr>
      <w:r>
        <w:rPr>
          <w:rFonts w:hint="eastAsia" w:ascii="宋体" w:hAnsi="宋体" w:cs="宋体"/>
          <w:color w:val="auto"/>
          <w:sz w:val="28"/>
          <w:szCs w:val="28"/>
          <w:highlight w:val="none"/>
        </w:rPr>
        <w:t>委托代理人姓名：</w:t>
      </w:r>
      <w:r>
        <w:rPr>
          <w:rFonts w:hint="eastAsia" w:ascii="宋体" w:hAnsi="宋体" w:cs="宋体"/>
          <w:color w:val="auto"/>
          <w:sz w:val="28"/>
          <w:szCs w:val="28"/>
          <w:highlight w:val="none"/>
          <w:u w:val="single"/>
        </w:rPr>
        <w:t xml:space="preserve">                   </w:t>
      </w:r>
    </w:p>
    <w:p>
      <w:pPr>
        <w:tabs>
          <w:tab w:val="left" w:pos="0"/>
          <w:tab w:val="left" w:pos="1843"/>
        </w:tabs>
        <w:autoSpaceDE w:val="0"/>
        <w:autoSpaceDN w:val="0"/>
        <w:spacing w:before="156" w:beforeLines="50" w:after="156" w:afterLines="50" w:line="360" w:lineRule="auto"/>
        <w:ind w:right="2" w:rightChars="1" w:firstLine="2800" w:firstLineChars="1000"/>
        <w:textAlignment w:val="bottom"/>
        <w:rPr>
          <w:rFonts w:hint="eastAsia" w:ascii="宋体" w:hAnsi="宋体" w:cs="宋体"/>
          <w:color w:val="auto"/>
          <w:sz w:val="28"/>
          <w:szCs w:val="28"/>
          <w:highlight w:val="none"/>
        </w:rPr>
      </w:pPr>
      <w:r>
        <w:rPr>
          <w:rFonts w:hint="eastAsia" w:ascii="宋体" w:hAnsi="宋体" w:cs="宋体"/>
          <w:color w:val="auto"/>
          <w:sz w:val="28"/>
          <w:szCs w:val="28"/>
          <w:highlight w:val="none"/>
        </w:rPr>
        <w:t>身份证号码：</w:t>
      </w:r>
      <w:r>
        <w:rPr>
          <w:rFonts w:hint="eastAsia" w:ascii="宋体" w:hAnsi="宋体" w:cs="宋体"/>
          <w:bCs/>
          <w:color w:val="auto"/>
          <w:sz w:val="28"/>
          <w:szCs w:val="28"/>
          <w:highlight w:val="none"/>
          <w:u w:val="single"/>
        </w:rPr>
        <w:t xml:space="preserve">                       </w:t>
      </w:r>
    </w:p>
    <w:p>
      <w:pPr>
        <w:tabs>
          <w:tab w:val="left" w:pos="0"/>
          <w:tab w:val="left" w:pos="1843"/>
        </w:tabs>
        <w:autoSpaceDE w:val="0"/>
        <w:autoSpaceDN w:val="0"/>
        <w:spacing w:before="156" w:beforeLines="50" w:after="156" w:afterLines="50" w:line="360" w:lineRule="auto"/>
        <w:ind w:right="2" w:rightChars="1" w:firstLine="2800" w:firstLineChars="1000"/>
        <w:textAlignment w:val="bottom"/>
        <w:rPr>
          <w:rFonts w:hint="eastAsia" w:ascii="宋体" w:hAnsi="宋体" w:cs="宋体"/>
          <w:color w:val="auto"/>
          <w:sz w:val="28"/>
          <w:szCs w:val="28"/>
          <w:highlight w:val="none"/>
        </w:rPr>
      </w:pPr>
      <w:r>
        <w:rPr>
          <w:rFonts w:hint="eastAsia" w:ascii="宋体" w:hAnsi="宋体" w:cs="宋体"/>
          <w:color w:val="auto"/>
          <w:sz w:val="28"/>
          <w:szCs w:val="28"/>
          <w:highlight w:val="none"/>
        </w:rPr>
        <w:t>委托代理人：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 xml:space="preserve">（签字） </w:t>
      </w:r>
    </w:p>
    <w:p>
      <w:pPr>
        <w:tabs>
          <w:tab w:val="left" w:pos="0"/>
          <w:tab w:val="left" w:pos="1843"/>
        </w:tabs>
        <w:autoSpaceDE w:val="0"/>
        <w:autoSpaceDN w:val="0"/>
        <w:spacing w:before="156" w:beforeLines="50" w:after="156" w:afterLines="50" w:line="360" w:lineRule="auto"/>
        <w:ind w:right="2" w:rightChars="1" w:firstLine="0" w:firstLineChars="0"/>
        <w:jc w:val="right"/>
        <w:textAlignment w:val="bottom"/>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联合体牵头人名称：</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rPr>
        <w:t>（盖单位章）</w:t>
      </w:r>
    </w:p>
    <w:p>
      <w:pPr>
        <w:tabs>
          <w:tab w:val="left" w:pos="0"/>
          <w:tab w:val="left" w:pos="1843"/>
        </w:tabs>
        <w:autoSpaceDE w:val="0"/>
        <w:autoSpaceDN w:val="0"/>
        <w:spacing w:before="156" w:beforeLines="50" w:after="156" w:afterLines="50" w:line="360" w:lineRule="auto"/>
        <w:ind w:right="2" w:rightChars="1" w:firstLine="2800" w:firstLineChars="1000"/>
        <w:textAlignment w:val="bottom"/>
        <w:rPr>
          <w:rFonts w:hint="eastAsia" w:ascii="宋体" w:hAnsi="宋体" w:cs="宋体"/>
          <w:color w:val="auto"/>
          <w:sz w:val="28"/>
          <w:szCs w:val="28"/>
          <w:highlight w:val="none"/>
        </w:rPr>
      </w:pPr>
      <w:r>
        <w:rPr>
          <w:rFonts w:hint="eastAsia" w:ascii="宋体" w:hAnsi="宋体" w:cs="宋体"/>
          <w:color w:val="auto"/>
          <w:sz w:val="28"/>
          <w:szCs w:val="28"/>
          <w:highlight w:val="none"/>
        </w:rPr>
        <w:t>法定代表人：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（签字或盖章）</w:t>
      </w:r>
    </w:p>
    <w:p>
      <w:pPr>
        <w:tabs>
          <w:tab w:val="left" w:pos="0"/>
          <w:tab w:val="left" w:pos="1843"/>
        </w:tabs>
        <w:autoSpaceDE w:val="0"/>
        <w:autoSpaceDN w:val="0"/>
        <w:spacing w:before="156" w:beforeLines="50" w:after="156" w:afterLines="50" w:line="360" w:lineRule="auto"/>
        <w:ind w:right="2" w:rightChars="1" w:firstLine="2800" w:firstLineChars="1000"/>
        <w:textAlignment w:val="bottom"/>
        <w:rPr>
          <w:rFonts w:hint="eastAsia" w:ascii="宋体" w:hAnsi="宋体" w:cs="宋体"/>
          <w:color w:val="auto"/>
          <w:sz w:val="28"/>
          <w:szCs w:val="28"/>
          <w:highlight w:val="none"/>
        </w:rPr>
      </w:pPr>
      <w:bookmarkStart w:id="169" w:name="_Hlk93935090"/>
      <w:r>
        <w:rPr>
          <w:rFonts w:hint="eastAsia" w:ascii="宋体" w:hAnsi="宋体" w:cs="宋体"/>
          <w:color w:val="auto"/>
          <w:sz w:val="28"/>
          <w:szCs w:val="28"/>
          <w:highlight w:val="none"/>
        </w:rPr>
        <w:t>联合体成员</w:t>
      </w:r>
      <w:bookmarkEnd w:id="169"/>
      <w:r>
        <w:rPr>
          <w:rFonts w:hint="eastAsia" w:ascii="宋体" w:hAnsi="宋体" w:cs="宋体"/>
          <w:color w:val="auto"/>
          <w:sz w:val="28"/>
          <w:szCs w:val="28"/>
          <w:highlight w:val="none"/>
          <w:lang w:val="en-US" w:eastAsia="zh-CN"/>
        </w:rPr>
        <w:t>一</w:t>
      </w:r>
      <w:r>
        <w:rPr>
          <w:rFonts w:hint="eastAsia" w:ascii="宋体" w:hAnsi="宋体" w:cs="宋体"/>
          <w:color w:val="auto"/>
          <w:sz w:val="28"/>
          <w:szCs w:val="28"/>
          <w:highlight w:val="none"/>
        </w:rPr>
        <w:t>名称：</w:t>
      </w:r>
      <w:bookmarkStart w:id="170" w:name="_Hlk93934215"/>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（盖单位章）</w:t>
      </w:r>
      <w:bookmarkEnd w:id="170"/>
    </w:p>
    <w:p>
      <w:pPr>
        <w:tabs>
          <w:tab w:val="left" w:pos="0"/>
          <w:tab w:val="left" w:pos="1843"/>
        </w:tabs>
        <w:autoSpaceDE w:val="0"/>
        <w:autoSpaceDN w:val="0"/>
        <w:spacing w:before="156" w:beforeLines="50" w:after="156" w:afterLines="50" w:line="360" w:lineRule="auto"/>
        <w:ind w:right="2" w:rightChars="1" w:firstLine="2800" w:firstLineChars="1000"/>
        <w:textAlignment w:val="bottom"/>
        <w:rPr>
          <w:rFonts w:hint="eastAsia" w:ascii="宋体" w:hAnsi="宋体" w:cs="宋体"/>
          <w:color w:val="auto"/>
          <w:sz w:val="28"/>
          <w:szCs w:val="28"/>
          <w:highlight w:val="none"/>
        </w:rPr>
      </w:pPr>
      <w:bookmarkStart w:id="171" w:name="_Hlk93934238"/>
      <w:r>
        <w:rPr>
          <w:rFonts w:hint="eastAsia" w:ascii="宋体" w:hAnsi="宋体" w:cs="宋体"/>
          <w:color w:val="auto"/>
          <w:sz w:val="28"/>
          <w:szCs w:val="28"/>
          <w:highlight w:val="none"/>
        </w:rPr>
        <w:t>法定代表人：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（签字或盖章）</w:t>
      </w:r>
      <w:bookmarkEnd w:id="171"/>
    </w:p>
    <w:p>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 xml:space="preserve">                                            </w:t>
      </w:r>
    </w:p>
    <w:p>
      <w:pPr>
        <w:spacing w:line="360" w:lineRule="auto"/>
        <w:jc w:val="right"/>
        <w:rPr>
          <w:rFonts w:hint="eastAsia" w:ascii="宋体" w:hAnsi="宋体" w:cs="宋体"/>
          <w:color w:val="auto"/>
          <w:sz w:val="28"/>
          <w:szCs w:val="28"/>
          <w:highlight w:val="none"/>
        </w:rPr>
      </w:pP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bookmarkEnd w:id="168"/>
    <w:p>
      <w:pPr>
        <w:spacing w:line="440" w:lineRule="exact"/>
        <w:rPr>
          <w:rFonts w:hint="eastAsia" w:ascii="宋体" w:hAnsi="宋体" w:cs="宋体"/>
          <w:color w:val="auto"/>
          <w:sz w:val="28"/>
          <w:szCs w:val="28"/>
          <w:highlight w:val="none"/>
        </w:rPr>
      </w:pPr>
    </w:p>
    <w:p>
      <w:pPr>
        <w:spacing w:line="440" w:lineRule="exact"/>
        <w:rPr>
          <w:rFonts w:hint="eastAsia" w:ascii="宋体" w:hAnsi="宋体" w:cs="宋体"/>
          <w:color w:val="auto"/>
          <w:sz w:val="20"/>
          <w:szCs w:val="20"/>
          <w:highlight w:val="none"/>
        </w:rPr>
      </w:pPr>
      <w:r>
        <w:rPr>
          <w:rFonts w:hint="eastAsia" w:ascii="宋体" w:hAnsi="宋体" w:cs="宋体"/>
          <w:color w:val="auto"/>
          <w:sz w:val="20"/>
          <w:szCs w:val="20"/>
          <w:highlight w:val="none"/>
        </w:rPr>
        <w:t>注：（1）本授权委托书由联合体牵头人填写，联合体牵头人法定代表人不亲自投标而委托代理人投标适用。</w:t>
      </w:r>
    </w:p>
    <w:p>
      <w:pPr>
        <w:spacing w:line="440" w:lineRule="exact"/>
        <w:rPr>
          <w:rFonts w:hint="eastAsia" w:ascii="宋体" w:hAnsi="宋体" w:cs="宋体"/>
          <w:color w:val="auto"/>
          <w:sz w:val="15"/>
          <w:szCs w:val="15"/>
          <w:highlight w:val="none"/>
        </w:rPr>
      </w:pPr>
      <w:r>
        <w:rPr>
          <w:rFonts w:hint="eastAsia" w:ascii="宋体" w:hAnsi="宋体" w:cs="宋体"/>
          <w:color w:val="auto"/>
          <w:sz w:val="20"/>
          <w:szCs w:val="20"/>
          <w:highlight w:val="none"/>
        </w:rPr>
        <w:t>（2）法定代表人委托他人投标的，联合体牵头人中的委托代理人应是投标人本单位的人员且应与“联合体授权委托书”中的委托代理人名称一致。</w:t>
      </w:r>
    </w:p>
    <w:p>
      <w:pPr>
        <w:spacing w:line="360" w:lineRule="auto"/>
        <w:ind w:right="142"/>
        <w:rPr>
          <w:rFonts w:hint="eastAsia" w:ascii="宋体" w:hAnsi="宋体" w:cs="宋体"/>
          <w:bCs/>
          <w:color w:val="auto"/>
          <w:sz w:val="28"/>
          <w:szCs w:val="32"/>
          <w:highlight w:val="none"/>
        </w:rPr>
      </w:pPr>
      <w:bookmarkStart w:id="172" w:name="_Toc247230326"/>
    </w:p>
    <w:p>
      <w:pPr>
        <w:rPr>
          <w:rFonts w:hint="eastAsia" w:ascii="宋体" w:hAnsi="宋体" w:cs="宋体"/>
          <w:color w:val="auto"/>
          <w:sz w:val="28"/>
          <w:szCs w:val="28"/>
          <w:highlight w:val="none"/>
        </w:rPr>
      </w:pPr>
      <w:bookmarkStart w:id="173" w:name="_Toc349914564"/>
      <w:bookmarkStart w:id="174" w:name="_Toc5577"/>
      <w:bookmarkStart w:id="175" w:name="_Toc350515685"/>
      <w:bookmarkStart w:id="176" w:name="_Toc369353523"/>
      <w:bookmarkStart w:id="177" w:name="_Toc330342582"/>
      <w:bookmarkStart w:id="178" w:name="_Toc349568760"/>
      <w:bookmarkStart w:id="179" w:name="_Toc344397402"/>
      <w:bookmarkStart w:id="180" w:name="_Toc6655"/>
      <w:bookmarkStart w:id="181" w:name="_Toc343510635"/>
      <w:bookmarkStart w:id="182" w:name="_Toc350516699"/>
      <w:bookmarkStart w:id="183" w:name="_Toc330342833"/>
      <w:bookmarkStart w:id="184" w:name="_Toc344394236"/>
      <w:bookmarkStart w:id="185" w:name="_Toc15410"/>
      <w:r>
        <w:rPr>
          <w:rFonts w:hint="eastAsia" w:ascii="宋体" w:hAnsi="宋体" w:cs="宋体"/>
          <w:color w:val="auto"/>
          <w:sz w:val="28"/>
          <w:szCs w:val="28"/>
          <w:highlight w:val="none"/>
        </w:rPr>
        <w:br w:type="page"/>
      </w:r>
    </w:p>
    <w:p>
      <w:pPr>
        <w:adjustRightInd w:val="0"/>
        <w:snapToGrid w:val="0"/>
        <w:spacing w:line="490" w:lineRule="exact"/>
        <w:jc w:val="left"/>
        <w:outlineLvl w:val="2"/>
        <w:rPr>
          <w:rFonts w:hint="eastAsia" w:ascii="宋体" w:hAnsi="宋体" w:cs="宋体"/>
          <w:b/>
          <w:bCs/>
          <w:color w:val="auto"/>
          <w:sz w:val="28"/>
          <w:szCs w:val="28"/>
          <w:highlight w:val="none"/>
        </w:rPr>
      </w:pPr>
      <w:bookmarkStart w:id="186" w:name="_Toc31028"/>
      <w:bookmarkEnd w:id="186"/>
      <w:r>
        <w:rPr>
          <w:rFonts w:hint="eastAsia" w:ascii="宋体" w:hAnsi="宋体" w:cs="宋体"/>
          <w:b/>
          <w:bCs/>
          <w:color w:val="auto"/>
          <w:sz w:val="28"/>
          <w:szCs w:val="28"/>
          <w:highlight w:val="none"/>
        </w:rPr>
        <w:t>4、联合体协议书</w:t>
      </w:r>
    </w:p>
    <w:p>
      <w:pPr>
        <w:spacing w:line="440" w:lineRule="exact"/>
        <w:ind w:firstLine="560" w:firstLineChars="200"/>
        <w:jc w:val="left"/>
        <w:rPr>
          <w:rFonts w:hint="eastAsia" w:ascii="宋体" w:hAnsi="宋体" w:cs="宋体"/>
          <w:color w:val="auto"/>
          <w:sz w:val="28"/>
          <w:szCs w:val="28"/>
          <w:highlight w:val="none"/>
          <w:u w:val="single"/>
        </w:rPr>
      </w:pPr>
    </w:p>
    <w:p>
      <w:pPr>
        <w:spacing w:line="360" w:lineRule="auto"/>
        <w:ind w:firstLine="700" w:firstLineChars="250"/>
        <w:jc w:val="left"/>
        <w:rPr>
          <w:rFonts w:hint="eastAsia" w:ascii="宋体" w:hAnsi="宋体" w:cs="宋体"/>
          <w:color w:val="auto"/>
          <w:sz w:val="28"/>
          <w:szCs w:val="28"/>
          <w:highlight w:val="none"/>
        </w:rPr>
      </w:pP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（所有成员单位名称）自愿组成联合体，共同参加</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（项目名称）</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（标段名称）投标。现就联合体投标事宜订立如下协议。</w:t>
      </w:r>
    </w:p>
    <w:p>
      <w:pPr>
        <w:spacing w:line="360" w:lineRule="auto"/>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1</w:t>
      </w:r>
      <w:r>
        <w:rPr>
          <w:rFonts w:hint="eastAsia" w:ascii="宋体" w:hAnsi="宋体" w:cs="宋体"/>
          <w:color w:val="auto"/>
          <w:sz w:val="28"/>
          <w:szCs w:val="28"/>
          <w:highlight w:val="none"/>
          <w:lang w:val="en-US" w:eastAsia="zh-CN"/>
        </w:rPr>
        <w:t>.</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（某成员单位名称）为</w:t>
      </w:r>
      <w:r>
        <w:rPr>
          <w:rFonts w:hint="eastAsia" w:ascii="宋体" w:hAnsi="宋体" w:cs="宋体"/>
          <w:color w:val="auto"/>
          <w:sz w:val="28"/>
          <w:szCs w:val="28"/>
          <w:highlight w:val="none"/>
          <w:lang w:val="en-US" w:eastAsia="zh-CN"/>
        </w:rPr>
        <w:t>联合体</w:t>
      </w:r>
      <w:r>
        <w:rPr>
          <w:rFonts w:hint="eastAsia" w:ascii="宋体" w:hAnsi="宋体" w:cs="宋体"/>
          <w:color w:val="auto"/>
          <w:sz w:val="28"/>
          <w:szCs w:val="28"/>
          <w:highlight w:val="none"/>
        </w:rPr>
        <w:t>牵头人。</w:t>
      </w:r>
    </w:p>
    <w:p>
      <w:pPr>
        <w:spacing w:line="360" w:lineRule="auto"/>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2</w:t>
      </w:r>
      <w:r>
        <w:rPr>
          <w:rFonts w:hint="eastAsia" w:ascii="宋体" w:hAnsi="宋体" w:cs="宋体"/>
          <w:color w:val="auto"/>
          <w:sz w:val="28"/>
          <w:szCs w:val="28"/>
          <w:highlight w:val="none"/>
          <w:lang w:val="en-US" w:eastAsia="zh-CN"/>
        </w:rPr>
        <w:t>.</w:t>
      </w:r>
      <w:r>
        <w:rPr>
          <w:rFonts w:hint="eastAsia" w:ascii="宋体" w:hAnsi="宋体" w:cs="宋体"/>
          <w:color w:val="auto"/>
          <w:sz w:val="28"/>
          <w:szCs w:val="28"/>
          <w:highlight w:val="none"/>
        </w:rPr>
        <w:t>联合体牵头人合法代表联合体各成员负责本</w:t>
      </w:r>
      <w:r>
        <w:rPr>
          <w:rFonts w:hint="eastAsia" w:ascii="宋体" w:hAnsi="宋体" w:cs="宋体"/>
          <w:color w:val="auto"/>
          <w:sz w:val="28"/>
          <w:szCs w:val="28"/>
          <w:highlight w:val="none"/>
          <w:lang w:val="en-US" w:eastAsia="zh-CN"/>
        </w:rPr>
        <w:t>项目</w:t>
      </w:r>
      <w:r>
        <w:rPr>
          <w:rFonts w:hint="eastAsia" w:ascii="宋体" w:hAnsi="宋体" w:cs="宋体"/>
          <w:color w:val="auto"/>
          <w:sz w:val="28"/>
          <w:szCs w:val="28"/>
          <w:highlight w:val="none"/>
        </w:rPr>
        <w:t>招标投标文件递交和合同谈判活动，并代表联合体提交和接受相关的资料、信息及指示，处理与之有关的一切事务，并负责合同实施阶段的主办、组织和协调工作。</w:t>
      </w:r>
    </w:p>
    <w:p>
      <w:pPr>
        <w:spacing w:line="360" w:lineRule="auto"/>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3</w:t>
      </w:r>
      <w:r>
        <w:rPr>
          <w:rFonts w:hint="eastAsia" w:ascii="宋体" w:hAnsi="宋体" w:cs="宋体"/>
          <w:color w:val="auto"/>
          <w:sz w:val="28"/>
          <w:szCs w:val="28"/>
          <w:highlight w:val="none"/>
          <w:lang w:val="en-US" w:eastAsia="zh-CN"/>
        </w:rPr>
        <w:t>.</w:t>
      </w:r>
      <w:r>
        <w:rPr>
          <w:rFonts w:hint="eastAsia" w:ascii="宋体" w:hAnsi="宋体" w:cs="宋体"/>
          <w:color w:val="auto"/>
          <w:sz w:val="28"/>
          <w:szCs w:val="28"/>
          <w:highlight w:val="none"/>
        </w:rPr>
        <w:t>联合体将严格按照招标文件的各项要求，编制投标文件，履行合同，并对外承担连带责任。</w:t>
      </w:r>
    </w:p>
    <w:p>
      <w:pPr>
        <w:spacing w:line="360" w:lineRule="auto"/>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4</w:t>
      </w:r>
      <w:r>
        <w:rPr>
          <w:rFonts w:hint="eastAsia" w:ascii="宋体" w:hAnsi="宋体" w:cs="宋体"/>
          <w:color w:val="auto"/>
          <w:sz w:val="28"/>
          <w:szCs w:val="28"/>
          <w:highlight w:val="none"/>
          <w:lang w:val="en-US" w:eastAsia="zh-CN"/>
        </w:rPr>
        <w:t>.</w:t>
      </w:r>
      <w:r>
        <w:rPr>
          <w:rFonts w:hint="eastAsia" w:ascii="宋体" w:hAnsi="宋体" w:cs="宋体"/>
          <w:color w:val="auto"/>
          <w:sz w:val="28"/>
          <w:szCs w:val="28"/>
          <w:highlight w:val="none"/>
        </w:rPr>
        <w:t>联合体各成员单位内部的职责分工如下：</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w:t>
      </w:r>
    </w:p>
    <w:p>
      <w:pPr>
        <w:spacing w:line="360" w:lineRule="auto"/>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5.</w:t>
      </w:r>
      <w:r>
        <w:rPr>
          <w:rFonts w:hint="eastAsia" w:ascii="宋体" w:hAnsi="宋体" w:cs="宋体"/>
          <w:color w:val="auto"/>
          <w:sz w:val="28"/>
          <w:szCs w:val="28"/>
          <w:highlight w:val="none"/>
        </w:rPr>
        <w:t>本协议书自签署之日起生效，合同履行完毕后自动失效。</w:t>
      </w:r>
    </w:p>
    <w:p>
      <w:pPr>
        <w:spacing w:line="360" w:lineRule="auto"/>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6.</w:t>
      </w:r>
      <w:r>
        <w:rPr>
          <w:rFonts w:hint="eastAsia" w:ascii="宋体" w:hAnsi="宋体" w:cs="宋体"/>
          <w:color w:val="auto"/>
          <w:sz w:val="28"/>
          <w:szCs w:val="28"/>
          <w:highlight w:val="none"/>
        </w:rPr>
        <w:t>本协议书一式</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份，联合体成员和招标人各执一份。</w:t>
      </w:r>
    </w:p>
    <w:p>
      <w:pPr>
        <w:spacing w:line="360" w:lineRule="auto"/>
        <w:ind w:firstLine="560" w:firstLineChars="200"/>
        <w:rPr>
          <w:rFonts w:hint="eastAsia" w:ascii="宋体" w:hAnsi="宋体" w:cs="宋体"/>
          <w:color w:val="auto"/>
          <w:sz w:val="28"/>
          <w:szCs w:val="28"/>
          <w:highlight w:val="none"/>
        </w:rPr>
      </w:pPr>
    </w:p>
    <w:p>
      <w:pPr>
        <w:spacing w:line="360" w:lineRule="auto"/>
        <w:ind w:right="140"/>
        <w:jc w:val="right"/>
        <w:rPr>
          <w:rFonts w:hint="eastAsia" w:ascii="宋体" w:hAnsi="宋体" w:cs="宋体"/>
          <w:color w:val="auto"/>
          <w:sz w:val="28"/>
          <w:szCs w:val="28"/>
          <w:highlight w:val="none"/>
        </w:rPr>
      </w:pPr>
      <w:r>
        <w:rPr>
          <w:rFonts w:hint="eastAsia" w:ascii="宋体" w:hAnsi="宋体" w:cs="宋体"/>
          <w:color w:val="auto"/>
          <w:sz w:val="28"/>
          <w:szCs w:val="28"/>
          <w:highlight w:val="none"/>
        </w:rPr>
        <w:t>牵头人名称：</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（单位</w:t>
      </w:r>
      <w:r>
        <w:rPr>
          <w:rFonts w:hint="eastAsia" w:ascii="宋体" w:hAnsi="宋体" w:cs="宋体"/>
          <w:color w:val="auto"/>
          <w:sz w:val="28"/>
          <w:szCs w:val="28"/>
          <w:highlight w:val="none"/>
          <w:lang w:val="en-US" w:eastAsia="zh-CN"/>
        </w:rPr>
        <w:t>盖章</w:t>
      </w:r>
      <w:r>
        <w:rPr>
          <w:rFonts w:hint="eastAsia" w:ascii="宋体" w:hAnsi="宋体" w:cs="宋体"/>
          <w:color w:val="auto"/>
          <w:sz w:val="28"/>
          <w:szCs w:val="28"/>
          <w:highlight w:val="none"/>
        </w:rPr>
        <w:t>）</w:t>
      </w:r>
    </w:p>
    <w:p>
      <w:pPr>
        <w:wordWrap w:val="0"/>
        <w:spacing w:line="360" w:lineRule="auto"/>
        <w:jc w:val="right"/>
        <w:rPr>
          <w:rFonts w:hint="eastAsia" w:ascii="宋体" w:hAnsi="宋体" w:cs="宋体"/>
          <w:color w:val="auto"/>
          <w:sz w:val="28"/>
          <w:szCs w:val="28"/>
          <w:highlight w:val="none"/>
        </w:rPr>
      </w:pPr>
      <w:r>
        <w:rPr>
          <w:rFonts w:hint="eastAsia" w:ascii="宋体" w:hAnsi="宋体" w:cs="宋体"/>
          <w:bCs/>
          <w:color w:val="auto"/>
          <w:sz w:val="28"/>
          <w:szCs w:val="28"/>
          <w:highlight w:val="none"/>
        </w:rPr>
        <w:t>法定代表人或其委托代理人</w:t>
      </w:r>
      <w:r>
        <w:rPr>
          <w:rFonts w:hint="eastAsia" w:ascii="宋体" w:hAnsi="宋体" w:cs="宋体"/>
          <w:color w:val="auto"/>
          <w:sz w:val="28"/>
          <w:szCs w:val="28"/>
          <w:highlight w:val="none"/>
        </w:rPr>
        <w:t>：</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w:t>
      </w:r>
      <w:r>
        <w:rPr>
          <w:rFonts w:hint="eastAsia" w:ascii="宋体" w:hAnsi="宋体" w:cs="宋体"/>
          <w:color w:val="auto"/>
          <w:sz w:val="28"/>
          <w:szCs w:val="28"/>
          <w:highlight w:val="none"/>
          <w:lang w:val="en-US" w:eastAsia="zh-CN"/>
        </w:rPr>
        <w:t>签字或盖章</w:t>
      </w:r>
      <w:r>
        <w:rPr>
          <w:rFonts w:hint="eastAsia" w:ascii="宋体" w:hAnsi="宋体" w:cs="宋体"/>
          <w:color w:val="auto"/>
          <w:sz w:val="28"/>
          <w:szCs w:val="28"/>
          <w:highlight w:val="none"/>
        </w:rPr>
        <w:t>）</w:t>
      </w:r>
    </w:p>
    <w:p>
      <w:pPr>
        <w:spacing w:line="360" w:lineRule="auto"/>
        <w:jc w:val="right"/>
        <w:rPr>
          <w:rFonts w:hint="eastAsia" w:ascii="宋体" w:hAnsi="宋体" w:cs="宋体"/>
          <w:color w:val="auto"/>
          <w:sz w:val="28"/>
          <w:szCs w:val="28"/>
          <w:highlight w:val="none"/>
        </w:rPr>
      </w:pPr>
      <w:r>
        <w:rPr>
          <w:rFonts w:hint="eastAsia" w:ascii="宋体" w:hAnsi="宋体" w:cs="宋体"/>
          <w:color w:val="auto"/>
          <w:sz w:val="28"/>
          <w:szCs w:val="28"/>
          <w:highlight w:val="none"/>
        </w:rPr>
        <w:t>成员一名称：</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（单位</w:t>
      </w:r>
      <w:r>
        <w:rPr>
          <w:rFonts w:hint="eastAsia" w:ascii="宋体" w:hAnsi="宋体" w:cs="宋体"/>
          <w:color w:val="auto"/>
          <w:sz w:val="28"/>
          <w:szCs w:val="28"/>
          <w:highlight w:val="none"/>
          <w:lang w:val="en-US" w:eastAsia="zh-CN"/>
        </w:rPr>
        <w:t>盖章</w:t>
      </w:r>
      <w:r>
        <w:rPr>
          <w:rFonts w:hint="eastAsia" w:ascii="宋体" w:hAnsi="宋体" w:cs="宋体"/>
          <w:color w:val="auto"/>
          <w:sz w:val="28"/>
          <w:szCs w:val="28"/>
          <w:highlight w:val="none"/>
        </w:rPr>
        <w:t>）</w:t>
      </w:r>
    </w:p>
    <w:p>
      <w:pPr>
        <w:wordWrap w:val="0"/>
        <w:spacing w:line="360" w:lineRule="auto"/>
        <w:jc w:val="right"/>
        <w:rPr>
          <w:rFonts w:hint="eastAsia" w:ascii="宋体" w:hAnsi="宋体" w:cs="宋体"/>
          <w:color w:val="auto"/>
          <w:sz w:val="28"/>
          <w:szCs w:val="28"/>
          <w:highlight w:val="none"/>
        </w:rPr>
      </w:pPr>
      <w:r>
        <w:rPr>
          <w:rFonts w:hint="eastAsia" w:ascii="宋体" w:hAnsi="宋体" w:cs="宋体"/>
          <w:bCs/>
          <w:color w:val="auto"/>
          <w:sz w:val="28"/>
          <w:szCs w:val="28"/>
          <w:highlight w:val="none"/>
        </w:rPr>
        <w:t>法定代表人或其委托代理人</w:t>
      </w:r>
      <w:r>
        <w:rPr>
          <w:rFonts w:hint="eastAsia" w:ascii="宋体" w:hAnsi="宋体" w:cs="宋体"/>
          <w:color w:val="auto"/>
          <w:sz w:val="28"/>
          <w:szCs w:val="28"/>
          <w:highlight w:val="none"/>
        </w:rPr>
        <w:t>：</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w:t>
      </w:r>
      <w:r>
        <w:rPr>
          <w:rFonts w:hint="eastAsia" w:ascii="宋体" w:hAnsi="宋体" w:cs="宋体"/>
          <w:color w:val="auto"/>
          <w:sz w:val="28"/>
          <w:szCs w:val="28"/>
          <w:highlight w:val="none"/>
          <w:lang w:val="en-US" w:eastAsia="zh-CN"/>
        </w:rPr>
        <w:t>签字或盖章</w:t>
      </w:r>
      <w:r>
        <w:rPr>
          <w:rFonts w:hint="eastAsia" w:ascii="宋体" w:hAnsi="宋体" w:cs="宋体"/>
          <w:color w:val="auto"/>
          <w:sz w:val="28"/>
          <w:szCs w:val="28"/>
          <w:highlight w:val="none"/>
        </w:rPr>
        <w:t>）</w:t>
      </w:r>
    </w:p>
    <w:p>
      <w:pPr>
        <w:spacing w:line="360" w:lineRule="auto"/>
        <w:ind w:firstLine="5040" w:firstLineChars="1800"/>
        <w:jc w:val="right"/>
        <w:rPr>
          <w:rFonts w:hint="eastAsia" w:ascii="宋体" w:hAnsi="宋体" w:cs="宋体"/>
          <w:color w:val="auto"/>
          <w:sz w:val="28"/>
          <w:szCs w:val="28"/>
          <w:highlight w:val="none"/>
        </w:rPr>
      </w:pPr>
    </w:p>
    <w:p>
      <w:pPr>
        <w:pStyle w:val="4"/>
        <w:jc w:val="right"/>
        <w:rPr>
          <w:rFonts w:hint="eastAsia" w:ascii="宋体" w:hAnsi="宋体" w:cs="宋体"/>
          <w:color w:val="auto"/>
          <w:highlight w:val="none"/>
        </w:rPr>
      </w:pP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4"/>
        <w:rPr>
          <w:rFonts w:hint="eastAsia" w:ascii="宋体" w:hAnsi="宋体" w:cs="宋体"/>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项目负责人</w:t>
      </w:r>
    </w:p>
    <w:p>
      <w:pPr>
        <w:rPr>
          <w:rFonts w:hint="eastAsia" w:ascii="宋体" w:hAnsi="宋体" w:cs="宋体"/>
          <w:color w:val="auto"/>
          <w:highlight w:val="none"/>
        </w:rPr>
      </w:pPr>
    </w:p>
    <w:p>
      <w:pPr>
        <w:pStyle w:val="38"/>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项目负责人应附注册证书、身份证、职称证、学历证等。</w:t>
      </w:r>
    </w:p>
    <w:p>
      <w:pPr>
        <w:pStyle w:val="38"/>
        <w:spacing w:line="400" w:lineRule="exact"/>
        <w:rPr>
          <w:rFonts w:hint="eastAsia" w:ascii="宋体" w:hAnsi="宋体" w:cs="宋体"/>
          <w:color w:val="auto"/>
          <w:sz w:val="24"/>
          <w:highlight w:val="none"/>
        </w:rPr>
      </w:pPr>
    </w:p>
    <w:tbl>
      <w:tblPr>
        <w:tblStyle w:val="2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1079"/>
        <w:gridCol w:w="927"/>
        <w:gridCol w:w="1065"/>
        <w:gridCol w:w="1969"/>
        <w:gridCol w:w="161"/>
        <w:gridCol w:w="2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186" w:type="dxa"/>
            <w:tcBorders>
              <w:top w:val="single" w:color="auto" w:sz="4" w:space="0"/>
              <w:left w:val="single" w:color="auto" w:sz="4" w:space="0"/>
              <w:bottom w:val="single" w:color="auto" w:sz="4" w:space="0"/>
              <w:right w:val="single" w:color="auto" w:sz="4" w:space="0"/>
            </w:tcBorders>
            <w:vAlign w:val="center"/>
          </w:tcPr>
          <w:p>
            <w:pPr>
              <w:pStyle w:val="38"/>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姓  名</w:t>
            </w:r>
          </w:p>
        </w:tc>
        <w:tc>
          <w:tcPr>
            <w:tcW w:w="1079" w:type="dxa"/>
            <w:tcBorders>
              <w:top w:val="single" w:color="auto" w:sz="4" w:space="0"/>
              <w:left w:val="single" w:color="auto" w:sz="4" w:space="0"/>
              <w:bottom w:val="single" w:color="auto" w:sz="4" w:space="0"/>
              <w:right w:val="single" w:color="auto" w:sz="4" w:space="0"/>
            </w:tcBorders>
            <w:vAlign w:val="center"/>
          </w:tcPr>
          <w:p>
            <w:pPr>
              <w:pStyle w:val="38"/>
              <w:spacing w:line="440" w:lineRule="exact"/>
              <w:jc w:val="center"/>
              <w:rPr>
                <w:rFonts w:hint="eastAsia" w:ascii="宋体" w:hAnsi="宋体" w:cs="宋体"/>
                <w:color w:val="auto"/>
                <w:sz w:val="24"/>
                <w:highlight w:val="none"/>
              </w:rPr>
            </w:pPr>
          </w:p>
        </w:tc>
        <w:tc>
          <w:tcPr>
            <w:tcW w:w="927" w:type="dxa"/>
            <w:tcBorders>
              <w:top w:val="single" w:color="auto" w:sz="4" w:space="0"/>
              <w:left w:val="single" w:color="auto" w:sz="4" w:space="0"/>
              <w:bottom w:val="single" w:color="auto" w:sz="4" w:space="0"/>
              <w:right w:val="single" w:color="auto" w:sz="4" w:space="0"/>
            </w:tcBorders>
            <w:vAlign w:val="center"/>
          </w:tcPr>
          <w:p>
            <w:pPr>
              <w:pStyle w:val="38"/>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年 龄</w:t>
            </w:r>
          </w:p>
        </w:tc>
        <w:tc>
          <w:tcPr>
            <w:tcW w:w="1065" w:type="dxa"/>
            <w:tcBorders>
              <w:top w:val="single" w:color="auto" w:sz="4" w:space="0"/>
              <w:left w:val="single" w:color="auto" w:sz="4" w:space="0"/>
              <w:bottom w:val="single" w:color="auto" w:sz="4" w:space="0"/>
              <w:right w:val="single" w:color="auto" w:sz="4" w:space="0"/>
            </w:tcBorders>
            <w:vAlign w:val="center"/>
          </w:tcPr>
          <w:p>
            <w:pPr>
              <w:pStyle w:val="38"/>
              <w:spacing w:line="440" w:lineRule="exact"/>
              <w:jc w:val="center"/>
              <w:rPr>
                <w:rFonts w:hint="eastAsia" w:ascii="宋体" w:hAnsi="宋体" w:cs="宋体"/>
                <w:color w:val="auto"/>
                <w:sz w:val="24"/>
                <w:highlight w:val="none"/>
              </w:rPr>
            </w:pPr>
          </w:p>
        </w:tc>
        <w:tc>
          <w:tcPr>
            <w:tcW w:w="2130" w:type="dxa"/>
            <w:gridSpan w:val="2"/>
            <w:tcBorders>
              <w:top w:val="single" w:color="auto" w:sz="4" w:space="0"/>
              <w:left w:val="single" w:color="auto" w:sz="4" w:space="0"/>
              <w:bottom w:val="single" w:color="auto" w:sz="4" w:space="0"/>
              <w:right w:val="single" w:color="auto" w:sz="4" w:space="0"/>
            </w:tcBorders>
            <w:vAlign w:val="center"/>
          </w:tcPr>
          <w:p>
            <w:pPr>
              <w:pStyle w:val="38"/>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学 历</w:t>
            </w:r>
          </w:p>
        </w:tc>
        <w:tc>
          <w:tcPr>
            <w:tcW w:w="2135" w:type="dxa"/>
            <w:tcBorders>
              <w:top w:val="single" w:color="auto" w:sz="4" w:space="0"/>
              <w:left w:val="single" w:color="auto" w:sz="4" w:space="0"/>
              <w:bottom w:val="single" w:color="auto" w:sz="4" w:space="0"/>
              <w:right w:val="single" w:color="auto" w:sz="4" w:space="0"/>
            </w:tcBorders>
            <w:vAlign w:val="center"/>
          </w:tcPr>
          <w:p>
            <w:pPr>
              <w:pStyle w:val="38"/>
              <w:spacing w:line="440" w:lineRule="exact"/>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tcBorders>
              <w:top w:val="single" w:color="auto" w:sz="4" w:space="0"/>
              <w:left w:val="single" w:color="auto" w:sz="4" w:space="0"/>
              <w:bottom w:val="single" w:color="auto" w:sz="4" w:space="0"/>
              <w:right w:val="single" w:color="auto" w:sz="4" w:space="0"/>
            </w:tcBorders>
            <w:vAlign w:val="center"/>
          </w:tcPr>
          <w:p>
            <w:pPr>
              <w:pStyle w:val="38"/>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职  称</w:t>
            </w:r>
          </w:p>
        </w:tc>
        <w:tc>
          <w:tcPr>
            <w:tcW w:w="1079" w:type="dxa"/>
            <w:tcBorders>
              <w:top w:val="single" w:color="auto" w:sz="4" w:space="0"/>
              <w:left w:val="single" w:color="auto" w:sz="4" w:space="0"/>
              <w:bottom w:val="single" w:color="auto" w:sz="4" w:space="0"/>
              <w:right w:val="single" w:color="auto" w:sz="4" w:space="0"/>
            </w:tcBorders>
            <w:vAlign w:val="center"/>
          </w:tcPr>
          <w:p>
            <w:pPr>
              <w:pStyle w:val="38"/>
              <w:spacing w:line="440" w:lineRule="exact"/>
              <w:jc w:val="center"/>
              <w:rPr>
                <w:rFonts w:hint="eastAsia" w:ascii="宋体" w:hAnsi="宋体" w:cs="宋体"/>
                <w:color w:val="auto"/>
                <w:sz w:val="24"/>
                <w:highlight w:val="none"/>
              </w:rPr>
            </w:pPr>
          </w:p>
        </w:tc>
        <w:tc>
          <w:tcPr>
            <w:tcW w:w="927" w:type="dxa"/>
            <w:tcBorders>
              <w:top w:val="single" w:color="auto" w:sz="4" w:space="0"/>
              <w:left w:val="single" w:color="auto" w:sz="4" w:space="0"/>
              <w:bottom w:val="single" w:color="auto" w:sz="4" w:space="0"/>
              <w:right w:val="single" w:color="auto" w:sz="4" w:space="0"/>
            </w:tcBorders>
            <w:vAlign w:val="center"/>
          </w:tcPr>
          <w:p>
            <w:pPr>
              <w:pStyle w:val="38"/>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职 务</w:t>
            </w:r>
          </w:p>
        </w:tc>
        <w:tc>
          <w:tcPr>
            <w:tcW w:w="1065" w:type="dxa"/>
            <w:tcBorders>
              <w:top w:val="single" w:color="auto" w:sz="4" w:space="0"/>
              <w:left w:val="single" w:color="auto" w:sz="4" w:space="0"/>
              <w:bottom w:val="single" w:color="auto" w:sz="4" w:space="0"/>
              <w:right w:val="single" w:color="auto" w:sz="4" w:space="0"/>
            </w:tcBorders>
            <w:vAlign w:val="center"/>
          </w:tcPr>
          <w:p>
            <w:pPr>
              <w:pStyle w:val="38"/>
              <w:spacing w:line="440" w:lineRule="exact"/>
              <w:jc w:val="center"/>
              <w:rPr>
                <w:rFonts w:hint="eastAsia" w:ascii="宋体" w:hAnsi="宋体" w:cs="宋体"/>
                <w:color w:val="auto"/>
                <w:sz w:val="24"/>
                <w:highlight w:val="none"/>
              </w:rPr>
            </w:pPr>
          </w:p>
        </w:tc>
        <w:tc>
          <w:tcPr>
            <w:tcW w:w="2130" w:type="dxa"/>
            <w:gridSpan w:val="2"/>
            <w:tcBorders>
              <w:top w:val="single" w:color="auto" w:sz="4" w:space="0"/>
              <w:left w:val="single" w:color="auto" w:sz="4" w:space="0"/>
              <w:bottom w:val="single" w:color="auto" w:sz="4" w:space="0"/>
              <w:right w:val="single" w:color="auto" w:sz="4" w:space="0"/>
            </w:tcBorders>
            <w:vAlign w:val="center"/>
          </w:tcPr>
          <w:p>
            <w:pPr>
              <w:pStyle w:val="38"/>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拟在本工程任职</w:t>
            </w:r>
          </w:p>
        </w:tc>
        <w:tc>
          <w:tcPr>
            <w:tcW w:w="2135" w:type="dxa"/>
            <w:tcBorders>
              <w:top w:val="single" w:color="auto" w:sz="4" w:space="0"/>
              <w:left w:val="single" w:color="auto" w:sz="4" w:space="0"/>
              <w:bottom w:val="single" w:color="auto" w:sz="4" w:space="0"/>
              <w:right w:val="single" w:color="auto" w:sz="4" w:space="0"/>
            </w:tcBorders>
            <w:vAlign w:val="center"/>
          </w:tcPr>
          <w:p>
            <w:pPr>
              <w:pStyle w:val="38"/>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tcBorders>
              <w:top w:val="single" w:color="auto" w:sz="4" w:space="0"/>
              <w:left w:val="single" w:color="auto" w:sz="4" w:space="0"/>
              <w:bottom w:val="single" w:color="auto" w:sz="4" w:space="0"/>
              <w:right w:val="single" w:color="auto" w:sz="4" w:space="0"/>
            </w:tcBorders>
            <w:vAlign w:val="center"/>
          </w:tcPr>
          <w:p>
            <w:pPr>
              <w:pStyle w:val="38"/>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毕业学校</w:t>
            </w:r>
          </w:p>
        </w:tc>
        <w:tc>
          <w:tcPr>
            <w:tcW w:w="7336" w:type="dxa"/>
            <w:gridSpan w:val="6"/>
            <w:tcBorders>
              <w:top w:val="single" w:color="auto" w:sz="4" w:space="0"/>
              <w:left w:val="single" w:color="auto" w:sz="4" w:space="0"/>
              <w:bottom w:val="single" w:color="auto" w:sz="4" w:space="0"/>
              <w:right w:val="single" w:color="auto" w:sz="4" w:space="0"/>
            </w:tcBorders>
            <w:vAlign w:val="top"/>
          </w:tcPr>
          <w:p>
            <w:pPr>
              <w:pStyle w:val="38"/>
              <w:spacing w:line="440" w:lineRule="exact"/>
              <w:rPr>
                <w:rFonts w:hint="eastAsia" w:ascii="宋体" w:hAnsi="宋体" w:cs="宋体"/>
                <w:color w:val="auto"/>
                <w:sz w:val="24"/>
                <w:highlight w:val="none"/>
              </w:rPr>
            </w:pPr>
            <w:r>
              <w:rPr>
                <w:rFonts w:hint="eastAsia" w:ascii="宋体" w:hAnsi="宋体" w:cs="宋体"/>
                <w:color w:val="auto"/>
                <w:sz w:val="24"/>
                <w:highlight w:val="none"/>
              </w:rPr>
              <w:t xml:space="preserve">      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7"/>
            <w:tcBorders>
              <w:top w:val="single" w:color="auto" w:sz="4" w:space="0"/>
              <w:left w:val="single" w:color="auto" w:sz="4" w:space="0"/>
              <w:bottom w:val="single" w:color="auto" w:sz="4" w:space="0"/>
              <w:right w:val="single" w:color="auto" w:sz="4" w:space="0"/>
            </w:tcBorders>
            <w:vAlign w:val="center"/>
          </w:tcPr>
          <w:p>
            <w:pPr>
              <w:pStyle w:val="38"/>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6" w:type="dxa"/>
            <w:tcBorders>
              <w:top w:val="single" w:color="auto" w:sz="4" w:space="0"/>
              <w:left w:val="single" w:color="auto" w:sz="4" w:space="0"/>
              <w:bottom w:val="single" w:color="auto" w:sz="4" w:space="0"/>
              <w:right w:val="single" w:color="auto" w:sz="4" w:space="0"/>
            </w:tcBorders>
            <w:vAlign w:val="center"/>
          </w:tcPr>
          <w:p>
            <w:pPr>
              <w:pStyle w:val="38"/>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时  间</w:t>
            </w:r>
          </w:p>
        </w:tc>
        <w:tc>
          <w:tcPr>
            <w:tcW w:w="3071" w:type="dxa"/>
            <w:gridSpan w:val="3"/>
            <w:tcBorders>
              <w:top w:val="single" w:color="auto" w:sz="4" w:space="0"/>
              <w:left w:val="single" w:color="auto" w:sz="4" w:space="0"/>
              <w:bottom w:val="single" w:color="auto" w:sz="4" w:space="0"/>
              <w:right w:val="single" w:color="auto" w:sz="4" w:space="0"/>
            </w:tcBorders>
            <w:vAlign w:val="center"/>
          </w:tcPr>
          <w:p>
            <w:pPr>
              <w:pStyle w:val="38"/>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参加过的类似项目名称</w:t>
            </w:r>
          </w:p>
        </w:tc>
        <w:tc>
          <w:tcPr>
            <w:tcW w:w="1969" w:type="dxa"/>
            <w:tcBorders>
              <w:top w:val="single" w:color="auto" w:sz="4" w:space="0"/>
              <w:left w:val="single" w:color="auto" w:sz="4" w:space="0"/>
              <w:bottom w:val="single" w:color="auto" w:sz="4" w:space="0"/>
              <w:right w:val="single" w:color="auto" w:sz="4" w:space="0"/>
            </w:tcBorders>
            <w:vAlign w:val="center"/>
          </w:tcPr>
          <w:p>
            <w:pPr>
              <w:pStyle w:val="38"/>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概况说明</w:t>
            </w:r>
          </w:p>
        </w:tc>
        <w:tc>
          <w:tcPr>
            <w:tcW w:w="2296" w:type="dxa"/>
            <w:gridSpan w:val="2"/>
            <w:tcBorders>
              <w:top w:val="single" w:color="auto" w:sz="4" w:space="0"/>
              <w:left w:val="single" w:color="auto" w:sz="4" w:space="0"/>
              <w:bottom w:val="single" w:color="auto" w:sz="4" w:space="0"/>
              <w:right w:val="single" w:color="auto" w:sz="4" w:space="0"/>
            </w:tcBorders>
            <w:vAlign w:val="center"/>
          </w:tcPr>
          <w:p>
            <w:pPr>
              <w:pStyle w:val="38"/>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Borders>
              <w:top w:val="single" w:color="auto" w:sz="4" w:space="0"/>
              <w:left w:val="single" w:color="auto" w:sz="4" w:space="0"/>
              <w:bottom w:val="single" w:color="auto" w:sz="4" w:space="0"/>
              <w:right w:val="single" w:color="auto" w:sz="4" w:space="0"/>
            </w:tcBorders>
            <w:vAlign w:val="top"/>
          </w:tcPr>
          <w:p>
            <w:pPr>
              <w:pStyle w:val="38"/>
              <w:spacing w:line="440" w:lineRule="exact"/>
              <w:rPr>
                <w:rFonts w:hint="eastAsia" w:ascii="宋体" w:hAnsi="宋体" w:cs="宋体"/>
                <w:color w:val="auto"/>
                <w:sz w:val="24"/>
                <w:highlight w:val="none"/>
              </w:rPr>
            </w:pPr>
          </w:p>
        </w:tc>
        <w:tc>
          <w:tcPr>
            <w:tcW w:w="3071" w:type="dxa"/>
            <w:gridSpan w:val="3"/>
            <w:tcBorders>
              <w:top w:val="single" w:color="auto" w:sz="4" w:space="0"/>
              <w:left w:val="single" w:color="auto" w:sz="4" w:space="0"/>
              <w:bottom w:val="single" w:color="auto" w:sz="4" w:space="0"/>
              <w:right w:val="single" w:color="auto" w:sz="4" w:space="0"/>
            </w:tcBorders>
            <w:vAlign w:val="top"/>
          </w:tcPr>
          <w:p>
            <w:pPr>
              <w:pStyle w:val="38"/>
              <w:spacing w:line="440" w:lineRule="exact"/>
              <w:rPr>
                <w:rFonts w:hint="eastAsia" w:ascii="宋体" w:hAnsi="宋体" w:cs="宋体"/>
                <w:color w:val="auto"/>
                <w:sz w:val="24"/>
                <w:highlight w:val="none"/>
              </w:rPr>
            </w:pPr>
          </w:p>
        </w:tc>
        <w:tc>
          <w:tcPr>
            <w:tcW w:w="1969" w:type="dxa"/>
            <w:tcBorders>
              <w:top w:val="single" w:color="auto" w:sz="4" w:space="0"/>
              <w:left w:val="single" w:color="auto" w:sz="4" w:space="0"/>
              <w:bottom w:val="single" w:color="auto" w:sz="4" w:space="0"/>
              <w:right w:val="single" w:color="auto" w:sz="4" w:space="0"/>
            </w:tcBorders>
            <w:vAlign w:val="top"/>
          </w:tcPr>
          <w:p>
            <w:pPr>
              <w:pStyle w:val="38"/>
              <w:spacing w:line="440" w:lineRule="exact"/>
              <w:rPr>
                <w:rFonts w:hint="eastAsia" w:ascii="宋体" w:hAnsi="宋体" w:cs="宋体"/>
                <w:color w:val="auto"/>
                <w:sz w:val="24"/>
                <w:highlight w:val="none"/>
              </w:rPr>
            </w:pPr>
          </w:p>
        </w:tc>
        <w:tc>
          <w:tcPr>
            <w:tcW w:w="2296" w:type="dxa"/>
            <w:gridSpan w:val="2"/>
            <w:tcBorders>
              <w:top w:val="single" w:color="auto" w:sz="4" w:space="0"/>
              <w:left w:val="single" w:color="auto" w:sz="4" w:space="0"/>
              <w:bottom w:val="single" w:color="auto" w:sz="4" w:space="0"/>
              <w:right w:val="single" w:color="auto" w:sz="4" w:space="0"/>
            </w:tcBorders>
            <w:vAlign w:val="top"/>
          </w:tcPr>
          <w:p>
            <w:pPr>
              <w:pStyle w:val="38"/>
              <w:spacing w:line="440" w:lineRule="exact"/>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Borders>
              <w:top w:val="single" w:color="auto" w:sz="4" w:space="0"/>
              <w:left w:val="single" w:color="auto" w:sz="4" w:space="0"/>
              <w:bottom w:val="single" w:color="auto" w:sz="4" w:space="0"/>
              <w:right w:val="single" w:color="auto" w:sz="4" w:space="0"/>
            </w:tcBorders>
            <w:vAlign w:val="top"/>
          </w:tcPr>
          <w:p>
            <w:pPr>
              <w:pStyle w:val="38"/>
              <w:spacing w:line="440" w:lineRule="exact"/>
              <w:rPr>
                <w:rFonts w:hint="eastAsia" w:ascii="宋体" w:hAnsi="宋体" w:cs="宋体"/>
                <w:color w:val="auto"/>
                <w:sz w:val="24"/>
                <w:highlight w:val="none"/>
              </w:rPr>
            </w:pPr>
          </w:p>
        </w:tc>
        <w:tc>
          <w:tcPr>
            <w:tcW w:w="3071" w:type="dxa"/>
            <w:gridSpan w:val="3"/>
            <w:tcBorders>
              <w:top w:val="single" w:color="auto" w:sz="4" w:space="0"/>
              <w:left w:val="single" w:color="auto" w:sz="4" w:space="0"/>
              <w:bottom w:val="single" w:color="auto" w:sz="4" w:space="0"/>
              <w:right w:val="single" w:color="auto" w:sz="4" w:space="0"/>
            </w:tcBorders>
            <w:vAlign w:val="top"/>
          </w:tcPr>
          <w:p>
            <w:pPr>
              <w:pStyle w:val="38"/>
              <w:spacing w:line="440" w:lineRule="exact"/>
              <w:rPr>
                <w:rFonts w:hint="eastAsia" w:ascii="宋体" w:hAnsi="宋体" w:cs="宋体"/>
                <w:color w:val="auto"/>
                <w:sz w:val="24"/>
                <w:highlight w:val="none"/>
              </w:rPr>
            </w:pPr>
          </w:p>
        </w:tc>
        <w:tc>
          <w:tcPr>
            <w:tcW w:w="1969" w:type="dxa"/>
            <w:tcBorders>
              <w:top w:val="single" w:color="auto" w:sz="4" w:space="0"/>
              <w:left w:val="single" w:color="auto" w:sz="4" w:space="0"/>
              <w:bottom w:val="single" w:color="auto" w:sz="4" w:space="0"/>
              <w:right w:val="single" w:color="auto" w:sz="4" w:space="0"/>
            </w:tcBorders>
            <w:vAlign w:val="top"/>
          </w:tcPr>
          <w:p>
            <w:pPr>
              <w:pStyle w:val="38"/>
              <w:spacing w:line="440" w:lineRule="exact"/>
              <w:rPr>
                <w:rFonts w:hint="eastAsia" w:ascii="宋体" w:hAnsi="宋体" w:cs="宋体"/>
                <w:color w:val="auto"/>
                <w:sz w:val="24"/>
                <w:highlight w:val="none"/>
              </w:rPr>
            </w:pPr>
          </w:p>
        </w:tc>
        <w:tc>
          <w:tcPr>
            <w:tcW w:w="2296" w:type="dxa"/>
            <w:gridSpan w:val="2"/>
            <w:tcBorders>
              <w:top w:val="single" w:color="auto" w:sz="4" w:space="0"/>
              <w:left w:val="single" w:color="auto" w:sz="4" w:space="0"/>
              <w:bottom w:val="single" w:color="auto" w:sz="4" w:space="0"/>
              <w:right w:val="single" w:color="auto" w:sz="4" w:space="0"/>
            </w:tcBorders>
            <w:vAlign w:val="top"/>
          </w:tcPr>
          <w:p>
            <w:pPr>
              <w:pStyle w:val="38"/>
              <w:spacing w:line="440" w:lineRule="exact"/>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Borders>
              <w:top w:val="single" w:color="auto" w:sz="4" w:space="0"/>
              <w:left w:val="single" w:color="auto" w:sz="4" w:space="0"/>
              <w:bottom w:val="single" w:color="auto" w:sz="4" w:space="0"/>
              <w:right w:val="single" w:color="auto" w:sz="4" w:space="0"/>
            </w:tcBorders>
            <w:vAlign w:val="top"/>
          </w:tcPr>
          <w:p>
            <w:pPr>
              <w:pStyle w:val="38"/>
              <w:spacing w:line="440" w:lineRule="exact"/>
              <w:rPr>
                <w:rFonts w:hint="eastAsia" w:ascii="宋体" w:hAnsi="宋体" w:cs="宋体"/>
                <w:color w:val="auto"/>
                <w:sz w:val="24"/>
                <w:highlight w:val="none"/>
              </w:rPr>
            </w:pPr>
          </w:p>
        </w:tc>
        <w:tc>
          <w:tcPr>
            <w:tcW w:w="3071" w:type="dxa"/>
            <w:gridSpan w:val="3"/>
            <w:tcBorders>
              <w:top w:val="single" w:color="auto" w:sz="4" w:space="0"/>
              <w:left w:val="single" w:color="auto" w:sz="4" w:space="0"/>
              <w:bottom w:val="single" w:color="auto" w:sz="4" w:space="0"/>
              <w:right w:val="single" w:color="auto" w:sz="4" w:space="0"/>
            </w:tcBorders>
            <w:vAlign w:val="top"/>
          </w:tcPr>
          <w:p>
            <w:pPr>
              <w:pStyle w:val="38"/>
              <w:spacing w:line="440" w:lineRule="exact"/>
              <w:rPr>
                <w:rFonts w:hint="eastAsia" w:ascii="宋体" w:hAnsi="宋体" w:cs="宋体"/>
                <w:color w:val="auto"/>
                <w:sz w:val="24"/>
                <w:highlight w:val="none"/>
              </w:rPr>
            </w:pPr>
          </w:p>
        </w:tc>
        <w:tc>
          <w:tcPr>
            <w:tcW w:w="1969" w:type="dxa"/>
            <w:tcBorders>
              <w:top w:val="single" w:color="auto" w:sz="4" w:space="0"/>
              <w:left w:val="single" w:color="auto" w:sz="4" w:space="0"/>
              <w:bottom w:val="single" w:color="auto" w:sz="4" w:space="0"/>
              <w:right w:val="single" w:color="auto" w:sz="4" w:space="0"/>
            </w:tcBorders>
            <w:vAlign w:val="top"/>
          </w:tcPr>
          <w:p>
            <w:pPr>
              <w:pStyle w:val="38"/>
              <w:spacing w:line="440" w:lineRule="exact"/>
              <w:rPr>
                <w:rFonts w:hint="eastAsia" w:ascii="宋体" w:hAnsi="宋体" w:cs="宋体"/>
                <w:color w:val="auto"/>
                <w:sz w:val="24"/>
                <w:highlight w:val="none"/>
              </w:rPr>
            </w:pPr>
          </w:p>
        </w:tc>
        <w:tc>
          <w:tcPr>
            <w:tcW w:w="2296" w:type="dxa"/>
            <w:gridSpan w:val="2"/>
            <w:tcBorders>
              <w:top w:val="single" w:color="auto" w:sz="4" w:space="0"/>
              <w:left w:val="single" w:color="auto" w:sz="4" w:space="0"/>
              <w:bottom w:val="single" w:color="auto" w:sz="4" w:space="0"/>
              <w:right w:val="single" w:color="auto" w:sz="4" w:space="0"/>
            </w:tcBorders>
            <w:vAlign w:val="top"/>
          </w:tcPr>
          <w:p>
            <w:pPr>
              <w:pStyle w:val="38"/>
              <w:spacing w:line="440" w:lineRule="exact"/>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Borders>
              <w:top w:val="single" w:color="auto" w:sz="4" w:space="0"/>
              <w:left w:val="single" w:color="auto" w:sz="4" w:space="0"/>
              <w:bottom w:val="single" w:color="auto" w:sz="4" w:space="0"/>
              <w:right w:val="single" w:color="auto" w:sz="4" w:space="0"/>
            </w:tcBorders>
            <w:vAlign w:val="center"/>
          </w:tcPr>
          <w:p>
            <w:pPr>
              <w:pStyle w:val="38"/>
              <w:spacing w:line="440" w:lineRule="exact"/>
              <w:rPr>
                <w:rFonts w:hint="eastAsia" w:ascii="宋体" w:hAnsi="宋体" w:cs="宋体"/>
                <w:color w:val="auto"/>
                <w:sz w:val="24"/>
                <w:highlight w:val="none"/>
              </w:rPr>
            </w:pPr>
          </w:p>
        </w:tc>
        <w:tc>
          <w:tcPr>
            <w:tcW w:w="3071" w:type="dxa"/>
            <w:gridSpan w:val="3"/>
            <w:tcBorders>
              <w:top w:val="single" w:color="auto" w:sz="4" w:space="0"/>
              <w:left w:val="single" w:color="auto" w:sz="4" w:space="0"/>
              <w:bottom w:val="single" w:color="auto" w:sz="4" w:space="0"/>
              <w:right w:val="single" w:color="auto" w:sz="4" w:space="0"/>
            </w:tcBorders>
            <w:vAlign w:val="center"/>
          </w:tcPr>
          <w:p>
            <w:pPr>
              <w:pStyle w:val="38"/>
              <w:spacing w:line="440" w:lineRule="exact"/>
              <w:rPr>
                <w:rFonts w:hint="eastAsia" w:ascii="宋体" w:hAnsi="宋体" w:cs="宋体"/>
                <w:color w:val="auto"/>
                <w:sz w:val="24"/>
                <w:highlight w:val="none"/>
              </w:rPr>
            </w:pPr>
          </w:p>
        </w:tc>
        <w:tc>
          <w:tcPr>
            <w:tcW w:w="1969" w:type="dxa"/>
            <w:tcBorders>
              <w:top w:val="single" w:color="auto" w:sz="4" w:space="0"/>
              <w:left w:val="single" w:color="auto" w:sz="4" w:space="0"/>
              <w:bottom w:val="single" w:color="auto" w:sz="4" w:space="0"/>
              <w:right w:val="single" w:color="auto" w:sz="4" w:space="0"/>
            </w:tcBorders>
            <w:vAlign w:val="center"/>
          </w:tcPr>
          <w:p>
            <w:pPr>
              <w:pStyle w:val="38"/>
              <w:spacing w:line="440" w:lineRule="exact"/>
              <w:rPr>
                <w:rFonts w:hint="eastAsia" w:ascii="宋体" w:hAnsi="宋体" w:cs="宋体"/>
                <w:color w:val="auto"/>
                <w:sz w:val="24"/>
                <w:highlight w:val="none"/>
              </w:rPr>
            </w:pPr>
          </w:p>
        </w:tc>
        <w:tc>
          <w:tcPr>
            <w:tcW w:w="2296" w:type="dxa"/>
            <w:gridSpan w:val="2"/>
            <w:tcBorders>
              <w:top w:val="single" w:color="auto" w:sz="4" w:space="0"/>
              <w:left w:val="single" w:color="auto" w:sz="4" w:space="0"/>
              <w:bottom w:val="single" w:color="auto" w:sz="4" w:space="0"/>
              <w:right w:val="single" w:color="auto" w:sz="4" w:space="0"/>
            </w:tcBorders>
            <w:vAlign w:val="center"/>
          </w:tcPr>
          <w:p>
            <w:pPr>
              <w:pStyle w:val="38"/>
              <w:spacing w:line="440" w:lineRule="exact"/>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Borders>
              <w:top w:val="single" w:color="auto" w:sz="4" w:space="0"/>
              <w:left w:val="single" w:color="auto" w:sz="4" w:space="0"/>
              <w:bottom w:val="single" w:color="auto" w:sz="4" w:space="0"/>
              <w:right w:val="single" w:color="auto" w:sz="4" w:space="0"/>
            </w:tcBorders>
            <w:vAlign w:val="center"/>
          </w:tcPr>
          <w:p>
            <w:pPr>
              <w:pStyle w:val="38"/>
              <w:spacing w:line="440" w:lineRule="exact"/>
              <w:rPr>
                <w:rFonts w:hint="eastAsia" w:ascii="宋体" w:hAnsi="宋体" w:cs="宋体"/>
                <w:color w:val="auto"/>
                <w:sz w:val="24"/>
                <w:highlight w:val="none"/>
              </w:rPr>
            </w:pPr>
          </w:p>
        </w:tc>
        <w:tc>
          <w:tcPr>
            <w:tcW w:w="3071" w:type="dxa"/>
            <w:gridSpan w:val="3"/>
            <w:tcBorders>
              <w:top w:val="single" w:color="auto" w:sz="4" w:space="0"/>
              <w:left w:val="single" w:color="auto" w:sz="4" w:space="0"/>
              <w:bottom w:val="single" w:color="auto" w:sz="4" w:space="0"/>
              <w:right w:val="single" w:color="auto" w:sz="4" w:space="0"/>
            </w:tcBorders>
            <w:vAlign w:val="center"/>
          </w:tcPr>
          <w:p>
            <w:pPr>
              <w:pStyle w:val="38"/>
              <w:spacing w:line="440" w:lineRule="exact"/>
              <w:rPr>
                <w:rFonts w:hint="eastAsia" w:ascii="宋体" w:hAnsi="宋体" w:cs="宋体"/>
                <w:color w:val="auto"/>
                <w:sz w:val="24"/>
                <w:highlight w:val="none"/>
              </w:rPr>
            </w:pPr>
          </w:p>
        </w:tc>
        <w:tc>
          <w:tcPr>
            <w:tcW w:w="1969" w:type="dxa"/>
            <w:tcBorders>
              <w:top w:val="single" w:color="auto" w:sz="4" w:space="0"/>
              <w:left w:val="single" w:color="auto" w:sz="4" w:space="0"/>
              <w:bottom w:val="single" w:color="auto" w:sz="4" w:space="0"/>
              <w:right w:val="single" w:color="auto" w:sz="4" w:space="0"/>
            </w:tcBorders>
            <w:vAlign w:val="center"/>
          </w:tcPr>
          <w:p>
            <w:pPr>
              <w:pStyle w:val="38"/>
              <w:spacing w:line="440" w:lineRule="exact"/>
              <w:rPr>
                <w:rFonts w:hint="eastAsia" w:ascii="宋体" w:hAnsi="宋体" w:cs="宋体"/>
                <w:color w:val="auto"/>
                <w:sz w:val="24"/>
                <w:highlight w:val="none"/>
              </w:rPr>
            </w:pPr>
          </w:p>
        </w:tc>
        <w:tc>
          <w:tcPr>
            <w:tcW w:w="2296" w:type="dxa"/>
            <w:gridSpan w:val="2"/>
            <w:tcBorders>
              <w:top w:val="single" w:color="auto" w:sz="4" w:space="0"/>
              <w:left w:val="single" w:color="auto" w:sz="4" w:space="0"/>
              <w:bottom w:val="single" w:color="auto" w:sz="4" w:space="0"/>
              <w:right w:val="single" w:color="auto" w:sz="4" w:space="0"/>
            </w:tcBorders>
            <w:vAlign w:val="center"/>
          </w:tcPr>
          <w:p>
            <w:pPr>
              <w:pStyle w:val="38"/>
              <w:spacing w:line="440" w:lineRule="exact"/>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Borders>
              <w:top w:val="single" w:color="auto" w:sz="4" w:space="0"/>
              <w:left w:val="single" w:color="auto" w:sz="4" w:space="0"/>
              <w:bottom w:val="single" w:color="auto" w:sz="4" w:space="0"/>
              <w:right w:val="single" w:color="auto" w:sz="4" w:space="0"/>
            </w:tcBorders>
            <w:vAlign w:val="center"/>
          </w:tcPr>
          <w:p>
            <w:pPr>
              <w:pStyle w:val="38"/>
              <w:spacing w:line="440" w:lineRule="exact"/>
              <w:rPr>
                <w:rFonts w:hint="eastAsia" w:ascii="宋体" w:hAnsi="宋体" w:cs="宋体"/>
                <w:color w:val="auto"/>
                <w:sz w:val="24"/>
                <w:highlight w:val="none"/>
              </w:rPr>
            </w:pPr>
          </w:p>
        </w:tc>
        <w:tc>
          <w:tcPr>
            <w:tcW w:w="3071" w:type="dxa"/>
            <w:gridSpan w:val="3"/>
            <w:tcBorders>
              <w:top w:val="single" w:color="auto" w:sz="4" w:space="0"/>
              <w:left w:val="single" w:color="auto" w:sz="4" w:space="0"/>
              <w:bottom w:val="single" w:color="auto" w:sz="4" w:space="0"/>
              <w:right w:val="single" w:color="auto" w:sz="4" w:space="0"/>
            </w:tcBorders>
            <w:vAlign w:val="center"/>
          </w:tcPr>
          <w:p>
            <w:pPr>
              <w:pStyle w:val="38"/>
              <w:spacing w:line="440" w:lineRule="exact"/>
              <w:rPr>
                <w:rFonts w:hint="eastAsia" w:ascii="宋体" w:hAnsi="宋体" w:cs="宋体"/>
                <w:color w:val="auto"/>
                <w:sz w:val="24"/>
                <w:highlight w:val="none"/>
              </w:rPr>
            </w:pPr>
          </w:p>
        </w:tc>
        <w:tc>
          <w:tcPr>
            <w:tcW w:w="1969" w:type="dxa"/>
            <w:tcBorders>
              <w:top w:val="single" w:color="auto" w:sz="4" w:space="0"/>
              <w:left w:val="single" w:color="auto" w:sz="4" w:space="0"/>
              <w:bottom w:val="single" w:color="auto" w:sz="4" w:space="0"/>
              <w:right w:val="single" w:color="auto" w:sz="4" w:space="0"/>
            </w:tcBorders>
            <w:vAlign w:val="center"/>
          </w:tcPr>
          <w:p>
            <w:pPr>
              <w:pStyle w:val="38"/>
              <w:spacing w:line="440" w:lineRule="exact"/>
              <w:rPr>
                <w:rFonts w:hint="eastAsia" w:ascii="宋体" w:hAnsi="宋体" w:cs="宋体"/>
                <w:color w:val="auto"/>
                <w:sz w:val="24"/>
                <w:highlight w:val="none"/>
              </w:rPr>
            </w:pPr>
          </w:p>
        </w:tc>
        <w:tc>
          <w:tcPr>
            <w:tcW w:w="2296" w:type="dxa"/>
            <w:gridSpan w:val="2"/>
            <w:tcBorders>
              <w:top w:val="single" w:color="auto" w:sz="4" w:space="0"/>
              <w:left w:val="single" w:color="auto" w:sz="4" w:space="0"/>
              <w:bottom w:val="single" w:color="auto" w:sz="4" w:space="0"/>
              <w:right w:val="single" w:color="auto" w:sz="4" w:space="0"/>
            </w:tcBorders>
            <w:vAlign w:val="center"/>
          </w:tcPr>
          <w:p>
            <w:pPr>
              <w:pStyle w:val="38"/>
              <w:spacing w:line="440" w:lineRule="exact"/>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Borders>
              <w:top w:val="single" w:color="auto" w:sz="4" w:space="0"/>
              <w:left w:val="single" w:color="auto" w:sz="4" w:space="0"/>
              <w:bottom w:val="single" w:color="auto" w:sz="4" w:space="0"/>
              <w:right w:val="single" w:color="auto" w:sz="4" w:space="0"/>
            </w:tcBorders>
            <w:vAlign w:val="center"/>
          </w:tcPr>
          <w:p>
            <w:pPr>
              <w:pStyle w:val="38"/>
              <w:spacing w:line="440" w:lineRule="exact"/>
              <w:rPr>
                <w:rFonts w:hint="eastAsia" w:ascii="宋体" w:hAnsi="宋体" w:cs="宋体"/>
                <w:color w:val="auto"/>
                <w:sz w:val="24"/>
                <w:highlight w:val="none"/>
              </w:rPr>
            </w:pPr>
          </w:p>
        </w:tc>
        <w:tc>
          <w:tcPr>
            <w:tcW w:w="3071" w:type="dxa"/>
            <w:gridSpan w:val="3"/>
            <w:tcBorders>
              <w:top w:val="single" w:color="auto" w:sz="4" w:space="0"/>
              <w:left w:val="single" w:color="auto" w:sz="4" w:space="0"/>
              <w:bottom w:val="single" w:color="auto" w:sz="4" w:space="0"/>
              <w:right w:val="single" w:color="auto" w:sz="4" w:space="0"/>
            </w:tcBorders>
            <w:vAlign w:val="center"/>
          </w:tcPr>
          <w:p>
            <w:pPr>
              <w:pStyle w:val="38"/>
              <w:spacing w:line="440" w:lineRule="exact"/>
              <w:rPr>
                <w:rFonts w:hint="eastAsia" w:ascii="宋体" w:hAnsi="宋体" w:cs="宋体"/>
                <w:color w:val="auto"/>
                <w:sz w:val="24"/>
                <w:highlight w:val="none"/>
              </w:rPr>
            </w:pPr>
          </w:p>
        </w:tc>
        <w:tc>
          <w:tcPr>
            <w:tcW w:w="1969" w:type="dxa"/>
            <w:tcBorders>
              <w:top w:val="single" w:color="auto" w:sz="4" w:space="0"/>
              <w:left w:val="single" w:color="auto" w:sz="4" w:space="0"/>
              <w:bottom w:val="single" w:color="auto" w:sz="4" w:space="0"/>
              <w:right w:val="single" w:color="auto" w:sz="4" w:space="0"/>
            </w:tcBorders>
            <w:vAlign w:val="center"/>
          </w:tcPr>
          <w:p>
            <w:pPr>
              <w:pStyle w:val="38"/>
              <w:spacing w:line="440" w:lineRule="exact"/>
              <w:rPr>
                <w:rFonts w:hint="eastAsia" w:ascii="宋体" w:hAnsi="宋体" w:cs="宋体"/>
                <w:color w:val="auto"/>
                <w:sz w:val="24"/>
                <w:highlight w:val="none"/>
              </w:rPr>
            </w:pPr>
          </w:p>
        </w:tc>
        <w:tc>
          <w:tcPr>
            <w:tcW w:w="2296" w:type="dxa"/>
            <w:gridSpan w:val="2"/>
            <w:tcBorders>
              <w:top w:val="single" w:color="auto" w:sz="4" w:space="0"/>
              <w:left w:val="single" w:color="auto" w:sz="4" w:space="0"/>
              <w:bottom w:val="single" w:color="auto" w:sz="4" w:space="0"/>
              <w:right w:val="single" w:color="auto" w:sz="4" w:space="0"/>
            </w:tcBorders>
            <w:vAlign w:val="center"/>
          </w:tcPr>
          <w:p>
            <w:pPr>
              <w:pStyle w:val="38"/>
              <w:spacing w:line="440" w:lineRule="exact"/>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Borders>
              <w:top w:val="single" w:color="auto" w:sz="4" w:space="0"/>
              <w:left w:val="single" w:color="auto" w:sz="4" w:space="0"/>
              <w:bottom w:val="single" w:color="auto" w:sz="4" w:space="0"/>
              <w:right w:val="single" w:color="auto" w:sz="4" w:space="0"/>
            </w:tcBorders>
            <w:vAlign w:val="center"/>
          </w:tcPr>
          <w:p>
            <w:pPr>
              <w:pStyle w:val="38"/>
              <w:spacing w:line="440" w:lineRule="exact"/>
              <w:rPr>
                <w:rFonts w:hint="eastAsia" w:ascii="宋体" w:hAnsi="宋体" w:cs="宋体"/>
                <w:color w:val="auto"/>
                <w:sz w:val="24"/>
                <w:highlight w:val="none"/>
              </w:rPr>
            </w:pPr>
          </w:p>
        </w:tc>
        <w:tc>
          <w:tcPr>
            <w:tcW w:w="3071" w:type="dxa"/>
            <w:gridSpan w:val="3"/>
            <w:tcBorders>
              <w:top w:val="single" w:color="auto" w:sz="4" w:space="0"/>
              <w:left w:val="single" w:color="auto" w:sz="4" w:space="0"/>
              <w:bottom w:val="single" w:color="auto" w:sz="4" w:space="0"/>
              <w:right w:val="single" w:color="auto" w:sz="4" w:space="0"/>
            </w:tcBorders>
            <w:vAlign w:val="center"/>
          </w:tcPr>
          <w:p>
            <w:pPr>
              <w:pStyle w:val="38"/>
              <w:spacing w:line="440" w:lineRule="exact"/>
              <w:rPr>
                <w:rFonts w:hint="eastAsia" w:ascii="宋体" w:hAnsi="宋体" w:cs="宋体"/>
                <w:color w:val="auto"/>
                <w:sz w:val="24"/>
                <w:highlight w:val="none"/>
              </w:rPr>
            </w:pPr>
          </w:p>
        </w:tc>
        <w:tc>
          <w:tcPr>
            <w:tcW w:w="1969" w:type="dxa"/>
            <w:tcBorders>
              <w:top w:val="single" w:color="auto" w:sz="4" w:space="0"/>
              <w:left w:val="single" w:color="auto" w:sz="4" w:space="0"/>
              <w:bottom w:val="single" w:color="auto" w:sz="4" w:space="0"/>
              <w:right w:val="single" w:color="auto" w:sz="4" w:space="0"/>
            </w:tcBorders>
            <w:vAlign w:val="center"/>
          </w:tcPr>
          <w:p>
            <w:pPr>
              <w:pStyle w:val="38"/>
              <w:spacing w:line="440" w:lineRule="exact"/>
              <w:rPr>
                <w:rFonts w:hint="eastAsia" w:ascii="宋体" w:hAnsi="宋体" w:cs="宋体"/>
                <w:color w:val="auto"/>
                <w:sz w:val="24"/>
                <w:highlight w:val="none"/>
              </w:rPr>
            </w:pPr>
          </w:p>
        </w:tc>
        <w:tc>
          <w:tcPr>
            <w:tcW w:w="2296" w:type="dxa"/>
            <w:gridSpan w:val="2"/>
            <w:tcBorders>
              <w:top w:val="single" w:color="auto" w:sz="4" w:space="0"/>
              <w:left w:val="single" w:color="auto" w:sz="4" w:space="0"/>
              <w:bottom w:val="single" w:color="auto" w:sz="4" w:space="0"/>
              <w:right w:val="single" w:color="auto" w:sz="4" w:space="0"/>
            </w:tcBorders>
            <w:vAlign w:val="center"/>
          </w:tcPr>
          <w:p>
            <w:pPr>
              <w:pStyle w:val="38"/>
              <w:spacing w:line="440" w:lineRule="exact"/>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Borders>
              <w:top w:val="single" w:color="auto" w:sz="4" w:space="0"/>
              <w:left w:val="single" w:color="auto" w:sz="4" w:space="0"/>
              <w:bottom w:val="single" w:color="auto" w:sz="4" w:space="0"/>
              <w:right w:val="single" w:color="auto" w:sz="4" w:space="0"/>
            </w:tcBorders>
            <w:vAlign w:val="center"/>
          </w:tcPr>
          <w:p>
            <w:pPr>
              <w:pStyle w:val="38"/>
              <w:spacing w:line="440" w:lineRule="exact"/>
              <w:rPr>
                <w:rFonts w:hint="eastAsia" w:ascii="宋体" w:hAnsi="宋体" w:cs="宋体"/>
                <w:color w:val="auto"/>
                <w:sz w:val="24"/>
                <w:highlight w:val="none"/>
              </w:rPr>
            </w:pPr>
          </w:p>
        </w:tc>
        <w:tc>
          <w:tcPr>
            <w:tcW w:w="3071" w:type="dxa"/>
            <w:gridSpan w:val="3"/>
            <w:tcBorders>
              <w:top w:val="single" w:color="auto" w:sz="4" w:space="0"/>
              <w:left w:val="single" w:color="auto" w:sz="4" w:space="0"/>
              <w:bottom w:val="single" w:color="auto" w:sz="4" w:space="0"/>
              <w:right w:val="single" w:color="auto" w:sz="4" w:space="0"/>
            </w:tcBorders>
            <w:vAlign w:val="center"/>
          </w:tcPr>
          <w:p>
            <w:pPr>
              <w:pStyle w:val="38"/>
              <w:spacing w:line="440" w:lineRule="exact"/>
              <w:rPr>
                <w:rFonts w:hint="eastAsia" w:ascii="宋体" w:hAnsi="宋体" w:cs="宋体"/>
                <w:color w:val="auto"/>
                <w:sz w:val="24"/>
                <w:highlight w:val="none"/>
              </w:rPr>
            </w:pPr>
          </w:p>
        </w:tc>
        <w:tc>
          <w:tcPr>
            <w:tcW w:w="1969" w:type="dxa"/>
            <w:tcBorders>
              <w:top w:val="single" w:color="auto" w:sz="4" w:space="0"/>
              <w:left w:val="single" w:color="auto" w:sz="4" w:space="0"/>
              <w:bottom w:val="single" w:color="auto" w:sz="4" w:space="0"/>
              <w:right w:val="single" w:color="auto" w:sz="4" w:space="0"/>
            </w:tcBorders>
            <w:vAlign w:val="center"/>
          </w:tcPr>
          <w:p>
            <w:pPr>
              <w:pStyle w:val="38"/>
              <w:spacing w:line="440" w:lineRule="exact"/>
              <w:rPr>
                <w:rFonts w:hint="eastAsia" w:ascii="宋体" w:hAnsi="宋体" w:cs="宋体"/>
                <w:color w:val="auto"/>
                <w:sz w:val="24"/>
                <w:highlight w:val="none"/>
              </w:rPr>
            </w:pPr>
          </w:p>
        </w:tc>
        <w:tc>
          <w:tcPr>
            <w:tcW w:w="2296" w:type="dxa"/>
            <w:gridSpan w:val="2"/>
            <w:tcBorders>
              <w:top w:val="single" w:color="auto" w:sz="4" w:space="0"/>
              <w:left w:val="single" w:color="auto" w:sz="4" w:space="0"/>
              <w:bottom w:val="single" w:color="auto" w:sz="4" w:space="0"/>
              <w:right w:val="single" w:color="auto" w:sz="4" w:space="0"/>
            </w:tcBorders>
            <w:vAlign w:val="center"/>
          </w:tcPr>
          <w:p>
            <w:pPr>
              <w:pStyle w:val="38"/>
              <w:spacing w:line="440" w:lineRule="exact"/>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Borders>
              <w:top w:val="single" w:color="auto" w:sz="4" w:space="0"/>
              <w:left w:val="single" w:color="auto" w:sz="4" w:space="0"/>
              <w:bottom w:val="single" w:color="auto" w:sz="4" w:space="0"/>
              <w:right w:val="single" w:color="auto" w:sz="4" w:space="0"/>
            </w:tcBorders>
            <w:vAlign w:val="center"/>
          </w:tcPr>
          <w:p>
            <w:pPr>
              <w:pStyle w:val="38"/>
              <w:spacing w:line="440" w:lineRule="exact"/>
              <w:rPr>
                <w:rFonts w:hint="eastAsia" w:ascii="宋体" w:hAnsi="宋体" w:cs="宋体"/>
                <w:color w:val="auto"/>
                <w:sz w:val="24"/>
                <w:highlight w:val="none"/>
              </w:rPr>
            </w:pPr>
          </w:p>
        </w:tc>
        <w:tc>
          <w:tcPr>
            <w:tcW w:w="3071" w:type="dxa"/>
            <w:gridSpan w:val="3"/>
            <w:tcBorders>
              <w:top w:val="single" w:color="auto" w:sz="4" w:space="0"/>
              <w:left w:val="single" w:color="auto" w:sz="4" w:space="0"/>
              <w:bottom w:val="single" w:color="auto" w:sz="4" w:space="0"/>
              <w:right w:val="single" w:color="auto" w:sz="4" w:space="0"/>
            </w:tcBorders>
            <w:vAlign w:val="center"/>
          </w:tcPr>
          <w:p>
            <w:pPr>
              <w:pStyle w:val="38"/>
              <w:spacing w:line="440" w:lineRule="exact"/>
              <w:rPr>
                <w:rFonts w:hint="eastAsia" w:ascii="宋体" w:hAnsi="宋体" w:cs="宋体"/>
                <w:color w:val="auto"/>
                <w:sz w:val="24"/>
                <w:highlight w:val="none"/>
              </w:rPr>
            </w:pPr>
          </w:p>
        </w:tc>
        <w:tc>
          <w:tcPr>
            <w:tcW w:w="1969" w:type="dxa"/>
            <w:tcBorders>
              <w:top w:val="single" w:color="auto" w:sz="4" w:space="0"/>
              <w:left w:val="single" w:color="auto" w:sz="4" w:space="0"/>
              <w:bottom w:val="single" w:color="auto" w:sz="4" w:space="0"/>
              <w:right w:val="single" w:color="auto" w:sz="4" w:space="0"/>
            </w:tcBorders>
            <w:vAlign w:val="center"/>
          </w:tcPr>
          <w:p>
            <w:pPr>
              <w:pStyle w:val="38"/>
              <w:spacing w:line="440" w:lineRule="exact"/>
              <w:rPr>
                <w:rFonts w:hint="eastAsia" w:ascii="宋体" w:hAnsi="宋体" w:cs="宋体"/>
                <w:color w:val="auto"/>
                <w:sz w:val="24"/>
                <w:highlight w:val="none"/>
              </w:rPr>
            </w:pPr>
          </w:p>
        </w:tc>
        <w:tc>
          <w:tcPr>
            <w:tcW w:w="2296" w:type="dxa"/>
            <w:gridSpan w:val="2"/>
            <w:tcBorders>
              <w:top w:val="single" w:color="auto" w:sz="4" w:space="0"/>
              <w:left w:val="single" w:color="auto" w:sz="4" w:space="0"/>
              <w:bottom w:val="single" w:color="auto" w:sz="4" w:space="0"/>
              <w:right w:val="single" w:color="auto" w:sz="4" w:space="0"/>
            </w:tcBorders>
            <w:vAlign w:val="center"/>
          </w:tcPr>
          <w:p>
            <w:pPr>
              <w:pStyle w:val="38"/>
              <w:spacing w:line="440" w:lineRule="exact"/>
              <w:rPr>
                <w:rFonts w:hint="eastAsia" w:ascii="宋体" w:hAnsi="宋体" w:cs="宋体"/>
                <w:color w:val="auto"/>
                <w:sz w:val="24"/>
                <w:highlight w:val="none"/>
              </w:rPr>
            </w:pPr>
          </w:p>
        </w:tc>
      </w:tr>
    </w:tbl>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r>
        <w:rPr>
          <w:rFonts w:hint="eastAsia" w:ascii="宋体" w:hAnsi="宋体" w:cs="宋体"/>
          <w:color w:val="auto"/>
          <w:highlight w:val="none"/>
        </w:rPr>
        <w:br w:type="page"/>
      </w:r>
    </w:p>
    <w:p>
      <w:pPr>
        <w:pStyle w:val="4"/>
        <w:spacing w:line="360" w:lineRule="auto"/>
        <w:rPr>
          <w:rFonts w:hint="eastAsia" w:ascii="宋体" w:hAnsi="宋体" w:cs="宋体"/>
          <w:color w:val="auto"/>
          <w:sz w:val="28"/>
          <w:szCs w:val="28"/>
          <w:highlight w:val="none"/>
        </w:rPr>
      </w:pPr>
      <w:bookmarkStart w:id="187" w:name="_Toc28333"/>
      <w:bookmarkEnd w:id="187"/>
      <w:bookmarkStart w:id="188" w:name="_Toc8382"/>
      <w:bookmarkEnd w:id="188"/>
      <w:r>
        <w:rPr>
          <w:rFonts w:hint="eastAsia" w:ascii="宋体" w:hAnsi="宋体" w:cs="宋体"/>
          <w:color w:val="auto"/>
          <w:sz w:val="28"/>
          <w:szCs w:val="28"/>
          <w:highlight w:val="none"/>
          <w:lang w:val="en-US" w:eastAsia="zh-CN"/>
        </w:rPr>
        <w:t>6</w:t>
      </w:r>
      <w:r>
        <w:rPr>
          <w:rFonts w:hint="eastAsia" w:ascii="宋体" w:hAnsi="宋体" w:cs="宋体"/>
          <w:color w:val="auto"/>
          <w:sz w:val="28"/>
          <w:szCs w:val="28"/>
          <w:highlight w:val="none"/>
        </w:rPr>
        <w:t>、投标保证书格式</w:t>
      </w:r>
    </w:p>
    <w:p>
      <w:pPr>
        <w:spacing w:line="360" w:lineRule="auto"/>
        <w:jc w:val="center"/>
        <w:rPr>
          <w:rFonts w:hint="eastAsia" w:ascii="宋体" w:hAnsi="宋体" w:cs="宋体"/>
          <w:b/>
          <w:color w:val="auto"/>
          <w:sz w:val="42"/>
          <w:highlight w:val="none"/>
        </w:rPr>
      </w:pPr>
      <w:r>
        <w:rPr>
          <w:rFonts w:hint="eastAsia" w:ascii="宋体" w:hAnsi="宋体" w:cs="宋体"/>
          <w:b/>
          <w:color w:val="auto"/>
          <w:sz w:val="42"/>
          <w:highlight w:val="none"/>
        </w:rPr>
        <w:t>投 标 保 证 书</w:t>
      </w:r>
    </w:p>
    <w:p>
      <w:pPr>
        <w:spacing w:line="360" w:lineRule="auto"/>
        <w:rPr>
          <w:rFonts w:hint="eastAsia" w:ascii="宋体" w:hAnsi="宋体" w:cs="宋体"/>
          <w:color w:val="auto"/>
          <w:sz w:val="24"/>
          <w:highlight w:val="none"/>
        </w:rPr>
      </w:pPr>
    </w:p>
    <w:p>
      <w:pPr>
        <w:spacing w:after="120" w:line="360" w:lineRule="auto"/>
        <w:rPr>
          <w:rFonts w:hint="eastAsia" w:ascii="宋体" w:hAnsi="宋体" w:cs="宋体"/>
          <w:b/>
          <w:color w:val="auto"/>
          <w:sz w:val="24"/>
          <w:highlight w:val="none"/>
        </w:rPr>
      </w:pPr>
      <w:r>
        <w:rPr>
          <w:rFonts w:hint="eastAsia" w:ascii="宋体" w:hAnsi="宋体" w:cs="宋体"/>
          <w:b/>
          <w:color w:val="auto"/>
          <w:sz w:val="24"/>
          <w:highlight w:val="none"/>
        </w:rPr>
        <w:t>致：</w:t>
      </w:r>
      <w:r>
        <w:rPr>
          <w:rFonts w:hint="eastAsia" w:ascii="宋体" w:hAnsi="宋体" w:cs="宋体"/>
          <w:b/>
          <w:color w:val="auto"/>
          <w:spacing w:val="10"/>
          <w:sz w:val="24"/>
          <w:highlight w:val="none"/>
        </w:rPr>
        <w:t>辽宁国信建设工程管理有限公司</w:t>
      </w:r>
      <w:r>
        <w:rPr>
          <w:rFonts w:hint="eastAsia" w:ascii="宋体" w:hAnsi="宋体" w:cs="宋体"/>
          <w:b/>
          <w:color w:val="auto"/>
          <w:sz w:val="24"/>
          <w:highlight w:val="none"/>
        </w:rPr>
        <w:t>：</w:t>
      </w:r>
    </w:p>
    <w:p>
      <w:pPr>
        <w:spacing w:before="60" w:after="60" w:line="360" w:lineRule="auto"/>
        <w:ind w:firstLine="510"/>
        <w:rPr>
          <w:rFonts w:hint="eastAsia" w:ascii="宋体" w:hAnsi="宋体" w:cs="宋体"/>
          <w:color w:val="auto"/>
          <w:sz w:val="24"/>
          <w:highlight w:val="none"/>
        </w:rPr>
      </w:pPr>
      <w:r>
        <w:rPr>
          <w:rFonts w:hint="eastAsia" w:ascii="宋体" w:hAnsi="宋体" w:cs="宋体"/>
          <w:color w:val="auto"/>
          <w:sz w:val="24"/>
          <w:highlight w:val="none"/>
        </w:rPr>
        <w:t>本保证书作为</w:t>
      </w:r>
      <w:r>
        <w:rPr>
          <w:rFonts w:hint="eastAsia" w:ascii="宋体" w:hAnsi="宋体" w:cs="宋体"/>
          <w:color w:val="auto"/>
          <w:sz w:val="24"/>
          <w:highlight w:val="none"/>
          <w:u w:val="single"/>
        </w:rPr>
        <w:t xml:space="preserve">      （投标人）      </w:t>
      </w:r>
      <w:r>
        <w:rPr>
          <w:rFonts w:hint="eastAsia" w:ascii="宋体" w:hAnsi="宋体" w:cs="宋体"/>
          <w:color w:val="auto"/>
          <w:sz w:val="24"/>
          <w:highlight w:val="none"/>
        </w:rPr>
        <w:t>对贵公司“</w:t>
      </w:r>
      <w:r>
        <w:rPr>
          <w:rFonts w:hint="eastAsia" w:ascii="宋体" w:hAnsi="宋体" w:cs="宋体"/>
          <w:color w:val="auto"/>
          <w:sz w:val="24"/>
          <w:highlight w:val="none"/>
          <w:u w:val="single"/>
        </w:rPr>
        <w:t xml:space="preserve"> （项目名称）   （项目编号）  </w:t>
      </w:r>
      <w:r>
        <w:rPr>
          <w:rFonts w:hint="eastAsia" w:ascii="宋体" w:hAnsi="宋体" w:cs="宋体"/>
          <w:color w:val="auto"/>
          <w:sz w:val="24"/>
          <w:highlight w:val="none"/>
        </w:rPr>
        <w:t>” 的提供投标保证金的保证。</w:t>
      </w:r>
    </w:p>
    <w:p>
      <w:pPr>
        <w:spacing w:before="60" w:after="60" w:line="360" w:lineRule="auto"/>
        <w:ind w:firstLine="510"/>
        <w:rPr>
          <w:rFonts w:hint="eastAsia" w:ascii="宋体" w:hAnsi="宋体" w:cs="宋体"/>
          <w:color w:val="auto"/>
          <w:sz w:val="24"/>
          <w:highlight w:val="none"/>
        </w:rPr>
      </w:pPr>
      <w:r>
        <w:rPr>
          <w:rFonts w:hint="eastAsia" w:ascii="宋体" w:hAnsi="宋体" w:cs="宋体"/>
          <w:color w:val="auto"/>
          <w:sz w:val="24"/>
          <w:highlight w:val="none"/>
        </w:rPr>
        <w:t>由我单位（公司）提供的</w:t>
      </w:r>
      <w:r>
        <w:rPr>
          <w:rFonts w:hint="eastAsia" w:ascii="宋体" w:hAnsi="宋体" w:cs="宋体"/>
          <w:color w:val="auto"/>
          <w:sz w:val="24"/>
          <w:highlight w:val="none"/>
          <w:u w:val="single"/>
        </w:rPr>
        <w:t xml:space="preserve">     （投标保证金形式）     </w:t>
      </w:r>
      <w:r>
        <w:rPr>
          <w:rFonts w:hint="eastAsia" w:ascii="宋体" w:hAnsi="宋体" w:cs="宋体"/>
          <w:color w:val="auto"/>
          <w:sz w:val="24"/>
          <w:highlight w:val="none"/>
        </w:rPr>
        <w:t>总额为___________________（人民币______________万元）。</w:t>
      </w:r>
    </w:p>
    <w:p>
      <w:pPr>
        <w:spacing w:before="60" w:after="60" w:line="360" w:lineRule="auto"/>
        <w:ind w:firstLine="510"/>
        <w:rPr>
          <w:rFonts w:hint="eastAsia" w:ascii="宋体" w:hAnsi="宋体" w:cs="宋体"/>
          <w:color w:val="auto"/>
          <w:sz w:val="24"/>
          <w:highlight w:val="none"/>
        </w:rPr>
      </w:pPr>
      <w:r>
        <w:rPr>
          <w:rFonts w:hint="eastAsia" w:ascii="宋体" w:hAnsi="宋体" w:cs="宋体"/>
          <w:color w:val="auto"/>
          <w:sz w:val="24"/>
          <w:highlight w:val="none"/>
        </w:rPr>
        <w:t>一旦发生下述行为，我单位（公司）将放弃要求退还投标保证金的权利：</w:t>
      </w:r>
    </w:p>
    <w:p>
      <w:pPr>
        <w:spacing w:before="60" w:after="60" w:line="360" w:lineRule="auto"/>
        <w:ind w:firstLine="510"/>
        <w:rPr>
          <w:rFonts w:hint="eastAsia" w:ascii="宋体" w:hAnsi="宋体" w:cs="宋体"/>
          <w:color w:val="auto"/>
          <w:sz w:val="24"/>
          <w:highlight w:val="none"/>
        </w:rPr>
      </w:pPr>
      <w:r>
        <w:rPr>
          <w:rFonts w:hint="eastAsia" w:ascii="宋体" w:hAnsi="宋体" w:cs="宋体"/>
          <w:color w:val="auto"/>
          <w:sz w:val="24"/>
          <w:highlight w:val="none"/>
        </w:rPr>
        <w:t>1、从开标日起到投标文件有效期满前，我单位撤回投标；</w:t>
      </w:r>
    </w:p>
    <w:p>
      <w:pPr>
        <w:spacing w:before="60" w:after="60" w:line="360" w:lineRule="auto"/>
        <w:ind w:firstLine="510"/>
        <w:rPr>
          <w:rFonts w:hint="eastAsia" w:ascii="宋体" w:hAnsi="宋体" w:cs="宋体"/>
          <w:color w:val="auto"/>
          <w:sz w:val="24"/>
          <w:highlight w:val="none"/>
        </w:rPr>
      </w:pPr>
      <w:r>
        <w:rPr>
          <w:rFonts w:hint="eastAsia" w:ascii="宋体" w:hAnsi="宋体" w:cs="宋体"/>
          <w:color w:val="auto"/>
          <w:sz w:val="24"/>
          <w:highlight w:val="none"/>
        </w:rPr>
        <w:t>2、开标、评标到定标期间发生违反招标文件规定的行为；</w:t>
      </w:r>
    </w:p>
    <w:p>
      <w:pPr>
        <w:spacing w:before="60" w:after="60" w:line="360" w:lineRule="auto"/>
        <w:ind w:firstLine="510"/>
        <w:rPr>
          <w:rFonts w:hint="eastAsia" w:ascii="宋体" w:hAnsi="宋体" w:cs="宋体"/>
          <w:color w:val="auto"/>
          <w:sz w:val="24"/>
          <w:highlight w:val="none"/>
        </w:rPr>
      </w:pPr>
      <w:r>
        <w:rPr>
          <w:rFonts w:hint="eastAsia" w:ascii="宋体" w:hAnsi="宋体" w:cs="宋体"/>
          <w:color w:val="auto"/>
          <w:sz w:val="24"/>
          <w:highlight w:val="none"/>
        </w:rPr>
        <w:t>本保证书自开标日起90日历天内有效，除非贵方提前终止或解除本保证书。</w:t>
      </w:r>
    </w:p>
    <w:p>
      <w:pPr>
        <w:spacing w:before="60" w:after="60" w:line="360" w:lineRule="auto"/>
        <w:rPr>
          <w:rFonts w:hint="eastAsia" w:ascii="宋体" w:hAnsi="宋体" w:cs="宋体"/>
          <w:color w:val="auto"/>
          <w:sz w:val="24"/>
          <w:highlight w:val="none"/>
        </w:rPr>
      </w:pPr>
    </w:p>
    <w:p>
      <w:pPr>
        <w:spacing w:before="60" w:after="60" w:line="360" w:lineRule="auto"/>
        <w:rPr>
          <w:rFonts w:hint="eastAsia" w:ascii="宋体" w:hAnsi="宋体" w:cs="宋体"/>
          <w:color w:val="auto"/>
          <w:sz w:val="24"/>
          <w:highlight w:val="none"/>
        </w:rPr>
      </w:pPr>
    </w:p>
    <w:p>
      <w:pPr>
        <w:spacing w:before="60" w:after="60" w:line="360" w:lineRule="auto"/>
        <w:ind w:firstLine="510"/>
        <w:rPr>
          <w:rFonts w:hint="eastAsia" w:ascii="宋体" w:hAnsi="宋体" w:cs="宋体"/>
          <w:color w:val="auto"/>
          <w:sz w:val="24"/>
          <w:highlight w:val="none"/>
        </w:rPr>
      </w:pPr>
      <w:r>
        <w:rPr>
          <w:rFonts w:hint="eastAsia" w:ascii="宋体" w:hAnsi="宋体" w:cs="宋体"/>
          <w:color w:val="auto"/>
          <w:sz w:val="24"/>
          <w:highlight w:val="none"/>
        </w:rPr>
        <w:t>投标人全称（盖公章）：________________________</w:t>
      </w:r>
    </w:p>
    <w:p>
      <w:pPr>
        <w:spacing w:before="60" w:after="60" w:line="360" w:lineRule="auto"/>
        <w:ind w:firstLine="510"/>
        <w:rPr>
          <w:rFonts w:hint="eastAsia" w:ascii="宋体" w:hAnsi="宋体" w:cs="宋体"/>
          <w:color w:val="auto"/>
          <w:sz w:val="24"/>
          <w:highlight w:val="none"/>
        </w:rPr>
      </w:pPr>
      <w:r>
        <w:rPr>
          <w:rFonts w:hint="eastAsia" w:ascii="宋体" w:hAnsi="宋体" w:cs="宋体"/>
          <w:color w:val="auto"/>
          <w:sz w:val="24"/>
          <w:highlight w:val="none"/>
        </w:rPr>
        <w:t>法定代表人或授权委托代理人（签字或盖章）：__________</w:t>
      </w:r>
    </w:p>
    <w:p>
      <w:pPr>
        <w:spacing w:before="60" w:after="60" w:line="360" w:lineRule="auto"/>
        <w:ind w:firstLine="510"/>
        <w:rPr>
          <w:rFonts w:hint="eastAsia" w:ascii="宋体" w:hAnsi="宋体" w:cs="宋体"/>
          <w:color w:val="auto"/>
          <w:sz w:val="24"/>
          <w:highlight w:val="none"/>
        </w:rPr>
      </w:pPr>
      <w:r>
        <w:rPr>
          <w:rFonts w:hint="eastAsia" w:ascii="宋体" w:hAnsi="宋体" w:cs="宋体"/>
          <w:color w:val="auto"/>
          <w:sz w:val="24"/>
          <w:highlight w:val="none"/>
        </w:rPr>
        <w:t>日期：_______年____月_____日</w:t>
      </w:r>
    </w:p>
    <w:p>
      <w:pPr>
        <w:spacing w:before="60" w:after="60" w:line="360" w:lineRule="auto"/>
        <w:ind w:firstLine="510"/>
        <w:rPr>
          <w:rFonts w:hint="eastAsia" w:ascii="宋体" w:hAnsi="宋体" w:cs="宋体"/>
          <w:color w:val="auto"/>
          <w:highlight w:val="none"/>
        </w:rPr>
      </w:pPr>
    </w:p>
    <w:p>
      <w:pPr>
        <w:pStyle w:val="4"/>
        <w:spacing w:line="360" w:lineRule="auto"/>
        <w:rPr>
          <w:rFonts w:hint="eastAsia" w:ascii="宋体" w:hAnsi="宋体" w:cs="宋体"/>
          <w:color w:val="auto"/>
          <w:sz w:val="28"/>
          <w:szCs w:val="28"/>
          <w:highlight w:val="none"/>
        </w:rPr>
      </w:pPr>
      <w:bookmarkStart w:id="189" w:name="_Toc10853"/>
      <w:bookmarkEnd w:id="189"/>
      <w:bookmarkStart w:id="190" w:name="_Toc408756326"/>
      <w:bookmarkEnd w:id="190"/>
      <w:bookmarkStart w:id="191" w:name="_Toc431929800"/>
      <w:bookmarkEnd w:id="191"/>
      <w:bookmarkStart w:id="192" w:name="_Toc2349"/>
      <w:bookmarkEnd w:id="192"/>
      <w:bookmarkStart w:id="193" w:name="_Toc428352860"/>
      <w:bookmarkEnd w:id="193"/>
      <w:bookmarkStart w:id="194" w:name="_Toc421711544"/>
      <w:bookmarkEnd w:id="194"/>
      <w:r>
        <w:rPr>
          <w:rFonts w:hint="eastAsia" w:ascii="宋体" w:hAnsi="宋体" w:cs="宋体"/>
          <w:color w:val="auto"/>
          <w:highlight w:val="none"/>
        </w:rPr>
        <w:br w:type="page"/>
      </w:r>
      <w:r>
        <w:rPr>
          <w:rFonts w:hint="eastAsia" w:ascii="宋体" w:hAnsi="宋体" w:cs="宋体"/>
          <w:color w:val="auto"/>
          <w:sz w:val="28"/>
          <w:szCs w:val="28"/>
          <w:highlight w:val="none"/>
          <w:lang w:val="en-US" w:eastAsia="zh-CN"/>
        </w:rPr>
        <w:t>7</w:t>
      </w:r>
      <w:r>
        <w:rPr>
          <w:rFonts w:hint="eastAsia" w:ascii="宋体" w:hAnsi="宋体" w:cs="宋体"/>
          <w:color w:val="auto"/>
          <w:sz w:val="28"/>
          <w:szCs w:val="28"/>
          <w:highlight w:val="none"/>
        </w:rPr>
        <w:t>、投标保证金付款凭证或保函扫描件</w:t>
      </w:r>
    </w:p>
    <w:p>
      <w:pPr>
        <w:rPr>
          <w:rFonts w:hint="eastAsia" w:ascii="宋体" w:hAnsi="宋体" w:cs="宋体"/>
          <w:color w:val="auto"/>
          <w:highlight w:val="none"/>
        </w:rPr>
      </w:pPr>
    </w:p>
    <w:p>
      <w:pPr>
        <w:rPr>
          <w:rFonts w:hint="eastAsia" w:ascii="宋体" w:hAnsi="宋体" w:cs="宋体"/>
          <w:color w:val="auto"/>
          <w:highlight w:val="none"/>
        </w:rPr>
      </w:pPr>
      <w:r>
        <w:rPr>
          <w:rFonts w:hint="eastAsia" w:ascii="宋体" w:hAnsi="宋体" w:cs="宋体"/>
          <w:color w:val="auto"/>
          <w:highlight w:val="none"/>
        </w:rPr>
        <w:br w:type="page"/>
      </w:r>
    </w:p>
    <w:p>
      <w:pPr>
        <w:rPr>
          <w:rFonts w:hint="eastAsia" w:ascii="宋体" w:hAnsi="宋体" w:cs="宋体"/>
          <w:b/>
          <w:bCs/>
          <w:color w:val="auto"/>
          <w:sz w:val="28"/>
          <w:szCs w:val="28"/>
          <w:highlight w:val="none"/>
        </w:rPr>
      </w:pPr>
      <w:r>
        <w:rPr>
          <w:rFonts w:hint="eastAsia" w:ascii="宋体" w:hAnsi="宋体" w:cs="宋体"/>
          <w:b/>
          <w:bCs/>
          <w:color w:val="auto"/>
          <w:sz w:val="28"/>
          <w:szCs w:val="28"/>
          <w:highlight w:val="none"/>
          <w:lang w:val="en-US" w:eastAsia="zh-CN"/>
        </w:rPr>
        <w:t>8</w:t>
      </w:r>
      <w:r>
        <w:rPr>
          <w:rFonts w:hint="eastAsia" w:ascii="宋体" w:hAnsi="宋体" w:cs="宋体"/>
          <w:b/>
          <w:bCs/>
          <w:color w:val="auto"/>
          <w:sz w:val="28"/>
          <w:szCs w:val="28"/>
          <w:highlight w:val="none"/>
        </w:rPr>
        <w:t>、投标人不得被列入“失信被执行人”或“失信惩戒对象”或“重大税收违法案件当事人”，以“信用中国”网站（www.creditchina.gov.cn）查询为准。（需在招标公告发布后从“信用中国”网站打印查询结果并加盖公章）</w:t>
      </w: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r>
        <w:rPr>
          <w:rFonts w:hint="eastAsia" w:ascii="宋体" w:hAnsi="宋体" w:cs="宋体"/>
          <w:color w:val="auto"/>
          <w:highlight w:val="none"/>
        </w:rPr>
        <w:br w:type="page"/>
      </w:r>
    </w:p>
    <w:p>
      <w:pPr>
        <w:numPr>
          <w:ilvl w:val="-1"/>
          <w:numId w:val="0"/>
        </w:numPr>
        <w:rPr>
          <w:rFonts w:hint="eastAsia" w:ascii="宋体" w:hAnsi="宋体" w:cs="宋体"/>
          <w:b/>
          <w:bCs/>
          <w:color w:val="auto"/>
          <w:sz w:val="28"/>
          <w:szCs w:val="28"/>
          <w:highlight w:val="none"/>
        </w:rPr>
      </w:pPr>
      <w:r>
        <w:rPr>
          <w:rFonts w:hint="eastAsia" w:ascii="宋体" w:hAnsi="宋体" w:cs="宋体"/>
          <w:b/>
          <w:bCs/>
          <w:color w:val="auto"/>
          <w:sz w:val="28"/>
          <w:szCs w:val="28"/>
          <w:highlight w:val="none"/>
          <w:lang w:val="en-US" w:eastAsia="zh-CN"/>
        </w:rPr>
        <w:t>9、</w:t>
      </w:r>
      <w:r>
        <w:rPr>
          <w:rFonts w:hint="eastAsia" w:ascii="宋体" w:hAnsi="宋体" w:cs="宋体"/>
          <w:b/>
          <w:bCs/>
          <w:color w:val="auto"/>
          <w:sz w:val="28"/>
          <w:szCs w:val="28"/>
          <w:highlight w:val="none"/>
        </w:rPr>
        <w:t>投标人告知承诺函</w:t>
      </w:r>
    </w:p>
    <w:p>
      <w:pPr>
        <w:spacing w:line="600" w:lineRule="exact"/>
        <w:jc w:val="center"/>
        <w:rPr>
          <w:rFonts w:hint="eastAsia" w:ascii="宋体" w:hAnsi="宋体" w:cs="宋体"/>
          <w:color w:val="auto"/>
          <w:szCs w:val="32"/>
          <w:highlight w:val="none"/>
        </w:rPr>
      </w:pPr>
      <w:r>
        <w:rPr>
          <w:rFonts w:hint="eastAsia" w:ascii="宋体" w:hAnsi="宋体" w:cs="宋体"/>
          <w:color w:val="auto"/>
          <w:sz w:val="32"/>
          <w:szCs w:val="32"/>
          <w:highlight w:val="none"/>
        </w:rPr>
        <w:t>投标人告知承诺函</w:t>
      </w:r>
    </w:p>
    <w:p>
      <w:pPr>
        <w:spacing w:line="600" w:lineRule="exact"/>
        <w:rPr>
          <w:rFonts w:hint="eastAsia" w:ascii="宋体" w:hAnsi="宋体" w:cs="宋体"/>
          <w:color w:val="auto"/>
          <w:sz w:val="30"/>
          <w:szCs w:val="30"/>
          <w:highlight w:val="none"/>
          <w:u w:val="single"/>
        </w:rPr>
      </w:pPr>
    </w:p>
    <w:p>
      <w:pPr>
        <w:spacing w:line="60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营口市自然资源局、营口市自然资源事务中心：</w:t>
      </w:r>
    </w:p>
    <w:p>
      <w:pPr>
        <w:spacing w:line="6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我单位参与</w:t>
      </w:r>
      <w:r>
        <w:rPr>
          <w:rFonts w:hint="eastAsia" w:ascii="宋体" w:hAnsi="宋体" w:cs="宋体"/>
          <w:color w:val="auto"/>
          <w:sz w:val="24"/>
          <w:szCs w:val="24"/>
          <w:highlight w:val="none"/>
          <w:u w:val="single"/>
        </w:rPr>
        <w:t>（辽宁省营口市海洋生态保护修复工程项目跟踪监测服务）</w:t>
      </w:r>
      <w:r>
        <w:rPr>
          <w:rFonts w:hint="eastAsia" w:ascii="宋体" w:hAnsi="宋体" w:cs="宋体"/>
          <w:color w:val="auto"/>
          <w:sz w:val="24"/>
          <w:szCs w:val="24"/>
          <w:highlight w:val="none"/>
        </w:rPr>
        <w:t>的投标。根据《中华人民共和国招标投标法》等法律法规的规定，我已知悉本单位相关权利义务，作为法定代表人（或授权委托人），本人清楚知晓我单位在本项目投标活动的情况。本人已详细阅读告知承诺函的内容，并在此郑重承诺：</w:t>
      </w:r>
    </w:p>
    <w:p>
      <w:pPr>
        <w:spacing w:line="6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一、我单位和我本人遵循公开、公平、公正、诚实守信的原则，依法依规参与本项目投标。</w:t>
      </w:r>
    </w:p>
    <w:p>
      <w:pPr>
        <w:spacing w:line="6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二、我单位具有参与本次投标的资质和能力，公司运营状况良好，不存在挂靠投标、不受让、租借、出租、出借资格或资质证书，无处罚期内的不良行为。</w:t>
      </w:r>
    </w:p>
    <w:p>
      <w:pPr>
        <w:spacing w:line="6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三、我单位在本项目投标过程中从招标公告/投标邀请书列明的渠道获取招标文件，没有通过其他不正当渠道获取招标文件。</w:t>
      </w:r>
    </w:p>
    <w:p>
      <w:pPr>
        <w:spacing w:line="6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四、我单位承诺投标文件由本单位员工独立编制，严格遵守保密义务。所提供的一切投标相关材料都是真实、有效、合法的。</w:t>
      </w:r>
    </w:p>
    <w:p>
      <w:pPr>
        <w:spacing w:line="6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五、我单位不与其他投标人相互串通投标报价，不恶意压低或抬高投标报价，不排挤其他投标人的公平竞争，不损害招标人或其他投标人的合法权益。</w:t>
      </w:r>
    </w:p>
    <w:p>
      <w:pPr>
        <w:spacing w:line="6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六、我单位不与招标人或招标代理机构串通投标，损害国家利益、社会公共利益或者他人的合法权益。</w:t>
      </w:r>
    </w:p>
    <w:p>
      <w:pPr>
        <w:spacing w:line="6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七、我单位不向招标人或者评标委员会成员行贿以牟取中标，不在开标后进行虚假恶意投诉。</w:t>
      </w:r>
    </w:p>
    <w:p>
      <w:pPr>
        <w:spacing w:line="6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八、我单位和我个人清楚并知晓《中华人民共和国刑法》第二百二十三条“投标人相互串通投标报价，损害招标人或者其他投标人利益，情节严重的，处三年以下有期徒刑或者拘役，并处或者单处罚金。投标人与招标人串通投标，损害国家、集体、公民的合法利益的，依照前款的规定处罚”的规定。</w:t>
      </w:r>
    </w:p>
    <w:p>
      <w:pPr>
        <w:spacing w:line="6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九、我单位如在本项目招标投标活动评标工作中存在串通投标、弄虚作假等行为的，本单位及本人自愿承担法律责任，接受相应刑事、纪律和行政处罚以及失信惩戒。</w:t>
      </w:r>
    </w:p>
    <w:p>
      <w:pPr>
        <w:spacing w:line="6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十、本承诺函由我单位盖章及法定代表人（授权委托人）签字（或盖章）确认。</w:t>
      </w:r>
    </w:p>
    <w:p>
      <w:pPr>
        <w:spacing w:line="600" w:lineRule="exact"/>
        <w:ind w:firstLine="480" w:firstLineChars="200"/>
        <w:rPr>
          <w:rFonts w:hint="eastAsia" w:ascii="宋体" w:hAnsi="宋体" w:cs="宋体"/>
          <w:color w:val="auto"/>
          <w:sz w:val="24"/>
          <w:szCs w:val="24"/>
          <w:highlight w:val="none"/>
          <w:shd w:val="clear" w:color="auto" w:fill="FFFFFF"/>
        </w:rPr>
      </w:pPr>
    </w:p>
    <w:p>
      <w:pPr>
        <w:spacing w:line="600" w:lineRule="exact"/>
        <w:ind w:firstLine="480" w:firstLineChars="200"/>
        <w:rPr>
          <w:rFonts w:hint="eastAsia" w:ascii="宋体" w:hAnsi="宋体" w:cs="宋体"/>
          <w:color w:val="auto"/>
          <w:sz w:val="24"/>
          <w:szCs w:val="24"/>
          <w:highlight w:val="none"/>
          <w:shd w:val="clear" w:color="auto" w:fill="FFFFFF"/>
        </w:rPr>
      </w:pPr>
    </w:p>
    <w:p>
      <w:pPr>
        <w:spacing w:line="60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承诺单位：     （盖单位公章）</w:t>
      </w:r>
    </w:p>
    <w:p>
      <w:pPr>
        <w:spacing w:line="600" w:lineRule="exact"/>
        <w:rPr>
          <w:rFonts w:hint="eastAsia" w:ascii="宋体" w:hAnsi="宋体" w:cs="宋体"/>
          <w:color w:val="auto"/>
          <w:sz w:val="24"/>
          <w:szCs w:val="24"/>
          <w:highlight w:val="none"/>
        </w:rPr>
      </w:pPr>
    </w:p>
    <w:p>
      <w:pPr>
        <w:spacing w:line="60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法定代表人（授权委托人）：        （签字或盖章）</w:t>
      </w:r>
    </w:p>
    <w:p>
      <w:pPr>
        <w:spacing w:line="600" w:lineRule="exact"/>
        <w:rPr>
          <w:rFonts w:hint="eastAsia" w:ascii="宋体" w:hAnsi="宋体" w:cs="宋体"/>
          <w:color w:val="auto"/>
          <w:sz w:val="24"/>
          <w:szCs w:val="24"/>
          <w:highlight w:val="none"/>
        </w:rPr>
      </w:pPr>
    </w:p>
    <w:p>
      <w:pPr>
        <w:spacing w:line="600" w:lineRule="exact"/>
        <w:rPr>
          <w:rFonts w:hint="eastAsia" w:ascii="宋体" w:hAnsi="宋体" w:cs="宋体"/>
          <w:color w:val="auto"/>
          <w:sz w:val="24"/>
          <w:szCs w:val="24"/>
          <w:highlight w:val="none"/>
        </w:rPr>
      </w:pPr>
    </w:p>
    <w:p>
      <w:pPr>
        <w:jc w:val="right"/>
        <w:rPr>
          <w:rFonts w:hint="eastAsia" w:ascii="宋体" w:hAnsi="宋体" w:cs="宋体"/>
          <w:b/>
          <w:bCs/>
          <w:color w:val="auto"/>
          <w:sz w:val="24"/>
          <w:szCs w:val="24"/>
          <w:highlight w:val="none"/>
        </w:rPr>
      </w:pPr>
      <w:r>
        <w:rPr>
          <w:rFonts w:hint="eastAsia" w:ascii="宋体" w:hAnsi="宋体" w:cs="宋体"/>
          <w:color w:val="auto"/>
          <w:sz w:val="24"/>
          <w:szCs w:val="24"/>
          <w:highlight w:val="none"/>
        </w:rPr>
        <w:t>承诺时间：    年   月  日</w:t>
      </w: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bookmarkStart w:id="195" w:name="_Toc13728"/>
      <w:r>
        <w:rPr>
          <w:rFonts w:hint="eastAsia" w:ascii="宋体" w:hAnsi="宋体" w:cs="宋体"/>
          <w:color w:val="auto"/>
          <w:highlight w:val="none"/>
        </w:rPr>
        <w:br w:type="page"/>
      </w:r>
    </w:p>
    <w:p>
      <w:pPr>
        <w:pStyle w:val="4"/>
        <w:spacing w:line="360" w:lineRule="auto"/>
        <w:jc w:val="center"/>
        <w:rPr>
          <w:rFonts w:hint="eastAsia" w:ascii="宋体" w:hAnsi="宋体" w:cs="宋体"/>
          <w:color w:val="auto"/>
          <w:highlight w:val="none"/>
        </w:rPr>
      </w:pPr>
      <w:bookmarkStart w:id="196" w:name="_Toc343510619"/>
      <w:bookmarkEnd w:id="196"/>
      <w:bookmarkStart w:id="197" w:name="_Toc349568743"/>
      <w:bookmarkEnd w:id="197"/>
      <w:bookmarkStart w:id="198" w:name="_Toc350516686"/>
      <w:bookmarkEnd w:id="198"/>
      <w:bookmarkStart w:id="199" w:name="_Toc330342816"/>
      <w:bookmarkEnd w:id="199"/>
      <w:bookmarkStart w:id="200" w:name="_Toc344394220"/>
      <w:bookmarkEnd w:id="200"/>
      <w:bookmarkStart w:id="201" w:name="_Toc29700"/>
      <w:bookmarkEnd w:id="201"/>
      <w:bookmarkStart w:id="202" w:name="_Toc14571"/>
      <w:bookmarkEnd w:id="202"/>
      <w:bookmarkStart w:id="203" w:name="_Toc349914547"/>
      <w:bookmarkEnd w:id="203"/>
      <w:bookmarkStart w:id="204" w:name="_Toc369353510"/>
      <w:bookmarkEnd w:id="204"/>
      <w:bookmarkStart w:id="205" w:name="_Toc19864"/>
      <w:bookmarkEnd w:id="205"/>
      <w:bookmarkStart w:id="206" w:name="_Toc350515672"/>
      <w:bookmarkEnd w:id="206"/>
      <w:bookmarkStart w:id="207" w:name="_Toc7715"/>
      <w:bookmarkEnd w:id="207"/>
      <w:bookmarkStart w:id="208" w:name="_Toc16811"/>
      <w:bookmarkEnd w:id="208"/>
      <w:bookmarkStart w:id="209" w:name="_Toc344397386"/>
      <w:bookmarkEnd w:id="209"/>
      <w:r>
        <w:rPr>
          <w:rFonts w:hint="eastAsia" w:ascii="宋体" w:hAnsi="宋体" w:cs="宋体"/>
          <w:color w:val="auto"/>
          <w:highlight w:val="none"/>
        </w:rPr>
        <w:t>第三部分 技术部分</w:t>
      </w:r>
    </w:p>
    <w:p>
      <w:pPr>
        <w:spacing w:before="240" w:after="60" w:line="360" w:lineRule="auto"/>
        <w:ind w:firstLine="510"/>
        <w:rPr>
          <w:rFonts w:hint="eastAsia" w:ascii="宋体" w:hAnsi="宋体" w:cs="宋体"/>
          <w:color w:val="auto"/>
          <w:sz w:val="24"/>
          <w:highlight w:val="none"/>
        </w:rPr>
      </w:pPr>
    </w:p>
    <w:p>
      <w:pPr>
        <w:spacing w:before="240" w:after="60" w:line="360" w:lineRule="auto"/>
        <w:ind w:firstLine="510"/>
        <w:rPr>
          <w:rFonts w:hint="eastAsia" w:ascii="宋体" w:hAnsi="宋体" w:cs="宋体"/>
          <w:color w:val="auto"/>
          <w:sz w:val="24"/>
          <w:highlight w:val="none"/>
        </w:rPr>
      </w:pPr>
      <w:r>
        <w:rPr>
          <w:rFonts w:hint="eastAsia" w:ascii="宋体" w:hAnsi="宋体" w:cs="宋体"/>
          <w:color w:val="auto"/>
          <w:sz w:val="24"/>
          <w:highlight w:val="none"/>
        </w:rPr>
        <w:t>投标人根据招标文件的要求对所投服务的以下方面进行技术说明，格式自拟：</w:t>
      </w:r>
    </w:p>
    <w:p>
      <w:pPr>
        <w:spacing w:before="240" w:after="60" w:line="360" w:lineRule="auto"/>
        <w:ind w:firstLine="51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rPr>
        <w:tab/>
      </w:r>
      <w:r>
        <w:rPr>
          <w:rFonts w:hint="eastAsia" w:ascii="宋体" w:hAnsi="宋体" w:cs="宋体"/>
          <w:color w:val="auto"/>
          <w:sz w:val="24"/>
          <w:highlight w:val="none"/>
        </w:rPr>
        <w:t>工作方案；</w:t>
      </w:r>
    </w:p>
    <w:p>
      <w:pPr>
        <w:spacing w:before="240" w:after="60" w:line="360" w:lineRule="auto"/>
        <w:ind w:firstLine="51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rPr>
        <w:tab/>
      </w:r>
      <w:r>
        <w:rPr>
          <w:rFonts w:hint="eastAsia" w:ascii="宋体" w:hAnsi="宋体" w:cs="宋体"/>
          <w:color w:val="auto"/>
          <w:sz w:val="24"/>
          <w:highlight w:val="none"/>
        </w:rPr>
        <w:t>设备保障；</w:t>
      </w:r>
    </w:p>
    <w:p>
      <w:pPr>
        <w:spacing w:before="240" w:after="60" w:line="360" w:lineRule="auto"/>
        <w:ind w:firstLine="510"/>
        <w:rPr>
          <w:rFonts w:hint="eastAsia" w:ascii="宋体" w:hAnsi="宋体" w:cs="宋体"/>
          <w:color w:val="auto"/>
          <w:sz w:val="24"/>
          <w:highlight w:val="none"/>
        </w:rPr>
      </w:pPr>
      <w:r>
        <w:rPr>
          <w:rFonts w:hint="eastAsia" w:ascii="宋体" w:hAnsi="宋体" w:cs="宋体"/>
          <w:color w:val="auto"/>
          <w:sz w:val="24"/>
          <w:highlight w:val="none"/>
        </w:rPr>
        <w:t>3) 质量控制保证措施；</w:t>
      </w:r>
    </w:p>
    <w:p>
      <w:pPr>
        <w:spacing w:before="240" w:after="60" w:line="360" w:lineRule="auto"/>
        <w:ind w:firstLine="510"/>
        <w:rPr>
          <w:rFonts w:hint="eastAsia" w:ascii="宋体" w:hAnsi="宋体" w:cs="宋体"/>
          <w:color w:val="auto"/>
          <w:sz w:val="24"/>
          <w:highlight w:val="none"/>
        </w:rPr>
      </w:pPr>
      <w:r>
        <w:rPr>
          <w:rFonts w:hint="eastAsia" w:ascii="宋体" w:hAnsi="宋体" w:cs="宋体"/>
          <w:color w:val="auto"/>
          <w:sz w:val="24"/>
          <w:highlight w:val="none"/>
        </w:rPr>
        <w:t>4）实施进度计划及保障措施；</w:t>
      </w:r>
    </w:p>
    <w:p>
      <w:pPr>
        <w:spacing w:before="240" w:after="60" w:line="360" w:lineRule="auto"/>
        <w:ind w:firstLine="510"/>
        <w:rPr>
          <w:rFonts w:hint="eastAsia" w:ascii="宋体" w:hAnsi="宋体" w:cs="宋体"/>
          <w:color w:val="auto"/>
          <w:sz w:val="24"/>
          <w:highlight w:val="none"/>
        </w:rPr>
      </w:pPr>
      <w:r>
        <w:rPr>
          <w:rFonts w:hint="eastAsia" w:ascii="宋体" w:hAnsi="宋体" w:cs="宋体"/>
          <w:color w:val="auto"/>
          <w:sz w:val="24"/>
          <w:highlight w:val="none"/>
        </w:rPr>
        <w:t>5）项目重点难点的理解及突发情况的预见和解决方案；</w:t>
      </w:r>
    </w:p>
    <w:p>
      <w:pPr>
        <w:spacing w:before="240" w:after="60" w:line="360" w:lineRule="auto"/>
        <w:ind w:firstLine="510"/>
        <w:rPr>
          <w:rFonts w:hint="eastAsia" w:ascii="宋体" w:hAnsi="宋体" w:cs="宋体"/>
          <w:color w:val="auto"/>
          <w:sz w:val="24"/>
          <w:highlight w:val="none"/>
        </w:rPr>
      </w:pPr>
      <w:r>
        <w:rPr>
          <w:rFonts w:hint="eastAsia" w:ascii="宋体" w:hAnsi="宋体" w:cs="宋体"/>
          <w:color w:val="auto"/>
          <w:sz w:val="24"/>
          <w:highlight w:val="none"/>
        </w:rPr>
        <w:t>6）资料、信息收集及管理方案。</w:t>
      </w:r>
    </w:p>
    <w:p>
      <w:pPr>
        <w:rPr>
          <w:rFonts w:hint="eastAsia" w:ascii="宋体" w:hAnsi="宋体" w:cs="宋体"/>
          <w:color w:val="auto"/>
          <w:highlight w:val="none"/>
        </w:rPr>
      </w:pPr>
    </w:p>
    <w:p>
      <w:pPr>
        <w:rPr>
          <w:rFonts w:hint="eastAsia" w:ascii="宋体" w:hAnsi="宋体" w:cs="宋体"/>
          <w:color w:val="auto"/>
          <w:highlight w:val="none"/>
        </w:rPr>
      </w:pPr>
      <w:r>
        <w:rPr>
          <w:rFonts w:hint="eastAsia" w:ascii="宋体" w:hAnsi="宋体" w:cs="宋体"/>
          <w:color w:val="auto"/>
          <w:highlight w:val="none"/>
        </w:rPr>
        <w:br w:type="page"/>
      </w:r>
    </w:p>
    <w:p>
      <w:pPr>
        <w:pStyle w:val="4"/>
        <w:spacing w:line="360" w:lineRule="auto"/>
        <w:jc w:val="center"/>
        <w:rPr>
          <w:rFonts w:hint="eastAsia" w:ascii="宋体" w:hAnsi="宋体" w:cs="宋体"/>
          <w:color w:val="auto"/>
          <w:highlight w:val="none"/>
        </w:rPr>
      </w:pPr>
      <w:bookmarkStart w:id="210" w:name="_Toc23478"/>
      <w:bookmarkEnd w:id="210"/>
      <w:bookmarkStart w:id="211" w:name="_Toc27966"/>
      <w:bookmarkEnd w:id="211"/>
      <w:r>
        <w:rPr>
          <w:rFonts w:hint="eastAsia" w:ascii="宋体" w:hAnsi="宋体" w:cs="宋体"/>
          <w:color w:val="auto"/>
          <w:highlight w:val="none"/>
        </w:rPr>
        <w:t>第四部分 商务部分</w:t>
      </w:r>
    </w:p>
    <w:p>
      <w:pPr>
        <w:pStyle w:val="4"/>
        <w:spacing w:line="360" w:lineRule="auto"/>
        <w:rPr>
          <w:rFonts w:hint="eastAsia" w:ascii="宋体" w:hAnsi="宋体" w:cs="宋体"/>
          <w:color w:val="auto"/>
          <w:sz w:val="28"/>
          <w:szCs w:val="28"/>
          <w:highlight w:val="none"/>
        </w:rPr>
      </w:pPr>
      <w:bookmarkStart w:id="212" w:name="_Toc369353509"/>
      <w:bookmarkEnd w:id="212"/>
      <w:bookmarkStart w:id="213" w:name="_Toc350516685"/>
      <w:bookmarkEnd w:id="213"/>
      <w:bookmarkStart w:id="214" w:name="_Toc25097"/>
      <w:bookmarkEnd w:id="214"/>
      <w:bookmarkStart w:id="215" w:name="_Toc9488"/>
      <w:bookmarkEnd w:id="215"/>
      <w:bookmarkStart w:id="216" w:name="_Toc330342811"/>
      <w:bookmarkEnd w:id="216"/>
      <w:bookmarkStart w:id="217" w:name="_Toc349568738"/>
      <w:bookmarkEnd w:id="217"/>
      <w:bookmarkStart w:id="218" w:name="_Toc343510614"/>
      <w:bookmarkEnd w:id="218"/>
      <w:bookmarkStart w:id="219" w:name="_Toc18123"/>
      <w:bookmarkEnd w:id="219"/>
      <w:bookmarkStart w:id="220" w:name="_Toc344397381"/>
      <w:bookmarkEnd w:id="220"/>
      <w:bookmarkStart w:id="221" w:name="_Toc349914546"/>
      <w:bookmarkEnd w:id="221"/>
      <w:bookmarkStart w:id="222" w:name="_Toc268"/>
      <w:bookmarkEnd w:id="222"/>
      <w:bookmarkStart w:id="223" w:name="_Toc344394215"/>
      <w:bookmarkEnd w:id="223"/>
      <w:bookmarkStart w:id="224" w:name="_Toc350515671"/>
      <w:bookmarkEnd w:id="224"/>
      <w:bookmarkStart w:id="225" w:name="_Toc23035"/>
      <w:bookmarkEnd w:id="225"/>
      <w:bookmarkStart w:id="226" w:name="_Toc330342560"/>
      <w:bookmarkEnd w:id="226"/>
      <w:r>
        <w:rPr>
          <w:rFonts w:hint="eastAsia" w:ascii="宋体" w:hAnsi="宋体" w:cs="宋体"/>
          <w:color w:val="auto"/>
          <w:sz w:val="28"/>
          <w:szCs w:val="28"/>
          <w:highlight w:val="none"/>
        </w:rPr>
        <w:t>1、</w:t>
      </w:r>
      <w:r>
        <w:rPr>
          <w:rFonts w:hint="eastAsia" w:ascii="宋体" w:hAnsi="宋体" w:cs="宋体"/>
          <w:bCs w:val="0"/>
          <w:color w:val="auto"/>
          <w:sz w:val="28"/>
          <w:szCs w:val="28"/>
          <w:highlight w:val="none"/>
        </w:rPr>
        <w:t>服务说明</w:t>
      </w:r>
    </w:p>
    <w:p>
      <w:pPr>
        <w:spacing w:line="360" w:lineRule="auto"/>
        <w:jc w:val="center"/>
        <w:rPr>
          <w:rFonts w:hint="eastAsia" w:ascii="宋体" w:hAnsi="宋体" w:cs="宋体"/>
          <w:color w:val="auto"/>
          <w:sz w:val="24"/>
          <w:szCs w:val="24"/>
          <w:highlight w:val="none"/>
        </w:rPr>
      </w:pPr>
    </w:p>
    <w:p>
      <w:pPr>
        <w:spacing w:line="360" w:lineRule="auto"/>
        <w:jc w:val="center"/>
        <w:rPr>
          <w:rFonts w:hint="eastAsia" w:ascii="宋体" w:hAnsi="宋体" w:cs="宋体"/>
          <w:color w:val="auto"/>
          <w:sz w:val="24"/>
          <w:szCs w:val="24"/>
          <w:highlight w:val="none"/>
        </w:rPr>
      </w:pPr>
    </w:p>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我单位所提供的服务质量完全响应“第五章 项目情况及服务需求”。</w:t>
      </w:r>
    </w:p>
    <w:p>
      <w:pPr>
        <w:spacing w:line="360" w:lineRule="auto"/>
        <w:rPr>
          <w:rFonts w:hint="eastAsia" w:ascii="宋体" w:hAnsi="宋体" w:cs="宋体"/>
          <w:color w:val="auto"/>
          <w:sz w:val="24"/>
          <w:szCs w:val="24"/>
          <w:highlight w:val="none"/>
          <w:u w:val="single"/>
        </w:rPr>
      </w:pPr>
    </w:p>
    <w:p>
      <w:pPr>
        <w:spacing w:before="240" w:after="60" w:line="360" w:lineRule="auto"/>
        <w:rPr>
          <w:rFonts w:hint="eastAsia" w:ascii="宋体" w:hAnsi="宋体" w:cs="宋体"/>
          <w:color w:val="auto"/>
          <w:sz w:val="24"/>
          <w:highlight w:val="none"/>
        </w:rPr>
      </w:pPr>
    </w:p>
    <w:p>
      <w:pPr>
        <w:spacing w:before="240" w:after="60" w:line="360" w:lineRule="auto"/>
        <w:ind w:firstLine="510"/>
        <w:rPr>
          <w:rFonts w:hint="eastAsia" w:ascii="宋体" w:hAnsi="宋体" w:cs="宋体"/>
          <w:color w:val="auto"/>
          <w:sz w:val="24"/>
          <w:highlight w:val="none"/>
        </w:rPr>
      </w:pPr>
      <w:r>
        <w:rPr>
          <w:rFonts w:hint="eastAsia" w:ascii="宋体" w:hAnsi="宋体" w:cs="宋体"/>
          <w:color w:val="auto"/>
          <w:sz w:val="24"/>
          <w:highlight w:val="none"/>
        </w:rPr>
        <w:t>投标人全称（盖公章）：</w:t>
      </w:r>
      <w:r>
        <w:rPr>
          <w:rFonts w:hint="eastAsia" w:ascii="宋体" w:hAnsi="宋体" w:cs="宋体"/>
          <w:color w:val="auto"/>
          <w:sz w:val="24"/>
          <w:highlight w:val="none"/>
          <w:u w:val="single"/>
        </w:rPr>
        <w:t xml:space="preserve">                          </w:t>
      </w:r>
    </w:p>
    <w:p>
      <w:pPr>
        <w:spacing w:before="240" w:after="60" w:line="360" w:lineRule="auto"/>
        <w:ind w:firstLine="510"/>
        <w:rPr>
          <w:rFonts w:hint="eastAsia" w:ascii="宋体" w:hAnsi="宋体" w:cs="宋体"/>
          <w:color w:val="auto"/>
          <w:sz w:val="24"/>
          <w:highlight w:val="none"/>
        </w:rPr>
      </w:pPr>
      <w:r>
        <w:rPr>
          <w:rFonts w:hint="eastAsia" w:ascii="宋体" w:hAnsi="宋体" w:cs="宋体"/>
          <w:color w:val="auto"/>
          <w:sz w:val="24"/>
          <w:highlight w:val="none"/>
        </w:rPr>
        <w:t>法定代表人或授权委托人（签字或盖章）：</w:t>
      </w:r>
      <w:r>
        <w:rPr>
          <w:rFonts w:hint="eastAsia" w:ascii="宋体" w:hAnsi="宋体" w:cs="宋体"/>
          <w:color w:val="auto"/>
          <w:sz w:val="24"/>
          <w:highlight w:val="none"/>
          <w:u w:val="single"/>
        </w:rPr>
        <w:t xml:space="preserve">                </w:t>
      </w:r>
    </w:p>
    <w:p>
      <w:pPr>
        <w:spacing w:before="240" w:after="60" w:line="360" w:lineRule="auto"/>
        <w:ind w:firstLine="510"/>
        <w:rPr>
          <w:rFonts w:hint="eastAsia" w:ascii="宋体" w:hAnsi="宋体" w:cs="宋体"/>
          <w:color w:val="auto"/>
          <w:sz w:val="24"/>
          <w:highlight w:val="none"/>
        </w:rPr>
      </w:pPr>
      <w:r>
        <w:rPr>
          <w:rFonts w:hint="eastAsia" w:ascii="宋体" w:hAnsi="宋体" w:cs="宋体"/>
          <w:color w:val="auto"/>
          <w:sz w:val="24"/>
          <w:highlight w:val="none"/>
        </w:rPr>
        <w:t>日期：________年_____月_____日</w:t>
      </w:r>
    </w:p>
    <w:p>
      <w:pPr>
        <w:spacing w:line="360" w:lineRule="auto"/>
        <w:rPr>
          <w:rFonts w:hint="eastAsia" w:ascii="宋体" w:hAnsi="宋体" w:cs="宋体"/>
          <w:b/>
          <w:bCs/>
          <w:color w:val="auto"/>
          <w:sz w:val="24"/>
          <w:szCs w:val="24"/>
          <w:highlight w:val="none"/>
        </w:rPr>
      </w:pPr>
    </w:p>
    <w:p>
      <w:pPr>
        <w:pStyle w:val="4"/>
        <w:spacing w:line="360" w:lineRule="auto"/>
        <w:rPr>
          <w:rFonts w:hint="eastAsia" w:ascii="宋体" w:hAnsi="宋体" w:eastAsia="宋体" w:cs="宋体"/>
          <w:color w:val="auto"/>
          <w:sz w:val="28"/>
          <w:szCs w:val="28"/>
          <w:highlight w:val="none"/>
        </w:rPr>
        <w:sectPr>
          <w:headerReference r:id="rId14" w:type="default"/>
          <w:pgSz w:w="11906" w:h="16838"/>
          <w:pgMar w:top="1134" w:right="1274" w:bottom="993" w:left="1276" w:header="454" w:footer="454" w:gutter="0"/>
          <w:cols w:space="720" w:num="1"/>
          <w:docGrid w:linePitch="312" w:charSpace="0"/>
        </w:sectPr>
      </w:pPr>
    </w:p>
    <w:p>
      <w:pPr>
        <w:pStyle w:val="4"/>
        <w:spacing w:line="360" w:lineRule="auto"/>
        <w:rPr>
          <w:rFonts w:hint="eastAsia" w:ascii="宋体" w:hAnsi="宋体" w:cs="宋体"/>
          <w:color w:val="auto"/>
          <w:sz w:val="28"/>
          <w:szCs w:val="28"/>
          <w:highlight w:val="none"/>
        </w:rPr>
      </w:pPr>
      <w:bookmarkStart w:id="227" w:name="_Toc350516687"/>
      <w:bookmarkEnd w:id="227"/>
      <w:bookmarkStart w:id="228" w:name="_Toc350515673"/>
      <w:bookmarkEnd w:id="228"/>
      <w:bookmarkStart w:id="229" w:name="_Toc349914548"/>
      <w:bookmarkEnd w:id="229"/>
      <w:bookmarkStart w:id="230" w:name="_Toc7616"/>
      <w:bookmarkEnd w:id="230"/>
      <w:bookmarkStart w:id="231" w:name="_Toc14964"/>
      <w:bookmarkEnd w:id="231"/>
      <w:bookmarkStart w:id="232" w:name="_Toc369353511"/>
      <w:bookmarkEnd w:id="232"/>
      <w:bookmarkStart w:id="233" w:name="_Toc23964"/>
      <w:bookmarkEnd w:id="233"/>
      <w:r>
        <w:rPr>
          <w:rFonts w:hint="eastAsia" w:ascii="宋体" w:hAnsi="宋体" w:cs="宋体"/>
          <w:color w:val="auto"/>
          <w:sz w:val="28"/>
          <w:szCs w:val="28"/>
          <w:highlight w:val="none"/>
        </w:rPr>
        <w:t>2、拟投入本项目的人员情况（格式）</w:t>
      </w:r>
    </w:p>
    <w:p>
      <w:pPr>
        <w:spacing w:line="360" w:lineRule="auto"/>
        <w:jc w:val="center"/>
        <w:rPr>
          <w:rFonts w:hint="eastAsia" w:ascii="宋体" w:hAnsi="宋体" w:cs="宋体"/>
          <w:b/>
          <w:color w:val="auto"/>
          <w:highlight w:val="none"/>
        </w:rPr>
      </w:pPr>
      <w:r>
        <w:rPr>
          <w:rFonts w:hint="eastAsia" w:ascii="宋体" w:hAnsi="宋体" w:cs="宋体"/>
          <w:b/>
          <w:color w:val="auto"/>
          <w:sz w:val="28"/>
          <w:szCs w:val="28"/>
          <w:highlight w:val="none"/>
        </w:rPr>
        <w:t>拟投入本项目的人员情况</w:t>
      </w:r>
    </w:p>
    <w:tbl>
      <w:tblPr>
        <w:tblStyle w:val="26"/>
        <w:tblW w:w="95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7"/>
        <w:gridCol w:w="3188"/>
        <w:gridCol w:w="3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3187" w:type="dxa"/>
            <w:vAlign w:val="center"/>
          </w:tcPr>
          <w:p>
            <w:pPr>
              <w:pStyle w:val="13"/>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人员姓名</w:t>
            </w:r>
          </w:p>
        </w:tc>
        <w:tc>
          <w:tcPr>
            <w:tcW w:w="3188" w:type="dxa"/>
            <w:vAlign w:val="center"/>
          </w:tcPr>
          <w:p>
            <w:pPr>
              <w:pStyle w:val="13"/>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专业工作年限</w:t>
            </w:r>
          </w:p>
        </w:tc>
        <w:tc>
          <w:tcPr>
            <w:tcW w:w="3197" w:type="dxa"/>
            <w:vAlign w:val="center"/>
          </w:tcPr>
          <w:p>
            <w:pPr>
              <w:pStyle w:val="13"/>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3187" w:type="dxa"/>
            <w:vAlign w:val="center"/>
          </w:tcPr>
          <w:p>
            <w:pPr>
              <w:pStyle w:val="13"/>
              <w:spacing w:line="360" w:lineRule="auto"/>
              <w:rPr>
                <w:rFonts w:hint="eastAsia" w:ascii="宋体" w:hAnsi="宋体" w:cs="宋体"/>
                <w:color w:val="auto"/>
                <w:sz w:val="28"/>
                <w:szCs w:val="28"/>
                <w:highlight w:val="none"/>
              </w:rPr>
            </w:pPr>
          </w:p>
        </w:tc>
        <w:tc>
          <w:tcPr>
            <w:tcW w:w="3188" w:type="dxa"/>
            <w:vAlign w:val="center"/>
          </w:tcPr>
          <w:p>
            <w:pPr>
              <w:pStyle w:val="13"/>
              <w:spacing w:line="360" w:lineRule="auto"/>
              <w:rPr>
                <w:rFonts w:hint="eastAsia" w:ascii="宋体" w:hAnsi="宋体" w:cs="宋体"/>
                <w:color w:val="auto"/>
                <w:sz w:val="28"/>
                <w:szCs w:val="28"/>
                <w:highlight w:val="none"/>
              </w:rPr>
            </w:pPr>
          </w:p>
        </w:tc>
        <w:tc>
          <w:tcPr>
            <w:tcW w:w="3197" w:type="dxa"/>
            <w:vAlign w:val="center"/>
          </w:tcPr>
          <w:p>
            <w:pPr>
              <w:pStyle w:val="13"/>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3187" w:type="dxa"/>
            <w:vAlign w:val="center"/>
          </w:tcPr>
          <w:p>
            <w:pPr>
              <w:pStyle w:val="13"/>
              <w:spacing w:line="360" w:lineRule="auto"/>
              <w:rPr>
                <w:rFonts w:hint="eastAsia" w:ascii="宋体" w:hAnsi="宋体" w:cs="宋体"/>
                <w:color w:val="auto"/>
                <w:sz w:val="28"/>
                <w:szCs w:val="28"/>
                <w:highlight w:val="none"/>
              </w:rPr>
            </w:pPr>
          </w:p>
        </w:tc>
        <w:tc>
          <w:tcPr>
            <w:tcW w:w="3188" w:type="dxa"/>
            <w:vAlign w:val="center"/>
          </w:tcPr>
          <w:p>
            <w:pPr>
              <w:pStyle w:val="13"/>
              <w:spacing w:line="360" w:lineRule="auto"/>
              <w:rPr>
                <w:rFonts w:hint="eastAsia" w:ascii="宋体" w:hAnsi="宋体" w:cs="宋体"/>
                <w:color w:val="auto"/>
                <w:sz w:val="28"/>
                <w:szCs w:val="28"/>
                <w:highlight w:val="none"/>
              </w:rPr>
            </w:pPr>
          </w:p>
        </w:tc>
        <w:tc>
          <w:tcPr>
            <w:tcW w:w="3197" w:type="dxa"/>
            <w:vAlign w:val="center"/>
          </w:tcPr>
          <w:p>
            <w:pPr>
              <w:pStyle w:val="13"/>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3187" w:type="dxa"/>
            <w:vAlign w:val="center"/>
          </w:tcPr>
          <w:p>
            <w:pPr>
              <w:pStyle w:val="13"/>
              <w:spacing w:line="360" w:lineRule="auto"/>
              <w:rPr>
                <w:rFonts w:hint="eastAsia" w:ascii="宋体" w:hAnsi="宋体" w:cs="宋体"/>
                <w:color w:val="auto"/>
                <w:sz w:val="28"/>
                <w:szCs w:val="28"/>
                <w:highlight w:val="none"/>
              </w:rPr>
            </w:pPr>
          </w:p>
        </w:tc>
        <w:tc>
          <w:tcPr>
            <w:tcW w:w="3188" w:type="dxa"/>
            <w:vAlign w:val="center"/>
          </w:tcPr>
          <w:p>
            <w:pPr>
              <w:pStyle w:val="13"/>
              <w:spacing w:line="360" w:lineRule="auto"/>
              <w:rPr>
                <w:rFonts w:hint="eastAsia" w:ascii="宋体" w:hAnsi="宋体" w:cs="宋体"/>
                <w:color w:val="auto"/>
                <w:sz w:val="28"/>
                <w:szCs w:val="28"/>
                <w:highlight w:val="none"/>
              </w:rPr>
            </w:pPr>
          </w:p>
        </w:tc>
        <w:tc>
          <w:tcPr>
            <w:tcW w:w="3197" w:type="dxa"/>
            <w:vAlign w:val="center"/>
          </w:tcPr>
          <w:p>
            <w:pPr>
              <w:pStyle w:val="13"/>
              <w:spacing w:line="360" w:lineRule="auto"/>
              <w:rPr>
                <w:rFonts w:hint="eastAsia"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3187" w:type="dxa"/>
            <w:vAlign w:val="center"/>
          </w:tcPr>
          <w:p>
            <w:pPr>
              <w:pStyle w:val="13"/>
              <w:spacing w:line="360" w:lineRule="auto"/>
              <w:rPr>
                <w:rFonts w:hint="eastAsia" w:ascii="宋体" w:hAnsi="宋体" w:cs="宋体"/>
                <w:color w:val="auto"/>
                <w:sz w:val="28"/>
                <w:szCs w:val="28"/>
                <w:highlight w:val="none"/>
              </w:rPr>
            </w:pPr>
          </w:p>
        </w:tc>
        <w:tc>
          <w:tcPr>
            <w:tcW w:w="3188" w:type="dxa"/>
            <w:vAlign w:val="center"/>
          </w:tcPr>
          <w:p>
            <w:pPr>
              <w:pStyle w:val="13"/>
              <w:spacing w:line="360" w:lineRule="auto"/>
              <w:rPr>
                <w:rFonts w:hint="eastAsia" w:ascii="宋体" w:hAnsi="宋体" w:cs="宋体"/>
                <w:color w:val="auto"/>
                <w:sz w:val="28"/>
                <w:szCs w:val="28"/>
                <w:highlight w:val="none"/>
              </w:rPr>
            </w:pPr>
          </w:p>
        </w:tc>
        <w:tc>
          <w:tcPr>
            <w:tcW w:w="3197" w:type="dxa"/>
            <w:vAlign w:val="center"/>
          </w:tcPr>
          <w:p>
            <w:pPr>
              <w:pStyle w:val="13"/>
              <w:spacing w:line="360" w:lineRule="auto"/>
              <w:rPr>
                <w:rFonts w:hint="eastAsia"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3187" w:type="dxa"/>
            <w:vAlign w:val="center"/>
          </w:tcPr>
          <w:p>
            <w:pPr>
              <w:pStyle w:val="13"/>
              <w:spacing w:line="360" w:lineRule="auto"/>
              <w:rPr>
                <w:rFonts w:hint="eastAsia" w:ascii="宋体" w:hAnsi="宋体" w:cs="宋体"/>
                <w:color w:val="auto"/>
                <w:sz w:val="28"/>
                <w:szCs w:val="28"/>
                <w:highlight w:val="none"/>
              </w:rPr>
            </w:pPr>
          </w:p>
        </w:tc>
        <w:tc>
          <w:tcPr>
            <w:tcW w:w="3188" w:type="dxa"/>
            <w:vAlign w:val="center"/>
          </w:tcPr>
          <w:p>
            <w:pPr>
              <w:pStyle w:val="13"/>
              <w:spacing w:line="360" w:lineRule="auto"/>
              <w:rPr>
                <w:rFonts w:hint="eastAsia" w:ascii="宋体" w:hAnsi="宋体" w:cs="宋体"/>
                <w:color w:val="auto"/>
                <w:sz w:val="28"/>
                <w:szCs w:val="28"/>
                <w:highlight w:val="none"/>
              </w:rPr>
            </w:pPr>
          </w:p>
        </w:tc>
        <w:tc>
          <w:tcPr>
            <w:tcW w:w="3197" w:type="dxa"/>
            <w:vAlign w:val="center"/>
          </w:tcPr>
          <w:p>
            <w:pPr>
              <w:pStyle w:val="13"/>
              <w:spacing w:line="360" w:lineRule="auto"/>
              <w:rPr>
                <w:rFonts w:hint="eastAsia"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3187" w:type="dxa"/>
            <w:vAlign w:val="center"/>
          </w:tcPr>
          <w:p>
            <w:pPr>
              <w:pStyle w:val="13"/>
              <w:spacing w:line="360" w:lineRule="auto"/>
              <w:rPr>
                <w:rFonts w:hint="eastAsia" w:ascii="宋体" w:hAnsi="宋体" w:cs="宋体"/>
                <w:color w:val="auto"/>
                <w:sz w:val="28"/>
                <w:szCs w:val="28"/>
                <w:highlight w:val="none"/>
              </w:rPr>
            </w:pPr>
          </w:p>
        </w:tc>
        <w:tc>
          <w:tcPr>
            <w:tcW w:w="3188" w:type="dxa"/>
            <w:vAlign w:val="center"/>
          </w:tcPr>
          <w:p>
            <w:pPr>
              <w:pStyle w:val="13"/>
              <w:spacing w:line="360" w:lineRule="auto"/>
              <w:rPr>
                <w:rFonts w:hint="eastAsia" w:ascii="宋体" w:hAnsi="宋体" w:cs="宋体"/>
                <w:color w:val="auto"/>
                <w:sz w:val="28"/>
                <w:szCs w:val="28"/>
                <w:highlight w:val="none"/>
              </w:rPr>
            </w:pPr>
          </w:p>
        </w:tc>
        <w:tc>
          <w:tcPr>
            <w:tcW w:w="3197" w:type="dxa"/>
            <w:vAlign w:val="center"/>
          </w:tcPr>
          <w:p>
            <w:pPr>
              <w:pStyle w:val="13"/>
              <w:spacing w:line="360" w:lineRule="auto"/>
              <w:rPr>
                <w:rFonts w:hint="eastAsia"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3187" w:type="dxa"/>
            <w:vAlign w:val="center"/>
          </w:tcPr>
          <w:p>
            <w:pPr>
              <w:pStyle w:val="13"/>
              <w:spacing w:line="360" w:lineRule="auto"/>
              <w:rPr>
                <w:rFonts w:hint="eastAsia" w:ascii="宋体" w:hAnsi="宋体" w:cs="宋体"/>
                <w:color w:val="auto"/>
                <w:sz w:val="28"/>
                <w:szCs w:val="28"/>
                <w:highlight w:val="none"/>
              </w:rPr>
            </w:pPr>
          </w:p>
        </w:tc>
        <w:tc>
          <w:tcPr>
            <w:tcW w:w="3188" w:type="dxa"/>
            <w:vAlign w:val="center"/>
          </w:tcPr>
          <w:p>
            <w:pPr>
              <w:pStyle w:val="13"/>
              <w:spacing w:line="360" w:lineRule="auto"/>
              <w:rPr>
                <w:rFonts w:hint="eastAsia" w:ascii="宋体" w:hAnsi="宋体" w:cs="宋体"/>
                <w:color w:val="auto"/>
                <w:sz w:val="28"/>
                <w:szCs w:val="28"/>
                <w:highlight w:val="none"/>
              </w:rPr>
            </w:pPr>
          </w:p>
        </w:tc>
        <w:tc>
          <w:tcPr>
            <w:tcW w:w="3197" w:type="dxa"/>
            <w:vAlign w:val="center"/>
          </w:tcPr>
          <w:p>
            <w:pPr>
              <w:pStyle w:val="13"/>
              <w:spacing w:line="360" w:lineRule="auto"/>
              <w:rPr>
                <w:rFonts w:hint="eastAsia"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3187" w:type="dxa"/>
            <w:vAlign w:val="center"/>
          </w:tcPr>
          <w:p>
            <w:pPr>
              <w:pStyle w:val="13"/>
              <w:spacing w:line="360" w:lineRule="auto"/>
              <w:rPr>
                <w:rFonts w:hint="eastAsia" w:ascii="宋体" w:hAnsi="宋体" w:cs="宋体"/>
                <w:color w:val="auto"/>
                <w:sz w:val="28"/>
                <w:szCs w:val="28"/>
                <w:highlight w:val="none"/>
              </w:rPr>
            </w:pPr>
          </w:p>
        </w:tc>
        <w:tc>
          <w:tcPr>
            <w:tcW w:w="3188" w:type="dxa"/>
            <w:vAlign w:val="center"/>
          </w:tcPr>
          <w:p>
            <w:pPr>
              <w:pStyle w:val="13"/>
              <w:spacing w:line="360" w:lineRule="auto"/>
              <w:rPr>
                <w:rFonts w:hint="eastAsia" w:ascii="宋体" w:hAnsi="宋体" w:cs="宋体"/>
                <w:color w:val="auto"/>
                <w:sz w:val="28"/>
                <w:szCs w:val="28"/>
                <w:highlight w:val="none"/>
              </w:rPr>
            </w:pPr>
          </w:p>
        </w:tc>
        <w:tc>
          <w:tcPr>
            <w:tcW w:w="3197" w:type="dxa"/>
            <w:vAlign w:val="center"/>
          </w:tcPr>
          <w:p>
            <w:pPr>
              <w:pStyle w:val="13"/>
              <w:spacing w:line="360" w:lineRule="auto"/>
              <w:rPr>
                <w:rFonts w:hint="eastAsia"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3187" w:type="dxa"/>
            <w:vAlign w:val="center"/>
          </w:tcPr>
          <w:p>
            <w:pPr>
              <w:pStyle w:val="13"/>
              <w:spacing w:line="360" w:lineRule="auto"/>
              <w:rPr>
                <w:rFonts w:hint="eastAsia" w:ascii="宋体" w:hAnsi="宋体" w:cs="宋体"/>
                <w:color w:val="auto"/>
                <w:sz w:val="28"/>
                <w:szCs w:val="28"/>
                <w:highlight w:val="none"/>
              </w:rPr>
            </w:pPr>
          </w:p>
        </w:tc>
        <w:tc>
          <w:tcPr>
            <w:tcW w:w="3188" w:type="dxa"/>
            <w:vAlign w:val="center"/>
          </w:tcPr>
          <w:p>
            <w:pPr>
              <w:pStyle w:val="13"/>
              <w:spacing w:line="360" w:lineRule="auto"/>
              <w:rPr>
                <w:rFonts w:hint="eastAsia" w:ascii="宋体" w:hAnsi="宋体" w:cs="宋体"/>
                <w:color w:val="auto"/>
                <w:sz w:val="28"/>
                <w:szCs w:val="28"/>
                <w:highlight w:val="none"/>
              </w:rPr>
            </w:pPr>
          </w:p>
        </w:tc>
        <w:tc>
          <w:tcPr>
            <w:tcW w:w="3197" w:type="dxa"/>
            <w:vAlign w:val="center"/>
          </w:tcPr>
          <w:p>
            <w:pPr>
              <w:pStyle w:val="13"/>
              <w:spacing w:line="360" w:lineRule="auto"/>
              <w:rPr>
                <w:rFonts w:hint="eastAsia"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3187" w:type="dxa"/>
            <w:vAlign w:val="center"/>
          </w:tcPr>
          <w:p>
            <w:pPr>
              <w:pStyle w:val="13"/>
              <w:spacing w:line="360" w:lineRule="auto"/>
              <w:rPr>
                <w:rFonts w:hint="eastAsia" w:ascii="宋体" w:hAnsi="宋体" w:cs="宋体"/>
                <w:color w:val="auto"/>
                <w:sz w:val="28"/>
                <w:szCs w:val="28"/>
                <w:highlight w:val="none"/>
              </w:rPr>
            </w:pPr>
          </w:p>
        </w:tc>
        <w:tc>
          <w:tcPr>
            <w:tcW w:w="3188" w:type="dxa"/>
            <w:vAlign w:val="center"/>
          </w:tcPr>
          <w:p>
            <w:pPr>
              <w:pStyle w:val="13"/>
              <w:spacing w:line="360" w:lineRule="auto"/>
              <w:rPr>
                <w:rFonts w:hint="eastAsia" w:ascii="宋体" w:hAnsi="宋体" w:cs="宋体"/>
                <w:color w:val="auto"/>
                <w:sz w:val="28"/>
                <w:szCs w:val="28"/>
                <w:highlight w:val="none"/>
              </w:rPr>
            </w:pPr>
          </w:p>
        </w:tc>
        <w:tc>
          <w:tcPr>
            <w:tcW w:w="3197" w:type="dxa"/>
            <w:vAlign w:val="center"/>
          </w:tcPr>
          <w:p>
            <w:pPr>
              <w:pStyle w:val="13"/>
              <w:spacing w:line="360" w:lineRule="auto"/>
              <w:rPr>
                <w:rFonts w:hint="eastAsia" w:ascii="宋体" w:hAnsi="宋体" w:cs="宋体"/>
                <w:color w:val="auto"/>
                <w:sz w:val="28"/>
                <w:szCs w:val="28"/>
                <w:highlight w:val="none"/>
              </w:rPr>
            </w:pPr>
          </w:p>
        </w:tc>
      </w:tr>
    </w:tbl>
    <w:p>
      <w:pPr>
        <w:spacing w:before="240" w:after="60" w:line="360" w:lineRule="auto"/>
        <w:rPr>
          <w:rFonts w:hint="eastAsia" w:ascii="宋体" w:hAnsi="宋体" w:cs="宋体"/>
          <w:color w:val="auto"/>
          <w:sz w:val="24"/>
          <w:highlight w:val="none"/>
        </w:rPr>
      </w:pPr>
      <w:r>
        <w:rPr>
          <w:rFonts w:hint="eastAsia" w:ascii="宋体" w:hAnsi="宋体" w:cs="宋体"/>
          <w:color w:val="auto"/>
          <w:sz w:val="24"/>
          <w:highlight w:val="none"/>
        </w:rPr>
        <w:t>注：后附身份证、职称证（或有评审资质单位的评审结果文件）、学历证及投标截止时间前6个月社保证明材料等。</w:t>
      </w:r>
    </w:p>
    <w:p>
      <w:pPr>
        <w:spacing w:before="240" w:after="60" w:line="360" w:lineRule="auto"/>
        <w:ind w:firstLine="510"/>
        <w:rPr>
          <w:rFonts w:hint="eastAsia" w:ascii="宋体" w:hAnsi="宋体" w:cs="宋体"/>
          <w:color w:val="auto"/>
          <w:sz w:val="24"/>
          <w:highlight w:val="none"/>
        </w:rPr>
      </w:pPr>
      <w:r>
        <w:rPr>
          <w:rFonts w:hint="eastAsia" w:ascii="宋体" w:hAnsi="宋体" w:cs="宋体"/>
          <w:color w:val="auto"/>
          <w:sz w:val="24"/>
          <w:highlight w:val="none"/>
        </w:rPr>
        <w:t>投标人全称（公章）：</w:t>
      </w:r>
      <w:r>
        <w:rPr>
          <w:rFonts w:hint="eastAsia" w:ascii="宋体" w:hAnsi="宋体" w:cs="宋体"/>
          <w:color w:val="auto"/>
          <w:sz w:val="24"/>
          <w:highlight w:val="none"/>
          <w:u w:val="single"/>
        </w:rPr>
        <w:t xml:space="preserve">                          </w:t>
      </w:r>
    </w:p>
    <w:p>
      <w:pPr>
        <w:spacing w:before="240" w:after="60" w:line="360" w:lineRule="auto"/>
        <w:ind w:firstLine="510"/>
        <w:rPr>
          <w:rFonts w:hint="eastAsia" w:ascii="宋体" w:hAnsi="宋体" w:cs="宋体"/>
          <w:color w:val="auto"/>
          <w:sz w:val="24"/>
          <w:highlight w:val="none"/>
        </w:rPr>
      </w:pPr>
      <w:r>
        <w:rPr>
          <w:rFonts w:hint="eastAsia" w:ascii="宋体" w:hAnsi="宋体" w:cs="宋体"/>
          <w:color w:val="auto"/>
          <w:sz w:val="24"/>
          <w:highlight w:val="none"/>
        </w:rPr>
        <w:t>法定代表人或授权委托人（签字或盖章）：</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sz w:val="24"/>
          <w:highlight w:val="none"/>
        </w:rPr>
      </w:pP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日期：________年_____月_____日</w:t>
      </w:r>
    </w:p>
    <w:p>
      <w:pPr>
        <w:pStyle w:val="4"/>
        <w:spacing w:line="360" w:lineRule="auto"/>
        <w:rPr>
          <w:rFonts w:hint="eastAsia" w:ascii="宋体" w:hAnsi="宋体" w:cs="宋体"/>
          <w:color w:val="auto"/>
          <w:sz w:val="28"/>
          <w:szCs w:val="28"/>
          <w:highlight w:val="none"/>
        </w:rPr>
      </w:pPr>
      <w:bookmarkStart w:id="234" w:name="_Toc21806"/>
      <w:bookmarkEnd w:id="234"/>
      <w:bookmarkStart w:id="235" w:name="_Toc32458"/>
      <w:bookmarkEnd w:id="235"/>
      <w:r>
        <w:rPr>
          <w:rFonts w:hint="eastAsia" w:ascii="宋体" w:hAnsi="宋体" w:cs="宋体"/>
          <w:color w:val="auto"/>
          <w:sz w:val="24"/>
          <w:highlight w:val="none"/>
        </w:rPr>
        <w:br w:type="page"/>
      </w:r>
      <w:r>
        <w:rPr>
          <w:rFonts w:hint="eastAsia" w:ascii="宋体" w:hAnsi="宋体" w:cs="宋体"/>
          <w:color w:val="auto"/>
          <w:sz w:val="28"/>
          <w:szCs w:val="28"/>
          <w:highlight w:val="none"/>
        </w:rPr>
        <w:t>3、2021年1月1日至今类似服务业绩（如有）</w:t>
      </w:r>
    </w:p>
    <w:p>
      <w:pPr>
        <w:spacing w:line="360" w:lineRule="auto"/>
        <w:rPr>
          <w:rFonts w:hint="eastAsia" w:ascii="宋体" w:hAnsi="宋体" w:cs="宋体"/>
          <w:b/>
          <w:color w:val="auto"/>
          <w:sz w:val="24"/>
          <w:szCs w:val="24"/>
          <w:highlight w:val="none"/>
        </w:rPr>
      </w:pPr>
      <w:r>
        <w:rPr>
          <w:rFonts w:hint="eastAsia" w:ascii="宋体" w:hAnsi="宋体" w:cs="宋体"/>
          <w:b/>
          <w:color w:val="auto"/>
          <w:sz w:val="24"/>
          <w:highlight w:val="none"/>
        </w:rPr>
        <w:t>注：1）类似服务业绩要求投标人附2021年1月1日至今已完成或正在履行的类似服务合同扫描件（以合同或协议签订日期为准），类似服务合同</w:t>
      </w:r>
      <w:r>
        <w:rPr>
          <w:rFonts w:hint="eastAsia" w:ascii="宋体" w:hAnsi="宋体" w:cs="宋体"/>
          <w:b/>
          <w:color w:val="auto"/>
          <w:sz w:val="24"/>
          <w:szCs w:val="24"/>
          <w:highlight w:val="none"/>
        </w:rPr>
        <w:t>扫描件须加盖公章。</w:t>
      </w:r>
    </w:p>
    <w:p>
      <w:pPr>
        <w:spacing w:line="360" w:lineRule="auto"/>
        <w:rPr>
          <w:rFonts w:hint="eastAsia" w:ascii="宋体" w:hAnsi="宋体" w:cs="宋体"/>
          <w:color w:val="auto"/>
          <w:sz w:val="28"/>
          <w:szCs w:val="28"/>
          <w:highlight w:val="none"/>
        </w:rPr>
      </w:pPr>
      <w:r>
        <w:rPr>
          <w:rFonts w:hint="eastAsia" w:ascii="宋体" w:hAnsi="宋体" w:cs="宋体"/>
          <w:b/>
          <w:color w:val="auto"/>
          <w:sz w:val="24"/>
          <w:highlight w:val="none"/>
        </w:rPr>
        <w:t>2）投标人</w:t>
      </w:r>
      <w:r>
        <w:rPr>
          <w:rFonts w:hint="eastAsia" w:ascii="宋体" w:hAnsi="宋体" w:cs="宋体"/>
          <w:b/>
          <w:color w:val="auto"/>
          <w:sz w:val="24"/>
          <w:szCs w:val="24"/>
          <w:highlight w:val="none"/>
        </w:rPr>
        <w:t>所提供的业绩证明材料是否具有类似性由评标委员会判定。</w:t>
      </w:r>
    </w:p>
    <w:p>
      <w:pPr>
        <w:rPr>
          <w:rFonts w:hint="eastAsia" w:ascii="宋体" w:hAnsi="宋体" w:cs="宋体"/>
          <w:color w:val="auto"/>
          <w:highlight w:val="none"/>
        </w:rPr>
      </w:pPr>
      <w:r>
        <w:rPr>
          <w:rFonts w:hint="eastAsia" w:ascii="宋体" w:hAnsi="宋体" w:cs="宋体"/>
          <w:color w:val="auto"/>
          <w:highlight w:val="none"/>
        </w:rPr>
        <w:br w:type="page"/>
      </w:r>
    </w:p>
    <w:p>
      <w:pPr>
        <w:pStyle w:val="4"/>
        <w:spacing w:line="360" w:lineRule="auto"/>
        <w:jc w:val="center"/>
        <w:rPr>
          <w:rFonts w:hint="eastAsia" w:ascii="宋体" w:hAnsi="宋体" w:cs="宋体"/>
          <w:color w:val="auto"/>
          <w:sz w:val="28"/>
          <w:szCs w:val="28"/>
          <w:highlight w:val="none"/>
        </w:rPr>
      </w:pPr>
      <w:bookmarkStart w:id="236" w:name="_Toc2"/>
      <w:bookmarkEnd w:id="236"/>
      <w:r>
        <w:rPr>
          <w:rFonts w:hint="eastAsia" w:ascii="宋体" w:hAnsi="宋体" w:cs="宋体"/>
          <w:bCs w:val="0"/>
          <w:color w:val="auto"/>
          <w:highlight w:val="none"/>
        </w:rPr>
        <w:t>第五部分 其他资料</w:t>
      </w:r>
    </w:p>
    <w:p>
      <w:pPr>
        <w:pStyle w:val="4"/>
        <w:spacing w:line="360" w:lineRule="auto"/>
        <w:rPr>
          <w:rFonts w:hint="eastAsia" w:ascii="宋体" w:hAnsi="宋体" w:cs="宋体"/>
          <w:color w:val="auto"/>
          <w:sz w:val="28"/>
          <w:szCs w:val="28"/>
          <w:highlight w:val="none"/>
        </w:rPr>
      </w:pPr>
      <w:bookmarkStart w:id="237" w:name="_Toc350516691"/>
      <w:bookmarkEnd w:id="237"/>
      <w:bookmarkStart w:id="238" w:name="_Toc330342573"/>
      <w:bookmarkEnd w:id="238"/>
      <w:bookmarkStart w:id="239" w:name="_Toc563"/>
      <w:bookmarkEnd w:id="239"/>
      <w:bookmarkStart w:id="240" w:name="_Toc369353515"/>
      <w:bookmarkEnd w:id="240"/>
      <w:bookmarkStart w:id="241" w:name="_Toc344397394"/>
      <w:bookmarkEnd w:id="241"/>
      <w:bookmarkStart w:id="242" w:name="_Toc350515677"/>
      <w:bookmarkEnd w:id="242"/>
      <w:bookmarkStart w:id="243" w:name="_Toc16436"/>
      <w:bookmarkEnd w:id="243"/>
      <w:bookmarkStart w:id="244" w:name="_Toc20287"/>
      <w:bookmarkEnd w:id="244"/>
      <w:bookmarkStart w:id="245" w:name="_Toc349568752"/>
      <w:bookmarkEnd w:id="245"/>
      <w:bookmarkStart w:id="246" w:name="_Toc349914552"/>
      <w:bookmarkEnd w:id="246"/>
      <w:bookmarkStart w:id="247" w:name="_Toc344394228"/>
      <w:bookmarkEnd w:id="247"/>
      <w:bookmarkStart w:id="248" w:name="_Toc330342824"/>
      <w:bookmarkEnd w:id="248"/>
      <w:bookmarkStart w:id="249" w:name="_Toc21061"/>
      <w:bookmarkEnd w:id="249"/>
      <w:bookmarkStart w:id="250" w:name="_Toc343510627"/>
      <w:bookmarkEnd w:id="250"/>
      <w:bookmarkStart w:id="251" w:name="_Toc26376"/>
      <w:bookmarkEnd w:id="251"/>
      <w:r>
        <w:rPr>
          <w:rFonts w:hint="eastAsia" w:ascii="宋体" w:hAnsi="宋体" w:cs="宋体"/>
          <w:color w:val="auto"/>
          <w:sz w:val="28"/>
          <w:szCs w:val="28"/>
          <w:highlight w:val="none"/>
        </w:rPr>
        <w:t>1、承诺书</w:t>
      </w:r>
      <w:r>
        <w:rPr>
          <w:rFonts w:hint="eastAsia" w:ascii="宋体" w:hAnsi="宋体" w:cs="宋体"/>
          <w:bCs w:val="0"/>
          <w:color w:val="auto"/>
          <w:sz w:val="28"/>
          <w:szCs w:val="28"/>
          <w:highlight w:val="none"/>
        </w:rPr>
        <w:t>（格式）</w:t>
      </w:r>
    </w:p>
    <w:p>
      <w:pPr>
        <w:autoSpaceDE w:val="0"/>
        <w:autoSpaceDN w:val="0"/>
        <w:adjustRightInd w:val="0"/>
        <w:spacing w:after="240" w:line="360" w:lineRule="auto"/>
        <w:jc w:val="left"/>
        <w:rPr>
          <w:rFonts w:hint="eastAsia" w:ascii="宋体" w:hAnsi="宋体" w:cs="宋体"/>
          <w:b/>
          <w:bCs/>
          <w:color w:val="auto"/>
          <w:kern w:val="0"/>
          <w:sz w:val="28"/>
          <w:szCs w:val="28"/>
          <w:highlight w:val="none"/>
          <w:lang w:val="zh-CN"/>
        </w:rPr>
      </w:pPr>
      <w:r>
        <w:rPr>
          <w:rFonts w:hint="eastAsia" w:ascii="宋体" w:hAnsi="宋体" w:cs="宋体"/>
          <w:b/>
          <w:bCs/>
          <w:color w:val="auto"/>
          <w:kern w:val="0"/>
          <w:sz w:val="24"/>
          <w:highlight w:val="none"/>
          <w:lang w:val="zh-CN"/>
        </w:rPr>
        <w:t>致：</w:t>
      </w:r>
      <w:r>
        <w:rPr>
          <w:rFonts w:hint="eastAsia" w:ascii="宋体" w:hAnsi="宋体" w:cs="宋体"/>
          <w:b/>
          <w:color w:val="auto"/>
          <w:kern w:val="0"/>
          <w:sz w:val="24"/>
          <w:highlight w:val="none"/>
          <w:lang w:val="zh-CN"/>
        </w:rPr>
        <w:t>营口市自然资源局</w:t>
      </w:r>
    </w:p>
    <w:p>
      <w:pPr>
        <w:autoSpaceDE w:val="0"/>
        <w:autoSpaceDN w:val="0"/>
        <w:adjustRightInd w:val="0"/>
        <w:spacing w:line="360" w:lineRule="auto"/>
        <w:ind w:firstLine="576"/>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为满足“</w:t>
      </w:r>
      <w:r>
        <w:rPr>
          <w:rFonts w:hint="eastAsia" w:ascii="宋体" w:hAnsi="宋体" w:cs="宋体"/>
          <w:color w:val="auto"/>
          <w:sz w:val="24"/>
          <w:highlight w:val="none"/>
        </w:rPr>
        <w:t>辽宁省营口市海洋生态保护修复工程项目跟踪监测服务</w:t>
      </w:r>
      <w:r>
        <w:rPr>
          <w:rFonts w:hint="eastAsia" w:ascii="宋体" w:hAnsi="宋体" w:cs="宋体"/>
          <w:color w:val="auto"/>
          <w:kern w:val="0"/>
          <w:sz w:val="24"/>
          <w:highlight w:val="none"/>
          <w:lang w:val="zh-CN"/>
        </w:rPr>
        <w:t>”资格审查的要求，我方</w:t>
      </w:r>
      <w:r>
        <w:rPr>
          <w:rFonts w:hint="eastAsia" w:ascii="宋体" w:hAnsi="宋体" w:cs="宋体"/>
          <w:b/>
          <w:bCs/>
          <w:color w:val="auto"/>
          <w:kern w:val="0"/>
          <w:sz w:val="24"/>
          <w:highlight w:val="none"/>
          <w:u w:val="single"/>
          <w:lang w:val="zh-CN"/>
        </w:rPr>
        <w:t>(投标人全称)</w:t>
      </w:r>
      <w:r>
        <w:rPr>
          <w:rFonts w:hint="eastAsia" w:ascii="宋体" w:hAnsi="宋体" w:cs="宋体"/>
          <w:color w:val="auto"/>
          <w:kern w:val="0"/>
          <w:sz w:val="24"/>
          <w:highlight w:val="none"/>
          <w:lang w:val="zh-CN"/>
        </w:rPr>
        <w:t>在此承诺所提供的申请材料均为真实的，我方理解你们将不受必须接受我方的约束。</w:t>
      </w:r>
    </w:p>
    <w:p>
      <w:pPr>
        <w:autoSpaceDE w:val="0"/>
        <w:autoSpaceDN w:val="0"/>
        <w:adjustRightInd w:val="0"/>
        <w:spacing w:line="360" w:lineRule="auto"/>
        <w:rPr>
          <w:rFonts w:hint="eastAsia" w:ascii="宋体" w:hAnsi="宋体" w:cs="宋体"/>
          <w:color w:val="auto"/>
          <w:sz w:val="28"/>
          <w:szCs w:val="28"/>
          <w:highlight w:val="none"/>
          <w:lang w:val="zh-CN"/>
        </w:rPr>
      </w:pPr>
    </w:p>
    <w:p>
      <w:pPr>
        <w:autoSpaceDE w:val="0"/>
        <w:autoSpaceDN w:val="0"/>
        <w:adjustRightInd w:val="0"/>
        <w:spacing w:line="360" w:lineRule="auto"/>
        <w:ind w:firstLine="3799"/>
        <w:jc w:val="left"/>
        <w:rPr>
          <w:rFonts w:hint="eastAsia" w:ascii="宋体" w:hAnsi="宋体" w:cs="宋体"/>
          <w:color w:val="auto"/>
          <w:kern w:val="0"/>
          <w:sz w:val="28"/>
          <w:szCs w:val="28"/>
          <w:highlight w:val="none"/>
          <w:lang w:val="zh-CN"/>
        </w:rPr>
      </w:pPr>
    </w:p>
    <w:p>
      <w:pPr>
        <w:autoSpaceDE w:val="0"/>
        <w:autoSpaceDN w:val="0"/>
        <w:adjustRightInd w:val="0"/>
        <w:spacing w:line="360" w:lineRule="auto"/>
        <w:ind w:firstLine="3799"/>
        <w:jc w:val="left"/>
        <w:rPr>
          <w:rFonts w:hint="eastAsia" w:ascii="宋体" w:hAnsi="宋体" w:cs="宋体"/>
          <w:color w:val="auto"/>
          <w:kern w:val="0"/>
          <w:sz w:val="28"/>
          <w:szCs w:val="28"/>
          <w:highlight w:val="none"/>
          <w:lang w:val="zh-CN"/>
        </w:rPr>
      </w:pPr>
    </w:p>
    <w:p>
      <w:pPr>
        <w:autoSpaceDE w:val="0"/>
        <w:autoSpaceDN w:val="0"/>
        <w:adjustRightInd w:val="0"/>
        <w:spacing w:line="360" w:lineRule="auto"/>
        <w:ind w:firstLine="3799"/>
        <w:jc w:val="left"/>
        <w:rPr>
          <w:rFonts w:hint="eastAsia" w:ascii="宋体" w:hAnsi="宋体" w:cs="宋体"/>
          <w:color w:val="auto"/>
          <w:kern w:val="0"/>
          <w:sz w:val="28"/>
          <w:szCs w:val="28"/>
          <w:highlight w:val="none"/>
          <w:lang w:val="zh-CN"/>
        </w:rPr>
      </w:pPr>
    </w:p>
    <w:p>
      <w:pPr>
        <w:autoSpaceDE w:val="0"/>
        <w:autoSpaceDN w:val="0"/>
        <w:adjustRightInd w:val="0"/>
        <w:spacing w:line="360" w:lineRule="auto"/>
        <w:ind w:firstLine="3799"/>
        <w:jc w:val="left"/>
        <w:rPr>
          <w:rFonts w:hint="eastAsia" w:ascii="宋体" w:hAnsi="宋体" w:cs="宋体"/>
          <w:color w:val="auto"/>
          <w:kern w:val="0"/>
          <w:sz w:val="28"/>
          <w:szCs w:val="28"/>
          <w:highlight w:val="none"/>
          <w:lang w:val="zh-CN"/>
        </w:rPr>
      </w:pPr>
    </w:p>
    <w:p>
      <w:pPr>
        <w:autoSpaceDE w:val="0"/>
        <w:autoSpaceDN w:val="0"/>
        <w:adjustRightInd w:val="0"/>
        <w:spacing w:line="360" w:lineRule="auto"/>
        <w:ind w:firstLine="3799"/>
        <w:jc w:val="left"/>
        <w:rPr>
          <w:rFonts w:hint="eastAsia" w:ascii="宋体" w:hAnsi="宋体" w:cs="宋体"/>
          <w:color w:val="auto"/>
          <w:kern w:val="0"/>
          <w:sz w:val="28"/>
          <w:szCs w:val="28"/>
          <w:highlight w:val="none"/>
          <w:lang w:val="zh-CN"/>
        </w:rPr>
      </w:pPr>
    </w:p>
    <w:p>
      <w:pPr>
        <w:autoSpaceDE w:val="0"/>
        <w:autoSpaceDN w:val="0"/>
        <w:adjustRightInd w:val="0"/>
        <w:spacing w:line="360" w:lineRule="auto"/>
        <w:ind w:firstLine="3799"/>
        <w:jc w:val="left"/>
        <w:rPr>
          <w:rFonts w:hint="eastAsia" w:ascii="宋体" w:hAnsi="宋体" w:cs="宋体"/>
          <w:color w:val="auto"/>
          <w:kern w:val="0"/>
          <w:sz w:val="28"/>
          <w:szCs w:val="28"/>
          <w:highlight w:val="none"/>
          <w:lang w:val="zh-CN"/>
        </w:rPr>
      </w:pPr>
    </w:p>
    <w:p>
      <w:pPr>
        <w:autoSpaceDE w:val="0"/>
        <w:autoSpaceDN w:val="0"/>
        <w:adjustRightInd w:val="0"/>
        <w:spacing w:line="360" w:lineRule="auto"/>
        <w:ind w:firstLine="3799"/>
        <w:jc w:val="left"/>
        <w:rPr>
          <w:rFonts w:hint="eastAsia" w:ascii="宋体" w:hAnsi="宋体" w:cs="宋体"/>
          <w:color w:val="auto"/>
          <w:kern w:val="0"/>
          <w:sz w:val="28"/>
          <w:szCs w:val="28"/>
          <w:highlight w:val="none"/>
          <w:lang w:val="zh-CN"/>
        </w:rPr>
      </w:pPr>
    </w:p>
    <w:p>
      <w:pPr>
        <w:autoSpaceDE w:val="0"/>
        <w:autoSpaceDN w:val="0"/>
        <w:adjustRightInd w:val="0"/>
        <w:spacing w:line="360" w:lineRule="auto"/>
        <w:ind w:firstLine="2640" w:firstLineChars="1100"/>
        <w:jc w:val="left"/>
        <w:rPr>
          <w:rFonts w:hint="eastAsia" w:ascii="宋体" w:hAnsi="宋体" w:cs="宋体"/>
          <w:color w:val="auto"/>
          <w:kern w:val="0"/>
          <w:sz w:val="24"/>
          <w:highlight w:val="none"/>
          <w:u w:val="single"/>
          <w:lang w:val="zh-CN"/>
        </w:rPr>
      </w:pPr>
      <w:r>
        <w:rPr>
          <w:rFonts w:hint="eastAsia" w:ascii="宋体" w:hAnsi="宋体" w:cs="宋体"/>
          <w:color w:val="auto"/>
          <w:kern w:val="0"/>
          <w:sz w:val="24"/>
          <w:highlight w:val="none"/>
          <w:lang w:val="zh-CN"/>
        </w:rPr>
        <w:t>投标人(盖公章)：</w:t>
      </w:r>
      <w:r>
        <w:rPr>
          <w:rFonts w:hint="eastAsia" w:ascii="宋体" w:hAnsi="宋体" w:cs="宋体"/>
          <w:color w:val="auto"/>
          <w:kern w:val="0"/>
          <w:sz w:val="24"/>
          <w:highlight w:val="none"/>
          <w:u w:val="single"/>
          <w:lang w:val="zh-CN"/>
        </w:rPr>
        <w:t xml:space="preserve">                                   </w:t>
      </w:r>
    </w:p>
    <w:p>
      <w:pPr>
        <w:autoSpaceDE w:val="0"/>
        <w:autoSpaceDN w:val="0"/>
        <w:adjustRightInd w:val="0"/>
        <w:spacing w:line="360" w:lineRule="auto"/>
        <w:ind w:firstLine="3271"/>
        <w:jc w:val="left"/>
        <w:rPr>
          <w:rFonts w:hint="eastAsia" w:ascii="宋体" w:hAnsi="宋体" w:cs="宋体"/>
          <w:color w:val="auto"/>
          <w:kern w:val="0"/>
          <w:sz w:val="24"/>
          <w:highlight w:val="none"/>
          <w:u w:val="single"/>
          <w:lang w:val="zh-CN"/>
        </w:rPr>
      </w:pPr>
    </w:p>
    <w:p>
      <w:pPr>
        <w:autoSpaceDE w:val="0"/>
        <w:autoSpaceDN w:val="0"/>
        <w:adjustRightInd w:val="0"/>
        <w:spacing w:line="360" w:lineRule="auto"/>
        <w:ind w:firstLine="2640" w:firstLineChars="1100"/>
        <w:jc w:val="left"/>
        <w:rPr>
          <w:rFonts w:hint="eastAsia" w:ascii="宋体" w:hAnsi="宋体" w:cs="宋体"/>
          <w:color w:val="auto"/>
          <w:kern w:val="0"/>
          <w:sz w:val="24"/>
          <w:highlight w:val="none"/>
          <w:u w:val="single"/>
          <w:lang w:val="zh-CN"/>
        </w:rPr>
      </w:pPr>
      <w:r>
        <w:rPr>
          <w:rFonts w:hint="eastAsia" w:ascii="宋体" w:hAnsi="宋体" w:cs="宋体"/>
          <w:color w:val="auto"/>
          <w:kern w:val="0"/>
          <w:sz w:val="24"/>
          <w:highlight w:val="none"/>
          <w:lang w:val="zh-CN"/>
        </w:rPr>
        <w:t>法定代表人或授权委托人(签字或盖章)：</w:t>
      </w:r>
      <w:r>
        <w:rPr>
          <w:rFonts w:hint="eastAsia" w:ascii="宋体" w:hAnsi="宋体" w:cs="宋体"/>
          <w:color w:val="auto"/>
          <w:kern w:val="0"/>
          <w:sz w:val="24"/>
          <w:highlight w:val="none"/>
          <w:u w:val="single"/>
          <w:lang w:val="zh-CN"/>
        </w:rPr>
        <w:t xml:space="preserve">                         </w:t>
      </w:r>
    </w:p>
    <w:p>
      <w:pPr>
        <w:autoSpaceDE w:val="0"/>
        <w:autoSpaceDN w:val="0"/>
        <w:adjustRightInd w:val="0"/>
        <w:spacing w:line="360" w:lineRule="auto"/>
        <w:ind w:firstLine="2640" w:firstLineChars="1100"/>
        <w:jc w:val="left"/>
        <w:rPr>
          <w:rFonts w:hint="eastAsia" w:ascii="宋体" w:hAnsi="宋体" w:cs="宋体"/>
          <w:color w:val="auto"/>
          <w:kern w:val="0"/>
          <w:sz w:val="24"/>
          <w:highlight w:val="none"/>
          <w:lang w:val="zh-CN"/>
        </w:rPr>
      </w:pPr>
    </w:p>
    <w:p>
      <w:pPr>
        <w:jc w:val="right"/>
        <w:rPr>
          <w:rFonts w:hint="eastAsia" w:ascii="宋体" w:hAnsi="宋体" w:cs="宋体"/>
          <w:color w:val="auto"/>
          <w:kern w:val="0"/>
          <w:highlight w:val="none"/>
          <w:lang w:val="zh-CN"/>
        </w:rPr>
      </w:pPr>
      <w:r>
        <w:rPr>
          <w:rFonts w:hint="eastAsia" w:ascii="宋体" w:hAnsi="宋体" w:cs="宋体"/>
          <w:color w:val="auto"/>
          <w:sz w:val="24"/>
          <w:highlight w:val="none"/>
        </w:rPr>
        <w:t>日期：________年_____月_____日</w:t>
      </w:r>
    </w:p>
    <w:p>
      <w:pP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br w:type="page"/>
      </w:r>
    </w:p>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95"/>
    <w:p>
      <w:pPr>
        <w:pStyle w:val="4"/>
        <w:spacing w:line="360" w:lineRule="auto"/>
        <w:rPr>
          <w:rFonts w:hint="eastAsia" w:ascii="宋体" w:hAnsi="宋体" w:cs="宋体"/>
          <w:color w:val="auto"/>
          <w:sz w:val="28"/>
          <w:szCs w:val="28"/>
          <w:highlight w:val="none"/>
        </w:rPr>
      </w:pPr>
      <w:bookmarkStart w:id="252" w:name="_Toc26756"/>
      <w:bookmarkEnd w:id="252"/>
      <w:r>
        <w:rPr>
          <w:rFonts w:hint="eastAsia" w:ascii="宋体" w:hAnsi="宋体" w:cs="宋体"/>
          <w:color w:val="auto"/>
          <w:sz w:val="28"/>
          <w:szCs w:val="28"/>
          <w:highlight w:val="none"/>
        </w:rPr>
        <w:t>2、待解决的诉讼</w:t>
      </w:r>
      <w:r>
        <w:rPr>
          <w:rFonts w:hint="eastAsia" w:ascii="宋体" w:hAnsi="宋体" w:cs="宋体"/>
          <w:bCs w:val="0"/>
          <w:color w:val="auto"/>
          <w:sz w:val="28"/>
          <w:szCs w:val="28"/>
          <w:highlight w:val="none"/>
        </w:rPr>
        <w:t>（格式）</w:t>
      </w:r>
    </w:p>
    <w:tbl>
      <w:tblPr>
        <w:tblStyle w:val="26"/>
        <w:tblW w:w="8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5"/>
        <w:gridCol w:w="2206"/>
        <w:gridCol w:w="2206"/>
        <w:gridCol w:w="2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8828" w:type="dxa"/>
            <w:gridSpan w:val="4"/>
            <w:vAlign w:val="center"/>
          </w:tcPr>
          <w:p>
            <w:pPr>
              <w:spacing w:line="360" w:lineRule="auto"/>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待解决的诉讼   □有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2205" w:type="dxa"/>
            <w:vAlign w:val="center"/>
          </w:tcPr>
          <w:p>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年份</w:t>
            </w:r>
          </w:p>
        </w:tc>
        <w:tc>
          <w:tcPr>
            <w:tcW w:w="2206" w:type="dxa"/>
            <w:vAlign w:val="center"/>
          </w:tcPr>
          <w:p>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争议事项</w:t>
            </w:r>
          </w:p>
        </w:tc>
        <w:tc>
          <w:tcPr>
            <w:tcW w:w="2206" w:type="dxa"/>
            <w:vAlign w:val="center"/>
          </w:tcPr>
          <w:p>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未决所赔金额</w:t>
            </w:r>
          </w:p>
        </w:tc>
        <w:tc>
          <w:tcPr>
            <w:tcW w:w="2211" w:type="dxa"/>
            <w:vAlign w:val="center"/>
          </w:tcPr>
          <w:p>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未决所赔金额占资产的比例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05" w:type="dxa"/>
            <w:vAlign w:val="top"/>
          </w:tcPr>
          <w:p>
            <w:pPr>
              <w:spacing w:line="360" w:lineRule="auto"/>
              <w:rPr>
                <w:rFonts w:hint="eastAsia" w:ascii="宋体" w:hAnsi="宋体" w:cs="宋体"/>
                <w:color w:val="auto"/>
                <w:kern w:val="0"/>
                <w:sz w:val="24"/>
                <w:highlight w:val="none"/>
              </w:rPr>
            </w:pPr>
          </w:p>
        </w:tc>
        <w:tc>
          <w:tcPr>
            <w:tcW w:w="2206" w:type="dxa"/>
            <w:vAlign w:val="top"/>
          </w:tcPr>
          <w:p>
            <w:pPr>
              <w:spacing w:line="360" w:lineRule="auto"/>
              <w:rPr>
                <w:rFonts w:hint="eastAsia" w:ascii="宋体" w:hAnsi="宋体" w:cs="宋体"/>
                <w:color w:val="auto"/>
                <w:kern w:val="0"/>
                <w:sz w:val="24"/>
                <w:highlight w:val="none"/>
              </w:rPr>
            </w:pPr>
          </w:p>
        </w:tc>
        <w:tc>
          <w:tcPr>
            <w:tcW w:w="2206" w:type="dxa"/>
            <w:vAlign w:val="top"/>
          </w:tcPr>
          <w:p>
            <w:pPr>
              <w:spacing w:line="360" w:lineRule="auto"/>
              <w:rPr>
                <w:rFonts w:hint="eastAsia" w:ascii="宋体" w:hAnsi="宋体" w:cs="宋体"/>
                <w:color w:val="auto"/>
                <w:kern w:val="0"/>
                <w:sz w:val="24"/>
                <w:highlight w:val="none"/>
              </w:rPr>
            </w:pPr>
          </w:p>
        </w:tc>
        <w:tc>
          <w:tcPr>
            <w:tcW w:w="2211" w:type="dxa"/>
            <w:vAlign w:val="top"/>
          </w:tcPr>
          <w:p>
            <w:pPr>
              <w:spacing w:line="360" w:lineRule="auto"/>
              <w:rPr>
                <w:rFonts w:hint="eastAsia"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05" w:type="dxa"/>
            <w:vAlign w:val="top"/>
          </w:tcPr>
          <w:p>
            <w:pPr>
              <w:spacing w:line="360" w:lineRule="auto"/>
              <w:rPr>
                <w:rFonts w:hint="eastAsia" w:ascii="宋体" w:hAnsi="宋体" w:cs="宋体"/>
                <w:color w:val="auto"/>
                <w:kern w:val="0"/>
                <w:sz w:val="24"/>
                <w:highlight w:val="none"/>
              </w:rPr>
            </w:pPr>
          </w:p>
        </w:tc>
        <w:tc>
          <w:tcPr>
            <w:tcW w:w="2206" w:type="dxa"/>
            <w:vAlign w:val="top"/>
          </w:tcPr>
          <w:p>
            <w:pPr>
              <w:spacing w:line="360" w:lineRule="auto"/>
              <w:rPr>
                <w:rFonts w:hint="eastAsia" w:ascii="宋体" w:hAnsi="宋体" w:cs="宋体"/>
                <w:color w:val="auto"/>
                <w:kern w:val="0"/>
                <w:sz w:val="24"/>
                <w:highlight w:val="none"/>
              </w:rPr>
            </w:pPr>
          </w:p>
        </w:tc>
        <w:tc>
          <w:tcPr>
            <w:tcW w:w="2206" w:type="dxa"/>
            <w:vAlign w:val="top"/>
          </w:tcPr>
          <w:p>
            <w:pPr>
              <w:spacing w:line="360" w:lineRule="auto"/>
              <w:rPr>
                <w:rFonts w:hint="eastAsia" w:ascii="宋体" w:hAnsi="宋体" w:cs="宋体"/>
                <w:color w:val="auto"/>
                <w:kern w:val="0"/>
                <w:sz w:val="24"/>
                <w:highlight w:val="none"/>
              </w:rPr>
            </w:pPr>
          </w:p>
        </w:tc>
        <w:tc>
          <w:tcPr>
            <w:tcW w:w="2211" w:type="dxa"/>
            <w:vAlign w:val="top"/>
          </w:tcPr>
          <w:p>
            <w:pPr>
              <w:spacing w:line="360" w:lineRule="auto"/>
              <w:rPr>
                <w:rFonts w:hint="eastAsia"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2205" w:type="dxa"/>
            <w:vAlign w:val="top"/>
          </w:tcPr>
          <w:p>
            <w:pPr>
              <w:spacing w:line="360" w:lineRule="auto"/>
              <w:rPr>
                <w:rFonts w:hint="eastAsia" w:ascii="宋体" w:hAnsi="宋体" w:cs="宋体"/>
                <w:color w:val="auto"/>
                <w:kern w:val="0"/>
                <w:sz w:val="24"/>
                <w:highlight w:val="none"/>
              </w:rPr>
            </w:pPr>
          </w:p>
        </w:tc>
        <w:tc>
          <w:tcPr>
            <w:tcW w:w="2206" w:type="dxa"/>
            <w:vAlign w:val="top"/>
          </w:tcPr>
          <w:p>
            <w:pPr>
              <w:spacing w:line="360" w:lineRule="auto"/>
              <w:rPr>
                <w:rFonts w:hint="eastAsia" w:ascii="宋体" w:hAnsi="宋体" w:cs="宋体"/>
                <w:color w:val="auto"/>
                <w:kern w:val="0"/>
                <w:sz w:val="24"/>
                <w:highlight w:val="none"/>
              </w:rPr>
            </w:pPr>
          </w:p>
        </w:tc>
        <w:tc>
          <w:tcPr>
            <w:tcW w:w="2206" w:type="dxa"/>
            <w:vAlign w:val="top"/>
          </w:tcPr>
          <w:p>
            <w:pPr>
              <w:spacing w:line="360" w:lineRule="auto"/>
              <w:rPr>
                <w:rFonts w:hint="eastAsia" w:ascii="宋体" w:hAnsi="宋体" w:cs="宋体"/>
                <w:color w:val="auto"/>
                <w:kern w:val="0"/>
                <w:sz w:val="24"/>
                <w:highlight w:val="none"/>
              </w:rPr>
            </w:pPr>
          </w:p>
        </w:tc>
        <w:tc>
          <w:tcPr>
            <w:tcW w:w="2211" w:type="dxa"/>
            <w:vAlign w:val="top"/>
          </w:tcPr>
          <w:p>
            <w:pPr>
              <w:spacing w:line="360" w:lineRule="auto"/>
              <w:rPr>
                <w:rFonts w:hint="eastAsia"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8828" w:type="dxa"/>
            <w:gridSpan w:val="4"/>
            <w:vAlign w:val="center"/>
          </w:tcPr>
          <w:p>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不良记录       □有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2205" w:type="dxa"/>
            <w:vAlign w:val="center"/>
          </w:tcPr>
          <w:p>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时间</w:t>
            </w:r>
          </w:p>
        </w:tc>
        <w:tc>
          <w:tcPr>
            <w:tcW w:w="4412" w:type="dxa"/>
            <w:gridSpan w:val="2"/>
            <w:vAlign w:val="center"/>
          </w:tcPr>
          <w:p>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不良记录情况说明</w:t>
            </w:r>
          </w:p>
        </w:tc>
        <w:tc>
          <w:tcPr>
            <w:tcW w:w="2211" w:type="dxa"/>
            <w:vAlign w:val="center"/>
          </w:tcPr>
          <w:p>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2205" w:type="dxa"/>
            <w:vAlign w:val="top"/>
          </w:tcPr>
          <w:p>
            <w:pPr>
              <w:spacing w:line="360" w:lineRule="auto"/>
              <w:rPr>
                <w:rFonts w:hint="eastAsia" w:ascii="宋体" w:hAnsi="宋体" w:cs="宋体"/>
                <w:color w:val="auto"/>
                <w:kern w:val="0"/>
                <w:sz w:val="24"/>
                <w:highlight w:val="none"/>
              </w:rPr>
            </w:pPr>
          </w:p>
        </w:tc>
        <w:tc>
          <w:tcPr>
            <w:tcW w:w="4412" w:type="dxa"/>
            <w:gridSpan w:val="2"/>
            <w:vAlign w:val="top"/>
          </w:tcPr>
          <w:p>
            <w:pPr>
              <w:spacing w:line="360" w:lineRule="auto"/>
              <w:rPr>
                <w:rFonts w:hint="eastAsia" w:ascii="宋体" w:hAnsi="宋体" w:cs="宋体"/>
                <w:color w:val="auto"/>
                <w:kern w:val="0"/>
                <w:sz w:val="24"/>
                <w:highlight w:val="none"/>
              </w:rPr>
            </w:pPr>
          </w:p>
        </w:tc>
        <w:tc>
          <w:tcPr>
            <w:tcW w:w="2211" w:type="dxa"/>
            <w:vAlign w:val="top"/>
          </w:tcPr>
          <w:p>
            <w:pPr>
              <w:spacing w:line="360" w:lineRule="auto"/>
              <w:rPr>
                <w:rFonts w:hint="eastAsia"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2205" w:type="dxa"/>
            <w:vAlign w:val="top"/>
          </w:tcPr>
          <w:p>
            <w:pPr>
              <w:spacing w:line="360" w:lineRule="auto"/>
              <w:rPr>
                <w:rFonts w:hint="eastAsia" w:ascii="宋体" w:hAnsi="宋体" w:cs="宋体"/>
                <w:color w:val="auto"/>
                <w:kern w:val="0"/>
                <w:sz w:val="24"/>
                <w:highlight w:val="none"/>
              </w:rPr>
            </w:pPr>
          </w:p>
        </w:tc>
        <w:tc>
          <w:tcPr>
            <w:tcW w:w="4412" w:type="dxa"/>
            <w:gridSpan w:val="2"/>
            <w:vAlign w:val="top"/>
          </w:tcPr>
          <w:p>
            <w:pPr>
              <w:spacing w:line="360" w:lineRule="auto"/>
              <w:rPr>
                <w:rFonts w:hint="eastAsia" w:ascii="宋体" w:hAnsi="宋体" w:cs="宋体"/>
                <w:color w:val="auto"/>
                <w:kern w:val="0"/>
                <w:sz w:val="24"/>
                <w:highlight w:val="none"/>
              </w:rPr>
            </w:pPr>
          </w:p>
        </w:tc>
        <w:tc>
          <w:tcPr>
            <w:tcW w:w="2211" w:type="dxa"/>
            <w:vAlign w:val="top"/>
          </w:tcPr>
          <w:p>
            <w:pPr>
              <w:spacing w:line="360" w:lineRule="auto"/>
              <w:rPr>
                <w:rFonts w:hint="eastAsia" w:ascii="宋体" w:hAnsi="宋体" w:cs="宋体"/>
                <w:color w:val="auto"/>
                <w:kern w:val="0"/>
                <w:sz w:val="24"/>
                <w:highlight w:val="none"/>
              </w:rPr>
            </w:pPr>
          </w:p>
        </w:tc>
      </w:tr>
    </w:tbl>
    <w:p>
      <w:pPr>
        <w:spacing w:line="360" w:lineRule="auto"/>
        <w:rPr>
          <w:rFonts w:hint="eastAsia" w:ascii="宋体" w:hAnsi="宋体" w:cs="宋体"/>
          <w:color w:val="auto"/>
          <w:highlight w:val="none"/>
        </w:rPr>
      </w:pPr>
    </w:p>
    <w:p>
      <w:pPr>
        <w:spacing w:line="360" w:lineRule="auto"/>
        <w:ind w:firstLine="120" w:firstLineChars="50"/>
        <w:rPr>
          <w:rFonts w:hint="eastAsia" w:ascii="宋体" w:hAnsi="宋体" w:cs="宋体"/>
          <w:color w:val="auto"/>
          <w:kern w:val="0"/>
          <w:sz w:val="24"/>
          <w:highlight w:val="none"/>
        </w:rPr>
      </w:pPr>
      <w:r>
        <w:rPr>
          <w:rFonts w:hint="eastAsia" w:ascii="宋体" w:hAnsi="宋体" w:cs="宋体"/>
          <w:color w:val="auto"/>
          <w:kern w:val="0"/>
          <w:sz w:val="24"/>
          <w:highlight w:val="none"/>
        </w:rPr>
        <w:t>注：1、近年为2021年1月1日至今。</w:t>
      </w:r>
    </w:p>
    <w:p>
      <w:pPr>
        <w:spacing w:line="360" w:lineRule="auto"/>
        <w:ind w:firstLine="600" w:firstLineChars="250"/>
        <w:rPr>
          <w:rFonts w:hint="eastAsia" w:ascii="宋体" w:hAnsi="宋体" w:cs="宋体"/>
          <w:color w:val="auto"/>
          <w:kern w:val="0"/>
          <w:sz w:val="24"/>
          <w:highlight w:val="none"/>
        </w:rPr>
      </w:pPr>
      <w:r>
        <w:rPr>
          <w:rFonts w:hint="eastAsia" w:ascii="宋体" w:hAnsi="宋体" w:cs="宋体"/>
          <w:color w:val="auto"/>
          <w:kern w:val="0"/>
          <w:sz w:val="24"/>
          <w:highlight w:val="none"/>
        </w:rPr>
        <w:t>2、如有诉讼附法院判决书等证明材料。</w:t>
      </w:r>
    </w:p>
    <w:p>
      <w:pPr>
        <w:spacing w:line="360" w:lineRule="auto"/>
        <w:rPr>
          <w:rFonts w:hint="eastAsia" w:ascii="宋体" w:hAnsi="宋体" w:cs="宋体"/>
          <w:color w:val="auto"/>
          <w:kern w:val="0"/>
          <w:sz w:val="24"/>
          <w:highlight w:val="none"/>
        </w:rPr>
      </w:pPr>
    </w:p>
    <w:p>
      <w:pPr>
        <w:spacing w:line="360" w:lineRule="auto"/>
        <w:rPr>
          <w:rFonts w:hint="eastAsia" w:ascii="宋体" w:hAnsi="宋体" w:cs="宋体"/>
          <w:color w:val="auto"/>
          <w:highlight w:val="none"/>
        </w:rPr>
      </w:pPr>
    </w:p>
    <w:p>
      <w:pPr>
        <w:spacing w:line="360" w:lineRule="auto"/>
        <w:rPr>
          <w:rFonts w:hint="eastAsia" w:ascii="宋体" w:hAnsi="宋体" w:cs="宋体"/>
          <w:color w:val="auto"/>
          <w:highlight w:val="none"/>
        </w:rPr>
      </w:pPr>
    </w:p>
    <w:p>
      <w:pPr>
        <w:spacing w:line="360" w:lineRule="auto"/>
        <w:rPr>
          <w:rFonts w:hint="eastAsia" w:ascii="宋体" w:hAnsi="宋体" w:cs="宋体"/>
          <w:color w:val="auto"/>
          <w:highlight w:val="none"/>
        </w:rPr>
      </w:pPr>
    </w:p>
    <w:p>
      <w:pPr>
        <w:spacing w:line="360" w:lineRule="auto"/>
        <w:ind w:left="3118" w:leftChars="1485"/>
        <w:rPr>
          <w:rFonts w:hint="eastAsia" w:ascii="宋体" w:hAnsi="宋体" w:cs="宋体"/>
          <w:color w:val="auto"/>
          <w:sz w:val="24"/>
          <w:highlight w:val="none"/>
        </w:rPr>
      </w:pPr>
      <w:r>
        <w:rPr>
          <w:rFonts w:hint="eastAsia" w:ascii="宋体" w:hAnsi="宋体" w:cs="宋体"/>
          <w:color w:val="auto"/>
          <w:sz w:val="24"/>
          <w:highlight w:val="none"/>
        </w:rPr>
        <w:t xml:space="preserve">投标人名称： </w:t>
      </w:r>
      <w:r>
        <w:rPr>
          <w:rFonts w:hint="eastAsia" w:ascii="宋体" w:hAnsi="宋体" w:cs="宋体"/>
          <w:color w:val="auto"/>
          <w:sz w:val="24"/>
          <w:highlight w:val="none"/>
          <w:u w:val="single"/>
        </w:rPr>
        <w:t xml:space="preserve">                          （盖公章）</w:t>
      </w:r>
    </w:p>
    <w:p>
      <w:pPr>
        <w:spacing w:line="360" w:lineRule="auto"/>
        <w:ind w:left="3118" w:leftChars="1485"/>
        <w:rPr>
          <w:rFonts w:hint="eastAsia" w:ascii="宋体" w:hAnsi="宋体" w:cs="宋体"/>
          <w:color w:val="auto"/>
          <w:sz w:val="24"/>
          <w:highlight w:val="none"/>
        </w:rPr>
      </w:pPr>
    </w:p>
    <w:p>
      <w:pPr>
        <w:spacing w:line="360" w:lineRule="auto"/>
        <w:ind w:left="3118" w:leftChars="1485"/>
        <w:rPr>
          <w:rFonts w:hint="eastAsia" w:ascii="宋体" w:hAnsi="宋体" w:cs="宋体"/>
          <w:color w:val="auto"/>
          <w:sz w:val="24"/>
          <w:highlight w:val="none"/>
          <w:u w:val="single"/>
        </w:rPr>
      </w:pPr>
      <w:r>
        <w:rPr>
          <w:rFonts w:hint="eastAsia" w:ascii="宋体" w:hAnsi="宋体" w:cs="宋体"/>
          <w:color w:val="auto"/>
          <w:sz w:val="24"/>
          <w:highlight w:val="none"/>
        </w:rPr>
        <w:t>法定代表人或授权委托人：（签字或盖章）:</w:t>
      </w:r>
      <w:r>
        <w:rPr>
          <w:rFonts w:hint="eastAsia" w:ascii="宋体" w:hAnsi="宋体" w:cs="宋体"/>
          <w:color w:val="auto"/>
          <w:sz w:val="24"/>
          <w:highlight w:val="none"/>
          <w:u w:val="single"/>
        </w:rPr>
        <w:t xml:space="preserve">                        </w:t>
      </w:r>
    </w:p>
    <w:p>
      <w:pPr>
        <w:spacing w:line="360" w:lineRule="auto"/>
        <w:ind w:left="3118" w:leftChars="1485"/>
        <w:rPr>
          <w:rFonts w:hint="eastAsia" w:ascii="宋体" w:hAnsi="宋体" w:cs="宋体"/>
          <w:color w:val="auto"/>
          <w:sz w:val="24"/>
          <w:highlight w:val="none"/>
          <w:u w:val="single"/>
        </w:rPr>
      </w:pPr>
    </w:p>
    <w:p>
      <w:pPr>
        <w:spacing w:line="360" w:lineRule="auto"/>
        <w:ind w:left="3118" w:leftChars="1485"/>
        <w:rPr>
          <w:rFonts w:hint="eastAsia" w:ascii="宋体" w:hAnsi="宋体" w:cs="宋体"/>
          <w:color w:val="auto"/>
          <w:sz w:val="24"/>
          <w:highlight w:val="none"/>
        </w:r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p>
    <w:p>
      <w:pPr>
        <w:pStyle w:val="4"/>
        <w:spacing w:line="360" w:lineRule="auto"/>
        <w:rPr>
          <w:rFonts w:hint="eastAsia" w:ascii="宋体" w:hAnsi="宋体" w:cs="宋体"/>
          <w:color w:val="auto"/>
          <w:sz w:val="28"/>
          <w:szCs w:val="28"/>
          <w:highlight w:val="none"/>
        </w:rPr>
      </w:pPr>
      <w:bookmarkStart w:id="253" w:name="_Toc431929819"/>
      <w:bookmarkEnd w:id="253"/>
      <w:bookmarkStart w:id="254" w:name="_Toc25145"/>
      <w:bookmarkEnd w:id="254"/>
      <w:bookmarkStart w:id="255" w:name="_Toc29714"/>
      <w:bookmarkEnd w:id="255"/>
      <w:r>
        <w:rPr>
          <w:rFonts w:hint="eastAsia" w:ascii="宋体" w:hAnsi="宋体" w:cs="宋体"/>
          <w:b w:val="0"/>
          <w:bCs w:val="0"/>
          <w:color w:val="auto"/>
          <w:sz w:val="30"/>
          <w:highlight w:val="none"/>
        </w:rPr>
        <w:br w:type="page"/>
      </w:r>
      <w:r>
        <w:rPr>
          <w:rFonts w:hint="eastAsia" w:ascii="宋体" w:hAnsi="宋体" w:cs="宋体"/>
          <w:color w:val="auto"/>
          <w:sz w:val="28"/>
          <w:szCs w:val="28"/>
          <w:highlight w:val="none"/>
        </w:rPr>
        <w:t>3、投标人未处于被责令停业，财产被接管、冻结破产状态承诺书（格式）</w:t>
      </w:r>
    </w:p>
    <w:p>
      <w:pPr>
        <w:pStyle w:val="23"/>
        <w:spacing w:line="360" w:lineRule="auto"/>
        <w:rPr>
          <w:rFonts w:hint="eastAsia" w:ascii="宋体" w:hAnsi="宋体" w:cs="宋体"/>
          <w:color w:val="auto"/>
          <w:kern w:val="0"/>
          <w:highlight w:val="none"/>
          <w:shd w:val="clear" w:color="auto" w:fill="FFFFFF"/>
        </w:rPr>
      </w:pPr>
      <w:r>
        <w:rPr>
          <w:rFonts w:hint="eastAsia" w:ascii="宋体" w:hAnsi="宋体" w:cs="宋体"/>
          <w:color w:val="auto"/>
          <w:highlight w:val="none"/>
          <w:shd w:val="clear" w:color="auto" w:fill="FFFFFF"/>
        </w:rPr>
        <w:t>我单位郑重承诺：</w:t>
      </w:r>
    </w:p>
    <w:p>
      <w:pPr>
        <w:pStyle w:val="23"/>
        <w:spacing w:line="360" w:lineRule="auto"/>
        <w:ind w:firstLine="600" w:firstLineChars="250"/>
        <w:rPr>
          <w:rFonts w:hint="eastAsia" w:ascii="宋体" w:hAnsi="宋体" w:cs="宋体"/>
          <w:color w:val="auto"/>
          <w:highlight w:val="none"/>
          <w:shd w:val="clear" w:color="auto" w:fill="FFFFFF"/>
        </w:rPr>
      </w:pPr>
      <w:r>
        <w:rPr>
          <w:rFonts w:hint="eastAsia" w:ascii="宋体" w:hAnsi="宋体" w:cs="宋体"/>
          <w:color w:val="auto"/>
          <w:highlight w:val="none"/>
          <w:shd w:val="clear" w:color="auto" w:fill="FFFFFF"/>
        </w:rPr>
        <w:t>1、 目前我单位处于正常生产经营状态。</w:t>
      </w:r>
    </w:p>
    <w:p>
      <w:pPr>
        <w:pStyle w:val="23"/>
        <w:spacing w:line="360" w:lineRule="auto"/>
        <w:ind w:firstLine="600" w:firstLineChars="250"/>
        <w:rPr>
          <w:rFonts w:hint="eastAsia" w:ascii="宋体" w:hAnsi="宋体" w:cs="宋体"/>
          <w:color w:val="auto"/>
          <w:highlight w:val="none"/>
          <w:shd w:val="clear" w:color="auto" w:fill="FFFFFF"/>
        </w:rPr>
      </w:pPr>
      <w:r>
        <w:rPr>
          <w:rFonts w:hint="eastAsia" w:ascii="宋体" w:hAnsi="宋体" w:cs="宋体"/>
          <w:color w:val="auto"/>
          <w:highlight w:val="none"/>
          <w:shd w:val="clear" w:color="auto" w:fill="FFFFFF"/>
        </w:rPr>
        <w:t>2、 我公司没有处于责令停业状态。</w:t>
      </w:r>
    </w:p>
    <w:p>
      <w:pPr>
        <w:pStyle w:val="23"/>
        <w:spacing w:line="360" w:lineRule="auto"/>
        <w:ind w:firstLine="600" w:firstLineChars="250"/>
        <w:rPr>
          <w:rFonts w:hint="eastAsia" w:ascii="宋体" w:hAnsi="宋体" w:cs="宋体"/>
          <w:color w:val="auto"/>
          <w:highlight w:val="none"/>
          <w:shd w:val="clear" w:color="auto" w:fill="FFFFFF"/>
        </w:rPr>
      </w:pPr>
      <w:r>
        <w:rPr>
          <w:rFonts w:hint="eastAsia" w:ascii="宋体" w:hAnsi="宋体" w:cs="宋体"/>
          <w:color w:val="auto"/>
          <w:highlight w:val="none"/>
          <w:shd w:val="clear" w:color="auto" w:fill="FFFFFF"/>
        </w:rPr>
        <w:t>3、 我公司投标资格未被取消。</w:t>
      </w:r>
    </w:p>
    <w:p>
      <w:pPr>
        <w:pStyle w:val="23"/>
        <w:spacing w:line="360" w:lineRule="auto"/>
        <w:ind w:firstLine="600" w:firstLineChars="250"/>
        <w:rPr>
          <w:rFonts w:hint="eastAsia" w:ascii="宋体" w:hAnsi="宋体" w:cs="宋体"/>
          <w:color w:val="auto"/>
          <w:highlight w:val="none"/>
          <w:shd w:val="clear" w:color="auto" w:fill="FFFFFF"/>
        </w:rPr>
      </w:pPr>
      <w:r>
        <w:rPr>
          <w:rFonts w:hint="eastAsia" w:ascii="宋体" w:hAnsi="宋体" w:cs="宋体"/>
          <w:color w:val="auto"/>
          <w:highlight w:val="none"/>
          <w:shd w:val="clear" w:color="auto" w:fill="FFFFFF"/>
        </w:rPr>
        <w:t>4、 我公司目前没有处于财产被接管、冻结，破产状态。</w:t>
      </w:r>
    </w:p>
    <w:p>
      <w:pPr>
        <w:pStyle w:val="23"/>
        <w:spacing w:line="360" w:lineRule="auto"/>
        <w:ind w:firstLine="600" w:firstLineChars="250"/>
        <w:rPr>
          <w:rFonts w:hint="eastAsia" w:ascii="宋体" w:hAnsi="宋体" w:cs="宋体"/>
          <w:color w:val="auto"/>
          <w:highlight w:val="none"/>
          <w:shd w:val="clear" w:color="auto" w:fill="FFFFFF"/>
        </w:rPr>
      </w:pPr>
      <w:r>
        <w:rPr>
          <w:rFonts w:hint="eastAsia" w:ascii="宋体" w:hAnsi="宋体" w:cs="宋体"/>
          <w:color w:val="auto"/>
          <w:highlight w:val="none"/>
          <w:shd w:val="clear" w:color="auto" w:fill="FFFFFF"/>
        </w:rPr>
        <w:t>5、 ……</w:t>
      </w:r>
    </w:p>
    <w:p>
      <w:pPr>
        <w:spacing w:line="360" w:lineRule="auto"/>
        <w:ind w:firstLine="120" w:firstLineChars="50"/>
        <w:rPr>
          <w:rFonts w:hint="eastAsia" w:ascii="宋体" w:hAnsi="宋体" w:cs="宋体"/>
          <w:color w:val="auto"/>
          <w:sz w:val="24"/>
          <w:highlight w:val="none"/>
        </w:rPr>
      </w:pPr>
    </w:p>
    <w:p>
      <w:pPr>
        <w:spacing w:line="360" w:lineRule="auto"/>
        <w:ind w:firstLine="120" w:firstLineChars="50"/>
        <w:rPr>
          <w:rFonts w:hint="eastAsia" w:ascii="宋体" w:hAnsi="宋体" w:cs="宋体"/>
          <w:color w:val="auto"/>
          <w:sz w:val="24"/>
          <w:highlight w:val="none"/>
        </w:rPr>
      </w:pPr>
      <w:r>
        <w:rPr>
          <w:rFonts w:hint="eastAsia" w:ascii="宋体" w:hAnsi="宋体" w:cs="宋体"/>
          <w:color w:val="auto"/>
          <w:sz w:val="24"/>
          <w:highlight w:val="none"/>
        </w:rPr>
        <w:t>投标人：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（盖公章）</w:t>
      </w:r>
    </w:p>
    <w:p>
      <w:pPr>
        <w:spacing w:line="360" w:lineRule="auto"/>
        <w:ind w:firstLine="120" w:firstLineChars="50"/>
        <w:rPr>
          <w:rFonts w:hint="eastAsia" w:ascii="宋体" w:hAnsi="宋体" w:cs="宋体"/>
          <w:color w:val="auto"/>
          <w:sz w:val="24"/>
          <w:highlight w:val="none"/>
        </w:rPr>
      </w:pPr>
      <w:r>
        <w:rPr>
          <w:rFonts w:hint="eastAsia" w:ascii="宋体" w:hAnsi="宋体" w:cs="宋体"/>
          <w:color w:val="auto"/>
          <w:sz w:val="24"/>
          <w:highlight w:val="none"/>
        </w:rPr>
        <w:t>法定代表人或授权委托代理人：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（签字或盖章）</w:t>
      </w:r>
    </w:p>
    <w:p>
      <w:pPr>
        <w:pStyle w:val="23"/>
        <w:spacing w:line="360" w:lineRule="auto"/>
        <w:ind w:firstLine="120" w:firstLineChars="50"/>
        <w:rPr>
          <w:rFonts w:hint="eastAsia" w:ascii="宋体" w:hAnsi="宋体" w:cs="宋体"/>
          <w:color w:val="auto"/>
          <w:highlight w:val="none"/>
        </w:rPr>
      </w:pPr>
      <w:r>
        <w:rPr>
          <w:rFonts w:hint="eastAsia" w:ascii="宋体" w:hAnsi="宋体" w:cs="宋体"/>
          <w:color w:val="auto"/>
          <w:highlight w:val="none"/>
        </w:rPr>
        <w:t>日  期：</w:t>
      </w:r>
      <w:r>
        <w:rPr>
          <w:rFonts w:hint="eastAsia" w:ascii="宋体" w:hAnsi="宋体" w:cs="宋体"/>
          <w:color w:val="auto"/>
          <w:highlight w:val="none"/>
          <w:u w:val="single"/>
        </w:rPr>
        <w:t xml:space="preserve">                     </w:t>
      </w:r>
    </w:p>
    <w:p>
      <w:pPr>
        <w:pStyle w:val="13"/>
        <w:spacing w:line="360" w:lineRule="auto"/>
        <w:rPr>
          <w:rFonts w:hint="eastAsia" w:ascii="宋体" w:hAnsi="宋体" w:cs="宋体"/>
          <w:b/>
          <w:color w:val="auto"/>
          <w:sz w:val="24"/>
          <w:highlight w:val="none"/>
        </w:rPr>
      </w:pPr>
    </w:p>
    <w:p>
      <w:pPr>
        <w:pStyle w:val="13"/>
        <w:spacing w:line="360" w:lineRule="auto"/>
        <w:rPr>
          <w:rFonts w:hint="eastAsia" w:ascii="宋体" w:hAnsi="宋体" w:cs="宋体"/>
          <w:b/>
          <w:color w:val="auto"/>
          <w:sz w:val="24"/>
          <w:highlight w:val="none"/>
        </w:rPr>
      </w:pPr>
    </w:p>
    <w:p>
      <w:pPr>
        <w:pStyle w:val="13"/>
        <w:spacing w:line="360" w:lineRule="auto"/>
        <w:rPr>
          <w:rFonts w:hint="eastAsia" w:ascii="宋体" w:hAnsi="宋体" w:cs="宋体"/>
          <w:b/>
          <w:color w:val="auto"/>
          <w:sz w:val="24"/>
          <w:highlight w:val="none"/>
        </w:rPr>
      </w:pPr>
    </w:p>
    <w:p>
      <w:pPr>
        <w:pStyle w:val="13"/>
        <w:spacing w:line="360" w:lineRule="auto"/>
        <w:rPr>
          <w:rFonts w:hint="eastAsia" w:ascii="宋体" w:hAnsi="宋体" w:cs="宋体"/>
          <w:b/>
          <w:color w:val="auto"/>
          <w:sz w:val="24"/>
          <w:highlight w:val="none"/>
        </w:rPr>
      </w:pPr>
    </w:p>
    <w:p>
      <w:pPr>
        <w:spacing w:line="360" w:lineRule="auto"/>
        <w:rPr>
          <w:rFonts w:hint="eastAsia" w:ascii="宋体" w:hAnsi="宋体" w:eastAsia="宋体" w:cs="宋体"/>
          <w:color w:val="auto"/>
          <w:sz w:val="24"/>
          <w:highlight w:val="none"/>
        </w:rPr>
        <w:sectPr>
          <w:headerReference r:id="rId15" w:type="default"/>
          <w:pgSz w:w="11906" w:h="16838"/>
          <w:pgMar w:top="1134" w:right="1134" w:bottom="993" w:left="1134" w:header="454" w:footer="454" w:gutter="0"/>
          <w:cols w:space="720" w:num="1"/>
          <w:docGrid w:linePitch="312" w:charSpace="0"/>
        </w:sectPr>
      </w:pPr>
    </w:p>
    <w:p>
      <w:pPr>
        <w:pStyle w:val="4"/>
        <w:rPr>
          <w:rFonts w:hint="eastAsia" w:ascii="宋体" w:hAnsi="宋体" w:cs="宋体"/>
          <w:color w:val="auto"/>
          <w:highlight w:val="none"/>
        </w:rPr>
      </w:pPr>
      <w:bookmarkStart w:id="256" w:name="_Toc18014"/>
      <w:bookmarkEnd w:id="256"/>
      <w:r>
        <w:rPr>
          <w:rFonts w:hint="eastAsia" w:ascii="宋体" w:hAnsi="宋体" w:cs="宋体"/>
          <w:color w:val="auto"/>
          <w:highlight w:val="none"/>
        </w:rPr>
        <w:t>4、投标人认为所需要的其他材料</w:t>
      </w:r>
    </w:p>
    <w:p>
      <w:pPr>
        <w:rPr>
          <w:rFonts w:hint="eastAsia" w:ascii="宋体" w:hAnsi="宋体" w:cs="宋体"/>
          <w:color w:val="auto"/>
          <w:sz w:val="28"/>
          <w:szCs w:val="28"/>
          <w:highlight w:val="none"/>
        </w:rPr>
      </w:pPr>
      <w:r>
        <w:rPr>
          <w:rFonts w:hint="eastAsia" w:ascii="宋体" w:hAnsi="宋体" w:cs="宋体"/>
          <w:color w:val="auto"/>
          <w:sz w:val="28"/>
          <w:szCs w:val="28"/>
          <w:highlight w:val="none"/>
        </w:rPr>
        <w:br w:type="page"/>
      </w:r>
    </w:p>
    <w:p>
      <w:pPr>
        <w:spacing w:line="360" w:lineRule="auto"/>
        <w:ind w:firstLine="435"/>
        <w:rPr>
          <w:rFonts w:hint="eastAsia" w:ascii="宋体" w:hAnsi="宋体" w:cs="宋体"/>
          <w:color w:val="auto"/>
          <w:sz w:val="28"/>
          <w:szCs w:val="28"/>
          <w:highlight w:val="none"/>
        </w:rPr>
      </w:pPr>
    </w:p>
    <w:p>
      <w:pPr>
        <w:spacing w:line="360" w:lineRule="auto"/>
        <w:ind w:firstLine="435"/>
        <w:rPr>
          <w:rFonts w:hint="eastAsia" w:ascii="宋体" w:hAnsi="宋体" w:cs="宋体"/>
          <w:color w:val="auto"/>
          <w:sz w:val="28"/>
          <w:szCs w:val="28"/>
          <w:highlight w:val="none"/>
        </w:rPr>
      </w:pPr>
    </w:p>
    <w:p>
      <w:pPr>
        <w:spacing w:line="360" w:lineRule="auto"/>
        <w:ind w:firstLine="435"/>
        <w:rPr>
          <w:rFonts w:hint="eastAsia" w:ascii="宋体" w:hAnsi="宋体" w:cs="宋体"/>
          <w:color w:val="auto"/>
          <w:sz w:val="28"/>
          <w:szCs w:val="28"/>
          <w:highlight w:val="none"/>
        </w:rPr>
      </w:pPr>
    </w:p>
    <w:p>
      <w:pPr>
        <w:spacing w:line="360" w:lineRule="auto"/>
        <w:ind w:firstLine="435"/>
        <w:rPr>
          <w:rFonts w:hint="eastAsia" w:ascii="宋体" w:hAnsi="宋体" w:cs="宋体"/>
          <w:color w:val="auto"/>
          <w:sz w:val="28"/>
          <w:szCs w:val="28"/>
          <w:highlight w:val="none"/>
        </w:rPr>
      </w:pPr>
    </w:p>
    <w:p>
      <w:pPr>
        <w:spacing w:line="360" w:lineRule="auto"/>
        <w:ind w:firstLine="435"/>
        <w:rPr>
          <w:rFonts w:hint="eastAsia" w:ascii="宋体" w:hAnsi="宋体" w:cs="宋体"/>
          <w:color w:val="auto"/>
          <w:sz w:val="28"/>
          <w:szCs w:val="28"/>
          <w:highlight w:val="none"/>
        </w:rPr>
      </w:pPr>
    </w:p>
    <w:p>
      <w:pPr>
        <w:spacing w:line="360" w:lineRule="auto"/>
        <w:ind w:firstLine="435"/>
        <w:rPr>
          <w:rFonts w:hint="eastAsia" w:ascii="宋体" w:hAnsi="宋体" w:cs="宋体"/>
          <w:color w:val="auto"/>
          <w:sz w:val="28"/>
          <w:szCs w:val="28"/>
          <w:highlight w:val="none"/>
        </w:rPr>
      </w:pPr>
    </w:p>
    <w:p>
      <w:pPr>
        <w:spacing w:line="360" w:lineRule="auto"/>
        <w:ind w:firstLine="435"/>
        <w:rPr>
          <w:rFonts w:hint="eastAsia" w:ascii="宋体" w:hAnsi="宋体" w:cs="宋体"/>
          <w:color w:val="auto"/>
          <w:sz w:val="28"/>
          <w:szCs w:val="28"/>
          <w:highlight w:val="none"/>
        </w:rPr>
      </w:pPr>
    </w:p>
    <w:p>
      <w:pPr>
        <w:pStyle w:val="2"/>
        <w:numPr>
          <w:ilvl w:val="0"/>
          <w:numId w:val="2"/>
        </w:numPr>
        <w:spacing w:line="360" w:lineRule="auto"/>
        <w:jc w:val="center"/>
        <w:rPr>
          <w:rFonts w:hint="eastAsia" w:ascii="宋体" w:hAnsi="宋体" w:cs="宋体"/>
          <w:color w:val="auto"/>
          <w:w w:val="90"/>
          <w:highlight w:val="none"/>
        </w:rPr>
      </w:pPr>
      <w:bookmarkStart w:id="257" w:name="_Toc10566"/>
      <w:bookmarkEnd w:id="257"/>
      <w:bookmarkStart w:id="258" w:name="_Toc350515694"/>
      <w:bookmarkEnd w:id="258"/>
      <w:bookmarkStart w:id="259" w:name="_Toc24960"/>
      <w:bookmarkEnd w:id="259"/>
      <w:bookmarkStart w:id="260" w:name="_Toc343510644"/>
      <w:bookmarkEnd w:id="260"/>
      <w:bookmarkStart w:id="261" w:name="_Toc344394245"/>
      <w:bookmarkEnd w:id="261"/>
      <w:bookmarkStart w:id="262" w:name="_Toc349568769"/>
      <w:bookmarkEnd w:id="262"/>
      <w:r>
        <w:rPr>
          <w:rFonts w:hint="eastAsia" w:ascii="宋体" w:hAnsi="宋体" w:cs="宋体"/>
          <w:color w:val="auto"/>
          <w:w w:val="90"/>
          <w:highlight w:val="none"/>
        </w:rPr>
        <w:t xml:space="preserve">  评标办法</w:t>
      </w:r>
    </w:p>
    <w:p>
      <w:pPr>
        <w:widowControl/>
        <w:tabs>
          <w:tab w:val="left" w:pos="2280"/>
        </w:tabs>
        <w:spacing w:line="360" w:lineRule="auto"/>
        <w:jc w:val="center"/>
        <w:rPr>
          <w:rFonts w:hint="eastAsia" w:ascii="宋体" w:hAnsi="宋体" w:cs="宋体"/>
          <w:b/>
          <w:color w:val="auto"/>
          <w:sz w:val="32"/>
          <w:szCs w:val="24"/>
          <w:highlight w:val="none"/>
        </w:rPr>
      </w:pPr>
      <w:r>
        <w:rPr>
          <w:rFonts w:hint="eastAsia" w:ascii="宋体" w:hAnsi="宋体" w:cs="宋体"/>
          <w:color w:val="auto"/>
          <w:highlight w:val="none"/>
        </w:rPr>
        <w:br w:type="page"/>
      </w:r>
      <w:r>
        <w:rPr>
          <w:rFonts w:hint="eastAsia" w:ascii="宋体" w:hAnsi="宋体" w:cs="宋体"/>
          <w:b/>
          <w:color w:val="auto"/>
          <w:sz w:val="32"/>
          <w:szCs w:val="24"/>
          <w:highlight w:val="none"/>
        </w:rPr>
        <w:t>第一部分  总     则</w:t>
      </w:r>
    </w:p>
    <w:p>
      <w:pPr>
        <w:widowControl/>
        <w:tabs>
          <w:tab w:val="left" w:pos="2280"/>
        </w:tabs>
        <w:spacing w:line="360" w:lineRule="auto"/>
        <w:jc w:val="center"/>
        <w:rPr>
          <w:rFonts w:hint="eastAsia" w:ascii="宋体" w:hAnsi="宋体" w:cs="宋体"/>
          <w:b/>
          <w:color w:val="auto"/>
          <w:sz w:val="32"/>
          <w:szCs w:val="24"/>
          <w:highlight w:val="none"/>
        </w:rPr>
      </w:pPr>
    </w:p>
    <w:p>
      <w:pPr>
        <w:widowControl/>
        <w:snapToGrid w:val="0"/>
        <w:spacing w:line="360" w:lineRule="auto"/>
        <w:ind w:firstLine="420"/>
        <w:jc w:val="left"/>
        <w:rPr>
          <w:rFonts w:hint="eastAsia" w:ascii="宋体" w:hAnsi="宋体" w:cs="宋体"/>
          <w:color w:val="auto"/>
          <w:spacing w:val="4"/>
          <w:kern w:val="0"/>
          <w:sz w:val="24"/>
          <w:highlight w:val="none"/>
        </w:rPr>
      </w:pPr>
      <w:r>
        <w:rPr>
          <w:rFonts w:hint="eastAsia" w:ascii="宋体" w:hAnsi="宋体" w:cs="宋体"/>
          <w:color w:val="auto"/>
          <w:spacing w:val="4"/>
          <w:kern w:val="0"/>
          <w:sz w:val="24"/>
          <w:highlight w:val="none"/>
        </w:rPr>
        <w:t>根据《中华人民共和国招标投标法》结合本项目实际，制定本办法。</w:t>
      </w:r>
    </w:p>
    <w:p>
      <w:pPr>
        <w:widowControl/>
        <w:snapToGrid w:val="0"/>
        <w:spacing w:line="360" w:lineRule="auto"/>
        <w:ind w:firstLine="420"/>
        <w:jc w:val="left"/>
        <w:rPr>
          <w:rFonts w:hint="eastAsia" w:ascii="宋体" w:hAnsi="宋体" w:cs="宋体"/>
          <w:color w:val="auto"/>
          <w:spacing w:val="4"/>
          <w:kern w:val="0"/>
          <w:sz w:val="24"/>
          <w:highlight w:val="none"/>
        </w:rPr>
      </w:pPr>
      <w:r>
        <w:rPr>
          <w:rFonts w:hint="eastAsia" w:ascii="宋体" w:hAnsi="宋体" w:cs="宋体"/>
          <w:color w:val="auto"/>
          <w:spacing w:val="4"/>
          <w:kern w:val="0"/>
          <w:sz w:val="24"/>
          <w:highlight w:val="none"/>
        </w:rPr>
        <w:t>1.本标准是本招标项目评标委员会评定和推荐中标候选人的依据。</w:t>
      </w:r>
    </w:p>
    <w:p>
      <w:pPr>
        <w:widowControl/>
        <w:snapToGrid w:val="0"/>
        <w:spacing w:line="360" w:lineRule="auto"/>
        <w:ind w:firstLine="420"/>
        <w:jc w:val="left"/>
        <w:rPr>
          <w:rFonts w:hint="eastAsia" w:ascii="宋体" w:hAnsi="宋体" w:cs="宋体"/>
          <w:color w:val="auto"/>
          <w:spacing w:val="4"/>
          <w:kern w:val="0"/>
          <w:sz w:val="24"/>
          <w:highlight w:val="none"/>
        </w:rPr>
      </w:pPr>
      <w:r>
        <w:rPr>
          <w:rFonts w:hint="eastAsia" w:ascii="宋体" w:hAnsi="宋体" w:cs="宋体"/>
          <w:color w:val="auto"/>
          <w:spacing w:val="4"/>
          <w:kern w:val="0"/>
          <w:sz w:val="24"/>
          <w:highlight w:val="none"/>
        </w:rPr>
        <w:t>2.评标原则:评标应遵循公开、公平、公正、科学合理的原则。</w:t>
      </w:r>
    </w:p>
    <w:p>
      <w:pPr>
        <w:widowControl/>
        <w:snapToGrid w:val="0"/>
        <w:spacing w:line="360" w:lineRule="auto"/>
        <w:ind w:firstLine="420"/>
        <w:jc w:val="left"/>
        <w:rPr>
          <w:rFonts w:hint="eastAsia" w:ascii="宋体" w:hAnsi="宋体" w:cs="宋体"/>
          <w:color w:val="auto"/>
          <w:spacing w:val="4"/>
          <w:kern w:val="0"/>
          <w:sz w:val="24"/>
          <w:highlight w:val="none"/>
        </w:rPr>
      </w:pPr>
      <w:r>
        <w:rPr>
          <w:rFonts w:hint="eastAsia" w:ascii="宋体" w:hAnsi="宋体" w:cs="宋体"/>
          <w:color w:val="auto"/>
          <w:spacing w:val="4"/>
          <w:kern w:val="0"/>
          <w:sz w:val="24"/>
          <w:highlight w:val="none"/>
        </w:rPr>
        <w:t>3.评标委员会对满足招标文件实质性要求的投标文件，按照本章规定的评分标准进行打分，并按得分由高到低顺序推荐中标候选人。如果前三名中标候选人得分出现分值相同的情况，按投标报价得分由高到低进行排序，如投标报价得分仍相同则按技术部分得分高低进行排序。如技术部分得分仍相同，由招标人决定。</w:t>
      </w:r>
    </w:p>
    <w:p>
      <w:pPr>
        <w:widowControl/>
        <w:snapToGrid w:val="0"/>
        <w:spacing w:line="360" w:lineRule="auto"/>
        <w:ind w:firstLine="420"/>
        <w:jc w:val="left"/>
        <w:rPr>
          <w:rFonts w:hint="eastAsia" w:ascii="宋体" w:hAnsi="宋体" w:cs="宋体"/>
          <w:color w:val="auto"/>
          <w:spacing w:val="4"/>
          <w:kern w:val="0"/>
          <w:sz w:val="24"/>
          <w:highlight w:val="none"/>
        </w:rPr>
      </w:pPr>
      <w:r>
        <w:rPr>
          <w:rFonts w:hint="eastAsia" w:ascii="宋体" w:hAnsi="宋体" w:cs="宋体"/>
          <w:color w:val="auto"/>
          <w:spacing w:val="4"/>
          <w:kern w:val="0"/>
          <w:sz w:val="24"/>
          <w:highlight w:val="none"/>
        </w:rPr>
        <w:t>评标委员会在对投标文件进行评审、评分时，应遵守下列规则：</w:t>
      </w:r>
    </w:p>
    <w:p>
      <w:pPr>
        <w:widowControl/>
        <w:snapToGrid w:val="0"/>
        <w:spacing w:line="360" w:lineRule="auto"/>
        <w:ind w:firstLine="420"/>
        <w:jc w:val="left"/>
        <w:rPr>
          <w:rFonts w:hint="eastAsia" w:ascii="宋体" w:hAnsi="宋体" w:cs="宋体"/>
          <w:color w:val="auto"/>
          <w:spacing w:val="4"/>
          <w:kern w:val="0"/>
          <w:sz w:val="24"/>
          <w:highlight w:val="none"/>
        </w:rPr>
      </w:pPr>
      <w:r>
        <w:rPr>
          <w:rFonts w:hint="eastAsia" w:ascii="宋体" w:hAnsi="宋体" w:cs="宋体"/>
          <w:color w:val="auto"/>
          <w:spacing w:val="4"/>
          <w:kern w:val="0"/>
          <w:sz w:val="24"/>
          <w:highlight w:val="none"/>
        </w:rPr>
        <w:t>（1）评标委员会成员应按招标文件的要求，认真审查、评审各投标人投标文件，并写出书面审查和评审意见。</w:t>
      </w:r>
    </w:p>
    <w:p>
      <w:pPr>
        <w:widowControl/>
        <w:snapToGrid w:val="0"/>
        <w:spacing w:line="360" w:lineRule="auto"/>
        <w:ind w:firstLine="420"/>
        <w:jc w:val="left"/>
        <w:rPr>
          <w:rFonts w:hint="eastAsia" w:ascii="宋体" w:hAnsi="宋体" w:cs="宋体"/>
          <w:color w:val="auto"/>
          <w:spacing w:val="4"/>
          <w:kern w:val="0"/>
          <w:sz w:val="24"/>
          <w:highlight w:val="none"/>
        </w:rPr>
      </w:pPr>
      <w:r>
        <w:rPr>
          <w:rFonts w:hint="eastAsia" w:ascii="宋体" w:hAnsi="宋体" w:cs="宋体"/>
          <w:color w:val="auto"/>
          <w:spacing w:val="4"/>
          <w:kern w:val="0"/>
          <w:sz w:val="24"/>
          <w:highlight w:val="none"/>
        </w:rPr>
        <w:t>（2）评标委员会各成员应自主评审，并签字确认。</w:t>
      </w:r>
    </w:p>
    <w:p>
      <w:pPr>
        <w:widowControl/>
        <w:snapToGrid w:val="0"/>
        <w:spacing w:line="360" w:lineRule="auto"/>
        <w:ind w:firstLine="496" w:firstLineChars="200"/>
        <w:jc w:val="left"/>
        <w:rPr>
          <w:rFonts w:hint="eastAsia" w:ascii="宋体" w:hAnsi="宋体" w:cs="宋体"/>
          <w:color w:val="auto"/>
          <w:spacing w:val="4"/>
          <w:kern w:val="0"/>
          <w:sz w:val="24"/>
          <w:highlight w:val="none"/>
        </w:rPr>
      </w:pPr>
      <w:r>
        <w:rPr>
          <w:rFonts w:hint="eastAsia" w:ascii="宋体" w:hAnsi="宋体" w:cs="宋体"/>
          <w:color w:val="auto"/>
          <w:spacing w:val="4"/>
          <w:kern w:val="0"/>
          <w:sz w:val="24"/>
          <w:highlight w:val="none"/>
        </w:rPr>
        <w:t>评标委员会的评标报告应由评标委员会全体成员签字。对评标过程或结论有异议的，以少数服从多数的原则处理，评标委员会成员可以书面方式阐述其不同意见和理由。评标委员会成员拒绝在评标过程文件或评标报告上签字且不以书面阐述其不同意见和理由的，视为同意评标结论。评标委员会应当对此做出书面说明并记录在案。</w:t>
      </w:r>
    </w:p>
    <w:p>
      <w:pPr>
        <w:widowControl/>
        <w:snapToGrid w:val="0"/>
        <w:spacing w:line="360" w:lineRule="auto"/>
        <w:ind w:firstLine="420"/>
        <w:jc w:val="left"/>
        <w:rPr>
          <w:rFonts w:hint="eastAsia" w:ascii="宋体" w:hAnsi="宋体" w:cs="宋体"/>
          <w:color w:val="auto"/>
          <w:spacing w:val="4"/>
          <w:kern w:val="0"/>
          <w:sz w:val="24"/>
          <w:highlight w:val="none"/>
        </w:rPr>
      </w:pPr>
      <w:r>
        <w:rPr>
          <w:rFonts w:hint="eastAsia" w:ascii="宋体" w:hAnsi="宋体" w:cs="宋体"/>
          <w:color w:val="auto"/>
          <w:spacing w:val="4"/>
          <w:kern w:val="0"/>
          <w:sz w:val="24"/>
          <w:highlight w:val="none"/>
        </w:rPr>
        <w:t>3．评标办法：</w:t>
      </w:r>
      <w:r>
        <w:rPr>
          <w:rFonts w:hint="eastAsia" w:ascii="宋体" w:hAnsi="宋体" w:cs="宋体"/>
          <w:b/>
          <w:color w:val="auto"/>
          <w:spacing w:val="4"/>
          <w:kern w:val="0"/>
          <w:sz w:val="24"/>
          <w:highlight w:val="none"/>
        </w:rPr>
        <w:t>评标采用综合评估法</w:t>
      </w:r>
      <w:r>
        <w:rPr>
          <w:rFonts w:hint="eastAsia" w:ascii="宋体" w:hAnsi="宋体" w:cs="宋体"/>
          <w:color w:val="auto"/>
          <w:spacing w:val="4"/>
          <w:kern w:val="0"/>
          <w:sz w:val="24"/>
          <w:highlight w:val="none"/>
        </w:rPr>
        <w:t>。</w:t>
      </w:r>
    </w:p>
    <w:p>
      <w:pPr>
        <w:widowControl/>
        <w:snapToGrid w:val="0"/>
        <w:spacing w:line="360" w:lineRule="auto"/>
        <w:ind w:firstLine="420"/>
        <w:jc w:val="left"/>
        <w:rPr>
          <w:rFonts w:hint="eastAsia" w:ascii="宋体" w:hAnsi="宋体" w:cs="宋体"/>
          <w:color w:val="auto"/>
          <w:spacing w:val="4"/>
          <w:kern w:val="0"/>
          <w:sz w:val="24"/>
          <w:highlight w:val="none"/>
        </w:rPr>
      </w:pPr>
      <w:r>
        <w:rPr>
          <w:rFonts w:hint="eastAsia" w:ascii="宋体" w:hAnsi="宋体" w:cs="宋体"/>
          <w:color w:val="auto"/>
          <w:spacing w:val="4"/>
          <w:kern w:val="0"/>
          <w:sz w:val="24"/>
          <w:highlight w:val="none"/>
        </w:rPr>
        <w:t>4．评标打分原则及中标单位的产生：评标委员会应根据招标文件确定的评分要求，对投标文件进行评分，并按照投标人得分高低推荐中标候选人。</w:t>
      </w:r>
    </w:p>
    <w:p>
      <w:pPr>
        <w:widowControl/>
        <w:snapToGrid w:val="0"/>
        <w:spacing w:line="360" w:lineRule="auto"/>
        <w:ind w:firstLine="496" w:firstLineChars="200"/>
        <w:jc w:val="left"/>
        <w:rPr>
          <w:rFonts w:hint="eastAsia" w:ascii="宋体" w:hAnsi="宋体" w:cs="宋体"/>
          <w:color w:val="auto"/>
          <w:spacing w:val="4"/>
          <w:kern w:val="0"/>
          <w:sz w:val="24"/>
          <w:highlight w:val="none"/>
        </w:rPr>
      </w:pPr>
      <w:r>
        <w:rPr>
          <w:rFonts w:hint="eastAsia" w:ascii="宋体" w:hAnsi="宋体" w:cs="宋体"/>
          <w:color w:val="auto"/>
          <w:spacing w:val="4"/>
          <w:kern w:val="0"/>
          <w:sz w:val="24"/>
          <w:highlight w:val="none"/>
        </w:rPr>
        <w:t>招标人应确定排名第一的中标候选人为中标人。排名第一的中标候选人放弃中标，或因不可抗力提出不能履行合同，招标人可以根据评标报告推荐的中标候选人顺序依次确定中标人，并按照投标人须知18.5条规定不予退还其投标保证金或依法重新招标。</w:t>
      </w:r>
    </w:p>
    <w:p>
      <w:pPr>
        <w:widowControl/>
        <w:snapToGrid w:val="0"/>
        <w:spacing w:line="360" w:lineRule="auto"/>
        <w:ind w:firstLine="420"/>
        <w:jc w:val="left"/>
        <w:rPr>
          <w:rFonts w:hint="eastAsia" w:ascii="宋体" w:hAnsi="宋体" w:cs="宋体"/>
          <w:color w:val="auto"/>
          <w:spacing w:val="4"/>
          <w:kern w:val="0"/>
          <w:sz w:val="24"/>
          <w:highlight w:val="none"/>
        </w:rPr>
      </w:pPr>
      <w:r>
        <w:rPr>
          <w:rFonts w:hint="eastAsia" w:ascii="宋体" w:hAnsi="宋体" w:cs="宋体"/>
          <w:color w:val="auto"/>
          <w:spacing w:val="4"/>
          <w:kern w:val="0"/>
          <w:sz w:val="24"/>
          <w:highlight w:val="none"/>
        </w:rPr>
        <w:t>评标中若遇特殊问题，由评标委员会根据有关法律、法规、规定研究决定。</w:t>
      </w:r>
    </w:p>
    <w:p>
      <w:pPr>
        <w:widowControl/>
        <w:snapToGrid w:val="0"/>
        <w:spacing w:line="360" w:lineRule="auto"/>
        <w:ind w:firstLine="420"/>
        <w:jc w:val="left"/>
        <w:rPr>
          <w:rFonts w:hint="eastAsia" w:ascii="宋体" w:hAnsi="宋体" w:cs="宋体"/>
          <w:color w:val="auto"/>
          <w:spacing w:val="4"/>
          <w:kern w:val="0"/>
          <w:sz w:val="24"/>
          <w:highlight w:val="none"/>
        </w:rPr>
      </w:pPr>
      <w:r>
        <w:rPr>
          <w:rFonts w:hint="eastAsia" w:ascii="宋体" w:hAnsi="宋体" w:cs="宋体"/>
          <w:color w:val="auto"/>
          <w:spacing w:val="4"/>
          <w:kern w:val="0"/>
          <w:sz w:val="24"/>
          <w:highlight w:val="none"/>
        </w:rPr>
        <w:t>5.评标委员会及评委的产生：评标委员会评委的组成为5人以上（含5人）的单数；评标委员会依法组建。开标结束后，开始评标，评标采用保密方式进行。评标委员会产生后推举其中一名评委为评标委员会主任，并主持评标工作。</w:t>
      </w:r>
    </w:p>
    <w:p>
      <w:pPr>
        <w:widowControl/>
        <w:snapToGrid w:val="0"/>
        <w:spacing w:line="360" w:lineRule="auto"/>
        <w:ind w:firstLine="420"/>
        <w:jc w:val="left"/>
        <w:rPr>
          <w:rFonts w:hint="eastAsia" w:ascii="宋体" w:hAnsi="宋体" w:cs="宋体"/>
          <w:color w:val="auto"/>
          <w:spacing w:val="4"/>
          <w:sz w:val="24"/>
          <w:highlight w:val="none"/>
        </w:rPr>
      </w:pPr>
      <w:r>
        <w:rPr>
          <w:rFonts w:hint="eastAsia" w:ascii="宋体" w:hAnsi="宋体" w:cs="宋体"/>
          <w:color w:val="auto"/>
          <w:spacing w:val="4"/>
          <w:sz w:val="24"/>
          <w:highlight w:val="none"/>
        </w:rPr>
        <w:t>6．评标计算计分规则：</w:t>
      </w:r>
    </w:p>
    <w:p>
      <w:pPr>
        <w:widowControl/>
        <w:snapToGrid w:val="0"/>
        <w:spacing w:line="360" w:lineRule="auto"/>
        <w:ind w:firstLine="420"/>
        <w:jc w:val="left"/>
        <w:rPr>
          <w:rFonts w:hint="eastAsia" w:ascii="宋体" w:hAnsi="宋体" w:cs="宋体"/>
          <w:color w:val="auto"/>
          <w:spacing w:val="4"/>
          <w:sz w:val="24"/>
          <w:highlight w:val="none"/>
        </w:rPr>
      </w:pPr>
      <w:r>
        <w:rPr>
          <w:rFonts w:hint="eastAsia" w:ascii="宋体" w:hAnsi="宋体" w:cs="宋体"/>
          <w:color w:val="auto"/>
          <w:spacing w:val="4"/>
          <w:sz w:val="24"/>
          <w:highlight w:val="none"/>
        </w:rPr>
        <w:t>（1）表述价款的数据均以元为单位，评分计算保留两位小数，第三位作四舍五入。</w:t>
      </w:r>
    </w:p>
    <w:p>
      <w:pPr>
        <w:widowControl/>
        <w:snapToGrid w:val="0"/>
        <w:spacing w:line="360" w:lineRule="auto"/>
        <w:ind w:firstLine="420"/>
        <w:jc w:val="left"/>
        <w:rPr>
          <w:rFonts w:hint="eastAsia" w:ascii="宋体" w:hAnsi="宋体" w:cs="宋体"/>
          <w:color w:val="auto"/>
          <w:spacing w:val="4"/>
          <w:sz w:val="24"/>
          <w:highlight w:val="none"/>
        </w:rPr>
      </w:pPr>
      <w:r>
        <w:rPr>
          <w:rFonts w:hint="eastAsia" w:ascii="宋体" w:hAnsi="宋体" w:cs="宋体"/>
          <w:color w:val="auto"/>
          <w:spacing w:val="4"/>
          <w:sz w:val="24"/>
          <w:highlight w:val="none"/>
        </w:rPr>
        <w:t>（2）表述建筑面积以平方米为单位，保留整数，小数点后作四舍五入。</w:t>
      </w:r>
    </w:p>
    <w:p>
      <w:pPr>
        <w:widowControl/>
        <w:snapToGrid w:val="0"/>
        <w:spacing w:line="360" w:lineRule="auto"/>
        <w:ind w:firstLine="420"/>
        <w:jc w:val="left"/>
        <w:rPr>
          <w:rFonts w:hint="eastAsia" w:ascii="宋体" w:hAnsi="宋体" w:cs="宋体"/>
          <w:color w:val="auto"/>
          <w:spacing w:val="4"/>
          <w:sz w:val="24"/>
          <w:highlight w:val="none"/>
        </w:rPr>
      </w:pPr>
      <w:r>
        <w:rPr>
          <w:rFonts w:hint="eastAsia" w:ascii="宋体" w:hAnsi="宋体" w:cs="宋体"/>
          <w:color w:val="auto"/>
          <w:spacing w:val="4"/>
          <w:sz w:val="24"/>
          <w:highlight w:val="none"/>
        </w:rPr>
        <w:t>（3）有效范围内百分比计算的比值,保留二位小数,第三位作四舍五入,中间用插入法确定分数。</w:t>
      </w:r>
    </w:p>
    <w:p>
      <w:pPr>
        <w:widowControl/>
        <w:snapToGrid w:val="0"/>
        <w:spacing w:line="360" w:lineRule="auto"/>
        <w:ind w:firstLine="420"/>
        <w:jc w:val="left"/>
        <w:rPr>
          <w:rFonts w:hint="eastAsia" w:ascii="宋体" w:hAnsi="宋体" w:cs="宋体"/>
          <w:color w:val="auto"/>
          <w:spacing w:val="4"/>
          <w:sz w:val="24"/>
          <w:highlight w:val="none"/>
        </w:rPr>
      </w:pPr>
      <w:r>
        <w:rPr>
          <w:rFonts w:hint="eastAsia" w:ascii="宋体" w:hAnsi="宋体" w:cs="宋体"/>
          <w:color w:val="auto"/>
          <w:spacing w:val="4"/>
          <w:sz w:val="24"/>
          <w:highlight w:val="none"/>
        </w:rPr>
        <w:t>（4）分项得分保留二位小数，第三位作四舍五入。</w:t>
      </w:r>
    </w:p>
    <w:p>
      <w:pPr>
        <w:widowControl/>
        <w:snapToGrid w:val="0"/>
        <w:spacing w:line="360" w:lineRule="auto"/>
        <w:ind w:firstLine="420"/>
        <w:jc w:val="left"/>
        <w:rPr>
          <w:rFonts w:hint="eastAsia" w:ascii="宋体" w:hAnsi="宋体" w:cs="宋体"/>
          <w:color w:val="auto"/>
          <w:spacing w:val="4"/>
          <w:sz w:val="24"/>
          <w:highlight w:val="none"/>
        </w:rPr>
      </w:pPr>
      <w:r>
        <w:rPr>
          <w:rFonts w:hint="eastAsia" w:ascii="宋体" w:hAnsi="宋体" w:cs="宋体"/>
          <w:color w:val="auto"/>
          <w:spacing w:val="4"/>
          <w:sz w:val="24"/>
          <w:highlight w:val="none"/>
        </w:rPr>
        <w:t>（5）总积分以分项得分累计之和为准，分值保留小数点后二位。</w:t>
      </w:r>
    </w:p>
    <w:p>
      <w:pPr>
        <w:widowControl/>
        <w:snapToGrid w:val="0"/>
        <w:spacing w:line="360" w:lineRule="auto"/>
        <w:ind w:firstLine="420"/>
        <w:jc w:val="left"/>
        <w:rPr>
          <w:rFonts w:hint="eastAsia" w:ascii="宋体" w:hAnsi="宋体" w:cs="宋体"/>
          <w:color w:val="auto"/>
          <w:spacing w:val="4"/>
          <w:sz w:val="24"/>
          <w:highlight w:val="none"/>
        </w:rPr>
      </w:pPr>
      <w:r>
        <w:rPr>
          <w:rFonts w:hint="eastAsia" w:ascii="宋体" w:hAnsi="宋体" w:cs="宋体"/>
          <w:color w:val="auto"/>
          <w:spacing w:val="4"/>
          <w:sz w:val="24"/>
          <w:highlight w:val="none"/>
        </w:rPr>
        <w:t>（6）处罚扣分以地、州以上建设行政主管部门通报处罚文件为依据。</w:t>
      </w:r>
    </w:p>
    <w:p>
      <w:pPr>
        <w:widowControl/>
        <w:snapToGrid w:val="0"/>
        <w:spacing w:line="360" w:lineRule="auto"/>
        <w:ind w:firstLine="420"/>
        <w:jc w:val="left"/>
        <w:rPr>
          <w:rFonts w:hint="eastAsia" w:ascii="宋体" w:hAnsi="宋体" w:cs="宋体"/>
          <w:color w:val="auto"/>
          <w:spacing w:val="4"/>
          <w:kern w:val="0"/>
          <w:sz w:val="24"/>
          <w:highlight w:val="none"/>
        </w:rPr>
      </w:pPr>
      <w:r>
        <w:rPr>
          <w:rFonts w:hint="eastAsia" w:ascii="宋体" w:hAnsi="宋体" w:cs="宋体"/>
          <w:color w:val="auto"/>
          <w:spacing w:val="4"/>
          <w:kern w:val="0"/>
          <w:sz w:val="24"/>
          <w:highlight w:val="none"/>
        </w:rPr>
        <w:t>7. 评标工作按以下程序进行：</w:t>
      </w:r>
    </w:p>
    <w:p>
      <w:pPr>
        <w:widowControl/>
        <w:snapToGrid w:val="0"/>
        <w:spacing w:line="360" w:lineRule="auto"/>
        <w:ind w:firstLine="420"/>
        <w:jc w:val="left"/>
        <w:rPr>
          <w:rFonts w:hint="eastAsia" w:ascii="宋体" w:hAnsi="宋体" w:cs="宋体"/>
          <w:color w:val="auto"/>
          <w:spacing w:val="4"/>
          <w:kern w:val="0"/>
          <w:sz w:val="24"/>
          <w:highlight w:val="none"/>
        </w:rPr>
      </w:pPr>
      <w:r>
        <w:rPr>
          <w:rFonts w:hint="eastAsia" w:ascii="宋体" w:hAnsi="宋体" w:cs="宋体"/>
          <w:color w:val="auto"/>
          <w:spacing w:val="4"/>
          <w:kern w:val="0"/>
          <w:sz w:val="24"/>
          <w:highlight w:val="none"/>
        </w:rPr>
        <w:t>（一）资格审查；</w:t>
      </w:r>
    </w:p>
    <w:p>
      <w:pPr>
        <w:widowControl/>
        <w:snapToGrid w:val="0"/>
        <w:spacing w:line="360" w:lineRule="auto"/>
        <w:ind w:firstLine="420"/>
        <w:jc w:val="left"/>
        <w:rPr>
          <w:rFonts w:hint="eastAsia" w:ascii="宋体" w:hAnsi="宋体" w:cs="宋体"/>
          <w:color w:val="auto"/>
          <w:spacing w:val="4"/>
          <w:kern w:val="0"/>
          <w:sz w:val="24"/>
          <w:highlight w:val="none"/>
        </w:rPr>
      </w:pPr>
      <w:r>
        <w:rPr>
          <w:rFonts w:hint="eastAsia" w:ascii="宋体" w:hAnsi="宋体" w:cs="宋体"/>
          <w:color w:val="auto"/>
          <w:spacing w:val="4"/>
          <w:kern w:val="0"/>
          <w:sz w:val="24"/>
          <w:highlight w:val="none"/>
        </w:rPr>
        <w:t>（二）初步评审；</w:t>
      </w:r>
    </w:p>
    <w:p>
      <w:pPr>
        <w:widowControl/>
        <w:snapToGrid w:val="0"/>
        <w:spacing w:line="360" w:lineRule="auto"/>
        <w:ind w:firstLine="420"/>
        <w:jc w:val="left"/>
        <w:rPr>
          <w:rFonts w:hint="eastAsia" w:ascii="宋体" w:hAnsi="宋体" w:cs="宋体"/>
          <w:color w:val="auto"/>
          <w:spacing w:val="4"/>
          <w:kern w:val="0"/>
          <w:sz w:val="24"/>
          <w:highlight w:val="none"/>
        </w:rPr>
      </w:pPr>
      <w:r>
        <w:rPr>
          <w:rFonts w:hint="eastAsia" w:ascii="宋体" w:hAnsi="宋体" w:cs="宋体"/>
          <w:color w:val="auto"/>
          <w:spacing w:val="4"/>
          <w:kern w:val="0"/>
          <w:sz w:val="24"/>
          <w:highlight w:val="none"/>
        </w:rPr>
        <w:t>（三）详细评审及澄清；</w:t>
      </w:r>
    </w:p>
    <w:p>
      <w:pPr>
        <w:widowControl/>
        <w:snapToGrid w:val="0"/>
        <w:spacing w:line="360" w:lineRule="auto"/>
        <w:ind w:firstLine="420"/>
        <w:jc w:val="left"/>
        <w:rPr>
          <w:rFonts w:hint="eastAsia" w:ascii="宋体" w:hAnsi="宋体" w:cs="宋体"/>
          <w:color w:val="auto"/>
          <w:spacing w:val="4"/>
          <w:kern w:val="0"/>
          <w:sz w:val="24"/>
          <w:highlight w:val="none"/>
        </w:rPr>
      </w:pPr>
      <w:r>
        <w:rPr>
          <w:rFonts w:hint="eastAsia" w:ascii="宋体" w:hAnsi="宋体" w:cs="宋体"/>
          <w:color w:val="auto"/>
          <w:spacing w:val="4"/>
          <w:kern w:val="0"/>
          <w:sz w:val="24"/>
          <w:highlight w:val="none"/>
        </w:rPr>
        <w:t>（四）汇总评标结果，推荐中标候选人；</w:t>
      </w:r>
    </w:p>
    <w:p>
      <w:pPr>
        <w:widowControl/>
        <w:snapToGrid w:val="0"/>
        <w:spacing w:line="360" w:lineRule="auto"/>
        <w:ind w:firstLine="420"/>
        <w:jc w:val="left"/>
        <w:rPr>
          <w:rFonts w:hint="eastAsia" w:ascii="宋体" w:hAnsi="宋体" w:cs="宋体"/>
          <w:bCs/>
          <w:color w:val="auto"/>
          <w:sz w:val="24"/>
          <w:highlight w:val="none"/>
        </w:rPr>
      </w:pPr>
      <w:r>
        <w:rPr>
          <w:rFonts w:hint="eastAsia" w:ascii="宋体" w:hAnsi="宋体" w:cs="宋体"/>
          <w:color w:val="auto"/>
          <w:spacing w:val="4"/>
          <w:kern w:val="0"/>
          <w:sz w:val="24"/>
          <w:highlight w:val="none"/>
        </w:rPr>
        <w:t>（五）编写评标报告。</w:t>
      </w:r>
    </w:p>
    <w:p>
      <w:pPr>
        <w:spacing w:line="360" w:lineRule="auto"/>
        <w:ind w:firstLine="628" w:firstLineChars="262"/>
        <w:rPr>
          <w:rFonts w:hint="eastAsia" w:ascii="宋体" w:hAnsi="宋体" w:cs="宋体"/>
          <w:bCs/>
          <w:color w:val="auto"/>
          <w:sz w:val="24"/>
          <w:szCs w:val="24"/>
          <w:highlight w:val="none"/>
        </w:rPr>
      </w:pPr>
    </w:p>
    <w:p>
      <w:pPr>
        <w:widowControl/>
        <w:tabs>
          <w:tab w:val="left" w:pos="2280"/>
        </w:tabs>
        <w:spacing w:line="360" w:lineRule="auto"/>
        <w:jc w:val="center"/>
        <w:rPr>
          <w:rFonts w:hint="eastAsia" w:ascii="宋体" w:hAnsi="宋体" w:cs="宋体"/>
          <w:b/>
          <w:color w:val="auto"/>
          <w:sz w:val="32"/>
          <w:szCs w:val="24"/>
          <w:highlight w:val="none"/>
        </w:rPr>
      </w:pPr>
      <w:r>
        <w:rPr>
          <w:rFonts w:hint="eastAsia" w:ascii="宋体" w:hAnsi="宋体" w:cs="宋体"/>
          <w:b/>
          <w:color w:val="auto"/>
          <w:sz w:val="32"/>
          <w:szCs w:val="24"/>
          <w:highlight w:val="none"/>
        </w:rPr>
        <w:t>第二部分  评分办法</w:t>
      </w:r>
    </w:p>
    <w:p>
      <w:pPr>
        <w:spacing w:line="360" w:lineRule="auto"/>
        <w:ind w:left="559" w:hanging="559" w:hangingChars="232"/>
        <w:rPr>
          <w:rFonts w:hint="eastAsia" w:ascii="宋体" w:hAnsi="宋体" w:cs="宋体"/>
          <w:b/>
          <w:bCs/>
          <w:color w:val="auto"/>
          <w:sz w:val="24"/>
          <w:highlight w:val="none"/>
        </w:rPr>
      </w:pPr>
      <w:r>
        <w:rPr>
          <w:rFonts w:hint="eastAsia" w:ascii="宋体" w:hAnsi="宋体" w:cs="宋体"/>
          <w:b/>
          <w:bCs/>
          <w:color w:val="auto"/>
          <w:sz w:val="24"/>
          <w:highlight w:val="none"/>
        </w:rPr>
        <w:t>一、资格审查</w:t>
      </w:r>
    </w:p>
    <w:p>
      <w:pPr>
        <w:numPr>
          <w:ilvl w:val="0"/>
          <w:numId w:val="11"/>
        </w:numPr>
        <w:tabs>
          <w:tab w:val="left" w:pos="1276"/>
          <w:tab w:val="clear" w:pos="1828"/>
        </w:tabs>
        <w:spacing w:line="360" w:lineRule="auto"/>
        <w:ind w:left="414" w:firstLine="426"/>
        <w:rPr>
          <w:rFonts w:hint="eastAsia" w:ascii="宋体" w:hAnsi="宋体" w:cs="宋体"/>
          <w:color w:val="auto"/>
          <w:sz w:val="24"/>
          <w:highlight w:val="none"/>
        </w:rPr>
      </w:pPr>
      <w:r>
        <w:rPr>
          <w:rFonts w:hint="eastAsia" w:ascii="宋体" w:hAnsi="宋体" w:cs="宋体"/>
          <w:color w:val="auto"/>
          <w:sz w:val="24"/>
          <w:highlight w:val="none"/>
        </w:rPr>
        <w:t>只对在公开开标时经司法公证及监督部门验证有效的投标文件进行符合性审查，判断是否满足招标文件要求。</w:t>
      </w:r>
    </w:p>
    <w:p>
      <w:pPr>
        <w:numPr>
          <w:ilvl w:val="0"/>
          <w:numId w:val="11"/>
        </w:numPr>
        <w:tabs>
          <w:tab w:val="left" w:pos="1276"/>
          <w:tab w:val="clear" w:pos="1828"/>
        </w:tabs>
        <w:spacing w:line="360" w:lineRule="auto"/>
        <w:ind w:left="414" w:firstLine="426"/>
        <w:rPr>
          <w:rFonts w:hint="eastAsia" w:ascii="宋体" w:hAnsi="宋体" w:cs="宋体"/>
          <w:color w:val="auto"/>
          <w:sz w:val="24"/>
          <w:highlight w:val="none"/>
        </w:rPr>
      </w:pPr>
      <w:r>
        <w:rPr>
          <w:rFonts w:hint="eastAsia" w:ascii="宋体" w:hAnsi="宋体" w:cs="宋体"/>
          <w:color w:val="auto"/>
          <w:sz w:val="24"/>
          <w:highlight w:val="none"/>
        </w:rPr>
        <w:t>评标委员会将审验投标人递交的证件及投标文件，对投标人进行资格审查，审查其是否有能力和条件有效地履行合同义务。投标人未按招标文件要求提供以下文件的扫描件并加盖公章，不予通过资格审查，其投标按否决投标处理：</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1、有效的企业营业执照、组织机构代码证、税务登记证（已登记办理“三证合一”的企业仅须提供印有统一社会信用代码的营业执照）；</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2、投标人须具有有效的测绘</w:t>
      </w:r>
      <w:r>
        <w:rPr>
          <w:rFonts w:hint="eastAsia" w:ascii="宋体" w:hAnsi="宋体" w:cs="宋体"/>
          <w:color w:val="auto"/>
          <w:sz w:val="24"/>
          <w:szCs w:val="24"/>
          <w:highlight w:val="none"/>
          <w:lang w:eastAsia="zh-CN"/>
        </w:rPr>
        <w:t>乙</w:t>
      </w:r>
      <w:r>
        <w:rPr>
          <w:rFonts w:hint="eastAsia" w:ascii="宋体" w:hAnsi="宋体" w:cs="宋体"/>
          <w:color w:val="auto"/>
          <w:sz w:val="24"/>
          <w:szCs w:val="24"/>
          <w:highlight w:val="none"/>
        </w:rPr>
        <w:t>级(含)以上资质证书（专业范围含海洋测绘）证书及有效的省级及以上质量技术监督部门颁发的CMA认证证书（检测范围应包括海水</w:t>
      </w:r>
      <w:r>
        <w:rPr>
          <w:rFonts w:hint="eastAsia" w:ascii="宋体" w:hAnsi="宋体" w:cs="宋体"/>
          <w:color w:val="auto"/>
          <w:sz w:val="24"/>
          <w:szCs w:val="24"/>
          <w:highlight w:val="none"/>
          <w:lang w:val="en-US" w:eastAsia="zh-CN"/>
        </w:rPr>
        <w:t>水质</w:t>
      </w:r>
      <w:r>
        <w:rPr>
          <w:rFonts w:hint="eastAsia" w:ascii="宋体" w:hAnsi="宋体" w:cs="宋体"/>
          <w:color w:val="auto"/>
          <w:sz w:val="24"/>
          <w:szCs w:val="24"/>
          <w:highlight w:val="none"/>
        </w:rPr>
        <w:t>、海洋沉积物</w:t>
      </w:r>
      <w:r>
        <w:rPr>
          <w:rFonts w:hint="eastAsia" w:ascii="宋体" w:hAnsi="宋体" w:cs="宋体"/>
          <w:color w:val="auto"/>
          <w:sz w:val="24"/>
          <w:szCs w:val="24"/>
          <w:highlight w:val="none"/>
          <w:lang w:val="en-US" w:eastAsia="zh-CN"/>
        </w:rPr>
        <w:t>及</w:t>
      </w:r>
      <w:r>
        <w:rPr>
          <w:rFonts w:hint="eastAsia" w:ascii="宋体" w:hAnsi="宋体" w:cs="宋体"/>
          <w:color w:val="auto"/>
          <w:sz w:val="24"/>
          <w:szCs w:val="24"/>
          <w:highlight w:val="none"/>
        </w:rPr>
        <w:t>海洋生物生态相关内容）；</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3、法定代表人身份证明书或法定代表人授权书；</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w:t>
      </w:r>
      <w:r>
        <w:rPr>
          <w:rFonts w:hint="eastAsia" w:ascii="宋体" w:hAnsi="宋体" w:cs="宋体"/>
          <w:color w:val="auto"/>
          <w:kern w:val="0"/>
          <w:sz w:val="24"/>
          <w:szCs w:val="28"/>
          <w:highlight w:val="none"/>
          <w:lang w:val="en-US" w:eastAsia="zh-CN"/>
        </w:rPr>
        <w:t>联合体协议书（如是）</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投标保证金（收据或汇款凭证）或保函；</w:t>
      </w:r>
    </w:p>
    <w:p>
      <w:pPr>
        <w:tabs>
          <w:tab w:val="left" w:pos="993"/>
        </w:tabs>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w:t>
      </w:r>
      <w:r>
        <w:rPr>
          <w:rFonts w:hint="eastAsia" w:ascii="宋体" w:hAnsi="宋体" w:cs="宋体"/>
          <w:color w:val="auto"/>
          <w:kern w:val="0"/>
          <w:sz w:val="24"/>
          <w:szCs w:val="28"/>
          <w:highlight w:val="none"/>
        </w:rPr>
        <w:t>投标人</w:t>
      </w:r>
      <w:r>
        <w:rPr>
          <w:rFonts w:hint="eastAsia" w:ascii="宋体" w:hAnsi="宋体" w:cs="宋体"/>
          <w:color w:val="auto"/>
          <w:sz w:val="24"/>
          <w:highlight w:val="none"/>
        </w:rPr>
        <w:t>不得被列入“失信被执行人”或“失信惩戒对象”或“重大税收违法案件当事人”，以“信用中国”网站（www.creditchina.gov.cn）查询为准。（需在招标公告发布后从“信用中国”网站打印查询结果并加盖公章）；</w:t>
      </w:r>
    </w:p>
    <w:p>
      <w:pPr>
        <w:tabs>
          <w:tab w:val="left" w:pos="993"/>
        </w:tabs>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、投标人告知承诺函</w:t>
      </w:r>
    </w:p>
    <w:p>
      <w:pPr>
        <w:spacing w:line="360" w:lineRule="auto"/>
        <w:ind w:left="559" w:hanging="559" w:hangingChars="232"/>
        <w:rPr>
          <w:rFonts w:hint="eastAsia" w:ascii="宋体" w:hAnsi="宋体" w:cs="宋体"/>
          <w:b/>
          <w:bCs/>
          <w:color w:val="auto"/>
          <w:sz w:val="24"/>
          <w:highlight w:val="none"/>
        </w:rPr>
      </w:pPr>
      <w:r>
        <w:rPr>
          <w:rFonts w:hint="eastAsia" w:ascii="宋体" w:hAnsi="宋体" w:cs="宋体"/>
          <w:b/>
          <w:bCs/>
          <w:color w:val="auto"/>
          <w:sz w:val="24"/>
          <w:highlight w:val="none"/>
        </w:rPr>
        <w:t>二、初步评审</w:t>
      </w:r>
    </w:p>
    <w:p>
      <w:pPr>
        <w:numPr>
          <w:ilvl w:val="0"/>
          <w:numId w:val="11"/>
        </w:numPr>
        <w:tabs>
          <w:tab w:val="left" w:pos="1276"/>
          <w:tab w:val="clear" w:pos="1828"/>
        </w:tabs>
        <w:snapToGrid w:val="0"/>
        <w:spacing w:line="360" w:lineRule="auto"/>
        <w:ind w:left="414" w:firstLine="426"/>
        <w:rPr>
          <w:rFonts w:hint="eastAsia" w:ascii="宋体" w:hAnsi="宋体" w:cs="宋体"/>
          <w:color w:val="auto"/>
          <w:sz w:val="24"/>
          <w:highlight w:val="none"/>
        </w:rPr>
      </w:pPr>
      <w:r>
        <w:rPr>
          <w:rFonts w:hint="eastAsia" w:ascii="宋体" w:hAnsi="宋体" w:cs="宋体"/>
          <w:color w:val="auto"/>
          <w:sz w:val="24"/>
          <w:highlight w:val="none"/>
        </w:rPr>
        <w:t>开标后，只有符合招标文件要求并在投标截止时间前递交的投标文件，才能提交评标委员会进行评审。</w:t>
      </w:r>
    </w:p>
    <w:p>
      <w:pPr>
        <w:numPr>
          <w:ilvl w:val="0"/>
          <w:numId w:val="11"/>
        </w:numPr>
        <w:tabs>
          <w:tab w:val="left" w:pos="1276"/>
          <w:tab w:val="clear" w:pos="1828"/>
        </w:tabs>
        <w:snapToGrid w:val="0"/>
        <w:spacing w:line="360" w:lineRule="auto"/>
        <w:ind w:left="414" w:firstLine="426"/>
        <w:rPr>
          <w:rFonts w:hint="eastAsia" w:ascii="宋体" w:hAnsi="宋体" w:cs="宋体"/>
          <w:color w:val="auto"/>
          <w:sz w:val="24"/>
          <w:szCs w:val="28"/>
          <w:highlight w:val="none"/>
        </w:rPr>
      </w:pPr>
      <w:r>
        <w:rPr>
          <w:rFonts w:hint="eastAsia" w:ascii="宋体" w:hAnsi="宋体" w:cs="宋体"/>
          <w:color w:val="auto"/>
          <w:sz w:val="24"/>
          <w:szCs w:val="28"/>
          <w:highlight w:val="none"/>
        </w:rPr>
        <w:t>评标委员会发现投标人以他人名义投标、串通投标、以行贿手段谋取中标或者以其他弄虚作假方式投标的，该投标人的投标将被否决。</w:t>
      </w:r>
    </w:p>
    <w:p>
      <w:pPr>
        <w:numPr>
          <w:ilvl w:val="0"/>
          <w:numId w:val="11"/>
        </w:numPr>
        <w:tabs>
          <w:tab w:val="left" w:pos="1276"/>
          <w:tab w:val="clear" w:pos="1828"/>
        </w:tabs>
        <w:snapToGrid w:val="0"/>
        <w:spacing w:line="360" w:lineRule="auto"/>
        <w:ind w:left="414" w:firstLine="426"/>
        <w:rPr>
          <w:rFonts w:hint="eastAsia" w:ascii="宋体" w:hAnsi="宋体" w:cs="宋体"/>
          <w:color w:val="auto"/>
          <w:sz w:val="24"/>
          <w:szCs w:val="28"/>
          <w:highlight w:val="none"/>
        </w:rPr>
      </w:pPr>
      <w:r>
        <w:rPr>
          <w:rFonts w:hint="eastAsia" w:ascii="宋体" w:hAnsi="宋体" w:cs="宋体"/>
          <w:color w:val="auto"/>
          <w:sz w:val="24"/>
          <w:szCs w:val="28"/>
          <w:highlight w:val="none"/>
        </w:rPr>
        <w:t>评标委员会应当审查每一投标文件是否对招标文件提出的所有实质性要求和条件作出响应。未能在实质上响应的投标，应否决其投标。所谓实质上响应，是指投标文件应与招标文件的所有实质性条款、条件和要求相符，无显著差异或保留，或者对合同中约定的招标人的权利和投标人的义务方面造成重大的限制，纠正这些显著差异或保留将会对其他实质上响应招标文件要求的投标文件的投标人的竞争地位产生不公正的影响。</w:t>
      </w:r>
    </w:p>
    <w:p>
      <w:pPr>
        <w:numPr>
          <w:ilvl w:val="0"/>
          <w:numId w:val="11"/>
        </w:numPr>
        <w:tabs>
          <w:tab w:val="left" w:pos="1276"/>
          <w:tab w:val="clear" w:pos="1828"/>
        </w:tabs>
        <w:snapToGrid w:val="0"/>
        <w:spacing w:line="360" w:lineRule="auto"/>
        <w:ind w:left="414" w:firstLine="426"/>
        <w:rPr>
          <w:rFonts w:hint="eastAsia" w:ascii="宋体" w:hAnsi="宋体" w:cs="宋体"/>
          <w:color w:val="auto"/>
          <w:sz w:val="24"/>
          <w:szCs w:val="28"/>
          <w:highlight w:val="none"/>
        </w:rPr>
      </w:pPr>
      <w:r>
        <w:rPr>
          <w:rFonts w:hint="eastAsia" w:ascii="宋体" w:hAnsi="宋体" w:cs="宋体"/>
          <w:color w:val="auto"/>
          <w:sz w:val="24"/>
          <w:szCs w:val="28"/>
          <w:highlight w:val="none"/>
        </w:rPr>
        <w:t>如果投标文件实质上不响应招标文件的各项要求，评标委员会将予以拒绝，并且不允许通过修改或撤销其不符合要求的差异或保留，使之成为具有响应性的投标。</w:t>
      </w:r>
    </w:p>
    <w:p>
      <w:pPr>
        <w:numPr>
          <w:ilvl w:val="0"/>
          <w:numId w:val="11"/>
        </w:numPr>
        <w:tabs>
          <w:tab w:val="left" w:pos="1276"/>
          <w:tab w:val="clear" w:pos="1828"/>
        </w:tabs>
        <w:snapToGrid w:val="0"/>
        <w:spacing w:line="360" w:lineRule="auto"/>
        <w:ind w:left="414" w:firstLine="426"/>
        <w:rPr>
          <w:rFonts w:hint="eastAsia" w:ascii="宋体" w:hAnsi="宋体" w:cs="宋体"/>
          <w:color w:val="auto"/>
          <w:sz w:val="24"/>
          <w:szCs w:val="28"/>
          <w:highlight w:val="none"/>
        </w:rPr>
      </w:pPr>
      <w:r>
        <w:rPr>
          <w:rFonts w:hint="eastAsia" w:ascii="宋体" w:hAnsi="宋体" w:cs="宋体"/>
          <w:color w:val="auto"/>
          <w:sz w:val="24"/>
          <w:szCs w:val="28"/>
          <w:highlight w:val="none"/>
        </w:rPr>
        <w:t>评标委员会初步评审时发现投标人的报价明显低于其他投标报价，且其投标书的投标报价分析不能说明清楚，使得其投标报价可能低于其个别成本的，应当对该投标人进行询标。询标完毕后，投标人应对评标委员会所提问题作出书面说明并按要求提供相关证明资料。投标人不能合理说明或者不能提供相关证明资料的，由评标委员会认定该投标人以低于成本报价投标，其投标将被否决。</w:t>
      </w:r>
    </w:p>
    <w:p>
      <w:pPr>
        <w:numPr>
          <w:ilvl w:val="0"/>
          <w:numId w:val="0"/>
        </w:numPr>
        <w:tabs>
          <w:tab w:val="left" w:pos="1276"/>
        </w:tabs>
        <w:snapToGrid w:val="0"/>
        <w:spacing w:line="360" w:lineRule="auto"/>
        <w:ind w:left="420" w:firstLine="420" w:firstLineChars="175"/>
        <w:rPr>
          <w:rFonts w:hint="eastAsia" w:ascii="宋体" w:hAnsi="宋体" w:cs="宋体"/>
          <w:color w:val="auto"/>
          <w:sz w:val="24"/>
          <w:szCs w:val="28"/>
          <w:highlight w:val="none"/>
        </w:rPr>
      </w:pPr>
      <w:r>
        <w:rPr>
          <w:rFonts w:hint="eastAsia" w:ascii="宋体" w:hAnsi="宋体" w:cs="宋体"/>
          <w:color w:val="auto"/>
          <w:sz w:val="24"/>
          <w:szCs w:val="28"/>
          <w:highlight w:val="none"/>
        </w:rPr>
        <w:t>投标报价有算术错误及其他错误的，评标委员会按以下原则要求投标人对投标报价进行修正，并要求投标人书面澄清确认。投标人拒不澄清确认的，评标委员会应当否决其投标：</w:t>
      </w:r>
    </w:p>
    <w:p>
      <w:pPr>
        <w:numPr>
          <w:ilvl w:val="0"/>
          <w:numId w:val="0"/>
        </w:numPr>
        <w:tabs>
          <w:tab w:val="left" w:pos="1276"/>
        </w:tabs>
        <w:snapToGrid w:val="0"/>
        <w:spacing w:line="360" w:lineRule="auto"/>
        <w:ind w:left="840"/>
        <w:rPr>
          <w:rFonts w:hint="eastAsia" w:ascii="宋体" w:hAnsi="宋体" w:cs="宋体"/>
          <w:color w:val="auto"/>
          <w:sz w:val="24"/>
          <w:szCs w:val="28"/>
          <w:highlight w:val="none"/>
        </w:rPr>
      </w:pPr>
      <w:r>
        <w:rPr>
          <w:rFonts w:hint="eastAsia" w:ascii="宋体" w:hAnsi="宋体" w:cs="宋体"/>
          <w:color w:val="auto"/>
          <w:sz w:val="24"/>
          <w:szCs w:val="28"/>
          <w:highlight w:val="none"/>
        </w:rPr>
        <w:t>（1）投标文件中的大写金额与小写金额不一致的，以大写金额为准；</w:t>
      </w:r>
    </w:p>
    <w:p>
      <w:pPr>
        <w:numPr>
          <w:ilvl w:val="0"/>
          <w:numId w:val="0"/>
        </w:numPr>
        <w:tabs>
          <w:tab w:val="left" w:pos="1276"/>
        </w:tabs>
        <w:snapToGrid w:val="0"/>
        <w:spacing w:line="360" w:lineRule="auto"/>
        <w:ind w:left="420"/>
        <w:rPr>
          <w:rFonts w:hint="eastAsia" w:ascii="宋体" w:hAnsi="宋体" w:cs="宋体"/>
          <w:color w:val="auto"/>
          <w:sz w:val="24"/>
          <w:szCs w:val="28"/>
          <w:highlight w:val="none"/>
        </w:rPr>
      </w:pPr>
      <w:r>
        <w:rPr>
          <w:rFonts w:hint="eastAsia" w:ascii="宋体" w:hAnsi="宋体" w:cs="宋体"/>
          <w:color w:val="auto"/>
          <w:sz w:val="24"/>
          <w:szCs w:val="28"/>
          <w:highlight w:val="none"/>
        </w:rPr>
        <w:t>（2）总价金额与单价金额不一致的，以单价金额为准，但单价金额小数点有明显错误的除外；</w:t>
      </w:r>
    </w:p>
    <w:p>
      <w:pPr>
        <w:numPr>
          <w:ilvl w:val="0"/>
          <w:numId w:val="0"/>
        </w:numPr>
        <w:tabs>
          <w:tab w:val="left" w:pos="1276"/>
        </w:tabs>
        <w:snapToGrid w:val="0"/>
        <w:spacing w:line="360" w:lineRule="auto"/>
        <w:ind w:left="420"/>
        <w:rPr>
          <w:rFonts w:hint="eastAsia" w:ascii="宋体" w:hAnsi="宋体" w:cs="宋体"/>
          <w:color w:val="auto"/>
          <w:sz w:val="24"/>
          <w:szCs w:val="28"/>
          <w:highlight w:val="none"/>
        </w:rPr>
      </w:pPr>
      <w:r>
        <w:rPr>
          <w:rFonts w:hint="eastAsia" w:ascii="宋体" w:hAnsi="宋体" w:cs="宋体"/>
          <w:color w:val="auto"/>
          <w:sz w:val="24"/>
          <w:szCs w:val="28"/>
          <w:highlight w:val="none"/>
        </w:rPr>
        <w:t>（3）投标报价为各分项报价金额之和，投标报价与分项报价的合价不一致的，应以各分项合价累计数为准，修正投标报价；</w:t>
      </w:r>
    </w:p>
    <w:p>
      <w:pPr>
        <w:numPr>
          <w:ilvl w:val="0"/>
          <w:numId w:val="0"/>
        </w:numPr>
        <w:tabs>
          <w:tab w:val="left" w:pos="1276"/>
        </w:tabs>
        <w:snapToGrid w:val="0"/>
        <w:spacing w:line="360" w:lineRule="auto"/>
        <w:ind w:left="840"/>
        <w:rPr>
          <w:rFonts w:hint="eastAsia" w:ascii="宋体" w:hAnsi="宋体" w:cs="宋体"/>
          <w:color w:val="auto"/>
          <w:sz w:val="24"/>
          <w:szCs w:val="28"/>
          <w:highlight w:val="none"/>
        </w:rPr>
      </w:pPr>
      <w:r>
        <w:rPr>
          <w:rFonts w:hint="eastAsia" w:ascii="宋体" w:hAnsi="宋体" w:cs="宋体"/>
          <w:color w:val="auto"/>
          <w:sz w:val="24"/>
          <w:szCs w:val="28"/>
          <w:highlight w:val="none"/>
        </w:rPr>
        <w:t>（4）如果分项报价中存在缺漏项，则视为缺漏项价格已包含在其他分项报价之中。</w:t>
      </w:r>
    </w:p>
    <w:p>
      <w:pPr>
        <w:numPr>
          <w:ilvl w:val="0"/>
          <w:numId w:val="11"/>
        </w:numPr>
        <w:tabs>
          <w:tab w:val="left" w:pos="1276"/>
          <w:tab w:val="clear" w:pos="1828"/>
        </w:tabs>
        <w:snapToGrid w:val="0"/>
        <w:spacing w:line="360" w:lineRule="auto"/>
        <w:ind w:left="414" w:firstLine="426"/>
        <w:rPr>
          <w:rFonts w:hint="eastAsia" w:ascii="宋体" w:hAnsi="宋体" w:cs="宋体"/>
          <w:color w:val="auto"/>
          <w:sz w:val="24"/>
          <w:szCs w:val="28"/>
          <w:highlight w:val="none"/>
        </w:rPr>
      </w:pPr>
      <w:r>
        <w:rPr>
          <w:rFonts w:hint="eastAsia" w:ascii="宋体" w:hAnsi="宋体" w:cs="宋体"/>
          <w:color w:val="auto"/>
          <w:sz w:val="24"/>
          <w:szCs w:val="28"/>
          <w:highlight w:val="none"/>
        </w:rPr>
        <w:t>投标文件对下列情形有重大偏差的，视为未能对招标文件作出实质响应，按规定否决其投标：</w:t>
      </w:r>
    </w:p>
    <w:p>
      <w:pPr>
        <w:numPr>
          <w:ilvl w:val="0"/>
          <w:numId w:val="12"/>
        </w:numPr>
        <w:snapToGrid w:val="0"/>
        <w:spacing w:line="360" w:lineRule="auto"/>
        <w:ind w:left="1123" w:hanging="493"/>
        <w:rPr>
          <w:rFonts w:hint="eastAsia" w:ascii="宋体" w:hAnsi="宋体" w:cs="宋体"/>
          <w:b/>
          <w:color w:val="auto"/>
          <w:sz w:val="24"/>
          <w:highlight w:val="none"/>
        </w:rPr>
      </w:pPr>
      <w:r>
        <w:rPr>
          <w:rFonts w:hint="eastAsia" w:ascii="宋体" w:hAnsi="宋体" w:cs="宋体"/>
          <w:b/>
          <w:color w:val="auto"/>
          <w:sz w:val="24"/>
          <w:highlight w:val="none"/>
        </w:rPr>
        <w:t>未有下列相互串通投标情形：</w:t>
      </w:r>
    </w:p>
    <w:p>
      <w:pPr>
        <w:snapToGrid w:val="0"/>
        <w:spacing w:line="360" w:lineRule="auto"/>
        <w:ind w:left="993"/>
        <w:rPr>
          <w:rFonts w:hint="eastAsia" w:ascii="宋体" w:hAnsi="宋体" w:cs="宋体"/>
          <w:b/>
          <w:color w:val="auto"/>
          <w:sz w:val="24"/>
          <w:highlight w:val="none"/>
        </w:rPr>
      </w:pPr>
      <w:r>
        <w:rPr>
          <w:rFonts w:hint="eastAsia" w:ascii="宋体" w:hAnsi="宋体" w:cs="宋体"/>
          <w:b/>
          <w:color w:val="auto"/>
          <w:sz w:val="24"/>
          <w:highlight w:val="none"/>
        </w:rPr>
        <w:t>（1）不同投标人的投标文件由同一单位或者个人编制；</w:t>
      </w:r>
    </w:p>
    <w:p>
      <w:pPr>
        <w:snapToGrid w:val="0"/>
        <w:spacing w:line="360" w:lineRule="auto"/>
        <w:ind w:left="993"/>
        <w:rPr>
          <w:rFonts w:hint="eastAsia" w:ascii="宋体" w:hAnsi="宋体" w:cs="宋体"/>
          <w:b/>
          <w:color w:val="auto"/>
          <w:sz w:val="24"/>
          <w:highlight w:val="none"/>
        </w:rPr>
      </w:pPr>
      <w:r>
        <w:rPr>
          <w:rFonts w:hint="eastAsia" w:ascii="宋体" w:hAnsi="宋体" w:cs="宋体"/>
          <w:b/>
          <w:color w:val="auto"/>
          <w:sz w:val="24"/>
          <w:highlight w:val="none"/>
        </w:rPr>
        <w:t>（2）不同投标人委托同一单位或者个人办理投标事宜；</w:t>
      </w:r>
    </w:p>
    <w:p>
      <w:pPr>
        <w:snapToGrid w:val="0"/>
        <w:spacing w:line="360" w:lineRule="auto"/>
        <w:ind w:left="993"/>
        <w:rPr>
          <w:rFonts w:hint="eastAsia" w:ascii="宋体" w:hAnsi="宋体" w:cs="宋体"/>
          <w:b/>
          <w:color w:val="auto"/>
          <w:sz w:val="24"/>
          <w:highlight w:val="none"/>
        </w:rPr>
      </w:pPr>
      <w:r>
        <w:rPr>
          <w:rFonts w:hint="eastAsia" w:ascii="宋体" w:hAnsi="宋体" w:cs="宋体"/>
          <w:b/>
          <w:color w:val="auto"/>
          <w:sz w:val="24"/>
          <w:highlight w:val="none"/>
        </w:rPr>
        <w:t>（3）不同投标人的投标文件载明的项目管理成员为同一人；</w:t>
      </w:r>
    </w:p>
    <w:p>
      <w:pPr>
        <w:snapToGrid w:val="0"/>
        <w:spacing w:line="360" w:lineRule="auto"/>
        <w:ind w:left="993"/>
        <w:rPr>
          <w:rFonts w:hint="eastAsia" w:ascii="宋体" w:hAnsi="宋体" w:cs="宋体"/>
          <w:b/>
          <w:color w:val="auto"/>
          <w:sz w:val="24"/>
          <w:highlight w:val="none"/>
        </w:rPr>
      </w:pPr>
      <w:r>
        <w:rPr>
          <w:rFonts w:hint="eastAsia" w:ascii="宋体" w:hAnsi="宋体" w:cs="宋体"/>
          <w:b/>
          <w:color w:val="auto"/>
          <w:sz w:val="24"/>
          <w:highlight w:val="none"/>
        </w:rPr>
        <w:t>（4）不同投标人的投标文件异常一致或者投标报价呈规律性差异；</w:t>
      </w:r>
    </w:p>
    <w:p>
      <w:pPr>
        <w:snapToGrid w:val="0"/>
        <w:spacing w:line="360" w:lineRule="auto"/>
        <w:ind w:left="993"/>
        <w:rPr>
          <w:rFonts w:hint="eastAsia" w:ascii="宋体" w:hAnsi="宋体" w:cs="宋体"/>
          <w:b/>
          <w:color w:val="auto"/>
          <w:sz w:val="24"/>
          <w:highlight w:val="none"/>
        </w:rPr>
      </w:pPr>
      <w:r>
        <w:rPr>
          <w:rFonts w:hint="eastAsia" w:ascii="宋体" w:hAnsi="宋体" w:cs="宋体"/>
          <w:b/>
          <w:color w:val="auto"/>
          <w:sz w:val="24"/>
          <w:highlight w:val="none"/>
        </w:rPr>
        <w:t>（5）不同投标人的投标文件相互混装；</w:t>
      </w:r>
    </w:p>
    <w:p>
      <w:pPr>
        <w:snapToGrid w:val="0"/>
        <w:spacing w:line="360" w:lineRule="auto"/>
        <w:ind w:left="993"/>
        <w:rPr>
          <w:rFonts w:hint="eastAsia" w:ascii="宋体" w:hAnsi="宋体" w:cs="宋体"/>
          <w:b/>
          <w:color w:val="auto"/>
          <w:sz w:val="24"/>
          <w:highlight w:val="none"/>
        </w:rPr>
      </w:pPr>
      <w:r>
        <w:rPr>
          <w:rFonts w:hint="eastAsia" w:ascii="宋体" w:hAnsi="宋体" w:cs="宋体"/>
          <w:b/>
          <w:color w:val="auto"/>
          <w:sz w:val="24"/>
          <w:highlight w:val="none"/>
        </w:rPr>
        <w:t>（6）不同投标人的投标保证金从同一单位或者个人的账户转出。</w:t>
      </w:r>
    </w:p>
    <w:p>
      <w:pPr>
        <w:numPr>
          <w:ilvl w:val="0"/>
          <w:numId w:val="12"/>
        </w:numPr>
        <w:snapToGrid w:val="0"/>
        <w:spacing w:line="360" w:lineRule="auto"/>
        <w:ind w:left="1123" w:hanging="493"/>
        <w:rPr>
          <w:rFonts w:hint="eastAsia" w:ascii="宋体" w:hAnsi="宋体" w:cs="宋体"/>
          <w:b/>
          <w:color w:val="auto"/>
          <w:sz w:val="24"/>
          <w:highlight w:val="none"/>
        </w:rPr>
      </w:pPr>
      <w:r>
        <w:rPr>
          <w:rFonts w:hint="eastAsia" w:ascii="宋体" w:hAnsi="宋体" w:cs="宋体"/>
          <w:b/>
          <w:color w:val="auto"/>
          <w:sz w:val="24"/>
          <w:highlight w:val="none"/>
        </w:rPr>
        <w:t>投标报价低于招标文件中所载明的最高限价；</w:t>
      </w:r>
    </w:p>
    <w:p>
      <w:pPr>
        <w:numPr>
          <w:ilvl w:val="0"/>
          <w:numId w:val="12"/>
        </w:numPr>
        <w:snapToGrid w:val="0"/>
        <w:spacing w:line="360" w:lineRule="auto"/>
        <w:ind w:left="1123" w:hanging="493"/>
        <w:rPr>
          <w:rFonts w:hint="eastAsia" w:ascii="宋体" w:hAnsi="宋体" w:cs="宋体"/>
          <w:b/>
          <w:color w:val="auto"/>
          <w:sz w:val="24"/>
          <w:highlight w:val="none"/>
        </w:rPr>
      </w:pPr>
      <w:r>
        <w:rPr>
          <w:rFonts w:hint="eastAsia" w:ascii="宋体" w:hAnsi="宋体" w:cs="宋体"/>
          <w:b/>
          <w:color w:val="auto"/>
          <w:sz w:val="24"/>
          <w:highlight w:val="none"/>
        </w:rPr>
        <w:t>有单位盖章及法定代表人或负责人或其授权代理人签字盖章的；</w:t>
      </w:r>
    </w:p>
    <w:p>
      <w:pPr>
        <w:numPr>
          <w:ilvl w:val="0"/>
          <w:numId w:val="12"/>
        </w:numPr>
        <w:snapToGrid w:val="0"/>
        <w:spacing w:line="360" w:lineRule="auto"/>
        <w:ind w:left="1123" w:hanging="493"/>
        <w:rPr>
          <w:rFonts w:hint="eastAsia" w:ascii="宋体" w:hAnsi="宋体" w:cs="宋体"/>
          <w:b/>
          <w:color w:val="auto"/>
          <w:sz w:val="24"/>
          <w:highlight w:val="none"/>
        </w:rPr>
      </w:pPr>
      <w:r>
        <w:rPr>
          <w:rFonts w:hint="eastAsia" w:ascii="宋体" w:hAnsi="宋体" w:cs="宋体"/>
          <w:b/>
          <w:color w:val="auto"/>
          <w:sz w:val="24"/>
          <w:highlight w:val="none"/>
        </w:rPr>
        <w:t>符合规定的格式填写，内容未有不全或关键字迹模糊、无法辨认的；</w:t>
      </w:r>
    </w:p>
    <w:p>
      <w:pPr>
        <w:numPr>
          <w:ilvl w:val="0"/>
          <w:numId w:val="12"/>
        </w:numPr>
        <w:snapToGrid w:val="0"/>
        <w:spacing w:line="360" w:lineRule="auto"/>
        <w:ind w:left="1123" w:hanging="493"/>
        <w:rPr>
          <w:rFonts w:hint="eastAsia" w:ascii="宋体" w:hAnsi="宋体" w:cs="宋体"/>
          <w:b/>
          <w:color w:val="auto"/>
          <w:sz w:val="24"/>
          <w:highlight w:val="none"/>
        </w:rPr>
      </w:pPr>
      <w:r>
        <w:rPr>
          <w:rFonts w:hint="eastAsia" w:ascii="宋体" w:hAnsi="宋体" w:cs="宋体"/>
          <w:b/>
          <w:color w:val="auto"/>
          <w:sz w:val="24"/>
          <w:highlight w:val="none"/>
        </w:rPr>
        <w:t>投标人未递交两份或多份内容不同的投标文件，或在一份投标文件中对同一招标项目有两个或多个报价，且未声明哪一个有效的；</w:t>
      </w:r>
    </w:p>
    <w:p>
      <w:pPr>
        <w:numPr>
          <w:ilvl w:val="0"/>
          <w:numId w:val="12"/>
        </w:numPr>
        <w:snapToGrid w:val="0"/>
        <w:spacing w:line="360" w:lineRule="auto"/>
        <w:ind w:left="1123" w:hanging="493"/>
        <w:rPr>
          <w:rFonts w:hint="eastAsia" w:ascii="宋体" w:hAnsi="宋体" w:cs="宋体"/>
          <w:b/>
          <w:color w:val="auto"/>
          <w:sz w:val="24"/>
          <w:highlight w:val="none"/>
        </w:rPr>
      </w:pPr>
      <w:r>
        <w:rPr>
          <w:rFonts w:hint="eastAsia" w:ascii="宋体" w:hAnsi="宋体" w:cs="宋体"/>
          <w:b/>
          <w:color w:val="auto"/>
          <w:sz w:val="24"/>
          <w:highlight w:val="none"/>
        </w:rPr>
        <w:t>投标人名称或组织结构与报名时一致的；</w:t>
      </w:r>
    </w:p>
    <w:p>
      <w:pPr>
        <w:numPr>
          <w:ilvl w:val="0"/>
          <w:numId w:val="12"/>
        </w:numPr>
        <w:snapToGrid w:val="0"/>
        <w:spacing w:line="360" w:lineRule="auto"/>
        <w:ind w:left="1123" w:hanging="493"/>
        <w:rPr>
          <w:rFonts w:hint="eastAsia" w:ascii="宋体" w:hAnsi="宋体" w:cs="宋体"/>
          <w:b/>
          <w:color w:val="auto"/>
          <w:sz w:val="24"/>
          <w:highlight w:val="none"/>
        </w:rPr>
      </w:pPr>
      <w:r>
        <w:rPr>
          <w:rFonts w:hint="eastAsia" w:ascii="宋体" w:hAnsi="宋体" w:cs="宋体"/>
          <w:b/>
          <w:color w:val="auto"/>
          <w:sz w:val="24"/>
          <w:highlight w:val="none"/>
        </w:rPr>
        <w:t>投标文件载明的招标项目完成期限未超过招标文件规定的期限的；</w:t>
      </w:r>
    </w:p>
    <w:p>
      <w:pPr>
        <w:numPr>
          <w:ilvl w:val="0"/>
          <w:numId w:val="12"/>
        </w:numPr>
        <w:snapToGrid w:val="0"/>
        <w:spacing w:line="360" w:lineRule="auto"/>
        <w:ind w:left="1123" w:hanging="493"/>
        <w:rPr>
          <w:rFonts w:hint="eastAsia" w:ascii="宋体" w:hAnsi="宋体" w:cs="宋体"/>
          <w:b/>
          <w:color w:val="auto"/>
          <w:sz w:val="24"/>
          <w:highlight w:val="none"/>
        </w:rPr>
      </w:pPr>
      <w:r>
        <w:rPr>
          <w:rFonts w:hint="eastAsia" w:ascii="宋体" w:hAnsi="宋体" w:cs="宋体"/>
          <w:b/>
          <w:color w:val="auto"/>
          <w:sz w:val="24"/>
          <w:highlight w:val="none"/>
        </w:rPr>
        <w:t>符合技术规格、技术标准的要求的；</w:t>
      </w:r>
    </w:p>
    <w:p>
      <w:pPr>
        <w:numPr>
          <w:ilvl w:val="0"/>
          <w:numId w:val="12"/>
        </w:numPr>
        <w:snapToGrid w:val="0"/>
        <w:spacing w:line="360" w:lineRule="auto"/>
        <w:ind w:left="1123" w:hanging="493"/>
        <w:rPr>
          <w:rFonts w:hint="eastAsia" w:ascii="宋体" w:hAnsi="宋体" w:cs="宋体"/>
          <w:b/>
          <w:color w:val="auto"/>
          <w:sz w:val="24"/>
          <w:highlight w:val="none"/>
        </w:rPr>
      </w:pPr>
      <w:r>
        <w:rPr>
          <w:rFonts w:hint="eastAsia" w:ascii="宋体" w:hAnsi="宋体" w:cs="宋体"/>
          <w:b/>
          <w:color w:val="auto"/>
          <w:sz w:val="24"/>
          <w:highlight w:val="none"/>
        </w:rPr>
        <w:t>投标文件未附有招标人不能接受的条件的；</w:t>
      </w:r>
    </w:p>
    <w:p>
      <w:pPr>
        <w:numPr>
          <w:ilvl w:val="0"/>
          <w:numId w:val="12"/>
        </w:numPr>
        <w:snapToGrid w:val="0"/>
        <w:spacing w:line="360" w:lineRule="auto"/>
        <w:ind w:left="1123" w:hanging="493"/>
        <w:rPr>
          <w:rFonts w:hint="eastAsia" w:ascii="宋体" w:hAnsi="宋体" w:cs="宋体"/>
          <w:b/>
          <w:color w:val="auto"/>
          <w:sz w:val="24"/>
          <w:highlight w:val="none"/>
        </w:rPr>
      </w:pPr>
      <w:r>
        <w:rPr>
          <w:rFonts w:hint="eastAsia" w:ascii="宋体" w:hAnsi="宋体" w:cs="宋体"/>
          <w:b/>
          <w:color w:val="auto"/>
          <w:sz w:val="24"/>
          <w:highlight w:val="none"/>
        </w:rPr>
        <w:t>投标文件中服务承诺或质量承诺满足招标文件要求的；</w:t>
      </w:r>
    </w:p>
    <w:p>
      <w:pPr>
        <w:numPr>
          <w:ilvl w:val="0"/>
          <w:numId w:val="12"/>
        </w:numPr>
        <w:snapToGrid w:val="0"/>
        <w:spacing w:line="360" w:lineRule="auto"/>
        <w:ind w:left="1123" w:hanging="493"/>
        <w:rPr>
          <w:rFonts w:hint="eastAsia" w:ascii="宋体" w:hAnsi="宋体" w:cs="宋体"/>
          <w:b/>
          <w:color w:val="auto"/>
          <w:sz w:val="24"/>
          <w:highlight w:val="none"/>
        </w:rPr>
      </w:pPr>
      <w:r>
        <w:rPr>
          <w:rFonts w:hint="eastAsia" w:ascii="宋体" w:hAnsi="宋体" w:cs="宋体"/>
          <w:b/>
          <w:color w:val="auto"/>
          <w:sz w:val="24"/>
          <w:highlight w:val="none"/>
        </w:rPr>
        <w:t>未有不符合招标文件中规定的其他实质性要求的。</w:t>
      </w:r>
    </w:p>
    <w:p>
      <w:pPr>
        <w:numPr>
          <w:ilvl w:val="0"/>
          <w:numId w:val="11"/>
        </w:numPr>
        <w:tabs>
          <w:tab w:val="left" w:pos="1276"/>
          <w:tab w:val="clear" w:pos="1828"/>
        </w:tabs>
        <w:snapToGrid w:val="0"/>
        <w:spacing w:line="360" w:lineRule="auto"/>
        <w:ind w:left="414" w:firstLine="426"/>
        <w:jc w:val="left"/>
        <w:rPr>
          <w:rFonts w:hint="eastAsia" w:ascii="宋体" w:hAnsi="宋体" w:cs="宋体"/>
          <w:color w:val="auto"/>
          <w:sz w:val="24"/>
          <w:szCs w:val="28"/>
          <w:highlight w:val="none"/>
        </w:rPr>
      </w:pPr>
      <w:r>
        <w:rPr>
          <w:rFonts w:hint="eastAsia" w:ascii="宋体" w:hAnsi="宋体" w:cs="宋体"/>
          <w:color w:val="auto"/>
          <w:sz w:val="24"/>
          <w:szCs w:val="28"/>
          <w:highlight w:val="none"/>
        </w:rPr>
        <w:t>对重大偏差，评标委员会应当依据法律、法规、规章和招标文件的规定作出明确认定。没有明确认定为重大偏差的，一律认定为细微偏差。细微偏差不影响投标文件的有效性。</w:t>
      </w:r>
    </w:p>
    <w:p>
      <w:pPr>
        <w:numPr>
          <w:ilvl w:val="-1"/>
          <w:numId w:val="0"/>
        </w:numPr>
        <w:snapToGrid/>
        <w:spacing w:line="240" w:lineRule="auto"/>
        <w:ind w:left="0" w:firstLine="0"/>
        <w:jc w:val="left"/>
        <w:rPr>
          <w:rFonts w:hint="eastAsia" w:ascii="宋体" w:hAnsi="宋体" w:cs="宋体"/>
          <w:color w:val="auto"/>
          <w:sz w:val="24"/>
          <w:szCs w:val="28"/>
          <w:highlight w:val="none"/>
        </w:rPr>
      </w:pPr>
      <w:r>
        <w:rPr>
          <w:rFonts w:hint="eastAsia" w:ascii="宋体" w:hAnsi="宋体" w:cs="宋体"/>
          <w:color w:val="auto"/>
          <w:sz w:val="24"/>
          <w:szCs w:val="28"/>
          <w:highlight w:val="none"/>
        </w:rPr>
        <w:br w:type="page"/>
      </w:r>
    </w:p>
    <w:p>
      <w:pPr>
        <w:numPr>
          <w:ilvl w:val="0"/>
          <w:numId w:val="13"/>
        </w:numPr>
        <w:spacing w:line="360" w:lineRule="auto"/>
        <w:ind w:left="559" w:hanging="559" w:hangingChars="232"/>
        <w:rPr>
          <w:rFonts w:hint="eastAsia" w:ascii="宋体" w:hAnsi="宋体" w:cs="宋体"/>
          <w:b/>
          <w:bCs/>
          <w:color w:val="auto"/>
          <w:sz w:val="24"/>
          <w:highlight w:val="none"/>
        </w:rPr>
      </w:pPr>
      <w:r>
        <w:rPr>
          <w:rFonts w:hint="eastAsia" w:ascii="宋体" w:hAnsi="宋体" w:cs="宋体"/>
          <w:b/>
          <w:bCs/>
          <w:color w:val="auto"/>
          <w:sz w:val="24"/>
          <w:highlight w:val="none"/>
        </w:rPr>
        <w:t>详细评审</w:t>
      </w:r>
    </w:p>
    <w:tbl>
      <w:tblPr>
        <w:tblStyle w:val="26"/>
        <w:tblW w:w="975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1038"/>
        <w:gridCol w:w="1262"/>
        <w:gridCol w:w="983"/>
        <w:gridCol w:w="64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序号</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评审项目</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标准分</w:t>
            </w:r>
          </w:p>
        </w:tc>
        <w:tc>
          <w:tcPr>
            <w:tcW w:w="6469"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7443" w:hRule="atLeast"/>
        </w:trPr>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1.01</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价格部分</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30</w:t>
            </w:r>
          </w:p>
        </w:tc>
        <w:tc>
          <w:tcPr>
            <w:tcW w:w="64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（1）评标基准价=所有有效投标人投标价之和/有效投标单位数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（2）偏差率=（投标人的投标价-评标基准价）/评标基准价×100%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（3）价格评分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当投标人的投标价＞评标基准价时：投标价得分=30-偏差率×100×0.4</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当投标人的投标价≤评标基准价：投标价得分=30+偏差率×100×0.2</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注：（1）有效投标报价为小于或等于最高投标限价的报价。（2）若投标人的投标报价低于投标限价的85%，则该投标人的投标报价不参与评标基准价的计算，但参与评分。（3）评标委员会发现供应商的报价明显低于其他投标报价，或者在设有标底时明显低于标底，使得其投标报价可能低于其个别成本的，应当要求该供应商作出书面说明并提供相应的证明材料。供应商不能合理说明或者不能提供相应证明材料的，由评标委员会认定该供应商以低于成本报价竞标，其投标作废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1.02</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企业</w:t>
            </w:r>
            <w:r>
              <w:rPr>
                <w:rFonts w:hint="eastAsia" w:ascii="宋体" w:hAnsi="宋体" w:cs="宋体"/>
                <w:color w:val="auto"/>
                <w:sz w:val="24"/>
                <w:highlight w:val="none"/>
                <w:lang w:val="en-US" w:eastAsia="zh-CN"/>
              </w:rPr>
              <w:t>业绩</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lang w:val="en-US"/>
              </w:rPr>
            </w:pP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.00</w:t>
            </w:r>
          </w:p>
        </w:tc>
        <w:tc>
          <w:tcPr>
            <w:tcW w:w="64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cs="宋体"/>
                <w:color w:val="auto"/>
                <w:highlight w:val="none"/>
              </w:rPr>
            </w:pPr>
            <w:r>
              <w:rPr>
                <w:rFonts w:hint="eastAsia" w:ascii="宋体" w:hAnsi="宋体" w:cs="宋体"/>
                <w:color w:val="auto"/>
                <w:sz w:val="24"/>
                <w:szCs w:val="20"/>
                <w:highlight w:val="none"/>
              </w:rPr>
              <w:t>2021年1月1日以来已承揽的</w:t>
            </w:r>
            <w:r>
              <w:rPr>
                <w:rFonts w:hint="eastAsia" w:ascii="宋体" w:hAnsi="宋体" w:eastAsia="宋体" w:cs="宋体"/>
                <w:color w:val="auto"/>
                <w:sz w:val="24"/>
                <w:szCs w:val="20"/>
                <w:highlight w:val="none"/>
              </w:rPr>
              <w:t>生态修复</w:t>
            </w:r>
            <w:r>
              <w:rPr>
                <w:rFonts w:hint="eastAsia" w:ascii="宋体" w:hAnsi="宋体" w:cs="宋体"/>
                <w:color w:val="auto"/>
                <w:sz w:val="24"/>
                <w:szCs w:val="20"/>
                <w:highlight w:val="none"/>
                <w:lang w:val="en-US" w:eastAsia="zh-CN"/>
              </w:rPr>
              <w:t>类或环境保护类</w:t>
            </w:r>
            <w:r>
              <w:rPr>
                <w:rFonts w:hint="eastAsia" w:ascii="宋体" w:hAnsi="宋体" w:eastAsia="宋体" w:cs="宋体"/>
                <w:color w:val="auto"/>
                <w:sz w:val="24"/>
                <w:szCs w:val="20"/>
                <w:highlight w:val="none"/>
              </w:rPr>
              <w:t>项目</w:t>
            </w:r>
            <w:r>
              <w:rPr>
                <w:rFonts w:hint="eastAsia" w:ascii="宋体" w:hAnsi="宋体" w:cs="宋体"/>
                <w:color w:val="auto"/>
                <w:sz w:val="24"/>
                <w:szCs w:val="20"/>
                <w:highlight w:val="none"/>
                <w:lang w:val="en-US" w:eastAsia="zh-CN"/>
              </w:rPr>
              <w:t>跟踪</w:t>
            </w:r>
            <w:r>
              <w:rPr>
                <w:rFonts w:hint="eastAsia" w:ascii="宋体" w:hAnsi="宋体" w:eastAsia="宋体" w:cs="宋体"/>
                <w:color w:val="auto"/>
                <w:sz w:val="24"/>
                <w:szCs w:val="20"/>
                <w:highlight w:val="none"/>
              </w:rPr>
              <w:t>监测</w:t>
            </w:r>
            <w:r>
              <w:rPr>
                <w:rFonts w:hint="eastAsia" w:ascii="宋体" w:hAnsi="宋体" w:cs="宋体"/>
                <w:color w:val="auto"/>
                <w:sz w:val="24"/>
                <w:szCs w:val="20"/>
                <w:highlight w:val="none"/>
              </w:rPr>
              <w:t>项目，每</w:t>
            </w:r>
            <w:r>
              <w:rPr>
                <w:rFonts w:hint="eastAsia" w:ascii="宋体" w:hAnsi="宋体" w:eastAsia="宋体" w:cs="宋体"/>
                <w:color w:val="auto"/>
                <w:sz w:val="24"/>
                <w:szCs w:val="20"/>
                <w:highlight w:val="none"/>
                <w:lang w:val="en-US" w:eastAsia="zh-CN"/>
              </w:rPr>
              <w:t>提供1项</w:t>
            </w:r>
            <w:r>
              <w:rPr>
                <w:rFonts w:hint="eastAsia" w:ascii="宋体" w:hAnsi="宋体" w:cs="宋体"/>
                <w:color w:val="auto"/>
                <w:sz w:val="24"/>
                <w:szCs w:val="20"/>
                <w:highlight w:val="none"/>
              </w:rPr>
              <w:t>得</w:t>
            </w:r>
            <w:r>
              <w:rPr>
                <w:rFonts w:hint="eastAsia" w:ascii="宋体" w:hAnsi="宋体" w:cs="宋体"/>
                <w:color w:val="auto"/>
                <w:sz w:val="24"/>
                <w:szCs w:val="20"/>
                <w:highlight w:val="none"/>
                <w:lang w:val="en-US" w:eastAsia="zh-CN"/>
              </w:rPr>
              <w:t>2</w:t>
            </w:r>
            <w:r>
              <w:rPr>
                <w:rFonts w:hint="eastAsia" w:ascii="宋体" w:hAnsi="宋体" w:cs="宋体"/>
                <w:color w:val="auto"/>
                <w:sz w:val="24"/>
                <w:szCs w:val="20"/>
                <w:highlight w:val="none"/>
              </w:rPr>
              <w:t>分，满分</w:t>
            </w:r>
            <w:r>
              <w:rPr>
                <w:rFonts w:hint="eastAsia" w:ascii="宋体" w:hAnsi="宋体" w:cs="宋体"/>
                <w:color w:val="auto"/>
                <w:sz w:val="24"/>
                <w:szCs w:val="20"/>
                <w:highlight w:val="none"/>
                <w:lang w:val="en-US" w:eastAsia="zh-CN"/>
              </w:rPr>
              <w:t>6</w:t>
            </w:r>
            <w:r>
              <w:rPr>
                <w:rFonts w:hint="eastAsia" w:ascii="宋体" w:hAnsi="宋体" w:cs="宋体"/>
                <w:color w:val="auto"/>
                <w:sz w:val="24"/>
                <w:szCs w:val="20"/>
                <w:highlight w:val="none"/>
              </w:rPr>
              <w:t>分。注:须提供项目合同原件的电子扫描件，承揽时间以合同签署时间为准。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1.03</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sz w:val="24"/>
                <w:highlight w:val="none"/>
                <w:lang w:val="en-US" w:eastAsia="zh-CN"/>
              </w:rPr>
              <w:t>企业认证证书</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kern w:val="2"/>
                <w:sz w:val="24"/>
                <w:highlight w:val="none"/>
                <w:lang w:val="en-US" w:eastAsia="zh-CN" w:bidi="ar-SA"/>
              </w:rPr>
            </w:pP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.00</w:t>
            </w:r>
          </w:p>
        </w:tc>
        <w:tc>
          <w:tcPr>
            <w:tcW w:w="6469"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cs="宋体"/>
                <w:color w:val="auto"/>
                <w:sz w:val="24"/>
                <w:szCs w:val="20"/>
                <w:highlight w:val="none"/>
              </w:rPr>
            </w:pPr>
            <w:r>
              <w:rPr>
                <w:rFonts w:hint="eastAsia" w:ascii="宋体" w:hAnsi="宋体" w:cs="宋体"/>
                <w:color w:val="auto"/>
                <w:sz w:val="24"/>
                <w:szCs w:val="20"/>
                <w:highlight w:val="none"/>
                <w:lang w:val="en-US" w:eastAsia="zh-CN"/>
              </w:rPr>
              <w:t>1.</w:t>
            </w:r>
            <w:r>
              <w:rPr>
                <w:rFonts w:hint="eastAsia" w:ascii="宋体" w:hAnsi="宋体" w:cs="宋体"/>
                <w:color w:val="auto"/>
                <w:sz w:val="24"/>
                <w:szCs w:val="20"/>
                <w:highlight w:val="none"/>
              </w:rPr>
              <w:t>投标人</w:t>
            </w:r>
            <w:r>
              <w:rPr>
                <w:rFonts w:hint="eastAsia" w:ascii="宋体" w:hAnsi="宋体" w:cs="宋体"/>
                <w:color w:val="auto"/>
                <w:sz w:val="24"/>
                <w:szCs w:val="20"/>
                <w:highlight w:val="none"/>
                <w:lang w:val="en-US" w:eastAsia="zh-CN"/>
              </w:rPr>
              <w:t>具有</w:t>
            </w:r>
            <w:r>
              <w:rPr>
                <w:rFonts w:hint="eastAsia" w:ascii="宋体" w:hAnsi="宋体" w:cs="宋体"/>
                <w:color w:val="auto"/>
                <w:sz w:val="24"/>
                <w:szCs w:val="20"/>
                <w:highlight w:val="none"/>
              </w:rPr>
              <w:t xml:space="preserve"> CNAS 实验室认可证书，得</w:t>
            </w:r>
            <w:r>
              <w:rPr>
                <w:rFonts w:hint="eastAsia" w:ascii="宋体" w:hAnsi="宋体" w:cs="宋体"/>
                <w:color w:val="auto"/>
                <w:sz w:val="24"/>
                <w:szCs w:val="20"/>
                <w:highlight w:val="none"/>
                <w:lang w:val="en-US" w:eastAsia="zh-CN"/>
              </w:rPr>
              <w:t>3</w:t>
            </w:r>
            <w:r>
              <w:rPr>
                <w:rFonts w:hint="eastAsia" w:ascii="宋体" w:hAnsi="宋体" w:cs="宋体"/>
                <w:color w:val="auto"/>
                <w:sz w:val="24"/>
                <w:szCs w:val="20"/>
                <w:highlight w:val="none"/>
              </w:rPr>
              <w:t>分，否则不得分。</w:t>
            </w:r>
          </w:p>
          <w:p>
            <w:pPr>
              <w:spacing w:line="400" w:lineRule="exact"/>
              <w:jc w:val="left"/>
              <w:rPr>
                <w:rFonts w:hint="eastAsia" w:ascii="宋体" w:hAnsi="宋体" w:eastAsia="宋体" w:cs="宋体"/>
                <w:color w:val="auto"/>
                <w:sz w:val="24"/>
                <w:highlight w:val="none"/>
                <w:lang w:val="en-US" w:eastAsia="zh-CN"/>
              </w:rPr>
            </w:pPr>
            <w:r>
              <w:rPr>
                <w:rFonts w:hint="eastAsia" w:ascii="宋体" w:hAnsi="宋体" w:cs="宋体"/>
                <w:color w:val="auto"/>
                <w:sz w:val="24"/>
                <w:szCs w:val="20"/>
                <w:highlight w:val="none"/>
                <w:lang w:val="en-US" w:eastAsia="zh-CN"/>
              </w:rPr>
              <w:t>2.</w:t>
            </w:r>
            <w:r>
              <w:rPr>
                <w:rFonts w:hint="eastAsia" w:ascii="宋体" w:hAnsi="宋体" w:cs="宋体"/>
                <w:color w:val="auto"/>
                <w:sz w:val="24"/>
                <w:szCs w:val="20"/>
                <w:highlight w:val="none"/>
              </w:rPr>
              <w:t>投标人</w:t>
            </w:r>
            <w:r>
              <w:rPr>
                <w:rFonts w:hint="eastAsia" w:ascii="宋体" w:hAnsi="宋体" w:cs="宋体"/>
                <w:color w:val="auto"/>
                <w:sz w:val="24"/>
                <w:szCs w:val="20"/>
                <w:highlight w:val="none"/>
                <w:lang w:val="en-US" w:eastAsia="zh-CN"/>
              </w:rPr>
              <w:t>具有有效期内的ISO认证的（质量管理体系认证；环境管理体系认证；职业健康安全管理体系认证），每提供1个得1分，最多得3分。</w:t>
            </w:r>
          </w:p>
          <w:p>
            <w:pPr>
              <w:spacing w:line="400" w:lineRule="exact"/>
              <w:jc w:val="left"/>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sz w:val="24"/>
                <w:highlight w:val="none"/>
                <w:lang w:val="en-US" w:eastAsia="zh-CN"/>
              </w:rPr>
              <w:t>注：认可、认证证书须可在国家认证认可监督管理委员会官网网站（http：//www.cnca.gov.cn）查询，并附上查询截图加盖公章。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421" w:hRule="atLeast"/>
        </w:trPr>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1.0</w:t>
            </w:r>
            <w:r>
              <w:rPr>
                <w:rFonts w:hint="eastAsia" w:ascii="宋体" w:hAnsi="宋体" w:cs="宋体"/>
                <w:color w:val="auto"/>
                <w:sz w:val="24"/>
                <w:highlight w:val="none"/>
                <w:lang w:val="en-US" w:eastAsia="zh-CN"/>
              </w:rPr>
              <w:t>4</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拟投入本项目人员</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7.00</w:t>
            </w:r>
          </w:p>
        </w:tc>
        <w:tc>
          <w:tcPr>
            <w:tcW w:w="6469" w:type="dxa"/>
            <w:tcBorders>
              <w:top w:val="single" w:color="000000" w:sz="4" w:space="0"/>
              <w:left w:val="single" w:color="000000" w:sz="4" w:space="0"/>
              <w:bottom w:val="single" w:color="000000" w:sz="4" w:space="0"/>
              <w:right w:val="single" w:color="000000" w:sz="4" w:space="0"/>
            </w:tcBorders>
            <w:noWrap w:val="0"/>
            <w:vAlign w:val="center"/>
          </w:tcPr>
          <w:p>
            <w:pPr>
              <w:numPr>
                <w:ilvl w:val="-1"/>
                <w:numId w:val="0"/>
              </w:numPr>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1、项目负责人具有</w:t>
            </w:r>
            <w:r>
              <w:rPr>
                <w:rFonts w:hint="eastAsia" w:ascii="宋体" w:hAnsi="宋体" w:cs="宋体"/>
                <w:color w:val="auto"/>
                <w:sz w:val="24"/>
                <w:highlight w:val="none"/>
                <w:lang w:val="en-US" w:eastAsia="zh-CN"/>
              </w:rPr>
              <w:t>与本项目</w:t>
            </w:r>
            <w:r>
              <w:rPr>
                <w:rFonts w:hint="eastAsia" w:ascii="宋体" w:hAnsi="宋体" w:cs="宋体"/>
                <w:color w:val="auto"/>
                <w:sz w:val="24"/>
                <w:highlight w:val="none"/>
              </w:rPr>
              <w:t>相关专业</w:t>
            </w:r>
            <w:r>
              <w:rPr>
                <w:rFonts w:hint="eastAsia" w:ascii="宋体" w:hAnsi="宋体" w:cs="宋体"/>
                <w:color w:val="auto"/>
                <w:sz w:val="24"/>
                <w:highlight w:val="none"/>
                <w:lang w:val="en-US" w:eastAsia="zh-CN"/>
              </w:rPr>
              <w:t>的正</w:t>
            </w:r>
            <w:r>
              <w:rPr>
                <w:rFonts w:hint="eastAsia" w:ascii="宋体" w:hAnsi="宋体" w:cs="宋体"/>
                <w:color w:val="auto"/>
                <w:sz w:val="24"/>
                <w:highlight w:val="none"/>
              </w:rPr>
              <w:t>高级</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享受教授、研究院待遇的高级工程师/研究院）</w:t>
            </w:r>
            <w:r>
              <w:rPr>
                <w:rFonts w:hint="eastAsia" w:ascii="宋体" w:hAnsi="宋体" w:cs="宋体"/>
                <w:color w:val="auto"/>
                <w:sz w:val="24"/>
                <w:highlight w:val="none"/>
              </w:rPr>
              <w:t>职称得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分，高级职称得</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w:t>
            </w:r>
          </w:p>
          <w:p>
            <w:pPr>
              <w:numPr>
                <w:ilvl w:val="-1"/>
                <w:numId w:val="0"/>
              </w:numPr>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2、项目组成员中（除负责人外）具有</w:t>
            </w:r>
            <w:r>
              <w:rPr>
                <w:rFonts w:hint="eastAsia" w:ascii="宋体" w:hAnsi="宋体" w:cs="宋体"/>
                <w:color w:val="auto"/>
                <w:sz w:val="24"/>
                <w:highlight w:val="none"/>
                <w:lang w:val="en-US" w:eastAsia="zh-CN"/>
              </w:rPr>
              <w:t>与本项目</w:t>
            </w:r>
            <w:r>
              <w:rPr>
                <w:rFonts w:hint="eastAsia" w:ascii="宋体" w:hAnsi="宋体" w:cs="宋体"/>
                <w:color w:val="auto"/>
                <w:sz w:val="24"/>
                <w:highlight w:val="none"/>
              </w:rPr>
              <w:t>相关专业高级及以上职称的，每有1人得</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分，最高得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w:t>
            </w:r>
          </w:p>
          <w:p>
            <w:pPr>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3、项目组成员（含项目负责人）具有</w:t>
            </w:r>
            <w:r>
              <w:rPr>
                <w:rFonts w:hint="eastAsia" w:ascii="宋体" w:hAnsi="宋体" w:cs="宋体"/>
                <w:color w:val="auto"/>
                <w:sz w:val="24"/>
                <w:highlight w:val="none"/>
                <w:lang w:val="en-US" w:eastAsia="zh-CN"/>
              </w:rPr>
              <w:t>由国家海洋标准计量中心颁发的</w:t>
            </w:r>
            <w:r>
              <w:rPr>
                <w:rFonts w:hint="eastAsia" w:ascii="宋体" w:hAnsi="宋体" w:cs="宋体"/>
                <w:color w:val="auto"/>
                <w:sz w:val="24"/>
                <w:highlight w:val="none"/>
              </w:rPr>
              <w:t>“海洋监/检测人员培训证书”</w:t>
            </w:r>
            <w:r>
              <w:rPr>
                <w:rFonts w:hint="eastAsia" w:ascii="宋体" w:hAnsi="宋体" w:cs="宋体"/>
                <w:color w:val="auto"/>
                <w:sz w:val="24"/>
                <w:highlight w:val="none"/>
                <w:lang w:val="en-US" w:eastAsia="zh-CN"/>
              </w:rPr>
              <w:t>或具有由市级及以上自然资源部门颁发的</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测绘作业证</w:t>
            </w:r>
            <w:r>
              <w:rPr>
                <w:rFonts w:hint="eastAsia" w:ascii="宋体" w:hAnsi="宋体" w:cs="宋体"/>
                <w:color w:val="auto"/>
                <w:sz w:val="24"/>
                <w:highlight w:val="none"/>
                <w:lang w:eastAsia="zh-CN"/>
              </w:rPr>
              <w:t>”</w:t>
            </w:r>
            <w:r>
              <w:rPr>
                <w:rFonts w:hint="eastAsia" w:ascii="宋体" w:hAnsi="宋体" w:cs="宋体"/>
                <w:color w:val="auto"/>
                <w:sz w:val="24"/>
                <w:highlight w:val="none"/>
              </w:rPr>
              <w:t>的人员，每1人加</w:t>
            </w:r>
            <w:r>
              <w:rPr>
                <w:rFonts w:hint="eastAsia" w:ascii="宋体" w:hAnsi="宋体" w:cs="宋体"/>
                <w:color w:val="auto"/>
                <w:sz w:val="24"/>
                <w:highlight w:val="none"/>
                <w:lang w:val="en-US" w:eastAsia="zh-CN"/>
              </w:rPr>
              <w:t>0.5</w:t>
            </w:r>
            <w:r>
              <w:rPr>
                <w:rFonts w:hint="eastAsia" w:ascii="宋体" w:hAnsi="宋体" w:cs="宋体"/>
                <w:color w:val="auto"/>
                <w:sz w:val="24"/>
                <w:highlight w:val="none"/>
              </w:rPr>
              <w:t>分，满分</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p>
          <w:p>
            <w:pPr>
              <w:spacing w:line="400" w:lineRule="exact"/>
              <w:jc w:val="lef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注：</w:t>
            </w:r>
            <w:r>
              <w:rPr>
                <w:rFonts w:hint="eastAsia" w:ascii="宋体" w:hAnsi="宋体" w:eastAsia="宋体" w:cs="宋体"/>
                <w:color w:val="auto"/>
                <w:sz w:val="24"/>
                <w:highlight w:val="none"/>
                <w:lang w:val="en-US" w:eastAsia="zh-CN"/>
              </w:rPr>
              <w:t>以上人员均为本单位职工，拟投入本项目组成员均需须提供身份证、职称证书扫描件（或有评审资质单位的评审结果文件）、身份证扫描件和投标截止时间前6个月社保证明扫描件并加盖公章。</w:t>
            </w:r>
            <w:r>
              <w:rPr>
                <w:rFonts w:hint="eastAsia" w:ascii="宋体" w:hAnsi="宋体" w:cs="宋体"/>
                <w:color w:val="auto"/>
                <w:sz w:val="24"/>
                <w:highlight w:val="none"/>
              </w:rPr>
              <w:t>未提供或提供不全不得分。</w:t>
            </w:r>
          </w:p>
          <w:p>
            <w:pPr>
              <w:numPr>
                <w:ilvl w:val="0"/>
                <w:numId w:val="14"/>
              </w:numPr>
              <w:spacing w:line="400" w:lineRule="exact"/>
              <w:jc w:val="left"/>
              <w:rPr>
                <w:rFonts w:hint="eastAsia" w:ascii="宋体" w:hAnsi="宋体" w:cs="宋体"/>
                <w:color w:val="auto"/>
                <w:sz w:val="24"/>
                <w:highlight w:val="none"/>
                <w:lang w:eastAsia="zh-CN"/>
              </w:rPr>
            </w:pPr>
            <w:r>
              <w:rPr>
                <w:rFonts w:hint="eastAsia" w:ascii="宋体" w:hAnsi="宋体" w:cs="宋体"/>
                <w:color w:val="auto"/>
                <w:sz w:val="24"/>
                <w:highlight w:val="none"/>
              </w:rPr>
              <w:t>海洋环境、海洋生态、环境工程等环境相关专业以及海岸工程、港口与海洋工程</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海洋测绘</w:t>
            </w:r>
            <w:r>
              <w:rPr>
                <w:rFonts w:hint="eastAsia" w:ascii="宋体" w:hAnsi="宋体" w:cs="宋体"/>
                <w:color w:val="auto"/>
                <w:sz w:val="24"/>
                <w:highlight w:val="none"/>
              </w:rPr>
              <w:t>等均属于相关专业</w:t>
            </w:r>
            <w:r>
              <w:rPr>
                <w:rFonts w:hint="eastAsia" w:ascii="宋体" w:hAnsi="宋体" w:cs="宋体"/>
                <w:color w:val="auto"/>
                <w:sz w:val="24"/>
                <w:highlight w:val="none"/>
                <w:lang w:eastAsia="zh-CN"/>
              </w:rPr>
              <w:t>；</w:t>
            </w:r>
          </w:p>
          <w:p>
            <w:pPr>
              <w:keepNext w:val="0"/>
              <w:keepLines w:val="0"/>
              <w:pageBreakBefore w:val="0"/>
              <w:widowControl/>
              <w:numPr>
                <w:ilvl w:val="-1"/>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同一人员拥有多个专业不重复计分。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9752"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43"/>
              <w:widowControl/>
              <w:autoSpaceDE w:val="0"/>
              <w:autoSpaceDN w:val="0"/>
              <w:adjustRightInd/>
              <w:spacing w:line="360" w:lineRule="auto"/>
              <w:ind w:left="108" w:right="238"/>
              <w:jc w:val="both"/>
              <w:textAlignment w:val="auto"/>
              <w:rPr>
                <w:rFonts w:hint="eastAsia" w:ascii="宋体" w:hAnsi="宋体" w:eastAsia="宋体" w:cs="宋体"/>
                <w:color w:val="auto"/>
                <w:sz w:val="24"/>
                <w:szCs w:val="24"/>
                <w:highlight w:val="none"/>
                <w:lang w:val="en-US" w:eastAsia="zh-CN"/>
              </w:rPr>
            </w:pPr>
            <w:r>
              <w:rPr>
                <w:rFonts w:hint="eastAsia" w:cs="宋体"/>
                <w:b/>
                <w:bCs/>
                <w:color w:val="auto"/>
                <w:sz w:val="24"/>
                <w:szCs w:val="24"/>
                <w:highlight w:val="none"/>
                <w:lang w:val="en-US" w:eastAsia="zh-CN"/>
              </w:rPr>
              <w:t>技术部分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1.0</w:t>
            </w:r>
            <w:r>
              <w:rPr>
                <w:rFonts w:hint="eastAsia" w:ascii="宋体" w:hAnsi="宋体" w:cs="宋体"/>
                <w:color w:val="auto"/>
                <w:sz w:val="24"/>
                <w:highlight w:val="none"/>
                <w:lang w:val="en-US" w:eastAsia="zh-CN"/>
              </w:rPr>
              <w:t>5</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lang w:val="en-US"/>
              </w:rPr>
            </w:pPr>
            <w:r>
              <w:rPr>
                <w:rFonts w:hint="eastAsia" w:ascii="宋体" w:hAnsi="宋体" w:cs="宋体"/>
                <w:color w:val="auto"/>
                <w:sz w:val="24"/>
                <w:highlight w:val="none"/>
                <w:lang w:val="en-US" w:eastAsia="zh-CN"/>
              </w:rPr>
              <w:t>工作方案</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.00</w:t>
            </w:r>
          </w:p>
        </w:tc>
        <w:tc>
          <w:tcPr>
            <w:tcW w:w="6469" w:type="dxa"/>
            <w:tcBorders>
              <w:top w:val="single" w:color="000000" w:sz="4" w:space="0"/>
              <w:left w:val="single" w:color="000000" w:sz="4" w:space="0"/>
              <w:bottom w:val="single" w:color="000000" w:sz="4" w:space="0"/>
              <w:right w:val="single" w:color="000000" w:sz="4" w:space="0"/>
            </w:tcBorders>
            <w:noWrap w:val="0"/>
            <w:vAlign w:val="center"/>
          </w:tcPr>
          <w:p>
            <w:pPr>
              <w:pStyle w:val="43"/>
              <w:widowControl/>
              <w:autoSpaceDE w:val="0"/>
              <w:autoSpaceDN w:val="0"/>
              <w:adjustRightInd/>
              <w:spacing w:line="360" w:lineRule="auto"/>
              <w:ind w:left="108" w:right="238"/>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1、工作方案科学合理，有较强的针对性，在深度、高度、合理性、符合性、可行性等方面优于招标要求，切合实际。（10（含）-15分）</w:t>
            </w:r>
          </w:p>
          <w:p>
            <w:pPr>
              <w:pStyle w:val="43"/>
              <w:widowControl/>
              <w:autoSpaceDE w:val="0"/>
              <w:autoSpaceDN w:val="0"/>
              <w:adjustRightInd/>
              <w:spacing w:line="360" w:lineRule="auto"/>
              <w:ind w:left="108" w:right="238"/>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2、工作方案基本合理，有针对性，在深度、高度、合理性、符合性、可行性等方面满足招标要求，较切合实际。（5（含）-10分）</w:t>
            </w:r>
          </w:p>
          <w:p>
            <w:pPr>
              <w:pStyle w:val="43"/>
              <w:widowControl/>
              <w:autoSpaceDE w:val="0"/>
              <w:autoSpaceDN w:val="0"/>
              <w:adjustRightInd/>
              <w:spacing w:line="360" w:lineRule="auto"/>
              <w:ind w:left="108" w:right="238"/>
              <w:jc w:val="both"/>
              <w:textAlignment w:val="auto"/>
              <w:rPr>
                <w:rFonts w:hint="eastAsia"/>
                <w:color w:val="auto"/>
                <w:highlight w:val="none"/>
              </w:rPr>
            </w:pPr>
            <w:r>
              <w:rPr>
                <w:rFonts w:hint="eastAsia" w:ascii="宋体" w:hAnsi="宋体" w:eastAsia="宋体" w:cs="宋体"/>
                <w:color w:val="auto"/>
                <w:sz w:val="24"/>
                <w:szCs w:val="24"/>
                <w:highlight w:val="none"/>
                <w:lang w:eastAsia="zh-CN"/>
              </w:rPr>
              <w:t>3、工作方案要求在深度、高度、合理性、符合性、可行性等方面有欠缺，不太切合实际。（0-5分）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1.06</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360" w:lineRule="auto"/>
              <w:jc w:val="left"/>
              <w:textAlignment w:val="auto"/>
              <w:rPr>
                <w:rFonts w:hint="eastAsia" w:ascii="宋体" w:hAnsi="宋体" w:eastAsia="宋体" w:cs="宋体"/>
                <w:color w:val="auto"/>
                <w:kern w:val="2"/>
                <w:sz w:val="24"/>
                <w:highlight w:val="none"/>
                <w:lang w:val="en-US" w:eastAsia="zh-CN" w:bidi="ar-SA"/>
              </w:rPr>
            </w:pPr>
            <w:r>
              <w:rPr>
                <w:rFonts w:hint="eastAsia" w:ascii="宋体" w:hAnsi="宋体" w:cs="宋体"/>
                <w:color w:val="auto"/>
                <w:sz w:val="24"/>
                <w:highlight w:val="none"/>
                <w:lang w:val="en-US" w:eastAsia="zh-CN"/>
              </w:rPr>
              <w:t>设备保障</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pStyle w:val="43"/>
              <w:keepNext w:val="0"/>
              <w:keepLines w:val="0"/>
              <w:pageBreakBefore w:val="0"/>
              <w:kinsoku/>
              <w:wordWrap/>
              <w:overflowPunct/>
              <w:topLinePunct w:val="0"/>
              <w:bidi w:val="0"/>
              <w:adjustRightInd/>
              <w:snapToGrid/>
              <w:spacing w:before="1" w:line="360" w:lineRule="auto"/>
              <w:jc w:val="both"/>
              <w:textAlignment w:val="auto"/>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sz w:val="24"/>
                <w:szCs w:val="24"/>
                <w:highlight w:val="none"/>
                <w:lang w:val="en-US" w:eastAsia="zh-CN"/>
              </w:rPr>
              <w:t>1</w:t>
            </w:r>
            <w:r>
              <w:rPr>
                <w:rFonts w:hint="eastAsia"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.00</w:t>
            </w:r>
          </w:p>
        </w:tc>
        <w:tc>
          <w:tcPr>
            <w:tcW w:w="6469" w:type="dxa"/>
            <w:tcBorders>
              <w:top w:val="single" w:color="000000" w:sz="4" w:space="0"/>
              <w:left w:val="single" w:color="000000" w:sz="4" w:space="0"/>
              <w:bottom w:val="single" w:color="000000" w:sz="4" w:space="0"/>
              <w:right w:val="single" w:color="000000" w:sz="4" w:space="0"/>
            </w:tcBorders>
            <w:noWrap w:val="0"/>
            <w:vAlign w:val="top"/>
          </w:tcPr>
          <w:p>
            <w:pPr>
              <w:pStyle w:val="43"/>
              <w:keepNext w:val="0"/>
              <w:keepLines w:val="0"/>
              <w:pageBreakBefore w:val="0"/>
              <w:widowControl/>
              <w:kinsoku/>
              <w:wordWrap/>
              <w:overflowPunct/>
              <w:topLinePunct w:val="0"/>
              <w:autoSpaceDE w:val="0"/>
              <w:autoSpaceDN w:val="0"/>
              <w:bidi w:val="0"/>
              <w:adjustRightInd/>
              <w:snapToGrid/>
              <w:spacing w:line="360" w:lineRule="auto"/>
              <w:ind w:left="108" w:leftChars="0" w:right="238" w:rightChars="0"/>
              <w:jc w:val="both"/>
              <w:textAlignment w:val="auto"/>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软硬件设备最先进，能提供最先进、完善的服务，保障成果质量的可靠技术设备，得</w:t>
            </w:r>
            <w:r>
              <w:rPr>
                <w:rFonts w:hint="eastAsia" w:cs="宋体"/>
                <w:color w:val="auto"/>
                <w:kern w:val="2"/>
                <w:sz w:val="24"/>
                <w:szCs w:val="22"/>
                <w:highlight w:val="none"/>
                <w:lang w:val="en-US" w:eastAsia="zh-CN" w:bidi="ar-SA"/>
              </w:rPr>
              <w:t>7（含）</w:t>
            </w:r>
            <w:r>
              <w:rPr>
                <w:rFonts w:hint="eastAsia" w:ascii="宋体" w:hAnsi="宋体" w:eastAsia="宋体" w:cs="宋体"/>
                <w:color w:val="auto"/>
                <w:kern w:val="2"/>
                <w:sz w:val="24"/>
                <w:szCs w:val="22"/>
                <w:highlight w:val="none"/>
                <w:lang w:val="en-US" w:eastAsia="zh-CN" w:bidi="ar-SA"/>
              </w:rPr>
              <w:t>-10分；</w:t>
            </w:r>
          </w:p>
          <w:p>
            <w:pPr>
              <w:pStyle w:val="43"/>
              <w:keepNext w:val="0"/>
              <w:keepLines w:val="0"/>
              <w:pageBreakBefore w:val="0"/>
              <w:widowControl/>
              <w:kinsoku/>
              <w:wordWrap/>
              <w:overflowPunct/>
              <w:topLinePunct w:val="0"/>
              <w:autoSpaceDE w:val="0"/>
              <w:autoSpaceDN w:val="0"/>
              <w:bidi w:val="0"/>
              <w:adjustRightInd/>
              <w:snapToGrid/>
              <w:spacing w:line="360" w:lineRule="auto"/>
              <w:ind w:left="108" w:leftChars="0" w:right="238" w:rightChars="0"/>
              <w:jc w:val="both"/>
              <w:textAlignment w:val="auto"/>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软硬件设备比较先进，能提供比较先进、完善的服务，保障成果质量的可靠技术设备，得</w:t>
            </w:r>
            <w:r>
              <w:rPr>
                <w:rFonts w:hint="eastAsia" w:cs="宋体"/>
                <w:color w:val="auto"/>
                <w:kern w:val="2"/>
                <w:sz w:val="24"/>
                <w:szCs w:val="22"/>
                <w:highlight w:val="none"/>
                <w:lang w:val="en-US" w:eastAsia="zh-CN" w:bidi="ar-SA"/>
              </w:rPr>
              <w:t>3（含）</w:t>
            </w:r>
            <w:r>
              <w:rPr>
                <w:rFonts w:hint="eastAsia" w:ascii="宋体" w:hAnsi="宋体" w:eastAsia="宋体" w:cs="宋体"/>
                <w:color w:val="auto"/>
                <w:kern w:val="2"/>
                <w:sz w:val="24"/>
                <w:szCs w:val="22"/>
                <w:highlight w:val="none"/>
                <w:lang w:val="en-US" w:eastAsia="zh-CN" w:bidi="ar-SA"/>
              </w:rPr>
              <w:t>-7分；</w:t>
            </w:r>
          </w:p>
          <w:p>
            <w:pPr>
              <w:pStyle w:val="43"/>
              <w:keepNext w:val="0"/>
              <w:keepLines w:val="0"/>
              <w:pageBreakBefore w:val="0"/>
              <w:widowControl/>
              <w:kinsoku/>
              <w:wordWrap/>
              <w:overflowPunct/>
              <w:topLinePunct w:val="0"/>
              <w:autoSpaceDE w:val="0"/>
              <w:autoSpaceDN w:val="0"/>
              <w:bidi w:val="0"/>
              <w:adjustRightInd/>
              <w:snapToGrid/>
              <w:spacing w:line="360" w:lineRule="auto"/>
              <w:ind w:left="108" w:leftChars="0" w:right="238" w:rightChars="0"/>
              <w:jc w:val="both"/>
              <w:textAlignment w:val="auto"/>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软硬件设备符合要求，能提供完善的服务，保障成果质量的可靠技术设备，得0-3分</w:t>
            </w:r>
            <w:r>
              <w:rPr>
                <w:rFonts w:hint="eastAsia" w:cs="宋体"/>
                <w:color w:val="auto"/>
                <w:kern w:val="2"/>
                <w:sz w:val="24"/>
                <w:szCs w:val="22"/>
                <w:highlight w:val="none"/>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1.07</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sz w:val="24"/>
                <w:highlight w:val="none"/>
              </w:rPr>
              <w:t>质量</w:t>
            </w:r>
            <w:r>
              <w:rPr>
                <w:rFonts w:hint="eastAsia" w:ascii="宋体" w:hAnsi="宋体" w:cs="宋体"/>
                <w:color w:val="auto"/>
                <w:sz w:val="24"/>
                <w:highlight w:val="none"/>
                <w:lang w:val="en-US" w:eastAsia="zh-CN"/>
              </w:rPr>
              <w:t>控制</w:t>
            </w:r>
            <w:r>
              <w:rPr>
                <w:rFonts w:hint="eastAsia" w:ascii="宋体" w:hAnsi="宋体" w:eastAsia="宋体" w:cs="宋体"/>
                <w:color w:val="auto"/>
                <w:sz w:val="24"/>
                <w:highlight w:val="none"/>
              </w:rPr>
              <w:t>保证措施</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kern w:val="2"/>
                <w:sz w:val="24"/>
                <w:highlight w:val="none"/>
                <w:lang w:val="en-US" w:eastAsia="zh-CN" w:bidi="ar-SA"/>
              </w:rPr>
            </w:pP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rPr>
              <w:t>.00</w:t>
            </w:r>
          </w:p>
        </w:tc>
        <w:tc>
          <w:tcPr>
            <w:tcW w:w="6469"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服务质量保证体系健全，工作程序清晰，安排科学，保证措施有力，有具体的质量违约责任承诺的得</w:t>
            </w:r>
            <w:r>
              <w:rPr>
                <w:rFonts w:hint="eastAsia" w:ascii="宋体" w:hAnsi="宋体" w:cs="宋体"/>
                <w:color w:val="auto"/>
                <w:sz w:val="24"/>
                <w:highlight w:val="none"/>
                <w:lang w:val="en-US" w:eastAsia="zh-CN"/>
              </w:rPr>
              <w:t>7（含）</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rPr>
              <w:t>分；</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服务质量保证体系健全，工作程序清晰，安排基本合理，保证措施较合理，有质量违约责任承诺的得</w:t>
            </w:r>
            <w:r>
              <w:rPr>
                <w:rFonts w:hint="eastAsia" w:ascii="宋体" w:hAnsi="宋体" w:cs="宋体"/>
                <w:color w:val="auto"/>
                <w:sz w:val="24"/>
                <w:highlight w:val="none"/>
                <w:lang w:val="en-US" w:eastAsia="zh-CN"/>
              </w:rPr>
              <w:t>3（含）</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分；</w:t>
            </w:r>
          </w:p>
          <w:p>
            <w:pPr>
              <w:spacing w:line="400" w:lineRule="exact"/>
              <w:rPr>
                <w:rFonts w:hint="eastAsia" w:ascii="宋体" w:hAnsi="宋体" w:eastAsia="宋体" w:cs="宋体"/>
                <w:color w:val="auto"/>
                <w:spacing w:val="0"/>
                <w:kern w:val="0"/>
                <w:sz w:val="24"/>
                <w:highlight w:val="none"/>
                <w:lang w:val="en-US" w:eastAsia="zh-CN" w:bidi="ar-SA"/>
              </w:rPr>
            </w:pPr>
            <w:r>
              <w:rPr>
                <w:rFonts w:hint="eastAsia" w:ascii="宋体" w:hAnsi="宋体" w:eastAsia="宋体" w:cs="宋体"/>
                <w:color w:val="auto"/>
                <w:sz w:val="24"/>
                <w:highlight w:val="none"/>
              </w:rPr>
              <w:t>服务质量保证体系欠缺，工作程序清晰，安排基本合理，保证措施基本合理的得</w:t>
            </w:r>
            <w:r>
              <w:rPr>
                <w:rFonts w:hint="eastAsia" w:ascii="宋体" w:hAnsi="宋体" w:cs="宋体"/>
                <w:color w:val="auto"/>
                <w:sz w:val="24"/>
                <w:highlight w:val="none"/>
                <w:lang w:val="en-US" w:eastAsia="zh-CN"/>
              </w:rPr>
              <w:t>0</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1.08</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sz w:val="24"/>
                <w:highlight w:val="none"/>
              </w:rPr>
              <w:t>实施进度计划及保障措施</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kern w:val="2"/>
                <w:sz w:val="24"/>
                <w:highlight w:val="none"/>
                <w:lang w:val="en-US" w:eastAsia="zh-CN" w:bidi="ar-SA"/>
              </w:rPr>
            </w:pP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.00</w:t>
            </w:r>
          </w:p>
        </w:tc>
        <w:tc>
          <w:tcPr>
            <w:tcW w:w="6469"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实施进度计划明确，保障措施</w:t>
            </w:r>
            <w:r>
              <w:rPr>
                <w:rFonts w:hint="eastAsia" w:ascii="宋体" w:hAnsi="宋体" w:cs="宋体"/>
                <w:color w:val="auto"/>
                <w:sz w:val="24"/>
                <w:highlight w:val="none"/>
                <w:lang w:val="en-US" w:eastAsia="zh-CN"/>
              </w:rPr>
              <w:t>有力</w:t>
            </w:r>
            <w:r>
              <w:rPr>
                <w:rFonts w:hint="eastAsia" w:ascii="宋体" w:hAnsi="宋体" w:eastAsia="宋体" w:cs="宋体"/>
                <w:color w:val="auto"/>
                <w:sz w:val="24"/>
                <w:highlight w:val="none"/>
              </w:rPr>
              <w:t>、科学合理、可行性强</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对不同阶段的工作有周密、细致的计划及控制措施，得</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（含）-</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分；</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实施进度计划</w:t>
            </w:r>
            <w:r>
              <w:rPr>
                <w:rFonts w:hint="eastAsia" w:ascii="宋体" w:hAnsi="宋体" w:cs="宋体"/>
                <w:color w:val="auto"/>
                <w:sz w:val="24"/>
                <w:highlight w:val="none"/>
                <w:lang w:val="en-US" w:eastAsia="zh-CN"/>
              </w:rPr>
              <w:t>较为</w:t>
            </w:r>
            <w:r>
              <w:rPr>
                <w:rFonts w:hint="eastAsia" w:ascii="宋体" w:hAnsi="宋体" w:eastAsia="宋体" w:cs="宋体"/>
                <w:color w:val="auto"/>
                <w:sz w:val="24"/>
                <w:highlight w:val="none"/>
              </w:rPr>
              <w:t>明确，保障措施</w:t>
            </w:r>
            <w:r>
              <w:rPr>
                <w:rFonts w:hint="eastAsia" w:ascii="宋体" w:hAnsi="宋体" w:cs="宋体"/>
                <w:color w:val="auto"/>
                <w:sz w:val="24"/>
                <w:highlight w:val="none"/>
                <w:lang w:val="en-US" w:eastAsia="zh-CN"/>
              </w:rPr>
              <w:t>较为</w:t>
            </w:r>
            <w:r>
              <w:rPr>
                <w:rFonts w:hint="eastAsia" w:ascii="宋体" w:hAnsi="宋体" w:eastAsia="宋体" w:cs="宋体"/>
                <w:color w:val="auto"/>
                <w:sz w:val="24"/>
                <w:highlight w:val="none"/>
              </w:rPr>
              <w:t>完善、</w:t>
            </w:r>
            <w:r>
              <w:rPr>
                <w:rFonts w:hint="eastAsia" w:ascii="宋体" w:hAnsi="宋体" w:cs="宋体"/>
                <w:color w:val="auto"/>
                <w:sz w:val="24"/>
                <w:highlight w:val="none"/>
                <w:lang w:val="en-US" w:eastAsia="zh-CN"/>
              </w:rPr>
              <w:t>具有科学性和</w:t>
            </w:r>
            <w:r>
              <w:rPr>
                <w:rFonts w:hint="eastAsia" w:ascii="宋体" w:hAnsi="宋体" w:eastAsia="宋体" w:cs="宋体"/>
                <w:color w:val="auto"/>
                <w:sz w:val="24"/>
                <w:highlight w:val="none"/>
              </w:rPr>
              <w:t>可行性</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工作有比较周密、细致的计划控制措施，得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（含）-</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分；</w:t>
            </w:r>
          </w:p>
          <w:p>
            <w:pPr>
              <w:spacing w:line="400" w:lineRule="exact"/>
              <w:jc w:val="left"/>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sz w:val="24"/>
                <w:highlight w:val="none"/>
              </w:rPr>
              <w:t>实施进度计划</w:t>
            </w:r>
            <w:r>
              <w:rPr>
                <w:rFonts w:hint="eastAsia" w:ascii="宋体" w:hAnsi="宋体" w:cs="宋体"/>
                <w:color w:val="auto"/>
                <w:sz w:val="24"/>
                <w:highlight w:val="none"/>
                <w:lang w:val="en-US" w:eastAsia="zh-CN"/>
              </w:rPr>
              <w:t>模糊</w:t>
            </w:r>
            <w:r>
              <w:rPr>
                <w:rFonts w:hint="eastAsia" w:ascii="宋体" w:hAnsi="宋体" w:eastAsia="宋体" w:cs="宋体"/>
                <w:color w:val="auto"/>
                <w:sz w:val="24"/>
                <w:highlight w:val="none"/>
              </w:rPr>
              <w:t>，保障措施</w:t>
            </w:r>
            <w:r>
              <w:rPr>
                <w:rFonts w:hint="eastAsia" w:ascii="宋体" w:hAnsi="宋体" w:cs="宋体"/>
                <w:color w:val="auto"/>
                <w:sz w:val="24"/>
                <w:highlight w:val="none"/>
                <w:lang w:val="en-US" w:eastAsia="zh-CN"/>
              </w:rPr>
              <w:t>欠缺</w:t>
            </w:r>
            <w:r>
              <w:rPr>
                <w:rFonts w:hint="eastAsia" w:ascii="宋体" w:hAnsi="宋体" w:eastAsia="宋体" w:cs="宋体"/>
                <w:color w:val="auto"/>
                <w:sz w:val="24"/>
                <w:highlight w:val="none"/>
              </w:rPr>
              <w:t>、科学</w:t>
            </w:r>
            <w:r>
              <w:rPr>
                <w:rFonts w:hint="eastAsia" w:ascii="宋体" w:hAnsi="宋体" w:cs="宋体"/>
                <w:color w:val="auto"/>
                <w:sz w:val="24"/>
                <w:highlight w:val="none"/>
                <w:lang w:val="en-US" w:eastAsia="zh-CN"/>
              </w:rPr>
              <w:t>性</w:t>
            </w:r>
            <w:r>
              <w:rPr>
                <w:rFonts w:hint="eastAsia" w:ascii="宋体" w:hAnsi="宋体" w:eastAsia="宋体" w:cs="宋体"/>
                <w:color w:val="auto"/>
                <w:sz w:val="24"/>
                <w:highlight w:val="none"/>
              </w:rPr>
              <w:t>、可行性</w:t>
            </w:r>
            <w:r>
              <w:rPr>
                <w:rFonts w:hint="eastAsia" w:ascii="宋体" w:hAnsi="宋体" w:cs="宋体"/>
                <w:color w:val="auto"/>
                <w:sz w:val="24"/>
                <w:highlight w:val="none"/>
                <w:lang w:val="en-US" w:eastAsia="zh-CN"/>
              </w:rPr>
              <w:t>较差</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工作组织没有周密、细致的计划及控制措施，得</w:t>
            </w:r>
            <w:r>
              <w:rPr>
                <w:rFonts w:hint="eastAsia" w:ascii="宋体" w:hAnsi="宋体" w:cs="宋体"/>
                <w:color w:val="auto"/>
                <w:sz w:val="24"/>
                <w:highlight w:val="none"/>
                <w:lang w:val="en-US" w:eastAsia="zh-CN"/>
              </w:rPr>
              <w:t>0</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1.0</w:t>
            </w:r>
            <w:r>
              <w:rPr>
                <w:rFonts w:hint="eastAsia" w:ascii="宋体" w:hAnsi="宋体" w:cs="宋体"/>
                <w:color w:val="auto"/>
                <w:sz w:val="24"/>
                <w:highlight w:val="none"/>
                <w:lang w:val="en-US" w:eastAsia="zh-CN"/>
              </w:rPr>
              <w:t>9</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项目</w:t>
            </w:r>
            <w:r>
              <w:rPr>
                <w:rFonts w:hint="eastAsia" w:ascii="宋体" w:hAnsi="宋体" w:eastAsia="宋体" w:cs="宋体"/>
                <w:color w:val="auto"/>
                <w:sz w:val="24"/>
                <w:highlight w:val="none"/>
                <w:lang w:eastAsia="zh-CN"/>
              </w:rPr>
              <w:t>重点难点</w:t>
            </w:r>
            <w:r>
              <w:rPr>
                <w:rFonts w:hint="eastAsia" w:ascii="宋体" w:hAnsi="宋体" w:cs="宋体"/>
                <w:color w:val="auto"/>
                <w:sz w:val="24"/>
                <w:highlight w:val="none"/>
                <w:lang w:val="en-US" w:eastAsia="zh-CN"/>
              </w:rPr>
              <w:t>的理解及突发情况的预见和</w:t>
            </w:r>
            <w:r>
              <w:rPr>
                <w:rFonts w:hint="eastAsia" w:ascii="宋体" w:hAnsi="宋体" w:eastAsia="宋体" w:cs="宋体"/>
                <w:color w:val="auto"/>
                <w:sz w:val="24"/>
                <w:highlight w:val="none"/>
                <w:lang w:eastAsia="zh-CN"/>
              </w:rPr>
              <w:t>解决方案</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.00</w:t>
            </w:r>
          </w:p>
        </w:tc>
        <w:tc>
          <w:tcPr>
            <w:tcW w:w="6469"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对重点难点理解</w:t>
            </w:r>
            <w:r>
              <w:rPr>
                <w:rFonts w:hint="eastAsia" w:ascii="宋体" w:hAnsi="宋体" w:cs="宋体"/>
                <w:color w:val="auto"/>
                <w:sz w:val="24"/>
                <w:highlight w:val="none"/>
                <w:lang w:val="en-US" w:eastAsia="zh-CN"/>
              </w:rPr>
              <w:t>透彻</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对突发情况的预见全面且</w:t>
            </w:r>
            <w:r>
              <w:rPr>
                <w:rFonts w:hint="eastAsia" w:ascii="宋体" w:hAnsi="宋体" w:eastAsia="宋体" w:cs="宋体"/>
                <w:color w:val="auto"/>
                <w:sz w:val="24"/>
                <w:highlight w:val="none"/>
              </w:rPr>
              <w:t>解决方案的可行性</w:t>
            </w:r>
            <w:r>
              <w:rPr>
                <w:rFonts w:hint="eastAsia" w:ascii="宋体" w:hAnsi="宋体" w:cs="宋体"/>
                <w:color w:val="auto"/>
                <w:sz w:val="24"/>
                <w:highlight w:val="none"/>
                <w:lang w:val="en-US" w:eastAsia="zh-CN"/>
              </w:rPr>
              <w:t>强</w:t>
            </w:r>
            <w:r>
              <w:rPr>
                <w:rFonts w:hint="eastAsia" w:ascii="宋体" w:hAnsi="宋体" w:eastAsia="宋体" w:cs="宋体"/>
                <w:color w:val="auto"/>
                <w:sz w:val="24"/>
                <w:highlight w:val="none"/>
              </w:rPr>
              <w:t>得</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（含）-</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分；</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对重点难点</w:t>
            </w:r>
            <w:r>
              <w:rPr>
                <w:rFonts w:hint="eastAsia" w:ascii="宋体" w:hAnsi="宋体" w:cs="宋体"/>
                <w:color w:val="auto"/>
                <w:sz w:val="24"/>
                <w:highlight w:val="none"/>
                <w:lang w:val="en-US" w:eastAsia="zh-CN"/>
              </w:rPr>
              <w:t>稍有</w:t>
            </w:r>
            <w:r>
              <w:rPr>
                <w:rFonts w:hint="eastAsia" w:ascii="宋体" w:hAnsi="宋体" w:eastAsia="宋体" w:cs="宋体"/>
                <w:color w:val="auto"/>
                <w:sz w:val="24"/>
                <w:highlight w:val="none"/>
              </w:rPr>
              <w:t>理解</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对突发情况的预见较为全面且</w:t>
            </w:r>
            <w:r>
              <w:rPr>
                <w:rFonts w:hint="eastAsia" w:ascii="宋体" w:hAnsi="宋体" w:eastAsia="宋体" w:cs="宋体"/>
                <w:color w:val="auto"/>
                <w:sz w:val="24"/>
                <w:highlight w:val="none"/>
              </w:rPr>
              <w:t>解决方案的</w:t>
            </w:r>
            <w:r>
              <w:rPr>
                <w:rFonts w:hint="eastAsia" w:ascii="宋体" w:hAnsi="宋体" w:cs="宋体"/>
                <w:color w:val="auto"/>
                <w:sz w:val="24"/>
                <w:highlight w:val="none"/>
                <w:lang w:val="en-US" w:eastAsia="zh-CN"/>
              </w:rPr>
              <w:t>较为</w:t>
            </w:r>
            <w:r>
              <w:rPr>
                <w:rFonts w:hint="eastAsia" w:ascii="宋体" w:hAnsi="宋体" w:eastAsia="宋体" w:cs="宋体"/>
                <w:color w:val="auto"/>
                <w:sz w:val="24"/>
                <w:highlight w:val="none"/>
              </w:rPr>
              <w:t>可行性得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（含）-</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分；</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对重点难点理解</w:t>
            </w:r>
            <w:r>
              <w:rPr>
                <w:rFonts w:hint="eastAsia" w:ascii="宋体" w:hAnsi="宋体" w:cs="宋体"/>
                <w:color w:val="auto"/>
                <w:sz w:val="24"/>
                <w:highlight w:val="none"/>
                <w:lang w:val="en-US" w:eastAsia="zh-CN"/>
              </w:rPr>
              <w:t>欠缺对突发情况的预见不全面且</w:t>
            </w:r>
            <w:r>
              <w:rPr>
                <w:rFonts w:hint="eastAsia" w:ascii="宋体" w:hAnsi="宋体" w:eastAsia="宋体" w:cs="宋体"/>
                <w:color w:val="auto"/>
                <w:sz w:val="24"/>
                <w:highlight w:val="none"/>
              </w:rPr>
              <w:t>解决方案的可行性</w:t>
            </w:r>
            <w:r>
              <w:rPr>
                <w:rFonts w:hint="eastAsia" w:ascii="宋体" w:hAnsi="宋体" w:cs="宋体"/>
                <w:color w:val="auto"/>
                <w:sz w:val="24"/>
                <w:highlight w:val="none"/>
                <w:lang w:val="en-US" w:eastAsia="zh-CN"/>
              </w:rPr>
              <w:t>差</w:t>
            </w:r>
            <w:r>
              <w:rPr>
                <w:rFonts w:hint="eastAsia" w:ascii="宋体" w:hAnsi="宋体" w:eastAsia="宋体" w:cs="宋体"/>
                <w:color w:val="auto"/>
                <w:sz w:val="24"/>
                <w:highlight w:val="none"/>
              </w:rPr>
              <w:t>得</w:t>
            </w:r>
            <w:r>
              <w:rPr>
                <w:rFonts w:hint="eastAsia" w:ascii="宋体" w:hAnsi="宋体" w:cs="宋体"/>
                <w:color w:val="auto"/>
                <w:sz w:val="24"/>
                <w:highlight w:val="none"/>
                <w:lang w:val="en-US" w:eastAsia="zh-CN"/>
              </w:rPr>
              <w:t>0</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分</w:t>
            </w:r>
            <w:r>
              <w:rPr>
                <w:rFonts w:hint="eastAsia" w:ascii="宋体" w:hAnsi="宋体" w:cs="宋体"/>
                <w:color w:val="auto"/>
                <w:sz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10</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资料、信息及管理方案</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4.00</w:t>
            </w:r>
          </w:p>
        </w:tc>
        <w:tc>
          <w:tcPr>
            <w:tcW w:w="6469"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资料、信息管理方案内容完善、科学合理、可行性强</w:t>
            </w:r>
            <w:r>
              <w:rPr>
                <w:rFonts w:hint="eastAsia" w:ascii="宋体" w:hAnsi="宋体" w:cs="宋体"/>
                <w:color w:val="auto"/>
                <w:sz w:val="24"/>
                <w:highlight w:val="none"/>
                <w:lang w:val="en-US" w:eastAsia="zh-CN"/>
              </w:rPr>
              <w:t>的得2（含）-4分</w:t>
            </w:r>
            <w:r>
              <w:rPr>
                <w:rFonts w:hint="eastAsia" w:ascii="宋体" w:hAnsi="宋体" w:eastAsia="宋体" w:cs="宋体"/>
                <w:color w:val="auto"/>
                <w:sz w:val="24"/>
                <w:highlight w:val="none"/>
              </w:rPr>
              <w:t>；</w:t>
            </w:r>
          </w:p>
          <w:p>
            <w:pPr>
              <w:spacing w:line="400" w:lineRule="exact"/>
              <w:jc w:val="left"/>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rPr>
              <w:t>资料、信息管理方案满足项目需求，可行性一般</w:t>
            </w:r>
            <w:r>
              <w:rPr>
                <w:rFonts w:hint="eastAsia" w:ascii="宋体" w:hAnsi="宋体" w:cs="宋体"/>
                <w:color w:val="auto"/>
                <w:sz w:val="24"/>
                <w:highlight w:val="none"/>
                <w:lang w:val="en-US" w:eastAsia="zh-CN"/>
              </w:rPr>
              <w:t>的得1（含）-2分；</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资料、信息管理方案</w:t>
            </w:r>
            <w:r>
              <w:rPr>
                <w:rFonts w:hint="eastAsia" w:ascii="宋体" w:hAnsi="宋体" w:cs="宋体"/>
                <w:color w:val="auto"/>
                <w:sz w:val="24"/>
                <w:highlight w:val="none"/>
                <w:lang w:val="en-US" w:eastAsia="zh-CN"/>
              </w:rPr>
              <w:t>未</w:t>
            </w:r>
            <w:r>
              <w:rPr>
                <w:rFonts w:hint="eastAsia" w:ascii="宋体" w:hAnsi="宋体" w:eastAsia="宋体" w:cs="宋体"/>
                <w:color w:val="auto"/>
                <w:sz w:val="24"/>
                <w:highlight w:val="none"/>
              </w:rPr>
              <w:t>满足项目需求，可行性</w:t>
            </w:r>
            <w:r>
              <w:rPr>
                <w:rFonts w:hint="eastAsia" w:ascii="宋体" w:hAnsi="宋体" w:cs="宋体"/>
                <w:color w:val="auto"/>
                <w:sz w:val="24"/>
                <w:highlight w:val="none"/>
                <w:lang w:val="en-US" w:eastAsia="zh-CN"/>
              </w:rPr>
              <w:t>差的得0-1分</w:t>
            </w:r>
            <w:r>
              <w:rPr>
                <w:rFonts w:hint="eastAsia" w:ascii="宋体" w:hAnsi="宋体" w:eastAsia="宋体" w:cs="宋体"/>
                <w:color w:val="auto"/>
                <w:sz w:val="24"/>
                <w:highlight w:val="none"/>
              </w:rPr>
              <w:t>。</w:t>
            </w:r>
          </w:p>
        </w:tc>
      </w:tr>
    </w:tbl>
    <w:p>
      <w:pPr>
        <w:adjustRightInd w:val="0"/>
        <w:snapToGrid w:val="0"/>
        <w:spacing w:line="360" w:lineRule="auto"/>
        <w:rPr>
          <w:rFonts w:hint="eastAsia" w:ascii="宋体" w:hAnsi="宋体" w:cs="宋体"/>
          <w:color w:val="auto"/>
          <w:sz w:val="24"/>
          <w:szCs w:val="21"/>
          <w:highlight w:val="none"/>
        </w:rPr>
      </w:pPr>
      <w:r>
        <w:rPr>
          <w:rFonts w:hint="eastAsia" w:ascii="宋体" w:hAnsi="宋体" w:cs="宋体"/>
          <w:color w:val="auto"/>
          <w:sz w:val="24"/>
          <w:szCs w:val="21"/>
          <w:highlight w:val="none"/>
        </w:rPr>
        <w:t xml:space="preserve"> 说明：</w:t>
      </w:r>
    </w:p>
    <w:p>
      <w:pPr>
        <w:spacing w:after="120" w:line="360" w:lineRule="auto"/>
        <w:ind w:firstLine="600" w:firstLineChars="250"/>
        <w:rPr>
          <w:rFonts w:hint="eastAsia" w:ascii="宋体" w:hAnsi="宋体" w:cs="宋体"/>
          <w:color w:val="auto"/>
          <w:sz w:val="24"/>
          <w:szCs w:val="21"/>
          <w:highlight w:val="none"/>
        </w:rPr>
      </w:pPr>
      <w:r>
        <w:rPr>
          <w:rFonts w:hint="eastAsia" w:ascii="宋体" w:hAnsi="宋体" w:cs="宋体"/>
          <w:color w:val="auto"/>
          <w:sz w:val="24"/>
          <w:szCs w:val="21"/>
          <w:highlight w:val="none"/>
        </w:rPr>
        <w:t>1、公式中的投标报价及其个数是指通过评标委员会初步评审的有效投标人投标报价及其个数。</w:t>
      </w:r>
    </w:p>
    <w:p>
      <w:pPr>
        <w:spacing w:after="120" w:line="360" w:lineRule="auto"/>
        <w:ind w:firstLine="600" w:firstLineChars="250"/>
        <w:rPr>
          <w:rFonts w:hint="eastAsia" w:ascii="宋体" w:hAnsi="宋体" w:cs="宋体"/>
          <w:color w:val="auto"/>
          <w:sz w:val="24"/>
          <w:szCs w:val="28"/>
          <w:highlight w:val="none"/>
        </w:rPr>
      </w:pPr>
      <w:r>
        <w:rPr>
          <w:rFonts w:hint="eastAsia" w:ascii="宋体" w:hAnsi="宋体" w:cs="宋体"/>
          <w:color w:val="auto"/>
          <w:sz w:val="24"/>
          <w:szCs w:val="21"/>
          <w:highlight w:val="none"/>
        </w:rPr>
        <w:t>2、</w:t>
      </w:r>
      <w:r>
        <w:rPr>
          <w:rFonts w:hint="eastAsia" w:ascii="宋体" w:hAnsi="宋体" w:cs="宋体"/>
          <w:color w:val="auto"/>
          <w:spacing w:val="12"/>
          <w:sz w:val="24"/>
          <w:szCs w:val="24"/>
          <w:highlight w:val="none"/>
        </w:rPr>
        <w:t>本项目采用综合评分法评标，不保证最低报价中标。</w:t>
      </w:r>
    </w:p>
    <w:p>
      <w:pPr>
        <w:spacing w:line="360" w:lineRule="auto"/>
        <w:rPr>
          <w:rFonts w:hint="eastAsia" w:ascii="宋体" w:hAnsi="宋体" w:cs="宋体"/>
          <w:color w:val="auto"/>
          <w:highlight w:val="none"/>
        </w:rPr>
      </w:pPr>
    </w:p>
    <w:bookmarkEnd w:id="263"/>
    <w:sectPr>
      <w:headerReference r:id="rId16" w:type="default"/>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Helvetica">
    <w:panose1 w:val="020B0504020202030204"/>
    <w:charset w:val="00"/>
    <w:family w:val="auto"/>
    <w:pitch w:val="default"/>
    <w:sig w:usb0="00000007" w:usb1="00000000" w:usb2="00000000" w:usb3="00000000" w:csb0="00000093" w:csb1="00000000"/>
  </w:font>
  <w:font w:name="sans-serif">
    <w:altName w:val="Segoe Print"/>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24"/>
      </w:rPr>
    </w:pPr>
    <w:r>
      <w:fldChar w:fldCharType="begin"/>
    </w:r>
    <w:r>
      <w:instrText xml:space="preserve"> PAGE </w:instrText>
    </w:r>
    <w:r>
      <w:fldChar w:fldCharType="separate"/>
    </w:r>
    <w:r>
      <w:t>1</w:t>
    </w:r>
    <w:r>
      <w:fldChar w:fldCharType="end"/>
    </w:r>
    <w:r>
      <w:rPr>
        <w:lang w:val="zh-CN"/>
      </w:rPr>
      <w:t xml:space="preserve"> / </w:t>
    </w:r>
    <w:r>
      <w:fldChar w:fldCharType="begin"/>
    </w:r>
    <w:r>
      <w:instrText xml:space="preserve"> NUMPAGES  </w:instrText>
    </w:r>
    <w:r>
      <w:fldChar w:fldCharType="separate"/>
    </w:r>
    <w:r>
      <w:t>53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24"/>
      </w:rPr>
    </w:pPr>
    <w:r>
      <w:fldChar w:fldCharType="begin"/>
    </w:r>
    <w:r>
      <w:instrText xml:space="preserve"> PAGE </w:instrText>
    </w:r>
    <w:r>
      <w:fldChar w:fldCharType="separate"/>
    </w:r>
    <w:r>
      <w:t>23</w:t>
    </w:r>
    <w:r>
      <w:fldChar w:fldCharType="end"/>
    </w:r>
    <w:r>
      <w:rPr>
        <w:lang w:val="zh-CN"/>
      </w:rPr>
      <w:t xml:space="preserve"> / </w:t>
    </w:r>
    <w:r>
      <w:fldChar w:fldCharType="begin"/>
    </w:r>
    <w:r>
      <w:instrText xml:space="preserve"> NUMPAGES  </w:instrText>
    </w:r>
    <w:r>
      <w:fldChar w:fldCharType="separate"/>
    </w:r>
    <w:r>
      <w:t>53</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sz w:val="21"/>
        <w:szCs w:val="21"/>
      </w:rPr>
    </w:pPr>
    <w:r>
      <w:rPr>
        <w:rFonts w:ascii="Times New Roman" w:hAnsi="Times New Roman" w:eastAsia="宋体" w:cs="Times New Roman"/>
        <w:kern w:val="2"/>
        <w:sz w:val="21"/>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17"/>
                            <w:pBdr>
                              <w:top w:val="none" w:color="auto" w:sz="0" w:space="1"/>
                            </w:pBdr>
                            <w:rPr>
                              <w:sz w:val="21"/>
                            </w:rPr>
                          </w:pPr>
                          <w:r>
                            <w:rPr>
                              <w:rFonts w:hint="eastAsia"/>
                              <w:sz w:val="21"/>
                            </w:rPr>
                            <w:t xml:space="preserve">- </w:t>
                          </w:r>
                          <w:r>
                            <w:rPr>
                              <w:rFonts w:hint="eastAsia"/>
                              <w:sz w:val="21"/>
                            </w:rPr>
                            <w:fldChar w:fldCharType="begin"/>
                          </w:r>
                          <w:r>
                            <w:rPr>
                              <w:rFonts w:hint="eastAsia"/>
                              <w:sz w:val="21"/>
                            </w:rPr>
                            <w:instrText xml:space="preserve"> PAGE  \* MERGEFORMAT </w:instrText>
                          </w:r>
                          <w:r>
                            <w:rPr>
                              <w:rFonts w:hint="eastAsia"/>
                              <w:sz w:val="21"/>
                            </w:rPr>
                            <w:fldChar w:fldCharType="separate"/>
                          </w:r>
                          <w:r>
                            <w:rPr>
                              <w:sz w:val="21"/>
                            </w:rPr>
                            <w:t>193</w:t>
                          </w:r>
                          <w:r>
                            <w:rPr>
                              <w:rFonts w:hint="eastAsia"/>
                              <w:sz w:val="21"/>
                            </w:rPr>
                            <w:fldChar w:fldCharType="end"/>
                          </w:r>
                          <w:r>
                            <w:rPr>
                              <w:rFonts w:hint="eastAsia"/>
                              <w:sz w:val="21"/>
                            </w:rPr>
                            <w:t xml:space="preserve"> -</w:t>
                          </w:r>
                        </w:p>
                      </w:txbxContent>
                    </wps:txbx>
                    <wps:bodyPr wrap="none" lIns="0" tIns="0" rIns="0" bIns="0" upright="0">
                      <a:spAutoFit/>
                    </wps:bodyPr>
                  </wps:wsp>
                </a:graphicData>
              </a:graphic>
            </wp:anchor>
          </w:drawing>
        </mc:Choice>
        <mc:Fallback>
          <w:pict>
            <v:rect id="文本框 2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KiZcefEAQAAkAMAAA4AAAAAAAAAAQAgAAAAHwEAAGRycy9lMm9Eb2MueG1s&#10;UEsFBgAAAAAGAAYAWQEAAFUFAAAAAA==&#10;">
              <v:fill on="f" focussize="0,0"/>
              <v:stroke on="f"/>
              <v:imagedata o:title=""/>
              <o:lock v:ext="edit" aspectratio="f"/>
              <v:textbox inset="0mm,0mm,0mm,0mm" style="mso-fit-shape-to-text:t;">
                <w:txbxContent>
                  <w:p>
                    <w:pPr>
                      <w:pStyle w:val="17"/>
                      <w:pBdr>
                        <w:top w:val="none" w:color="auto" w:sz="0" w:space="1"/>
                      </w:pBdr>
                      <w:rPr>
                        <w:sz w:val="21"/>
                      </w:rPr>
                    </w:pPr>
                    <w:r>
                      <w:rPr>
                        <w:rFonts w:hint="eastAsia"/>
                        <w:sz w:val="21"/>
                      </w:rPr>
                      <w:t xml:space="preserve">- </w:t>
                    </w:r>
                    <w:r>
                      <w:rPr>
                        <w:rFonts w:hint="eastAsia"/>
                        <w:sz w:val="21"/>
                      </w:rPr>
                      <w:fldChar w:fldCharType="begin"/>
                    </w:r>
                    <w:r>
                      <w:rPr>
                        <w:rFonts w:hint="eastAsia"/>
                        <w:sz w:val="21"/>
                      </w:rPr>
                      <w:instrText xml:space="preserve"> PAGE  \* MERGEFORMAT </w:instrText>
                    </w:r>
                    <w:r>
                      <w:rPr>
                        <w:rFonts w:hint="eastAsia"/>
                        <w:sz w:val="21"/>
                      </w:rPr>
                      <w:fldChar w:fldCharType="separate"/>
                    </w:r>
                    <w:r>
                      <w:rPr>
                        <w:sz w:val="21"/>
                      </w:rPr>
                      <w:t>193</w:t>
                    </w:r>
                    <w:r>
                      <w:rPr>
                        <w:rFonts w:hint="eastAsia"/>
                        <w:sz w:val="21"/>
                      </w:rPr>
                      <w:fldChar w:fldCharType="end"/>
                    </w:r>
                    <w:r>
                      <w:rPr>
                        <w:rFonts w:hint="eastAsia"/>
                        <w:sz w:val="21"/>
                      </w:rPr>
                      <w:t xml:space="preserve"> -</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thickThinSmallGap" w:color="auto" w:sz="24" w:space="1"/>
      </w:pBdr>
      <w:jc w:val="both"/>
      <w:rPr>
        <w:sz w:val="21"/>
        <w:szCs w:val="21"/>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thickThinSmallGap" w:color="auto" w:sz="24" w:space="1"/>
      </w:pBdr>
      <w:jc w:val="both"/>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thickThinSmallGap" w:color="auto" w:sz="24" w:space="1"/>
      </w:pBd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thickThinSmallGap" w:color="auto" w:sz="24" w:space="1"/>
      </w:pBdr>
      <w:tabs>
        <w:tab w:val="left" w:pos="0"/>
        <w:tab w:val="right" w:pos="9639"/>
        <w:tab w:val="clear" w:pos="8306"/>
      </w:tabs>
      <w:jc w:val="both"/>
      <w:rPr>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thickThinSmallGap" w:color="auto" w:sz="24" w:space="1"/>
      </w:pBdr>
      <w:tabs>
        <w:tab w:val="left" w:pos="0"/>
        <w:tab w:val="right" w:pos="9639"/>
        <w:tab w:val="clear" w:pos="8306"/>
      </w:tabs>
      <w:jc w:val="both"/>
      <w:rPr>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thickThinSmallGap" w:color="auto" w:sz="24" w:space="1"/>
      </w:pBdr>
      <w:tabs>
        <w:tab w:val="left" w:pos="0"/>
        <w:tab w:val="right" w:pos="9639"/>
        <w:tab w:val="clear" w:pos="8306"/>
      </w:tabs>
      <w:jc w:val="both"/>
      <w:rPr>
        <w:sz w:val="21"/>
        <w:szCs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thickThinSmallGap" w:color="auto" w:sz="24" w:space="1"/>
      </w:pBdr>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thickThinSmallGap" w:color="auto" w:sz="24" w:space="1"/>
      </w:pBdr>
      <w:jc w:val="both"/>
      <w:rPr>
        <w:sz w:val="21"/>
        <w:szCs w:val="21"/>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thickThinSmallGap" w:color="auto" w:sz="24" w:space="1"/>
      </w:pBdr>
      <w:jc w:val="both"/>
      <w:rPr>
        <w:sz w:val="21"/>
        <w:szCs w:val="21"/>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thickThinSmallGap" w:color="auto" w:sz="24" w:space="1"/>
      </w:pBdr>
      <w:jc w:val="both"/>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998B42"/>
    <w:multiLevelType w:val="singleLevel"/>
    <w:tmpl w:val="88998B42"/>
    <w:lvl w:ilvl="0" w:tentative="0">
      <w:start w:val="1"/>
      <w:numFmt w:val="decimal"/>
      <w:lvlText w:val="%1."/>
      <w:lvlJc w:val="left"/>
      <w:pPr>
        <w:tabs>
          <w:tab w:val="left" w:pos="312"/>
        </w:tabs>
      </w:pPr>
    </w:lvl>
  </w:abstractNum>
  <w:abstractNum w:abstractNumId="1">
    <w:nsid w:val="00000008"/>
    <w:multiLevelType w:val="multilevel"/>
    <w:tmpl w:val="00000008"/>
    <w:lvl w:ilvl="0" w:tentative="0">
      <w:start w:val="1"/>
      <w:numFmt w:val="decimal"/>
      <w:lvlText w:val="%1．"/>
      <w:lvlJc w:val="left"/>
      <w:pPr>
        <w:tabs>
          <w:tab w:val="left" w:pos="780"/>
        </w:tabs>
        <w:ind w:left="780" w:hanging="360"/>
      </w:pPr>
      <w:rPr>
        <w:rFonts w:hint="default"/>
        <w:color w:val="auto"/>
      </w:rPr>
    </w:lvl>
    <w:lvl w:ilvl="1" w:tentative="0">
      <w:start w:val="1"/>
      <w:numFmt w:val="decimal"/>
      <w:lvlText w:val="（%2）"/>
      <w:lvlJc w:val="left"/>
      <w:pPr>
        <w:tabs>
          <w:tab w:val="left" w:pos="1560"/>
        </w:tabs>
        <w:ind w:left="1560" w:hanging="720"/>
      </w:pPr>
      <w:rPr>
        <w:rFonts w:hint="default"/>
      </w:rPr>
    </w:lvl>
    <w:lvl w:ilvl="2" w:tentative="0">
      <w:start w:val="1"/>
      <w:numFmt w:val="decimalEnclosedCircle"/>
      <w:lvlText w:val="%3"/>
      <w:lvlJc w:val="left"/>
      <w:pPr>
        <w:tabs>
          <w:tab w:val="left" w:pos="1620"/>
        </w:tabs>
        <w:ind w:left="1620" w:hanging="360"/>
      </w:pPr>
      <w:rPr>
        <w:rFonts w:hint="default"/>
        <w:u w:val="none"/>
      </w:r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0000010"/>
    <w:multiLevelType w:val="multilevel"/>
    <w:tmpl w:val="00000010"/>
    <w:lvl w:ilvl="0" w:tentative="0">
      <w:start w:val="1"/>
      <w:numFmt w:val="decimal"/>
      <w:lvlText w:val="%1、"/>
      <w:lvlJc w:val="left"/>
      <w:pPr>
        <w:ind w:left="1050" w:hanging="42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3">
    <w:nsid w:val="00000019"/>
    <w:multiLevelType w:val="multilevel"/>
    <w:tmpl w:val="00000019"/>
    <w:lvl w:ilvl="0" w:tentative="0">
      <w:start w:val="1"/>
      <w:numFmt w:val="bullet"/>
      <w:lvlText w:val=""/>
      <w:lvlJc w:val="left"/>
      <w:pPr>
        <w:tabs>
          <w:tab w:val="left" w:pos="735"/>
        </w:tabs>
        <w:ind w:left="735" w:hanging="420"/>
      </w:pPr>
      <w:rPr>
        <w:rFonts w:hint="default" w:ascii="Wingdings" w:hAnsi="Wingdings"/>
      </w:rPr>
    </w:lvl>
    <w:lvl w:ilvl="1" w:tentative="0">
      <w:start w:val="1"/>
      <w:numFmt w:val="bullet"/>
      <w:pStyle w:val="35"/>
      <w:lvlText w:val=""/>
      <w:lvlJc w:val="left"/>
      <w:pPr>
        <w:tabs>
          <w:tab w:val="left" w:pos="1155"/>
        </w:tabs>
        <w:ind w:left="1155" w:hanging="420"/>
      </w:pPr>
      <w:rPr>
        <w:rFonts w:hint="default" w:ascii="Wingdings" w:hAnsi="Wingdings"/>
      </w:rPr>
    </w:lvl>
    <w:lvl w:ilvl="2" w:tentative="0">
      <w:start w:val="1"/>
      <w:numFmt w:val="bullet"/>
      <w:lvlText w:val=""/>
      <w:lvlJc w:val="left"/>
      <w:pPr>
        <w:tabs>
          <w:tab w:val="left" w:pos="1575"/>
        </w:tabs>
        <w:ind w:left="1575" w:hanging="420"/>
      </w:pPr>
      <w:rPr>
        <w:rFonts w:hint="default" w:ascii="Wingdings" w:hAnsi="Wingdings"/>
      </w:rPr>
    </w:lvl>
    <w:lvl w:ilvl="3" w:tentative="0">
      <w:start w:val="1"/>
      <w:numFmt w:val="bullet"/>
      <w:lvlText w:val=""/>
      <w:lvlJc w:val="left"/>
      <w:pPr>
        <w:tabs>
          <w:tab w:val="left" w:pos="1995"/>
        </w:tabs>
        <w:ind w:left="1995" w:hanging="420"/>
      </w:pPr>
      <w:rPr>
        <w:rFonts w:hint="default" w:ascii="Wingdings" w:hAnsi="Wingdings"/>
      </w:rPr>
    </w:lvl>
    <w:lvl w:ilvl="4" w:tentative="0">
      <w:start w:val="1"/>
      <w:numFmt w:val="bullet"/>
      <w:lvlText w:val=""/>
      <w:lvlJc w:val="left"/>
      <w:pPr>
        <w:tabs>
          <w:tab w:val="left" w:pos="2415"/>
        </w:tabs>
        <w:ind w:left="2415" w:hanging="420"/>
      </w:pPr>
      <w:rPr>
        <w:rFonts w:hint="default" w:ascii="Wingdings" w:hAnsi="Wingdings"/>
      </w:rPr>
    </w:lvl>
    <w:lvl w:ilvl="5" w:tentative="0">
      <w:start w:val="1"/>
      <w:numFmt w:val="bullet"/>
      <w:lvlText w:val=""/>
      <w:lvlJc w:val="left"/>
      <w:pPr>
        <w:tabs>
          <w:tab w:val="left" w:pos="2835"/>
        </w:tabs>
        <w:ind w:left="2835" w:hanging="420"/>
      </w:pPr>
      <w:rPr>
        <w:rFonts w:hint="default" w:ascii="Wingdings" w:hAnsi="Wingdings"/>
      </w:rPr>
    </w:lvl>
    <w:lvl w:ilvl="6" w:tentative="0">
      <w:start w:val="1"/>
      <w:numFmt w:val="bullet"/>
      <w:lvlText w:val=""/>
      <w:lvlJc w:val="left"/>
      <w:pPr>
        <w:tabs>
          <w:tab w:val="left" w:pos="3255"/>
        </w:tabs>
        <w:ind w:left="3255" w:hanging="420"/>
      </w:pPr>
      <w:rPr>
        <w:rFonts w:hint="default" w:ascii="Wingdings" w:hAnsi="Wingdings"/>
      </w:rPr>
    </w:lvl>
    <w:lvl w:ilvl="7" w:tentative="0">
      <w:start w:val="1"/>
      <w:numFmt w:val="bullet"/>
      <w:lvlText w:val=""/>
      <w:lvlJc w:val="left"/>
      <w:pPr>
        <w:tabs>
          <w:tab w:val="left" w:pos="3675"/>
        </w:tabs>
        <w:ind w:left="3675" w:hanging="420"/>
      </w:pPr>
      <w:rPr>
        <w:rFonts w:hint="default" w:ascii="Wingdings" w:hAnsi="Wingdings"/>
      </w:rPr>
    </w:lvl>
    <w:lvl w:ilvl="8" w:tentative="0">
      <w:start w:val="1"/>
      <w:numFmt w:val="bullet"/>
      <w:lvlText w:val=""/>
      <w:lvlJc w:val="left"/>
      <w:pPr>
        <w:tabs>
          <w:tab w:val="left" w:pos="4095"/>
        </w:tabs>
        <w:ind w:left="4095" w:hanging="420"/>
      </w:pPr>
      <w:rPr>
        <w:rFonts w:hint="default" w:ascii="Wingdings" w:hAnsi="Wingdings"/>
      </w:rPr>
    </w:lvl>
  </w:abstractNum>
  <w:abstractNum w:abstractNumId="4">
    <w:nsid w:val="00000020"/>
    <w:multiLevelType w:val="multilevel"/>
    <w:tmpl w:val="00000020"/>
    <w:lvl w:ilvl="0" w:tentative="0">
      <w:start w:val="1"/>
      <w:numFmt w:val="japaneseCounting"/>
      <w:lvlText w:val="%1、"/>
      <w:lvlJc w:val="left"/>
      <w:pPr>
        <w:ind w:left="1361" w:hanging="510"/>
      </w:pPr>
      <w:rPr>
        <w:rFonts w:hint="default"/>
        <w:b/>
        <w:lang w:val="en-US"/>
      </w:rPr>
    </w:lvl>
    <w:lvl w:ilvl="1" w:tentative="0">
      <w:start w:val="1"/>
      <w:numFmt w:val="lowerLetter"/>
      <w:lvlText w:val="%2)"/>
      <w:lvlJc w:val="left"/>
      <w:pPr>
        <w:ind w:left="1310" w:hanging="420"/>
      </w:pPr>
    </w:lvl>
    <w:lvl w:ilvl="2" w:tentative="0">
      <w:start w:val="1"/>
      <w:numFmt w:val="lowerRoman"/>
      <w:lvlText w:val="%3."/>
      <w:lvlJc w:val="right"/>
      <w:pPr>
        <w:ind w:left="1730" w:hanging="420"/>
      </w:pPr>
    </w:lvl>
    <w:lvl w:ilvl="3" w:tentative="0">
      <w:start w:val="1"/>
      <w:numFmt w:val="decimal"/>
      <w:lvlText w:val="%4."/>
      <w:lvlJc w:val="left"/>
      <w:pPr>
        <w:ind w:left="2150" w:hanging="420"/>
      </w:pPr>
    </w:lvl>
    <w:lvl w:ilvl="4" w:tentative="0">
      <w:start w:val="1"/>
      <w:numFmt w:val="lowerLetter"/>
      <w:lvlText w:val="%5)"/>
      <w:lvlJc w:val="left"/>
      <w:pPr>
        <w:ind w:left="2570" w:hanging="420"/>
      </w:pPr>
    </w:lvl>
    <w:lvl w:ilvl="5" w:tentative="0">
      <w:start w:val="1"/>
      <w:numFmt w:val="lowerRoman"/>
      <w:lvlText w:val="%6."/>
      <w:lvlJc w:val="right"/>
      <w:pPr>
        <w:ind w:left="2990" w:hanging="420"/>
      </w:pPr>
    </w:lvl>
    <w:lvl w:ilvl="6" w:tentative="0">
      <w:start w:val="1"/>
      <w:numFmt w:val="decimal"/>
      <w:lvlText w:val="%7."/>
      <w:lvlJc w:val="left"/>
      <w:pPr>
        <w:ind w:left="3410" w:hanging="420"/>
      </w:pPr>
    </w:lvl>
    <w:lvl w:ilvl="7" w:tentative="0">
      <w:start w:val="1"/>
      <w:numFmt w:val="lowerLetter"/>
      <w:lvlText w:val="%8)"/>
      <w:lvlJc w:val="left"/>
      <w:pPr>
        <w:ind w:left="3830" w:hanging="420"/>
      </w:pPr>
    </w:lvl>
    <w:lvl w:ilvl="8" w:tentative="0">
      <w:start w:val="1"/>
      <w:numFmt w:val="lowerRoman"/>
      <w:lvlText w:val="%9."/>
      <w:lvlJc w:val="right"/>
      <w:pPr>
        <w:ind w:left="4250" w:hanging="420"/>
      </w:pPr>
    </w:lvl>
  </w:abstractNum>
  <w:abstractNum w:abstractNumId="5">
    <w:nsid w:val="0000002A"/>
    <w:multiLevelType w:val="multilevel"/>
    <w:tmpl w:val="0000002A"/>
    <w:lvl w:ilvl="0" w:tentative="0">
      <w:start w:val="1"/>
      <w:numFmt w:val="japaneseCounting"/>
      <w:lvlText w:val="第%1章"/>
      <w:lvlJc w:val="left"/>
      <w:pPr>
        <w:tabs>
          <w:tab w:val="left" w:pos="1215"/>
        </w:tabs>
        <w:ind w:left="1215" w:hanging="121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2D"/>
    <w:multiLevelType w:val="multilevel"/>
    <w:tmpl w:val="0000002D"/>
    <w:lvl w:ilvl="0" w:tentative="0">
      <w:start w:val="5"/>
      <w:numFmt w:val="decimal"/>
      <w:lvlText w:val="%1、"/>
      <w:lvlJc w:val="left"/>
      <w:pPr>
        <w:ind w:left="390" w:hanging="3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31"/>
    <w:multiLevelType w:val="multilevel"/>
    <w:tmpl w:val="00000031"/>
    <w:lvl w:ilvl="0" w:tentative="0">
      <w:start w:val="1"/>
      <w:numFmt w:val="chineseCountingThousand"/>
      <w:lvlText w:val="第%1条"/>
      <w:lvlJc w:val="left"/>
      <w:pPr>
        <w:tabs>
          <w:tab w:val="left" w:pos="1828"/>
        </w:tabs>
        <w:ind w:left="2242" w:hanging="9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6FE5E1F"/>
    <w:multiLevelType w:val="multilevel"/>
    <w:tmpl w:val="06FE5E1F"/>
    <w:lvl w:ilvl="0" w:tentative="0">
      <w:start w:val="1"/>
      <w:numFmt w:val="decimal"/>
      <w:lvlText w:val="%1."/>
      <w:lvlJc w:val="left"/>
      <w:pPr>
        <w:ind w:left="630" w:hanging="420"/>
      </w:pPr>
      <w:rPr>
        <w:b w:val="0"/>
        <w:color w:val="auto"/>
      </w:rPr>
    </w:lvl>
    <w:lvl w:ilvl="1" w:tentative="0">
      <w:start w:val="1"/>
      <w:numFmt w:val="lowerLetter"/>
      <w:lvlText w:val="%2)"/>
      <w:lvlJc w:val="left"/>
      <w:pPr>
        <w:ind w:left="1020" w:hanging="420"/>
      </w:pPr>
    </w:lvl>
    <w:lvl w:ilvl="2" w:tentative="0">
      <w:start w:val="1"/>
      <w:numFmt w:val="lowerRoman"/>
      <w:lvlText w:val="%3."/>
      <w:lvlJc w:val="right"/>
      <w:pPr>
        <w:ind w:left="1440" w:hanging="420"/>
      </w:pPr>
    </w:lvl>
    <w:lvl w:ilvl="3" w:tentative="0">
      <w:start w:val="1"/>
      <w:numFmt w:val="decimal"/>
      <w:lvlText w:val="%4."/>
      <w:lvlJc w:val="left"/>
      <w:pPr>
        <w:ind w:left="1860" w:hanging="420"/>
      </w:pPr>
    </w:lvl>
    <w:lvl w:ilvl="4" w:tentative="0">
      <w:start w:val="1"/>
      <w:numFmt w:val="lowerLetter"/>
      <w:lvlText w:val="%5)"/>
      <w:lvlJc w:val="left"/>
      <w:pPr>
        <w:ind w:left="2280" w:hanging="420"/>
      </w:pPr>
    </w:lvl>
    <w:lvl w:ilvl="5" w:tentative="0">
      <w:start w:val="1"/>
      <w:numFmt w:val="lowerRoman"/>
      <w:lvlText w:val="%6."/>
      <w:lvlJc w:val="right"/>
      <w:pPr>
        <w:ind w:left="2700" w:hanging="420"/>
      </w:pPr>
    </w:lvl>
    <w:lvl w:ilvl="6" w:tentative="0">
      <w:start w:val="1"/>
      <w:numFmt w:val="decimal"/>
      <w:lvlText w:val="%7."/>
      <w:lvlJc w:val="left"/>
      <w:pPr>
        <w:ind w:left="3120" w:hanging="420"/>
      </w:pPr>
    </w:lvl>
    <w:lvl w:ilvl="7" w:tentative="0">
      <w:start w:val="1"/>
      <w:numFmt w:val="lowerLetter"/>
      <w:lvlText w:val="%8)"/>
      <w:lvlJc w:val="left"/>
      <w:pPr>
        <w:ind w:left="3540" w:hanging="420"/>
      </w:pPr>
    </w:lvl>
    <w:lvl w:ilvl="8" w:tentative="0">
      <w:start w:val="1"/>
      <w:numFmt w:val="lowerRoman"/>
      <w:lvlText w:val="%9."/>
      <w:lvlJc w:val="right"/>
      <w:pPr>
        <w:ind w:left="3960" w:hanging="420"/>
      </w:pPr>
    </w:lvl>
  </w:abstractNum>
  <w:abstractNum w:abstractNumId="9">
    <w:nsid w:val="1CBB62B9"/>
    <w:multiLevelType w:val="multilevel"/>
    <w:tmpl w:val="1CBB62B9"/>
    <w:lvl w:ilvl="0" w:tentative="0">
      <w:start w:val="1"/>
      <w:numFmt w:val="decimal"/>
      <w:lvlText w:val="4.%1"/>
      <w:lvlJc w:val="left"/>
      <w:pPr>
        <w:ind w:left="782" w:hanging="420"/>
      </w:pPr>
      <w:rPr>
        <w:rFonts w:hint="eastAsia"/>
      </w:rPr>
    </w:lvl>
    <w:lvl w:ilvl="1" w:tentative="0">
      <w:start w:val="1"/>
      <w:numFmt w:val="lowerLetter"/>
      <w:lvlText w:val="%2)"/>
      <w:lvlJc w:val="left"/>
      <w:pPr>
        <w:ind w:left="1202" w:hanging="420"/>
      </w:pPr>
    </w:lvl>
    <w:lvl w:ilvl="2" w:tentative="0">
      <w:start w:val="1"/>
      <w:numFmt w:val="lowerRoman"/>
      <w:lvlText w:val="%3."/>
      <w:lvlJc w:val="right"/>
      <w:pPr>
        <w:ind w:left="1622" w:hanging="420"/>
      </w:pPr>
    </w:lvl>
    <w:lvl w:ilvl="3" w:tentative="0">
      <w:start w:val="1"/>
      <w:numFmt w:val="decimal"/>
      <w:lvlText w:val="%4."/>
      <w:lvlJc w:val="left"/>
      <w:pPr>
        <w:ind w:left="2042" w:hanging="420"/>
      </w:pPr>
    </w:lvl>
    <w:lvl w:ilvl="4" w:tentative="0">
      <w:start w:val="1"/>
      <w:numFmt w:val="lowerLetter"/>
      <w:lvlText w:val="%5)"/>
      <w:lvlJc w:val="left"/>
      <w:pPr>
        <w:ind w:left="2462" w:hanging="420"/>
      </w:pPr>
    </w:lvl>
    <w:lvl w:ilvl="5" w:tentative="0">
      <w:start w:val="1"/>
      <w:numFmt w:val="lowerRoman"/>
      <w:lvlText w:val="%6."/>
      <w:lvlJc w:val="right"/>
      <w:pPr>
        <w:ind w:left="2882" w:hanging="420"/>
      </w:pPr>
    </w:lvl>
    <w:lvl w:ilvl="6" w:tentative="0">
      <w:start w:val="1"/>
      <w:numFmt w:val="decimal"/>
      <w:lvlText w:val="%7."/>
      <w:lvlJc w:val="left"/>
      <w:pPr>
        <w:ind w:left="3302" w:hanging="420"/>
      </w:pPr>
    </w:lvl>
    <w:lvl w:ilvl="7" w:tentative="0">
      <w:start w:val="1"/>
      <w:numFmt w:val="lowerLetter"/>
      <w:lvlText w:val="%8)"/>
      <w:lvlJc w:val="left"/>
      <w:pPr>
        <w:ind w:left="3722" w:hanging="420"/>
      </w:pPr>
    </w:lvl>
    <w:lvl w:ilvl="8" w:tentative="0">
      <w:start w:val="1"/>
      <w:numFmt w:val="lowerRoman"/>
      <w:lvlText w:val="%9."/>
      <w:lvlJc w:val="right"/>
      <w:pPr>
        <w:ind w:left="4142" w:hanging="420"/>
      </w:pPr>
    </w:lvl>
  </w:abstractNum>
  <w:abstractNum w:abstractNumId="10">
    <w:nsid w:val="218347B7"/>
    <w:multiLevelType w:val="multilevel"/>
    <w:tmpl w:val="218347B7"/>
    <w:lvl w:ilvl="0" w:tentative="0">
      <w:start w:val="2"/>
      <w:numFmt w:val="decimal"/>
      <w:lvlText w:val="%1、"/>
      <w:lvlJc w:val="left"/>
      <w:pPr>
        <w:ind w:left="390" w:hanging="3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E7A8AC4"/>
    <w:multiLevelType w:val="singleLevel"/>
    <w:tmpl w:val="2E7A8AC4"/>
    <w:lvl w:ilvl="0" w:tentative="0">
      <w:start w:val="1"/>
      <w:numFmt w:val="decimal"/>
      <w:suff w:val="nothing"/>
      <w:lvlText w:val="（%1）"/>
      <w:lvlJc w:val="left"/>
    </w:lvl>
  </w:abstractNum>
  <w:abstractNum w:abstractNumId="12">
    <w:nsid w:val="56BFCA2C"/>
    <w:multiLevelType w:val="singleLevel"/>
    <w:tmpl w:val="56BFCA2C"/>
    <w:lvl w:ilvl="0" w:tentative="0">
      <w:start w:val="3"/>
      <w:numFmt w:val="chineseCounting"/>
      <w:suff w:val="nothing"/>
      <w:lvlText w:val="%1、"/>
      <w:lvlJc w:val="left"/>
      <w:rPr>
        <w:rFonts w:hint="eastAsia"/>
      </w:rPr>
    </w:lvl>
  </w:abstractNum>
  <w:abstractNum w:abstractNumId="13">
    <w:nsid w:val="5E0716B7"/>
    <w:multiLevelType w:val="singleLevel"/>
    <w:tmpl w:val="5E0716B7"/>
    <w:lvl w:ilvl="0" w:tentative="0">
      <w:start w:val="1"/>
      <w:numFmt w:val="decimal"/>
      <w:lvlText w:val="%1."/>
      <w:lvlJc w:val="left"/>
      <w:pPr>
        <w:tabs>
          <w:tab w:val="left" w:pos="312"/>
        </w:tabs>
      </w:pPr>
    </w:lvl>
  </w:abstractNum>
  <w:num w:numId="1">
    <w:abstractNumId w:val="3"/>
  </w:num>
  <w:num w:numId="2">
    <w:abstractNumId w:val="5"/>
  </w:num>
  <w:num w:numId="3">
    <w:abstractNumId w:val="4"/>
  </w:num>
  <w:num w:numId="4">
    <w:abstractNumId w:val="1"/>
  </w:num>
  <w:num w:numId="5">
    <w:abstractNumId w:val="8"/>
  </w:num>
  <w:num w:numId="6">
    <w:abstractNumId w:val="0"/>
  </w:num>
  <w:num w:numId="7">
    <w:abstractNumId w:val="10"/>
  </w:num>
  <w:num w:numId="8">
    <w:abstractNumId w:val="9"/>
  </w:num>
  <w:num w:numId="9">
    <w:abstractNumId w:val="6"/>
  </w:num>
  <w:num w:numId="10">
    <w:abstractNumId w:val="11"/>
  </w:num>
  <w:num w:numId="11">
    <w:abstractNumId w:val="7"/>
  </w:num>
  <w:num w:numId="12">
    <w:abstractNumId w:val="2"/>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drawingGridVerticalSpacing w:val="156"/>
  <w:displayHorizontalDrawingGridEvery w:val="1"/>
  <w:displayVerticalDrawingGridEvery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wZGQyNGE5ODk2MWU1ZmE0MjAxNjIxNjcxZTI4NDgifQ=="/>
  </w:docVars>
  <w:rsids>
    <w:rsidRoot w:val="00AE64D3"/>
    <w:rsid w:val="000A683D"/>
    <w:rsid w:val="0012212C"/>
    <w:rsid w:val="001670DD"/>
    <w:rsid w:val="002875FC"/>
    <w:rsid w:val="002F7026"/>
    <w:rsid w:val="00365C60"/>
    <w:rsid w:val="00442C41"/>
    <w:rsid w:val="004435F9"/>
    <w:rsid w:val="00540125"/>
    <w:rsid w:val="00584E5C"/>
    <w:rsid w:val="005935A7"/>
    <w:rsid w:val="005D60D2"/>
    <w:rsid w:val="00691F84"/>
    <w:rsid w:val="00896CEB"/>
    <w:rsid w:val="008D69E5"/>
    <w:rsid w:val="009301EB"/>
    <w:rsid w:val="009567B4"/>
    <w:rsid w:val="009909F0"/>
    <w:rsid w:val="009C7B49"/>
    <w:rsid w:val="00A56316"/>
    <w:rsid w:val="00A86CAA"/>
    <w:rsid w:val="00AE64D3"/>
    <w:rsid w:val="00BF3F94"/>
    <w:rsid w:val="00BF4D4A"/>
    <w:rsid w:val="00BF642F"/>
    <w:rsid w:val="00C51D6D"/>
    <w:rsid w:val="00CA4C04"/>
    <w:rsid w:val="00CB59C6"/>
    <w:rsid w:val="00DB370D"/>
    <w:rsid w:val="00E70475"/>
    <w:rsid w:val="00F606B4"/>
    <w:rsid w:val="00FC6A79"/>
    <w:rsid w:val="00FF550D"/>
    <w:rsid w:val="02E06CBF"/>
    <w:rsid w:val="03635063"/>
    <w:rsid w:val="037656C3"/>
    <w:rsid w:val="0387309A"/>
    <w:rsid w:val="047B14FB"/>
    <w:rsid w:val="048B1228"/>
    <w:rsid w:val="04F33787"/>
    <w:rsid w:val="05C24FBA"/>
    <w:rsid w:val="06171DB1"/>
    <w:rsid w:val="06A03E0E"/>
    <w:rsid w:val="09652EA6"/>
    <w:rsid w:val="096864F2"/>
    <w:rsid w:val="09F744F6"/>
    <w:rsid w:val="0A4147F6"/>
    <w:rsid w:val="0A61086D"/>
    <w:rsid w:val="0A8C7FBE"/>
    <w:rsid w:val="0B6A70A6"/>
    <w:rsid w:val="0B8E5FB8"/>
    <w:rsid w:val="0C766B55"/>
    <w:rsid w:val="0EF17189"/>
    <w:rsid w:val="0F150531"/>
    <w:rsid w:val="0F9943B8"/>
    <w:rsid w:val="10895214"/>
    <w:rsid w:val="123516E6"/>
    <w:rsid w:val="139D323C"/>
    <w:rsid w:val="13C50D8E"/>
    <w:rsid w:val="1402050F"/>
    <w:rsid w:val="142A6840"/>
    <w:rsid w:val="14791775"/>
    <w:rsid w:val="151825EE"/>
    <w:rsid w:val="15215703"/>
    <w:rsid w:val="167E55A7"/>
    <w:rsid w:val="175651FE"/>
    <w:rsid w:val="17671A41"/>
    <w:rsid w:val="179D622A"/>
    <w:rsid w:val="17EA71B3"/>
    <w:rsid w:val="1871072D"/>
    <w:rsid w:val="18890DA1"/>
    <w:rsid w:val="19863534"/>
    <w:rsid w:val="19E323B6"/>
    <w:rsid w:val="19E57F4B"/>
    <w:rsid w:val="19EE6FFC"/>
    <w:rsid w:val="19F06974"/>
    <w:rsid w:val="1B8B526B"/>
    <w:rsid w:val="1B8F067A"/>
    <w:rsid w:val="1BCB3937"/>
    <w:rsid w:val="1D28626C"/>
    <w:rsid w:val="1D37200B"/>
    <w:rsid w:val="1E1670E3"/>
    <w:rsid w:val="1E4A1F7E"/>
    <w:rsid w:val="1E531AEB"/>
    <w:rsid w:val="201B39D1"/>
    <w:rsid w:val="21397E89"/>
    <w:rsid w:val="214D058A"/>
    <w:rsid w:val="22121FE4"/>
    <w:rsid w:val="227C5A5D"/>
    <w:rsid w:val="22D01030"/>
    <w:rsid w:val="24F01543"/>
    <w:rsid w:val="25ED2C6C"/>
    <w:rsid w:val="25EE7927"/>
    <w:rsid w:val="263C4B36"/>
    <w:rsid w:val="26BE19EF"/>
    <w:rsid w:val="26C25326"/>
    <w:rsid w:val="2768144C"/>
    <w:rsid w:val="28C465A7"/>
    <w:rsid w:val="29AF21AA"/>
    <w:rsid w:val="29F85218"/>
    <w:rsid w:val="2A985A21"/>
    <w:rsid w:val="2B76574D"/>
    <w:rsid w:val="2B8E2E5B"/>
    <w:rsid w:val="2BD33389"/>
    <w:rsid w:val="2C0131B2"/>
    <w:rsid w:val="2C973124"/>
    <w:rsid w:val="2CFF6C99"/>
    <w:rsid w:val="2D207911"/>
    <w:rsid w:val="2E684089"/>
    <w:rsid w:val="2E81625F"/>
    <w:rsid w:val="2F6221B2"/>
    <w:rsid w:val="313604A2"/>
    <w:rsid w:val="317B2342"/>
    <w:rsid w:val="32CC7B3D"/>
    <w:rsid w:val="33237E79"/>
    <w:rsid w:val="33727DEA"/>
    <w:rsid w:val="341254D8"/>
    <w:rsid w:val="34C85E7D"/>
    <w:rsid w:val="34D4037C"/>
    <w:rsid w:val="3557388E"/>
    <w:rsid w:val="365D0382"/>
    <w:rsid w:val="37070849"/>
    <w:rsid w:val="38BD11FB"/>
    <w:rsid w:val="396C7089"/>
    <w:rsid w:val="398372C4"/>
    <w:rsid w:val="3A866893"/>
    <w:rsid w:val="3AFD62E1"/>
    <w:rsid w:val="3DF023C2"/>
    <w:rsid w:val="3E216C76"/>
    <w:rsid w:val="3EB017C6"/>
    <w:rsid w:val="3F8949F7"/>
    <w:rsid w:val="41087697"/>
    <w:rsid w:val="425C1958"/>
    <w:rsid w:val="429B4FBF"/>
    <w:rsid w:val="42F20076"/>
    <w:rsid w:val="431C44AA"/>
    <w:rsid w:val="441D16AC"/>
    <w:rsid w:val="44AC6E9D"/>
    <w:rsid w:val="44E973C4"/>
    <w:rsid w:val="45267D82"/>
    <w:rsid w:val="45344EFF"/>
    <w:rsid w:val="455C2DF1"/>
    <w:rsid w:val="46B75DE7"/>
    <w:rsid w:val="475950F1"/>
    <w:rsid w:val="47BC5ED4"/>
    <w:rsid w:val="481E59F2"/>
    <w:rsid w:val="48682AEA"/>
    <w:rsid w:val="48B06F92"/>
    <w:rsid w:val="48C32B5A"/>
    <w:rsid w:val="48D9088B"/>
    <w:rsid w:val="497D7EF4"/>
    <w:rsid w:val="4A0F6993"/>
    <w:rsid w:val="4A127D5B"/>
    <w:rsid w:val="4A985226"/>
    <w:rsid w:val="4A996C84"/>
    <w:rsid w:val="4C0A4B19"/>
    <w:rsid w:val="4D5325E2"/>
    <w:rsid w:val="4D954C96"/>
    <w:rsid w:val="4DB92D74"/>
    <w:rsid w:val="4E31544E"/>
    <w:rsid w:val="4E7F4223"/>
    <w:rsid w:val="4E931CF5"/>
    <w:rsid w:val="4F4628B7"/>
    <w:rsid w:val="4F5D3E1E"/>
    <w:rsid w:val="4F6E3BE4"/>
    <w:rsid w:val="4FCD667C"/>
    <w:rsid w:val="51FE5AB3"/>
    <w:rsid w:val="545215E6"/>
    <w:rsid w:val="54E104D3"/>
    <w:rsid w:val="55050666"/>
    <w:rsid w:val="561035FF"/>
    <w:rsid w:val="56965D53"/>
    <w:rsid w:val="579B7A19"/>
    <w:rsid w:val="586839F3"/>
    <w:rsid w:val="59EC76FE"/>
    <w:rsid w:val="5A2B1909"/>
    <w:rsid w:val="5A3B0FD1"/>
    <w:rsid w:val="5A7C4202"/>
    <w:rsid w:val="5ACB7ABF"/>
    <w:rsid w:val="5C3D6E73"/>
    <w:rsid w:val="5C780953"/>
    <w:rsid w:val="5CFA723A"/>
    <w:rsid w:val="5DA5457B"/>
    <w:rsid w:val="5E744166"/>
    <w:rsid w:val="5F5F4E16"/>
    <w:rsid w:val="61DA69D6"/>
    <w:rsid w:val="61DC34F5"/>
    <w:rsid w:val="632A1786"/>
    <w:rsid w:val="63B51422"/>
    <w:rsid w:val="64C00108"/>
    <w:rsid w:val="64E26FB9"/>
    <w:rsid w:val="65165F77"/>
    <w:rsid w:val="65F6176D"/>
    <w:rsid w:val="65FC516D"/>
    <w:rsid w:val="663F0739"/>
    <w:rsid w:val="66EB68F2"/>
    <w:rsid w:val="674E19F8"/>
    <w:rsid w:val="682B1E55"/>
    <w:rsid w:val="68A00192"/>
    <w:rsid w:val="699D27C3"/>
    <w:rsid w:val="69D27390"/>
    <w:rsid w:val="6A323A09"/>
    <w:rsid w:val="6A7A6FA8"/>
    <w:rsid w:val="6AAE1B03"/>
    <w:rsid w:val="6AAE2254"/>
    <w:rsid w:val="6B0654F6"/>
    <w:rsid w:val="6BB41110"/>
    <w:rsid w:val="6BEB1F0C"/>
    <w:rsid w:val="6CBA368C"/>
    <w:rsid w:val="6CD307EA"/>
    <w:rsid w:val="6D33746F"/>
    <w:rsid w:val="6D48691C"/>
    <w:rsid w:val="6D5B79DA"/>
    <w:rsid w:val="6E5F17B5"/>
    <w:rsid w:val="703025E3"/>
    <w:rsid w:val="70C64A43"/>
    <w:rsid w:val="72423AB7"/>
    <w:rsid w:val="7355707C"/>
    <w:rsid w:val="73B8461C"/>
    <w:rsid w:val="73BD788D"/>
    <w:rsid w:val="74267A63"/>
    <w:rsid w:val="74352082"/>
    <w:rsid w:val="7460720F"/>
    <w:rsid w:val="75377F70"/>
    <w:rsid w:val="756C39EA"/>
    <w:rsid w:val="76404B70"/>
    <w:rsid w:val="769259CF"/>
    <w:rsid w:val="76A37DBA"/>
    <w:rsid w:val="77B96FB2"/>
    <w:rsid w:val="788A1F6E"/>
    <w:rsid w:val="78CF2108"/>
    <w:rsid w:val="79E86EFD"/>
    <w:rsid w:val="7B4F0A86"/>
    <w:rsid w:val="7B964DA8"/>
    <w:rsid w:val="7BB07DA1"/>
    <w:rsid w:val="7C634BC2"/>
    <w:rsid w:val="7C766A67"/>
    <w:rsid w:val="7C81239A"/>
    <w:rsid w:val="7CA55B4F"/>
    <w:rsid w:val="7D5671AF"/>
    <w:rsid w:val="7DCF3D34"/>
    <w:rsid w:val="7E0155BF"/>
    <w:rsid w:val="7EE47566"/>
    <w:rsid w:val="7F01514B"/>
    <w:rsid w:val="7F6B382F"/>
    <w:rsid w:val="7F857B2A"/>
    <w:rsid w:val="7FF33BA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uiPriority="0" w:name="heading 6"/>
    <w:lsdException w:uiPriority="0" w:name="heading 7"/>
    <w:lsdException w:uiPriority="0" w:name="heading 8"/>
    <w:lsdException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qFormat/>
    <w:uiPriority w:val="0"/>
    <w:pPr>
      <w:keepNext/>
      <w:keepLines/>
      <w:spacing w:line="576" w:lineRule="auto"/>
      <w:outlineLvl w:val="0"/>
    </w:pPr>
    <w:rPr>
      <w:b/>
      <w:bCs/>
      <w:kern w:val="44"/>
      <w:sz w:val="44"/>
      <w:szCs w:val="44"/>
    </w:rPr>
  </w:style>
  <w:style w:type="paragraph" w:styleId="3">
    <w:name w:val="heading 2"/>
    <w:basedOn w:val="1"/>
    <w:next w:val="1"/>
    <w:unhideWhenUsed/>
    <w:qFormat/>
    <w:uiPriority w:val="0"/>
    <w:pPr>
      <w:keepNext/>
      <w:keepLines/>
      <w:spacing w:line="413" w:lineRule="auto"/>
      <w:outlineLvl w:val="1"/>
    </w:pPr>
    <w:rPr>
      <w:rFonts w:ascii="Arial" w:hAnsi="Arial" w:eastAsia="黑体"/>
      <w:b/>
      <w:bCs/>
      <w:sz w:val="32"/>
      <w:szCs w:val="32"/>
    </w:rPr>
  </w:style>
  <w:style w:type="paragraph" w:styleId="4">
    <w:name w:val="heading 3"/>
    <w:basedOn w:val="1"/>
    <w:autoRedefine/>
    <w:unhideWhenUsed/>
    <w:qFormat/>
    <w:uiPriority w:val="0"/>
    <w:pPr>
      <w:keepNext/>
      <w:keepLines/>
      <w:spacing w:line="413" w:lineRule="auto"/>
      <w:outlineLvl w:val="2"/>
    </w:pPr>
    <w:rPr>
      <w:b/>
      <w:bCs/>
      <w:sz w:val="32"/>
      <w:szCs w:val="32"/>
    </w:rPr>
  </w:style>
  <w:style w:type="paragraph" w:styleId="5">
    <w:name w:val="heading 4"/>
    <w:basedOn w:val="1"/>
    <w:autoRedefine/>
    <w:unhideWhenUsed/>
    <w:qFormat/>
    <w:uiPriority w:val="0"/>
    <w:pPr>
      <w:keepNext/>
      <w:keepLines/>
      <w:widowControl/>
      <w:spacing w:line="360" w:lineRule="auto"/>
      <w:jc w:val="center"/>
      <w:outlineLvl w:val="3"/>
    </w:pPr>
    <w:rPr>
      <w:rFonts w:ascii="Arial" w:hAnsi="Arial" w:eastAsia="黑体"/>
      <w:kern w:val="0"/>
      <w:sz w:val="28"/>
    </w:rPr>
  </w:style>
  <w:style w:type="paragraph" w:styleId="6">
    <w:name w:val="heading 5"/>
    <w:basedOn w:val="1"/>
    <w:unhideWhenUsed/>
    <w:qFormat/>
    <w:uiPriority w:val="0"/>
    <w:pPr>
      <w:keepNext/>
      <w:keepLines/>
      <w:widowControl/>
      <w:spacing w:line="360" w:lineRule="auto"/>
      <w:ind w:firstLine="499"/>
      <w:jc w:val="left"/>
      <w:outlineLvl w:val="4"/>
    </w:pPr>
    <w:rPr>
      <w:rFonts w:ascii="宋体" w:hAnsi="宋体"/>
      <w:b/>
      <w:kern w:val="0"/>
      <w:sz w:val="24"/>
    </w:rPr>
  </w:style>
  <w:style w:type="character" w:default="1" w:styleId="28">
    <w:name w:val="Default Paragraph Font"/>
    <w:unhideWhenUsed/>
    <w:uiPriority w:val="1"/>
  </w:style>
  <w:style w:type="table" w:default="1" w:styleId="26">
    <w:name w:val="Normal Table"/>
    <w:autoRedefine/>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jc w:val="center"/>
    </w:pPr>
    <w:rPr>
      <w:szCs w:val="21"/>
    </w:rPr>
  </w:style>
  <w:style w:type="paragraph" w:styleId="8">
    <w:name w:val="caption"/>
    <w:basedOn w:val="1"/>
    <w:autoRedefine/>
    <w:unhideWhenUsed/>
    <w:qFormat/>
    <w:uiPriority w:val="0"/>
    <w:pPr>
      <w:spacing w:line="480" w:lineRule="auto"/>
    </w:pPr>
    <w:rPr>
      <w:rFonts w:ascii="华文中宋" w:hAnsi="华文中宋" w:eastAsia="华文中宋"/>
      <w:sz w:val="36"/>
    </w:rPr>
  </w:style>
  <w:style w:type="paragraph" w:styleId="9">
    <w:name w:val="annotation text"/>
    <w:basedOn w:val="1"/>
    <w:link w:val="50"/>
    <w:qFormat/>
    <w:uiPriority w:val="0"/>
    <w:pPr>
      <w:jc w:val="left"/>
    </w:pPr>
  </w:style>
  <w:style w:type="paragraph" w:styleId="10">
    <w:name w:val="Body Text"/>
    <w:basedOn w:val="1"/>
    <w:qFormat/>
    <w:uiPriority w:val="0"/>
    <w:pPr>
      <w:spacing w:line="360" w:lineRule="auto"/>
    </w:pPr>
    <w:rPr>
      <w:spacing w:val="10"/>
      <w:sz w:val="28"/>
    </w:rPr>
  </w:style>
  <w:style w:type="paragraph" w:styleId="11">
    <w:name w:val="Body Text Indent"/>
    <w:basedOn w:val="1"/>
    <w:qFormat/>
    <w:uiPriority w:val="99"/>
    <w:pPr>
      <w:autoSpaceDE w:val="0"/>
      <w:autoSpaceDN w:val="0"/>
      <w:adjustRightInd w:val="0"/>
      <w:spacing w:line="312" w:lineRule="auto"/>
      <w:ind w:firstLine="680"/>
    </w:pPr>
    <w:rPr>
      <w:rFonts w:ascii="宋体"/>
      <w:spacing w:val="6"/>
      <w:kern w:val="0"/>
      <w:sz w:val="28"/>
    </w:rPr>
  </w:style>
  <w:style w:type="paragraph" w:styleId="12">
    <w:name w:val="toc 3"/>
    <w:basedOn w:val="1"/>
    <w:autoRedefine/>
    <w:qFormat/>
    <w:uiPriority w:val="39"/>
    <w:pPr>
      <w:tabs>
        <w:tab w:val="right" w:leader="dot" w:pos="9628"/>
      </w:tabs>
      <w:ind w:left="567" w:leftChars="270"/>
    </w:pPr>
  </w:style>
  <w:style w:type="paragraph" w:styleId="13">
    <w:name w:val="Plain Text"/>
    <w:basedOn w:val="1"/>
    <w:autoRedefine/>
    <w:qFormat/>
    <w:uiPriority w:val="0"/>
    <w:rPr>
      <w:rFonts w:ascii="宋体" w:hAnsi="Courier New" w:cs="Courier New"/>
      <w:szCs w:val="21"/>
    </w:rPr>
  </w:style>
  <w:style w:type="paragraph" w:styleId="14">
    <w:name w:val="Date"/>
    <w:basedOn w:val="1"/>
    <w:autoRedefine/>
    <w:qFormat/>
    <w:uiPriority w:val="0"/>
  </w:style>
  <w:style w:type="paragraph" w:styleId="15">
    <w:name w:val="Body Text Indent 2"/>
    <w:basedOn w:val="1"/>
    <w:autoRedefine/>
    <w:qFormat/>
    <w:uiPriority w:val="0"/>
    <w:pPr>
      <w:widowControl/>
      <w:overflowPunct w:val="0"/>
      <w:autoSpaceDE w:val="0"/>
      <w:autoSpaceDN w:val="0"/>
      <w:adjustRightInd w:val="0"/>
      <w:spacing w:line="360" w:lineRule="auto"/>
      <w:ind w:firstLine="555"/>
    </w:pPr>
    <w:rPr>
      <w:rFonts w:ascii="宋体" w:hAnsi="MS Sans Serif"/>
      <w:spacing w:val="12"/>
      <w:kern w:val="0"/>
      <w:sz w:val="24"/>
    </w:rPr>
  </w:style>
  <w:style w:type="paragraph" w:styleId="16">
    <w:name w:val="Balloon Text"/>
    <w:basedOn w:val="1"/>
    <w:link w:val="48"/>
    <w:autoRedefine/>
    <w:qFormat/>
    <w:uiPriority w:val="0"/>
    <w:rPr>
      <w:sz w:val="18"/>
      <w:szCs w:val="18"/>
    </w:rPr>
  </w:style>
  <w:style w:type="paragraph" w:styleId="17">
    <w:name w:val="footer"/>
    <w:basedOn w:val="1"/>
    <w:link w:val="49"/>
    <w:autoRedefine/>
    <w:qFormat/>
    <w:uiPriority w:val="0"/>
    <w:pPr>
      <w:tabs>
        <w:tab w:val="center" w:pos="4153"/>
        <w:tab w:val="right" w:pos="8306"/>
      </w:tabs>
      <w:snapToGrid w:val="0"/>
      <w:jc w:val="left"/>
    </w:pPr>
    <w:rPr>
      <w:sz w:val="18"/>
      <w:szCs w:val="18"/>
    </w:rPr>
  </w:style>
  <w:style w:type="paragraph" w:styleId="1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qFormat/>
    <w:uiPriority w:val="39"/>
  </w:style>
  <w:style w:type="paragraph" w:styleId="20">
    <w:name w:val="Body Text Indent 3"/>
    <w:basedOn w:val="1"/>
    <w:autoRedefine/>
    <w:qFormat/>
    <w:uiPriority w:val="0"/>
    <w:pPr>
      <w:widowControl/>
      <w:overflowPunct w:val="0"/>
      <w:autoSpaceDE w:val="0"/>
      <w:autoSpaceDN w:val="0"/>
      <w:adjustRightInd w:val="0"/>
      <w:spacing w:line="360" w:lineRule="auto"/>
      <w:ind w:firstLine="540"/>
    </w:pPr>
    <w:rPr>
      <w:rFonts w:ascii="宋体" w:hAnsi="MS Sans Serif"/>
      <w:color w:val="000000"/>
      <w:kern w:val="0"/>
      <w:sz w:val="24"/>
    </w:rPr>
  </w:style>
  <w:style w:type="paragraph" w:styleId="21">
    <w:name w:val="toc 2"/>
    <w:basedOn w:val="22"/>
    <w:next w:val="22"/>
    <w:autoRedefine/>
    <w:qFormat/>
    <w:uiPriority w:val="0"/>
    <w:pPr>
      <w:ind w:left="420" w:leftChars="200"/>
    </w:pPr>
  </w:style>
  <w:style w:type="paragraph" w:customStyle="1" w:styleId="22">
    <w:name w:val="Normal_0"/>
    <w:next w:val="21"/>
    <w:autoRedefine/>
    <w:qFormat/>
    <w:uiPriority w:val="0"/>
    <w:rPr>
      <w:rFonts w:ascii="Times New Roman" w:hAnsi="Times New Roman" w:eastAsia="宋体" w:cs="Times New Roman"/>
      <w:sz w:val="24"/>
      <w:szCs w:val="24"/>
      <w:lang w:val="en-US" w:eastAsia="zh-CN" w:bidi="ar-SA"/>
    </w:rPr>
  </w:style>
  <w:style w:type="paragraph" w:styleId="23">
    <w:name w:val="Normal (Web)"/>
    <w:basedOn w:val="1"/>
    <w:autoRedefine/>
    <w:qFormat/>
    <w:uiPriority w:val="0"/>
    <w:rPr>
      <w:sz w:val="24"/>
      <w:szCs w:val="24"/>
    </w:rPr>
  </w:style>
  <w:style w:type="paragraph" w:styleId="24">
    <w:name w:val="annotation subject"/>
    <w:basedOn w:val="9"/>
    <w:link w:val="51"/>
    <w:autoRedefine/>
    <w:qFormat/>
    <w:uiPriority w:val="0"/>
    <w:rPr>
      <w:b/>
      <w:bCs/>
    </w:rPr>
  </w:style>
  <w:style w:type="paragraph" w:styleId="25">
    <w:name w:val="Body Text First Indent 2"/>
    <w:basedOn w:val="11"/>
    <w:autoRedefine/>
    <w:qFormat/>
    <w:uiPriority w:val="99"/>
    <w:pPr>
      <w:spacing w:after="120" w:line="360" w:lineRule="atLeast"/>
      <w:ind w:left="420" w:firstLine="210"/>
      <w:jc w:val="left"/>
    </w:pPr>
    <w:rPr>
      <w:rFonts w:ascii="Times New Roman"/>
      <w:spacing w:val="0"/>
      <w:sz w:val="24"/>
    </w:rPr>
  </w:style>
  <w:style w:type="table" w:styleId="27">
    <w:name w:val="Table Grid"/>
    <w:basedOn w:val="2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page number"/>
    <w:autoRedefine/>
    <w:unhideWhenUsed/>
    <w:qFormat/>
    <w:uiPriority w:val="0"/>
    <w:rPr>
      <w:rFonts w:cs="Times New Roman"/>
    </w:rPr>
  </w:style>
  <w:style w:type="character" w:styleId="30">
    <w:name w:val="Hyperlink"/>
    <w:autoRedefine/>
    <w:qFormat/>
    <w:uiPriority w:val="99"/>
    <w:rPr>
      <w:rFonts w:ascii="Times New Roman" w:hAnsi="Times New Roman" w:eastAsia="宋体" w:cs="Times New Roman"/>
      <w:color w:val="0000FF"/>
      <w:u w:val="single"/>
    </w:rPr>
  </w:style>
  <w:style w:type="character" w:styleId="31">
    <w:name w:val="annotation reference"/>
    <w:basedOn w:val="28"/>
    <w:autoRedefine/>
    <w:qFormat/>
    <w:uiPriority w:val="0"/>
    <w:rPr>
      <w:sz w:val="21"/>
      <w:szCs w:val="21"/>
    </w:rPr>
  </w:style>
  <w:style w:type="paragraph" w:customStyle="1" w:styleId="32">
    <w:name w:val="样式 标题 3 + (中文) 黑体 小四 非加粗 段前: 7.8 磅 段后: 0 磅 行距: 固定值 20 磅"/>
    <w:basedOn w:val="4"/>
    <w:autoRedefine/>
    <w:qFormat/>
    <w:uiPriority w:val="0"/>
    <w:pPr>
      <w:spacing w:line="400" w:lineRule="exact"/>
    </w:pPr>
    <w:rPr>
      <w:rFonts w:eastAsia="黑体" w:cs="宋体"/>
      <w:b w:val="0"/>
      <w:szCs w:val="20"/>
    </w:rPr>
  </w:style>
  <w:style w:type="paragraph" w:customStyle="1" w:styleId="33">
    <w:name w:val="font7"/>
    <w:basedOn w:val="3"/>
    <w:autoRedefine/>
    <w:qFormat/>
    <w:uiPriority w:val="0"/>
    <w:pPr>
      <w:widowControl/>
      <w:spacing w:before="280" w:after="280" w:line="240" w:lineRule="auto"/>
      <w:ind w:left="3584" w:firstLine="4"/>
      <w:outlineLvl w:val="0"/>
    </w:pPr>
  </w:style>
  <w:style w:type="paragraph" w:customStyle="1" w:styleId="34">
    <w:name w:val="_Style 151"/>
    <w:basedOn w:val="1"/>
    <w:autoRedefine/>
    <w:qFormat/>
    <w:uiPriority w:val="0"/>
    <w:pPr>
      <w:ind w:firstLine="420" w:firstLineChars="200"/>
    </w:pPr>
    <w:rPr>
      <w:szCs w:val="24"/>
    </w:rPr>
  </w:style>
  <w:style w:type="paragraph" w:customStyle="1" w:styleId="35">
    <w:name w:val="123"/>
    <w:basedOn w:val="1"/>
    <w:autoRedefine/>
    <w:qFormat/>
    <w:uiPriority w:val="0"/>
    <w:pPr>
      <w:numPr>
        <w:ilvl w:val="1"/>
        <w:numId w:val="1"/>
      </w:numPr>
      <w:tabs>
        <w:tab w:val="left" w:pos="735"/>
      </w:tabs>
    </w:pPr>
    <w:rPr>
      <w:bCs/>
      <w:szCs w:val="24"/>
    </w:rPr>
  </w:style>
  <w:style w:type="paragraph" w:customStyle="1" w:styleId="36">
    <w:name w:val="_Style 1"/>
    <w:basedOn w:val="1"/>
    <w:autoRedefine/>
    <w:qFormat/>
    <w:uiPriority w:val="0"/>
    <w:pPr>
      <w:ind w:firstLine="420" w:firstLineChars="200"/>
    </w:pPr>
    <w:rPr>
      <w:szCs w:val="24"/>
    </w:rPr>
  </w:style>
  <w:style w:type="paragraph" w:customStyle="1" w:styleId="37">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8">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表头"/>
    <w:basedOn w:val="1"/>
    <w:autoRedefine/>
    <w:qFormat/>
    <w:uiPriority w:val="0"/>
    <w:pPr>
      <w:adjustRightInd w:val="0"/>
      <w:snapToGrid w:val="0"/>
      <w:spacing w:line="312" w:lineRule="auto"/>
      <w:jc w:val="center"/>
    </w:pPr>
    <w:rPr>
      <w:rFonts w:ascii="黑体" w:eastAsia="黑体"/>
      <w:b/>
      <w:color w:val="000000"/>
      <w:spacing w:val="6"/>
      <w:kern w:val="0"/>
      <w:sz w:val="32"/>
    </w:rPr>
  </w:style>
  <w:style w:type="paragraph" w:customStyle="1" w:styleId="40">
    <w:name w:val="No Spacing"/>
    <w:autoRedefine/>
    <w:qFormat/>
    <w:uiPriority w:val="1"/>
    <w:rPr>
      <w:rFonts w:ascii="Calibri" w:hAnsi="Calibri" w:eastAsia="宋体" w:cs="Times New Roman"/>
      <w:sz w:val="22"/>
      <w:szCs w:val="22"/>
      <w:lang w:val="en-US" w:eastAsia="zh-CN" w:bidi="ar-SA"/>
    </w:rPr>
  </w:style>
  <w:style w:type="paragraph" w:customStyle="1" w:styleId="41">
    <w:name w:val="yzh-正文段落"/>
    <w:basedOn w:val="10"/>
    <w:autoRedefine/>
    <w:qFormat/>
    <w:uiPriority w:val="0"/>
    <w:pPr>
      <w:adjustRightInd w:val="0"/>
      <w:snapToGrid w:val="0"/>
      <w:ind w:left="735" w:leftChars="350" w:firstLine="480" w:firstLineChars="200"/>
    </w:pPr>
    <w:rPr>
      <w:rFonts w:ascii="宋体" w:hAnsi="宋体"/>
      <w:spacing w:val="0"/>
      <w:sz w:val="24"/>
      <w:szCs w:val="24"/>
    </w:rPr>
  </w:style>
  <w:style w:type="paragraph" w:customStyle="1" w:styleId="42">
    <w:name w:val="yzh-款"/>
    <w:basedOn w:val="1"/>
    <w:autoRedefine/>
    <w:qFormat/>
    <w:uiPriority w:val="0"/>
    <w:pPr>
      <w:adjustRightInd w:val="0"/>
      <w:snapToGrid w:val="0"/>
      <w:spacing w:line="480" w:lineRule="auto"/>
      <w:jc w:val="left"/>
      <w:outlineLvl w:val="3"/>
    </w:pPr>
    <w:rPr>
      <w:rFonts w:ascii="宋体" w:hAnsi="宋体" w:eastAsia="黑体"/>
      <w:b/>
      <w:kern w:val="0"/>
      <w:sz w:val="24"/>
      <w:szCs w:val="24"/>
      <w:shd w:val="clear" w:color="auto" w:fill="FFFFFF"/>
    </w:rPr>
  </w:style>
  <w:style w:type="paragraph" w:customStyle="1" w:styleId="43">
    <w:name w:val="Table Paragraph"/>
    <w:basedOn w:val="22"/>
    <w:autoRedefine/>
    <w:qFormat/>
    <w:uiPriority w:val="1"/>
    <w:pPr>
      <w:autoSpaceDE w:val="0"/>
      <w:autoSpaceDN w:val="0"/>
    </w:pPr>
    <w:rPr>
      <w:rFonts w:ascii="宋体" w:hAnsi="宋体" w:cs="宋体"/>
      <w:sz w:val="22"/>
      <w:szCs w:val="22"/>
      <w:lang w:eastAsia="en-US"/>
    </w:rPr>
  </w:style>
  <w:style w:type="paragraph" w:customStyle="1" w:styleId="44">
    <w:name w:val="首行缩进"/>
    <w:basedOn w:val="1"/>
    <w:autoRedefine/>
    <w:qFormat/>
    <w:uiPriority w:val="0"/>
    <w:pPr>
      <w:spacing w:line="360" w:lineRule="auto"/>
      <w:ind w:firstLine="480" w:firstLineChars="200"/>
    </w:pPr>
    <w:rPr>
      <w:rFonts w:hint="eastAsia" w:ascii="宋体" w:hAnsi="宋体"/>
      <w:kern w:val="0"/>
      <w:szCs w:val="21"/>
    </w:rPr>
  </w:style>
  <w:style w:type="paragraph" w:customStyle="1" w:styleId="45">
    <w:name w:val="修订1"/>
    <w:autoRedefine/>
    <w:hidden/>
    <w:unhideWhenUsed/>
    <w:qFormat/>
    <w:uiPriority w:val="99"/>
    <w:rPr>
      <w:rFonts w:ascii="Times New Roman" w:hAnsi="Times New Roman" w:eastAsia="宋体" w:cs="Times New Roman"/>
      <w:kern w:val="2"/>
      <w:sz w:val="21"/>
      <w:lang w:val="en-US" w:eastAsia="zh-CN" w:bidi="ar-SA"/>
    </w:rPr>
  </w:style>
  <w:style w:type="paragraph" w:customStyle="1" w:styleId="46">
    <w:name w:val="List Paragraph"/>
    <w:basedOn w:val="1"/>
    <w:autoRedefine/>
    <w:unhideWhenUsed/>
    <w:qFormat/>
    <w:uiPriority w:val="99"/>
    <w:pPr>
      <w:ind w:firstLine="420" w:firstLineChars="200"/>
    </w:pPr>
  </w:style>
  <w:style w:type="paragraph" w:customStyle="1" w:styleId="47">
    <w:name w:val="修订2"/>
    <w:autoRedefine/>
    <w:hidden/>
    <w:unhideWhenUsed/>
    <w:qFormat/>
    <w:uiPriority w:val="99"/>
    <w:rPr>
      <w:rFonts w:ascii="Times New Roman" w:hAnsi="Times New Roman" w:eastAsia="宋体" w:cs="Times New Roman"/>
      <w:kern w:val="2"/>
      <w:sz w:val="21"/>
      <w:lang w:val="en-US" w:eastAsia="zh-CN" w:bidi="ar-SA"/>
    </w:rPr>
  </w:style>
  <w:style w:type="character" w:customStyle="1" w:styleId="48">
    <w:name w:val="批注框文本 字符"/>
    <w:basedOn w:val="28"/>
    <w:link w:val="16"/>
    <w:autoRedefine/>
    <w:qFormat/>
    <w:uiPriority w:val="0"/>
    <w:rPr>
      <w:kern w:val="2"/>
      <w:sz w:val="18"/>
      <w:szCs w:val="18"/>
    </w:rPr>
  </w:style>
  <w:style w:type="character" w:customStyle="1" w:styleId="49">
    <w:name w:val="页脚 字符"/>
    <w:basedOn w:val="28"/>
    <w:link w:val="17"/>
    <w:autoRedefine/>
    <w:qFormat/>
    <w:uiPriority w:val="0"/>
    <w:rPr>
      <w:kern w:val="2"/>
      <w:sz w:val="18"/>
      <w:szCs w:val="18"/>
    </w:rPr>
  </w:style>
  <w:style w:type="character" w:customStyle="1" w:styleId="50">
    <w:name w:val="批注文字 字符"/>
    <w:basedOn w:val="28"/>
    <w:link w:val="9"/>
    <w:autoRedefine/>
    <w:qFormat/>
    <w:uiPriority w:val="0"/>
    <w:rPr>
      <w:kern w:val="2"/>
      <w:sz w:val="21"/>
    </w:rPr>
  </w:style>
  <w:style w:type="character" w:customStyle="1" w:styleId="51">
    <w:name w:val="批注主题 字符"/>
    <w:basedOn w:val="50"/>
    <w:link w:val="24"/>
    <w:autoRedefine/>
    <w:qFormat/>
    <w:uiPriority w:val="0"/>
    <w:rPr>
      <w:b/>
      <w:bCs/>
      <w:kern w:val="2"/>
      <w:sz w:val="21"/>
    </w:rPr>
  </w:style>
  <w:style w:type="table" w:customStyle="1" w:styleId="52">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header" Target="header10.xml"/><Relationship Id="rId15" Type="http://schemas.openxmlformats.org/officeDocument/2006/relationships/header" Target="header9.xml"/><Relationship Id="rId14" Type="http://schemas.openxmlformats.org/officeDocument/2006/relationships/header" Target="header8.xml"/><Relationship Id="rId13" Type="http://schemas.openxmlformats.org/officeDocument/2006/relationships/footer" Target="footer4.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64</Pages>
  <Words>26232</Words>
  <Characters>28127</Characters>
  <Lines>232</Lines>
  <Paragraphs>65</Paragraphs>
  <TotalTime>22</TotalTime>
  <ScaleCrop>false</ScaleCrop>
  <LinksUpToDate>false</LinksUpToDate>
  <CharactersWithSpaces>30686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2022-11-01T09:02:00Z</dcterms:created>
  <dc:creator>Administrator</dc:creator>
  <cp:lastModifiedBy>Administrator</cp:lastModifiedBy>
  <dcterms:modified xsi:type="dcterms:W3CDTF">2024-07-09T06:11:55Z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A4BE9BC07E5D4DB09331470FB6507A53_13</vt:lpwstr>
  </property>
</Properties>
</file>